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July 19, 2024, there were 175,183,232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7"/>
          <w:szCs w:val="17"/>
          <w:b w:val="1"/>
          <w:bCs w:val="1"/>
          <w:color w:val="auto"/>
        </w:rPr>
        <w:t>June 30, 2024</w:t>
      </w:r>
    </w:p>
    <w:p>
      <w:pPr>
        <w:spacing w:after="0" w:line="7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5860" w:type="dxa"/>
            <w:vAlign w:val="bottom"/>
            <w:tcBorders>
              <w:bottom w:val="single" w:sz="8" w:color="0000FF"/>
            </w:tcBorders>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June 30, 2024 and December 31, 2023</w:t>
            </w:r>
          </w:p>
        </w:tc>
        <w:tc>
          <w:tcPr>
            <w:tcW w:w="3700" w:type="dxa"/>
            <w:vAlign w:val="bottom"/>
            <w:gridSpan w:val="6"/>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and six months ended June 30, 2024 and 2023</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72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and six months ended June 30, 2024 and 2023</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6960" w:type="dxa"/>
            <w:vAlign w:val="bottom"/>
            <w:tcBorders>
              <w:top w:val="single" w:sz="8" w:color="0000FF"/>
              <w:bottom w:val="single" w:sz="8" w:color="0000FF"/>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six months ended June 30, 2024 and 2023</w:t>
            </w:r>
          </w:p>
        </w:tc>
        <w:tc>
          <w:tcPr>
            <w:tcW w:w="15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826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and six months ended June 30, 2024 and 2023</w:t>
            </w:r>
          </w:p>
        </w:tc>
        <w:tc>
          <w:tcPr>
            <w:tcW w:w="130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27</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44</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44</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45</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04"/>
              <w:spacing w:after="0" w:line="12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3,205</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660</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postretirement and pension benefits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$.01 par value; 500.0 shares authorized and 226.9 shares issued: 175.6 and 177.8 outstanding at June 30, 2024</w:t>
            </w: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and December 31, 2023, respectively</w:t>
            </w: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7,977</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51.3 and 49.1 shares, at June 30, 2024 and December 31, 2023, respectively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0" w:type="dxa"/>
            <w:vAlign w:val="bottom"/>
          </w:tcPr>
          <w:p>
            <w:pPr>
              <w:spacing w:after="0"/>
              <w:rPr>
                <w:sz w:val="1"/>
                <w:szCs w:val="1"/>
                <w:color w:val="auto"/>
              </w:rPr>
            </w:pPr>
          </w:p>
        </w:tc>
      </w:tr>
      <w:tr>
        <w:trPr>
          <w:trHeight w:val="196"/>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10,477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10,487</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10,524</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88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gridSpan w:val="3"/>
          </w:tcPr>
          <w:p>
            <w:pPr>
              <w:jc w:val="center"/>
              <w:ind w:right="278"/>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center"/>
              <w:ind w:right="215"/>
              <w:spacing w:after="0" w:line="153" w:lineRule="exact"/>
              <w:rPr>
                <w:sz w:val="20"/>
                <w:szCs w:val="20"/>
                <w:color w:val="auto"/>
              </w:rPr>
            </w:pPr>
            <w:r>
              <w:rPr>
                <w:rFonts w:ascii="Times New Roman" w:cs="Times New Roman" w:eastAsia="Times New Roman" w:hAnsi="Times New Roman"/>
                <w:sz w:val="14"/>
                <w:szCs w:val="14"/>
                <w:b w:val="1"/>
                <w:bCs w:val="1"/>
                <w:color w:val="auto"/>
                <w:w w:val="97"/>
              </w:rPr>
              <w:t>Six Months Ended</w:t>
            </w:r>
          </w:p>
        </w:tc>
      </w:tr>
      <w:tr>
        <w:trPr>
          <w:trHeight w:val="18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80" w:type="dxa"/>
            <w:vAlign w:val="bottom"/>
            <w:tcBorders>
              <w:bottom w:val="single" w:sz="8" w:color="auto"/>
            </w:tcBorders>
          </w:tcPr>
          <w:p>
            <w:pPr>
              <w:spacing w:after="0"/>
              <w:rPr>
                <w:sz w:val="16"/>
                <w:szCs w:val="16"/>
                <w:color w:val="auto"/>
              </w:rPr>
            </w:pPr>
          </w:p>
        </w:tc>
      </w:tr>
      <w:tr>
        <w:trPr>
          <w:trHeight w:val="142"/>
        </w:trPr>
        <w:tc>
          <w:tcPr>
            <w:tcW w:w="54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of goods</w:t>
            </w:r>
          </w:p>
        </w:tc>
        <w:tc>
          <w:tcPr>
            <w:tcW w:w="92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w:t>
            </w:r>
          </w:p>
        </w:tc>
      </w:tr>
      <w:tr>
        <w:trPr>
          <w:trHeight w:val="21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Sales of services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w:t>
            </w:r>
          </w:p>
        </w:tc>
      </w:tr>
      <w:tr>
        <w:trPr>
          <w:trHeight w:val="212"/>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net sales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4,601</w:t>
            </w: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goods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(2,657)</w:t>
            </w:r>
          </w:p>
        </w:tc>
      </w:tr>
      <w:tr>
        <w:trPr>
          <w:trHeight w:val="21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Cost of services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2"/>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cost of sales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Engineering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20" w:type="dxa"/>
            <w:vAlign w:val="bottom"/>
            <w:tcBorders>
              <w:bottom w:val="single" w:sz="8" w:color="CCEEFF"/>
            </w:tcBorders>
          </w:tcPr>
          <w:p>
            <w:pPr>
              <w:spacing w:after="0"/>
              <w:rPr>
                <w:sz w:val="19"/>
                <w:szCs w:val="19"/>
                <w:color w:val="auto"/>
              </w:rPr>
            </w:pPr>
          </w:p>
        </w:tc>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Amortization expense</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2"/>
        </w:trPr>
        <w:tc>
          <w:tcPr>
            <w:tcW w:w="20" w:type="dxa"/>
            <w:vAlign w:val="bottom"/>
            <w:shd w:val="clear" w:color="auto" w:fill="CCEEFF"/>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w:t>
            </w: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net</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income,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20" w:type="dxa"/>
            <w:vAlign w:val="bottom"/>
          </w:tcPr>
          <w:p>
            <w:pPr>
              <w:spacing w:after="0"/>
              <w:rPr>
                <w:sz w:val="18"/>
                <w:szCs w:val="18"/>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54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92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r>
      <w:tr>
        <w:trPr>
          <w:trHeight w:val="223"/>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gridSpan w:val="3"/>
          </w:tcPr>
          <w:p>
            <w:pPr>
              <w:jc w:val="center"/>
              <w:ind w:right="49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53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680" w:type="dxa"/>
            <w:vAlign w:val="bottom"/>
            <w:gridSpan w:val="4"/>
          </w:tcPr>
          <w:p>
            <w:pPr>
              <w:jc w:val="center"/>
              <w:ind w:left="358"/>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center"/>
              <w:ind w:right="235"/>
              <w:spacing w:after="0" w:line="160" w:lineRule="exact"/>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right="49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53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51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4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3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ind w:right="43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12"/>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(loss) gain</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9"/>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derivative contracts</w:t>
            </w:r>
          </w:p>
        </w:tc>
        <w:tc>
          <w:tcPr>
            <w:tcW w:w="10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5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Change in unrealized loss on pension and post-retirement benefit plans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(loss) income before tax</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168"/>
        </w:trPr>
        <w:tc>
          <w:tcPr>
            <w:tcW w:w="20" w:type="dxa"/>
            <w:vAlign w:val="bottom"/>
          </w:tcPr>
          <w:p>
            <w:pPr>
              <w:spacing w:after="0"/>
              <w:rPr>
                <w:sz w:val="14"/>
                <w:szCs w:val="14"/>
                <w:color w:val="auto"/>
              </w:rPr>
            </w:pPr>
          </w:p>
        </w:tc>
        <w:tc>
          <w:tcPr>
            <w:tcW w:w="516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Income tax benefit (expense) related to components of other</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2"/>
        </w:trPr>
        <w:tc>
          <w:tcPr>
            <w:tcW w:w="20" w:type="dxa"/>
            <w:vAlign w:val="bottom"/>
            <w:tcBorders>
              <w:bottom w:val="single" w:sz="8" w:color="CCEEFF"/>
            </w:tcBorders>
          </w:tcPr>
          <w:p>
            <w:pPr>
              <w:spacing w:after="0"/>
              <w:rPr>
                <w:sz w:val="20"/>
                <w:szCs w:val="20"/>
                <w:color w:val="auto"/>
              </w:rPr>
            </w:pPr>
          </w:p>
        </w:tc>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(loss) income, net of tax</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104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5" w:name="page6"/>
    <w:bookmarkEnd w:id="5"/>
    <w:p>
      <w:pPr>
        <w:ind w:left="30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40" w:type="dxa"/>
            <w:vAlign w:val="bottom"/>
            <w:gridSpan w:val="3"/>
          </w:tcPr>
          <w:p>
            <w:pPr>
              <w:jc w:val="center"/>
              <w:ind w:left="49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9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center"/>
              <w:ind w:left="495"/>
              <w:spacing w:after="0" w:line="160"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Net loss on disposal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Accrued liabilities and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2,964</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cash (used for) provided by financing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Decrease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12"/>
                <w:szCs w:val="12"/>
                <w:color w:val="auto"/>
              </w:rPr>
            </w:pPr>
          </w:p>
        </w:tc>
        <w:tc>
          <w:tcPr>
            <w:tcW w:w="60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00"/>
        </w:trPr>
        <w:tc>
          <w:tcPr>
            <w:tcW w:w="2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Stock Amount</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in Capital</w:t>
            </w: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60" w:type="dxa"/>
            <w:vAlign w:val="bottom"/>
          </w:tcPr>
          <w:p>
            <w:pPr>
              <w:spacing w:after="0"/>
              <w:rPr>
                <w:sz w:val="8"/>
                <w:szCs w:val="8"/>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80" w:type="dxa"/>
            <w:vAlign w:val="bottom"/>
            <w:gridSpan w:val="3"/>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dividends ($0.20 dividend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36"/>
        </w:trPr>
        <w:tc>
          <w:tcPr>
            <w:tcW w:w="248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2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10,504</w:t>
            </w:r>
          </w:p>
        </w:tc>
        <w:tc>
          <w:tcPr>
            <w:tcW w:w="0" w:type="dxa"/>
            <w:vAlign w:val="bottom"/>
          </w:tcPr>
          <w:p>
            <w:pPr>
              <w:spacing w:after="0"/>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($0.20 dividend 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29"/>
        </w:trPr>
        <w:tc>
          <w:tcPr>
            <w:tcW w:w="24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8"/>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Treasury Stock</w:t>
            </w:r>
          </w:p>
        </w:tc>
        <w:tc>
          <w:tcPr>
            <w:tcW w:w="120" w:type="dxa"/>
            <w:vAlign w:val="bottom"/>
          </w:tcPr>
          <w:p>
            <w:pPr>
              <w:spacing w:after="0"/>
              <w:rPr>
                <w:sz w:val="24"/>
                <w:szCs w:val="2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24"/>
                <w:szCs w:val="24"/>
                <w:color w:val="auto"/>
              </w:rPr>
            </w:pPr>
          </w:p>
        </w:tc>
        <w:tc>
          <w:tcPr>
            <w:tcW w:w="600" w:type="dxa"/>
            <w:vAlign w:val="bottom"/>
            <w:vMerge w:val="restart"/>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95"/>
        </w:trPr>
        <w:tc>
          <w:tcPr>
            <w:tcW w:w="2480" w:type="dxa"/>
            <w:vAlign w:val="bottom"/>
            <w:gridSpan w:val="3"/>
            <w:vMerge w:val="restart"/>
          </w:tcPr>
          <w:p>
            <w:pPr>
              <w:ind w:left="20"/>
              <w:spacing w:after="0" w:line="136" w:lineRule="exact"/>
              <w:rPr>
                <w:sz w:val="20"/>
                <w:szCs w:val="20"/>
                <w:color w:val="auto"/>
              </w:rPr>
            </w:pPr>
            <w:r>
              <w:rPr>
                <w:rFonts w:ascii="Times New Roman" w:cs="Times New Roman" w:eastAsia="Times New Roman" w:hAnsi="Times New Roman"/>
                <w:sz w:val="12"/>
                <w:szCs w:val="12"/>
                <w:b w:val="1"/>
                <w:bCs w:val="1"/>
                <w:color w:val="auto"/>
              </w:rPr>
              <w:t>In millions</w:t>
            </w:r>
          </w:p>
        </w:tc>
        <w:tc>
          <w:tcPr>
            <w:tcW w:w="1020" w:type="dxa"/>
            <w:vAlign w:val="bottom"/>
            <w:gridSpan w:val="2"/>
            <w:vMerge w:val="restart"/>
          </w:tcPr>
          <w:p>
            <w:pPr>
              <w:jc w:val="center"/>
              <w:ind w:right="100"/>
              <w:spacing w:after="0" w:line="136" w:lineRule="exact"/>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3"/>
            <w:vMerge w:val="restart"/>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Stock Amount</w:t>
            </w:r>
          </w:p>
        </w:tc>
        <w:tc>
          <w:tcPr>
            <w:tcW w:w="140" w:type="dxa"/>
            <w:vAlign w:val="bottom"/>
          </w:tcPr>
          <w:p>
            <w:pPr>
              <w:spacing w:after="0"/>
              <w:rPr>
                <w:sz w:val="8"/>
                <w:szCs w:val="8"/>
                <w:color w:val="auto"/>
              </w:rPr>
            </w:pPr>
          </w:p>
        </w:tc>
        <w:tc>
          <w:tcPr>
            <w:tcW w:w="860" w:type="dxa"/>
            <w:vAlign w:val="bottom"/>
            <w:gridSpan w:val="2"/>
            <w:vMerge w:val="restart"/>
          </w:tcPr>
          <w:p>
            <w:pPr>
              <w:ind w:left="40"/>
              <w:spacing w:after="0" w:line="136" w:lineRule="exact"/>
              <w:rPr>
                <w:sz w:val="20"/>
                <w:szCs w:val="20"/>
                <w:color w:val="auto"/>
              </w:rPr>
            </w:pPr>
            <w:r>
              <w:rPr>
                <w:rFonts w:ascii="Times New Roman" w:cs="Times New Roman" w:eastAsia="Times New Roman" w:hAnsi="Times New Roman"/>
                <w:sz w:val="12"/>
                <w:szCs w:val="12"/>
                <w:b w:val="1"/>
                <w:bCs w:val="1"/>
                <w:color w:val="auto"/>
              </w:rPr>
              <w:t>in Capital</w:t>
            </w:r>
          </w:p>
        </w:tc>
        <w:tc>
          <w:tcPr>
            <w:tcW w:w="940" w:type="dxa"/>
            <w:vAlign w:val="bottom"/>
            <w:gridSpan w:val="2"/>
            <w:vMerge w:val="restart"/>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60" w:type="dxa"/>
            <w:vAlign w:val="bottom"/>
            <w:gridSpan w:val="3"/>
            <w:vMerge w:val="restart"/>
          </w:tcPr>
          <w:p>
            <w:pPr>
              <w:jc w:val="center"/>
              <w:ind w:right="120"/>
              <w:spacing w:after="0" w:line="136" w:lineRule="exact"/>
              <w:rPr>
                <w:sz w:val="20"/>
                <w:szCs w:val="20"/>
                <w:color w:val="auto"/>
              </w:rPr>
            </w:pPr>
            <w:r>
              <w:rPr>
                <w:rFonts w:ascii="Times New Roman" w:cs="Times New Roman" w:eastAsia="Times New Roman" w:hAnsi="Times New Roman"/>
                <w:sz w:val="12"/>
                <w:szCs w:val="12"/>
                <w:b w:val="1"/>
                <w:bCs w:val="1"/>
                <w:color w:val="auto"/>
                <w:w w:val="99"/>
              </w:rPr>
              <w:t>Comprehensive Loss</w:t>
            </w:r>
          </w:p>
        </w:tc>
        <w:tc>
          <w:tcPr>
            <w:tcW w:w="160" w:type="dxa"/>
            <w:vAlign w:val="bottom"/>
          </w:tcPr>
          <w:p>
            <w:pPr>
              <w:spacing w:after="0"/>
              <w:rPr>
                <w:sz w:val="8"/>
                <w:szCs w:val="8"/>
                <w:color w:val="auto"/>
              </w:rPr>
            </w:pPr>
          </w:p>
        </w:tc>
        <w:tc>
          <w:tcPr>
            <w:tcW w:w="800" w:type="dxa"/>
            <w:vAlign w:val="bottom"/>
            <w:gridSpan w:val="2"/>
            <w:vMerge w:val="restart"/>
          </w:tcPr>
          <w:p>
            <w:pPr>
              <w:ind w:left="60"/>
              <w:spacing w:after="0" w:line="136"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80" w:type="dxa"/>
            <w:vAlign w:val="bottom"/>
            <w:gridSpan w:val="3"/>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Cash dividends ($0.17 dividend per share)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2"/>
        </w:trPr>
        <w:tc>
          <w:tcPr>
            <w:tcW w:w="24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7,940</w:t>
            </w:r>
          </w:p>
        </w:tc>
        <w:tc>
          <w:tcPr>
            <w:tcW w:w="12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w:t>
            </w:r>
          </w:p>
        </w:tc>
        <w:tc>
          <w:tcPr>
            <w:tcW w:w="10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0" w:type="dxa"/>
            <w:vAlign w:val="bottom"/>
          </w:tcPr>
          <w:p>
            <w:pPr>
              <w:spacing w:after="0"/>
              <w:rPr>
                <w:sz w:val="1"/>
                <w:szCs w:val="1"/>
                <w:color w:val="auto"/>
              </w:rPr>
            </w:pPr>
          </w:p>
        </w:tc>
      </w:tr>
      <w:tr>
        <w:trPr>
          <w:trHeight w:val="193"/>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($0.17 dividend per share)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34"/>
        </w:trPr>
        <w:tc>
          <w:tcPr>
            <w:tcW w:w="24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201"/>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4"/>
        </w:trPr>
        <w:tc>
          <w:tcPr>
            <w:tcW w:w="2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7,949</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ind w:left="340" w:right="2800"/>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JUNE 30, 2024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2024, approximately 50%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right="200"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and the impacts from regional conflicts.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10-K for the year ended December 31, 2023. The December 31, 2023 information has been derived from the Company’s Annual Report on Form 10-K for the year ended December 31, 2023.</w:t>
      </w:r>
    </w:p>
    <w:p>
      <w:pPr>
        <w:spacing w:after="0" w:line="56"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jc w:val="both"/>
        <w:ind w:right="14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June 30, 2024, the Company's remaining performance obligations were approximately $22.1 billion. The Company expects to recognize revenue of approximately 33% of the remaining performance obligations over the next 12 months, with the remainder recognized thereafter.</w:t>
      </w:r>
    </w:p>
    <w:p>
      <w:pPr>
        <w:spacing w:after="0" w:line="56"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The Company utilizes a revolving facility to sell up to $350 million of certain receivables of the Company and certain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its subsidiaries (the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customer collections remitted to the financial institution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4" w:lineRule="exact"/>
        <w:rPr>
          <w:sz w:val="20"/>
          <w:szCs w:val="20"/>
          <w:color w:val="auto"/>
        </w:rPr>
      </w:pPr>
    </w:p>
    <w:p>
      <w:pPr>
        <w:ind w:right="380" w:firstLine="464"/>
        <w:spacing w:after="0" w:line="269" w:lineRule="auto"/>
        <w:rPr>
          <w:sz w:val="20"/>
          <w:szCs w:val="20"/>
          <w:color w:val="auto"/>
        </w:rPr>
      </w:pPr>
      <w:r>
        <w:rPr>
          <w:rFonts w:ascii="Times New Roman" w:cs="Times New Roman" w:eastAsia="Times New Roman" w:hAnsi="Times New Roman"/>
          <w:sz w:val="17"/>
          <w:szCs w:val="17"/>
          <w:color w:val="auto"/>
        </w:rPr>
        <w:t>At June 30, 2024 and December 31, 2023, the bankruptcy-remote subsidiary held receivables of $695 million and $674 million, respectively, which are included in the Company's Condensed Consolidated Balance Sheets. The receivables held by the bankruptcy-remote subsidiary collateralize the outstanding receivables sold, which were $20 million at December 31, 2023. There were no receivables outstanding under the facility at June 30, 2024. The transfers are</w:t>
      </w:r>
    </w:p>
    <w:p>
      <w:pPr>
        <w:spacing w:after="0" w:line="270" w:lineRule="auto"/>
        <w:rPr>
          <w:sz w:val="20"/>
          <w:szCs w:val="20"/>
          <w:color w:val="auto"/>
        </w:rPr>
      </w:pPr>
      <w:r>
        <w:rPr>
          <w:rFonts w:ascii="Times New Roman" w:cs="Times New Roman" w:eastAsia="Times New Roman" w:hAnsi="Times New Roman"/>
          <w:sz w:val="17"/>
          <w:szCs w:val="17"/>
          <w:color w:val="auto"/>
        </w:rPr>
        <w:t>recorded at the fair value of the proceeds received and obligations assumed less derecognized receivables. No obligation was recorded at December 31, 2023 as the estimated expected credit losses on receivables sold is insignificant. Our maximum exposure to losses related to these receivables transferred is limited to the amount outstanding.</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a summary of receivables sold and the resulting impact of net cash proceeds included in cash from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Six Months Ended</w:t>
            </w:r>
          </w:p>
        </w:tc>
        <w:tc>
          <w:tcPr>
            <w:tcW w:w="160" w:type="dxa"/>
            <w:vAlign w:val="bottom"/>
          </w:tcPr>
          <w:p>
            <w:pPr>
              <w:spacing w:after="0"/>
              <w:rPr>
                <w:sz w:val="13"/>
                <w:szCs w:val="13"/>
                <w:color w:val="auto"/>
              </w:rPr>
            </w:pPr>
          </w:p>
        </w:tc>
        <w:tc>
          <w:tcPr>
            <w:tcW w:w="13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0"/>
        </w:trPr>
        <w:tc>
          <w:tcPr>
            <w:tcW w:w="8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rPr>
              <w:t>June 30, 2024</w:t>
            </w:r>
          </w:p>
        </w:tc>
        <w:tc>
          <w:tcPr>
            <w:tcW w:w="160" w:type="dxa"/>
            <w:vAlign w:val="bottom"/>
          </w:tcPr>
          <w:p>
            <w:pPr>
              <w:spacing w:after="0"/>
              <w:rPr>
                <w:sz w:val="12"/>
                <w:szCs w:val="12"/>
                <w:color w:val="auto"/>
              </w:rPr>
            </w:pPr>
          </w:p>
        </w:tc>
        <w:tc>
          <w:tcPr>
            <w:tcW w:w="1360" w:type="dxa"/>
            <w:vAlign w:val="bottom"/>
          </w:tcPr>
          <w:p>
            <w:pPr>
              <w:jc w:val="right"/>
              <w:ind w:right="282"/>
              <w:spacing w:after="0" w:line="121" w:lineRule="exact"/>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sold/cash proceeds received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(remitted) received included in cash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8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June 30, 2024 and December 31, 2023, the Company classified cash of $5 million as restricted for cash held in escrow related to a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w:t>
      </w:r>
    </w:p>
    <w:p>
      <w:pPr>
        <w:spacing w:after="0" w:line="88" w:lineRule="exact"/>
        <w:rPr>
          <w:sz w:val="20"/>
          <w:szCs w:val="20"/>
          <w:color w:val="auto"/>
        </w:rPr>
      </w:pPr>
    </w:p>
    <w:p>
      <w:pPr>
        <w:ind w:right="2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expenses or Engineering expenses to the extent the property, plant, and equipment is used for research and development purposes.</w:t>
      </w:r>
    </w:p>
    <w:p>
      <w:pPr>
        <w:spacing w:after="0" w:line="108" w:lineRule="exact"/>
        <w:rPr>
          <w:sz w:val="20"/>
          <w:szCs w:val="20"/>
          <w:color w:val="auto"/>
        </w:rPr>
      </w:pPr>
    </w:p>
    <w:p>
      <w:pPr>
        <w:ind w:right="1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66"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2023,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The amendments in this update are intended to improve reportable segment disclosure requirements, primarily through enhanced disclosures about significant segment expenses. In addition to the current requirements, the amendments specify additional information be provided about the chief operating decision maker ("CODM") as well as disaggregated expense categories, to the extent that the CODM utilizes such data in deciding how to allocate resources. The amendments in this update do not affect the recognition, measurement, or financial statement presentation of expenses, and will be effective for Wabtec's annual reporting periods beginning January 1, 2024 and interim reporting periods beginning January 1, 2025. The amendments will require increased interim and annual disclosures on current and comparable reporting periods presented in annual and interim company filings. The Company is assessing the extent of the impact of the amendments on its future filings.</w:t>
      </w:r>
    </w:p>
    <w:p>
      <w:pPr>
        <w:spacing w:after="0" w:line="68" w:lineRule="exact"/>
        <w:rPr>
          <w:sz w:val="20"/>
          <w:szCs w:val="20"/>
          <w:color w:val="auto"/>
        </w:rPr>
      </w:pPr>
    </w:p>
    <w:p>
      <w:pPr>
        <w:ind w:right="40" w:firstLine="464"/>
        <w:spacing w:after="0" w:line="259"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amendments in this update require entities to disclose on an annual basis specific categories within the income tax rate reconciliation and provide 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will be effective for Wabtec's annual reporting periods beginning January 1, 2025. The amendments will require increased annual disclosures on current and comparable reporting periods presented in annual and interim company filings. The Company is assessing the extent of the impact of the amendments on its future filings.</w:t>
      </w:r>
    </w:p>
    <w:p>
      <w:pPr>
        <w:spacing w:after="0" w:line="68"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(loss) income comprises both Net income and Other comprehensive (loss) income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43" w:lineRule="exact"/>
        <w:rPr>
          <w:sz w:val="20"/>
          <w:szCs w:val="20"/>
          <w:color w:val="auto"/>
        </w:rPr>
      </w:pPr>
    </w:p>
    <w:p>
      <w:pPr>
        <w:ind w:right="60" w:firstLine="464"/>
        <w:spacing w:after="0" w:line="272"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June 30, 2024 and 2023 are as follows: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0" w:name="page11"/>
    <w:bookmarkEnd w:id="10"/>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six months ended June 30, 2024 and 2023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3"/>
                <w:szCs w:val="13"/>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3"/>
                <w:szCs w:val="13"/>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0" w:type="dxa"/>
            <w:vAlign w:val="bottom"/>
          </w:tcPr>
          <w:p>
            <w:pPr>
              <w:spacing w:after="0"/>
              <w:rPr>
                <w:sz w:val="1"/>
                <w:szCs w:val="1"/>
                <w:color w:val="auto"/>
              </w:rPr>
            </w:pPr>
          </w:p>
        </w:tc>
      </w:tr>
      <w:tr>
        <w:trPr>
          <w:trHeight w:val="212"/>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68"/>
        </w:trPr>
        <w:tc>
          <w:tcPr>
            <w:tcW w:w="430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Amounts reclassified from Accumulated other comprehensive</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(loss) income, net</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are recognized in "Other income, net" with the tax impact recognized in "Income tax expense" on the Condensed Consolidated Statements of Income.</w:t>
      </w:r>
    </w:p>
    <w:p>
      <w:pPr>
        <w:spacing w:after="0" w:line="42"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Condensed Consolidated Balance Sheets. Suppliers utilized the program to accelerate receipt of payment from these financial institutions for $345 million and $305 million of the Company's outstanding Accounts payable as of June 30, 2024 and December 31, 2023, respectively. The supplier invoices included under the program require payment in full to the financial institutions consistent with the Company’s normal terms and conditions as agreed upon with the vendor.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18" w:lineRule="exact"/>
        <w:rPr>
          <w:sz w:val="20"/>
          <w:szCs w:val="20"/>
          <w:color w:val="auto"/>
        </w:rPr>
      </w:pPr>
    </w:p>
    <w:p>
      <w:pPr>
        <w:jc w:val="both"/>
        <w:ind w:firstLine="464"/>
        <w:spacing w:after="0" w:line="260" w:lineRule="auto"/>
        <w:rPr>
          <w:sz w:val="20"/>
          <w:szCs w:val="20"/>
          <w:color w:val="auto"/>
        </w:rPr>
      </w:pPr>
      <w:r>
        <w:rPr>
          <w:rFonts w:ascii="Times New Roman" w:cs="Times New Roman" w:eastAsia="Times New Roman" w:hAnsi="Times New Roman"/>
          <w:sz w:val="17"/>
          <w:szCs w:val="17"/>
          <w:color w:val="auto"/>
        </w:rPr>
        <w:t>On December 22, 2023, the Company purchased the remaining ownership shares of Lokomotiv Kurastyru Zauyty ("LKZ"), a locomotive manufacturing and assembly company located in Kazakhstan, at which time it became a wholly owned subsidiary of the Company. Prior to this purchase, Wabtec owned 50% of LKZ as a joint venture partner and accounted for its ownership interest as an equity method investment. Total purchase price for the remaining 50% interest was</w:t>
      </w:r>
    </w:p>
    <w:p>
      <w:pPr>
        <w:ind w:right="220"/>
        <w:spacing w:after="0" w:line="259" w:lineRule="auto"/>
        <w:rPr>
          <w:sz w:val="20"/>
          <w:szCs w:val="20"/>
          <w:color w:val="auto"/>
        </w:rPr>
      </w:pPr>
      <w:r>
        <w:rPr>
          <w:rFonts w:ascii="Times New Roman" w:cs="Times New Roman" w:eastAsia="Times New Roman" w:hAnsi="Times New Roman"/>
          <w:sz w:val="17"/>
          <w:szCs w:val="17"/>
          <w:color w:val="auto"/>
        </w:rPr>
        <w:t>$111 million. Upon acquisition, Wabtec's previously held equity interest balance was remeasured to fair value and the Company ceased accounting for the investment using the equity method and recognized 100% of LKZ's identifiable assets and liabilities. LKZ's results of operations and cash flows have been fully consolidated subsequent to the acquisition date.</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fair value of 100% of the LKZ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62"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of expanding our global operations expected to be achieved as a result of the acquisition. The purchased goodwill is not expected to be deductible for tax purposes. The results of this business since the date of acquisition are reported within the Equipment product line of the Freight Segment. The pro forma impact on Wabtec’s sales and results of operations, including the pro forma effect of events that are directly attributable to the acquisition, was not significant.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 w:name="page13"/>
    <w:bookmarkEnd w:id="12"/>
    <w:p>
      <w:pPr>
        <w:ind w:right="660" w:firstLine="464"/>
        <w:spacing w:after="0" w:line="287" w:lineRule="auto"/>
        <w:rPr>
          <w:sz w:val="20"/>
          <w:szCs w:val="20"/>
          <w:color w:val="auto"/>
        </w:rPr>
      </w:pPr>
      <w:r>
        <w:rPr>
          <w:rFonts w:ascii="Times New Roman" w:cs="Times New Roman" w:eastAsia="Times New Roman" w:hAnsi="Times New Roman"/>
          <w:sz w:val="17"/>
          <w:szCs w:val="17"/>
          <w:color w:val="auto"/>
        </w:rPr>
        <w:t>During the second quarter of 2023, the Company acquired L&amp;M Radiator, Inc., a leading manufacturer of heavy-duty equipment radiators and heat exchangers for the mining sector, for a purchase price of approximately $245 million.</w:t>
      </w:r>
    </w:p>
    <w:p>
      <w:pPr>
        <w:spacing w:after="0" w:line="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fair value of the L&amp;M Radiator, Inc. assets acquired and liabilities assumed: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intangible assets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r>
      <w:tr>
        <w:trPr>
          <w:trHeight w:val="219"/>
        </w:trPr>
        <w:tc>
          <w:tcPr>
            <w:tcW w:w="9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8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liabilities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60" w:firstLine="464"/>
        <w:spacing w:after="0" w:line="264" w:lineRule="auto"/>
        <w:rPr>
          <w:sz w:val="20"/>
          <w:szCs w:val="20"/>
          <w:color w:val="auto"/>
        </w:rPr>
      </w:pPr>
      <w:r>
        <w:rPr>
          <w:rFonts w:ascii="Times New Roman" w:cs="Times New Roman" w:eastAsia="Times New Roman" w:hAnsi="Times New Roman"/>
          <w:sz w:val="17"/>
          <w:szCs w:val="17"/>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w:t>
      </w:r>
    </w:p>
    <w:p>
      <w:pPr>
        <w:spacing w:after="0" w:line="68"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The results of this business since the date of acquisition are reported within the Components product line of the Freight Segment. The pro forma impact on Wabtec’s sales and results of operations, including the pro forma effect of events that are directly attributable to the acquisition, was not significant.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00" w:type="dxa"/>
            <w:vAlign w:val="bottom"/>
            <w:gridSpan w:val="3"/>
            <w:vMerge w:val="continue"/>
          </w:tcPr>
          <w:p>
            <w:pPr>
              <w:spacing w:after="0"/>
              <w:rPr>
                <w:sz w:val="12"/>
                <w:szCs w:val="12"/>
                <w:color w:val="auto"/>
              </w:rPr>
            </w:pPr>
          </w:p>
        </w:tc>
        <w:tc>
          <w:tcPr>
            <w:tcW w:w="1040" w:type="dxa"/>
            <w:vAlign w:val="bottom"/>
          </w:tcPr>
          <w:p>
            <w:pPr>
              <w:jc w:val="right"/>
              <w:ind w:right="6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19"/>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Additions/adjustments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2"/>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June 30, 2024</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8,706</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firstLine="464"/>
        <w:spacing w:after="0" w:line="270" w:lineRule="auto"/>
        <w:rPr>
          <w:sz w:val="20"/>
          <w:szCs w:val="20"/>
          <w:color w:val="auto"/>
        </w:rPr>
      </w:pPr>
      <w:r>
        <w:rPr>
          <w:rFonts w:ascii="Times New Roman" w:cs="Times New Roman" w:eastAsia="Times New Roman" w:hAnsi="Times New Roman"/>
          <w:sz w:val="17"/>
          <w:szCs w:val="17"/>
          <w:color w:val="auto"/>
        </w:rPr>
        <w:t>As of June 30, 2024 and December 31, 2023, the Company’s trade names had a net carrying amount of $597 million and $612 million, respectively. The Company believes these intangibles have indefinite lives, with the exception of the right to use the GE Transportation trade name, to which the Company had assigned a useful life of 5 years and has been fully amortized.</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1,421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1,431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w:t>
            </w: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1,285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1,283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0" w:type="dxa"/>
            <w:vAlign w:val="bottom"/>
          </w:tcPr>
          <w:p>
            <w:pPr>
              <w:spacing w:after="0"/>
              <w:rPr>
                <w:sz w:val="1"/>
                <w:szCs w:val="1"/>
                <w:color w:val="auto"/>
              </w:rPr>
            </w:pPr>
          </w:p>
        </w:tc>
      </w:tr>
      <w:tr>
        <w:trPr>
          <w:trHeight w:val="20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4,022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2,434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4,047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(1,454)</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At June 30, 2024 the weighted average remaining useful lives of backlog, customer relationships and acquired technology were 8 years, 15 years and 7 years, respectively. The backlog intangible asset primarily consists of in-place long-term service agreements acquired by the Company in conjunction with the acquisition of GE Transportation. Amortization expense for intangible assets was $71 million and $145 million for the three and six months ended June 30, 2024, respectively, and $73 million and $148 million for the three and six months ended June 30, 2023,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2024</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2025</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2026</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220" w:firstLine="464"/>
        <w:spacing w:after="0" w:line="261"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$167 million at June 30, 2024 and $154 million at December 31, 2023. The Company has elected to use the practical expedient and does not consider unbilled amounts anticipated to be paid within one year as significant financing components.</w:t>
      </w:r>
    </w:p>
    <w:p>
      <w:pPr>
        <w:spacing w:after="0" w:line="72"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$311 million at June 30, 2024 and $174 million at December 31, 2023.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$92 million and $104 million at June 30, 2024 and December 31, 2023, respectively. These provisions for estimated losses are classified as current liabilities and included within the caption “Other accrued liabilities” on the Condensed Consolidated Balance Sheets.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six months ended June 30, 2024 and 2023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Acquisitions/adjustments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vMerge w:val="restart"/>
          </w:tcPr>
          <w:p>
            <w:pPr>
              <w:spacing w:after="0"/>
              <w:rPr>
                <w:sz w:val="2"/>
                <w:szCs w:val="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Operating lease expense was $16 million and $32 million for each of the three and six months ended June 30, 2024 and 2023, respectively. New operating leases of $18 million and $32 million were added during the three and six months ended June 30, 2024, respectively, and $6 million and $20 million for the three and six months ended June 30, 2023, respectively. Wabtec does not have material financing leases, short-term or variable leases or sublease income.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2024</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2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5"/>
              </w:rPr>
              <w:t>June 30, 2024</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23"/>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847"/>
        </w:trPr>
        <w:tc>
          <w:tcPr>
            <w:tcW w:w="7680" w:type="dxa"/>
            <w:vAlign w:val="bottom"/>
          </w:tcPr>
          <w:p>
            <w:pPr>
              <w:jc w:val="right"/>
              <w:ind w:right="1894"/>
              <w:spacing w:after="0"/>
              <w:rPr>
                <w:sz w:val="20"/>
                <w:szCs w:val="20"/>
                <w:color w:val="auto"/>
              </w:rPr>
            </w:pPr>
            <w:r>
              <w:rPr>
                <w:rFonts w:ascii="Times New Roman" w:cs="Times New Roman" w:eastAsia="Times New Roman" w:hAnsi="Times New Roman"/>
                <w:sz w:val="17"/>
                <w:szCs w:val="17"/>
                <w:color w:val="auto"/>
              </w:rPr>
              <w:t>16</w:t>
            </w: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8"/>
        </w:trPr>
        <w:tc>
          <w:tcPr>
            <w:tcW w:w="76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0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4"/>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2024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Credit Agreement:</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4.15% Senior Notes, due 2024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3.20%</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3.45%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1.25%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(EUR), due 2027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4.70%</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48"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June 30, 2024 and December 31, 2023, the Company had total combined unamortized discount and debt issuance costs of $18 million and $15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Credit Agreement</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On March 14, 2024, the Company entered into a new stand-alone credit agreement (the "2024 Credit Agreement") for a term loan of $225 million. Borrowings under the 2024 Credit Agreement bear interest at a base rate plus an interest rate spread up to 1.75% based on the lower of the pricing corresponding to (i) the Company’s Leverage Ratio or (ii) the Company’s public rating. The frequency of interest payments varies based upon the Interest Election Request. The term loan issued under the 2024 Credit Agreement will mature on March 14, 2029. The obligations of the Company under the 2024 Credit Agreement are unsecured and have been guaranteed by certain of the Company’s subsidiaries. The agreement contains affirmative, negative and financial covenants, and events of default customary for facilities of this type.</w:t>
      </w:r>
    </w:p>
    <w:p>
      <w:pPr>
        <w:spacing w:after="0" w:line="70"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The borrowing rate for the 2024 Credit Agreement is a variable rate assessed periodically in accordance with the terms of the 2024 Credit Agreement. At June 30, 2024, the interest rate was 6.7%.</w:t>
      </w:r>
    </w:p>
    <w:p>
      <w:pPr>
        <w:spacing w:after="0" w:line="35" w:lineRule="exact"/>
        <w:rPr>
          <w:sz w:val="20"/>
          <w:szCs w:val="20"/>
          <w:color w:val="auto"/>
        </w:rPr>
      </w:pPr>
    </w:p>
    <w:p>
      <w:pPr>
        <w:ind w:right="20" w:firstLine="464"/>
        <w:spacing w:after="0" w:line="245" w:lineRule="auto"/>
        <w:rPr>
          <w:sz w:val="20"/>
          <w:szCs w:val="20"/>
          <w:color w:val="auto"/>
        </w:rPr>
      </w:pPr>
      <w:r>
        <w:rPr>
          <w:rFonts w:ascii="Times New Roman" w:cs="Times New Roman" w:eastAsia="Times New Roman" w:hAnsi="Times New Roman"/>
          <w:sz w:val="17"/>
          <w:szCs w:val="17"/>
          <w:color w:val="auto"/>
        </w:rPr>
        <w:t>Under the 2024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2024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118"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On August 15, 2022, the Company entered into a new unsecured credit agreement (the "2022 Credit Agreement"). The 2022 Credit Agreement provides for borrowings consisting of (i) a multi-currency revolving credit facility, providing for an equivalent in U.S. dollars of up to $1.5 billion (the “Revolving Credit Facility”) and (ii) a $250 million delayed draw term loan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7" w:name="page18"/>
    <w:bookmarkEnd w:id="17"/>
    <w:p>
      <w:pPr>
        <w:ind w:right="20"/>
        <w:spacing w:after="0" w:line="264" w:lineRule="auto"/>
        <w:rPr>
          <w:sz w:val="20"/>
          <w:szCs w:val="20"/>
          <w:color w:val="auto"/>
        </w:rPr>
      </w:pPr>
      <w:r>
        <w:rPr>
          <w:rFonts w:ascii="Times New Roman" w:cs="Times New Roman" w:eastAsia="Times New Roman" w:hAnsi="Times New Roman"/>
          <w:sz w:val="17"/>
          <w:szCs w:val="17"/>
          <w:color w:val="auto"/>
        </w:rPr>
        <w:t>facility (the “Delayed Draw Term Loan”), all pursuant to the terms and conditions of the 2022 Credit Agreement. The 2022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68"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The Revolving Credit Facility matures on August 15, 2027. The Delayed Draw Term Loan was available for borrowings until February 15, 2024, and was fully drawn during the third quarter of 2023. Borrowings under the Delayed Draw Term Loan will mature on August 15, 2027. Amounts borrowed and repaid under the Delayed Draw Term Loan may not be reborrowed. The applicable interest rate for borrowings under the 2022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282"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During the third quarter of 2023, the Company borrowed the full $250 million of availability from the Delayed Draw Term Loan and utilized the proceeds to redeem the 4.375% Senior Notes, due 2023. The borrowing rate for the Delayed Draw Term Loan is a variable rate reassessed periodically in accordance with the terms of the 2022 Credit Agreement. At June 30, 2024, the interest rate was 6.7%.</w:t>
      </w:r>
    </w:p>
    <w:p>
      <w:pPr>
        <w:spacing w:after="0" w:line="62"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Under the 2022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2022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2022 Credit Agreement at June 30,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Delayed Draw Term</w:t>
            </w:r>
          </w:p>
        </w:tc>
        <w:tc>
          <w:tcPr>
            <w:tcW w:w="340" w:type="dxa"/>
            <w:vAlign w:val="bottom"/>
          </w:tcPr>
          <w:p>
            <w:pPr>
              <w:spacing w:after="0"/>
              <w:rPr>
                <w:sz w:val="15"/>
                <w:szCs w:val="15"/>
                <w:color w:val="auto"/>
              </w:rPr>
            </w:pPr>
          </w:p>
        </w:tc>
        <w:tc>
          <w:tcPr>
            <w:tcW w:w="1160" w:type="dxa"/>
            <w:vAlign w:val="bottom"/>
            <w:vMerge w:val="restart"/>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65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Facility</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5"/>
                <w:szCs w:val="15"/>
                <w:b w:val="1"/>
                <w:bCs w:val="1"/>
                <w:color w:val="auto"/>
              </w:rPr>
              <w:t>Loan</w:t>
            </w: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0" w:type="dxa"/>
            <w:vAlign w:val="bottom"/>
          </w:tcPr>
          <w:p>
            <w:pPr>
              <w:spacing w:after="0"/>
              <w:rPr>
                <w:sz w:val="1"/>
                <w:szCs w:val="1"/>
                <w:color w:val="auto"/>
              </w:rPr>
            </w:pPr>
          </w:p>
        </w:tc>
      </w:tr>
      <w:tr>
        <w:trPr>
          <w:trHeight w:val="203"/>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Outstanding Borrowings</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06"/>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Availability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820" w:firstLine="464"/>
        <w:spacing w:after="0" w:line="403" w:lineRule="auto"/>
        <w:rPr>
          <w:sz w:val="20"/>
          <w:szCs w:val="20"/>
          <w:color w:val="auto"/>
        </w:rPr>
      </w:pPr>
      <w:r>
        <w:rPr>
          <w:rFonts w:ascii="Times New Roman" w:cs="Times New Roman" w:eastAsia="Times New Roman" w:hAnsi="Times New Roman"/>
          <w:sz w:val="17"/>
          <w:szCs w:val="17"/>
          <w:color w:val="auto"/>
        </w:rPr>
        <w:t xml:space="preserve">The Company was in compliance with all financial covenants in the 2022 Credit Agreement and the 2024 Credit Agreement as of June 30, 2024. </w:t>
      </w:r>
      <w:r>
        <w:rPr>
          <w:rFonts w:ascii="Times New Roman" w:cs="Times New Roman" w:eastAsia="Times New Roman" w:hAnsi="Times New Roman"/>
          <w:sz w:val="17"/>
          <w:szCs w:val="17"/>
          <w:b w:val="1"/>
          <w:bCs w:val="1"/>
          <w:i w:val="1"/>
          <w:iCs w:val="1"/>
          <w:color w:val="auto"/>
        </w:rPr>
        <w:t>Senior Notes</w:t>
      </w:r>
    </w:p>
    <w:p>
      <w:pPr>
        <w:spacing w:after="0" w:line="1"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4.15% Senior Notes due 2024 (the "2024 Notes"), 3.20% Senior Notes due 2025 (the "2025 Notes"), 3.45% Senior Notes due 2026 (the "2026 Notes"), 1.25% Senior Notes (EUR) due 2027 (the "Euro Notes"), 4.70% Senior Notes due 2028 (the "2028 Notes"), and 5.611% Senior Notes due 2034 (the "2034 Notes"). The 2024 Notes, 2025 Notes, 2026 Notes, 2028 Notes, and 2034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285" w:lineRule="exact"/>
        <w:rPr>
          <w:sz w:val="20"/>
          <w:szCs w:val="20"/>
          <w:color w:val="auto"/>
        </w:rPr>
      </w:pPr>
    </w:p>
    <w:p>
      <w:pPr>
        <w:ind w:right="120" w:firstLine="464"/>
        <w:spacing w:after="0" w:line="270" w:lineRule="auto"/>
        <w:rPr>
          <w:sz w:val="20"/>
          <w:szCs w:val="20"/>
          <w:color w:val="auto"/>
        </w:rPr>
      </w:pPr>
      <w:r>
        <w:rPr>
          <w:rFonts w:ascii="Times New Roman" w:cs="Times New Roman" w:eastAsia="Times New Roman" w:hAnsi="Times New Roman"/>
          <w:sz w:val="17"/>
          <w:szCs w:val="17"/>
          <w:color w:val="auto"/>
        </w:rPr>
        <w:t>On March 11, 2024, the Company issued $500 million of 5.611% Senior Notes due in 2034 (2034 Notes). The 2034 Notes were issued at 100% of face value and the Company recognized approximately $5 million of total deferred financing costs. Interest on the 2034 Notes will accrue at a rate of 5.611% per year, payable semi-annually on March 11 and September 11 of each year, commencing September 11, 2024. The 2034 Notes will mature on March 11, 2034.</w:t>
      </w:r>
    </w:p>
    <w:p>
      <w:pPr>
        <w:spacing w:after="0" w:line="62"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2034 Notes, combined with the proceeds from the term loan under the 2024 Credit Agreement and cash on hand, were utilized to repay the outstanding amount of 2024 Notes at maturity.</w:t>
      </w:r>
    </w:p>
    <w:p>
      <w:pPr>
        <w:spacing w:after="0" w:line="48"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Beginning September 15, 2023, the effective interest rates for the 2024 Notes and the 2028 Notes were each reduced by 0.25% due to a favorable change in Wabtec's corporate credit rating and the rating of the aforementioned notes.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ind w:firstLine="464"/>
        <w:spacing w:after="0" w:line="260"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2022 Credit Agreement and the 2024 Credit Agreement. The Euro Notes were issued by Wabtec Transportation Netherlands B.V. and are fully and unconditionally guaranteed by the Parent Company.</w:t>
      </w:r>
    </w:p>
    <w:p>
      <w:pPr>
        <w:spacing w:after="0" w:line="70"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June 30, 2024, the number of shares available for future grants under the 2011 Plan was approximately 4.4 million shares. The Company also maintains a 1995 Non-Employee Directors’ Fee and Stock Option Plan as amended and restated (“the Directors Plan”).</w:t>
      </w:r>
    </w:p>
    <w:p>
      <w:pPr>
        <w:spacing w:after="0" w:line="68" w:lineRule="exact"/>
        <w:rPr>
          <w:sz w:val="20"/>
          <w:szCs w:val="20"/>
          <w:color w:val="auto"/>
        </w:rPr>
      </w:pPr>
    </w:p>
    <w:p>
      <w:pPr>
        <w:jc w:val="both"/>
        <w:ind w:right="260" w:firstLine="464"/>
        <w:spacing w:after="0" w:line="270" w:lineRule="auto"/>
        <w:rPr>
          <w:sz w:val="20"/>
          <w:szCs w:val="20"/>
          <w:color w:val="auto"/>
        </w:rPr>
      </w:pPr>
      <w:r>
        <w:rPr>
          <w:rFonts w:ascii="Times New Roman" w:cs="Times New Roman" w:eastAsia="Times New Roman" w:hAnsi="Times New Roman"/>
          <w:sz w:val="17"/>
          <w:szCs w:val="17"/>
          <w:color w:val="auto"/>
        </w:rPr>
        <w:t>Stock-based compensation expense was $17 million and $34 million for the three and six months ended June 30, 2024, respectively, and $14 million and $26 million for the three and six months ended June 30, 2023, respectively. At June 30, 2024, unamortized compensation expense related to stock options, non-vested restricted shares and incentive stock units expected to vest is approximately $95 million.</w:t>
      </w:r>
    </w:p>
    <w:p>
      <w:pPr>
        <w:spacing w:after="0" w:line="56" w:lineRule="exact"/>
        <w:rPr>
          <w:sz w:val="20"/>
          <w:szCs w:val="20"/>
          <w:color w:val="auto"/>
        </w:rPr>
      </w:pPr>
    </w:p>
    <w:p>
      <w:pPr>
        <w:ind w:right="20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June 30, 2024, there were 234,421 shares issuable pursuant to exercisable stock options.</w:t>
      </w:r>
    </w:p>
    <w:p>
      <w:pPr>
        <w:spacing w:after="0" w:line="184" w:lineRule="exact"/>
        <w:rPr>
          <w:sz w:val="20"/>
          <w:szCs w:val="20"/>
          <w:color w:val="auto"/>
        </w:rPr>
      </w:pPr>
    </w:p>
    <w:p>
      <w:pPr>
        <w:ind w:right="8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w:t>
      </w:r>
      <w:r>
        <w:rPr>
          <w:rFonts w:ascii="Times New Roman" w:cs="Times New Roman" w:eastAsia="Times New Roman" w:hAnsi="Times New Roman"/>
          <w:sz w:val="17"/>
          <w:szCs w:val="17"/>
          <w:color w:val="auto"/>
        </w:rPr>
        <w:t>As provided for under the 2011 Plan and 2000 Plan, eligible employees are granted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right="40" w:firstLine="464"/>
        <w:spacing w:after="0" w:line="255"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modifier can increase or decrease the payment by 10% or 20% depending on plan year.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June 30, 2024, the Company estimates that it will achieve 153%, 149% and 133% for the incentive stock awards expected to vest, inclusive of the RTSR modifier, based on the estimated performance for the three-year periods ending December 31, 2024, 2025, and 2026,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91" w:lineRule="exact"/>
        <w:rPr>
          <w:sz w:val="20"/>
          <w:szCs w:val="20"/>
          <w:color w:val="auto"/>
        </w:rPr>
      </w:pPr>
    </w:p>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six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760,569</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93.65</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305,411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179,457</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(298,756)</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87.77</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92,261</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104.24</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(18,352)</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103.38</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766,929</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647,342</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overall effective tax rate for the three and six months ended June 30, 2024 was 24.5% and 24.1%, respectively. The overall effective tax rate for both the three and six months ended June 30, 2023 was 25.5%. The year over year decrease in the effective rate for the three month period ended June 30, 2024 was primarily driven by a change in the jurisdictional mix of earnings. Additionally, the year over year decrease in the effective tax rate for the six month period ended June 30, 2024 was impacted by higher discrete equity compensation tax deductions.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computation of basic and diluted earnings per share for Net income attributable to Wabtec shareholders is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6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0" w:type="dxa"/>
            <w:vAlign w:val="bottom"/>
          </w:tcPr>
          <w:p>
            <w:pPr>
              <w:spacing w:after="0"/>
              <w:rPr>
                <w:sz w:val="1"/>
                <w:szCs w:val="1"/>
                <w:color w:val="auto"/>
              </w:rPr>
            </w:pP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stock-based compensation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Wabtec shareholders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1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23"/>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tcPr>
          <w:p>
            <w:pPr>
              <w:spacing w:after="0"/>
              <w:rPr>
                <w:sz w:val="19"/>
                <w:szCs w:val="19"/>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six months ended June 30, 2024 and 2023:</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7"/>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4"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June 30, 2024 and December 31, 2023. The Senior Notes are considered Level 2 based on the fair value valuation hierarchy. Contingent consideration related to the GE Transportation acquisition is considered Level 3 based on the fair value valuation hierarchy. At June 30, 2024 and December 31, 2023, $42 million was classified as "Other accrued liabilities" on the Company's Condensed Consolidated Balance Sheets. The fair value approximates the carrying value at June 30, 2024 and December 31, 2023.</w:t>
      </w:r>
    </w:p>
    <w:p>
      <w:pPr>
        <w:spacing w:after="0" w:line="64"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six months ended June 30, 2024 and 2023, the amounts reclassified into income were not material.</w:t>
      </w:r>
    </w:p>
    <w:p>
      <w:pPr>
        <w:spacing w:after="0" w:line="72"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76"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gains and losses related to these contracts were not material for the three and six months ended June 30, 2024 and 2023. These contracts typically mature within one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18" w:lineRule="exact"/>
        <w:rPr>
          <w:sz w:val="20"/>
          <w:szCs w:val="20"/>
          <w:color w:val="auto"/>
        </w:rPr>
      </w:pPr>
    </w:p>
    <w:p>
      <w:pPr>
        <w:ind w:right="120" w:firstLine="464"/>
        <w:spacing w:after="0" w:line="276"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The Company does not use leveraged swaps and, in general, does not leverage any of its investment activities that would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put principal capital at risk. During the first quarter of</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1" w:name="page22"/>
    <w:bookmarkEnd w:id="21"/>
    <w:p>
      <w:pPr>
        <w:ind w:right="240"/>
        <w:spacing w:after="0" w:line="287" w:lineRule="auto"/>
        <w:rPr>
          <w:sz w:val="20"/>
          <w:szCs w:val="20"/>
          <w:color w:val="auto"/>
        </w:rPr>
      </w:pPr>
      <w:r>
        <w:rPr>
          <w:rFonts w:ascii="Times New Roman" w:cs="Times New Roman" w:eastAsia="Times New Roman" w:hAnsi="Times New Roman"/>
          <w:sz w:val="17"/>
          <w:szCs w:val="17"/>
          <w:color w:val="auto"/>
        </w:rPr>
        <w:t>2024, the Company utilized all outstanding interest rate hedge contracts to help manage interest expense for the 2034 Notes. For the three and six months ended June 30, 2024 and 2023, the amounts reclassified into income were not material.</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 For the three and six months ended June 30, 2024 and 2023, the amounts recognized as income or expense were not material.</w:t>
      </w:r>
    </w:p>
    <w:p>
      <w:pPr>
        <w:spacing w:after="0" w:line="48"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June 30, 2024,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897"/>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Pr>
          <w:p>
            <w:pPr>
              <w:spacing w:after="0"/>
              <w:rPr>
                <w:sz w:val="13"/>
                <w:szCs w:val="13"/>
                <w:color w:val="auto"/>
              </w:rPr>
            </w:pPr>
          </w:p>
        </w:tc>
        <w:tc>
          <w:tcPr>
            <w:tcW w:w="136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28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Pr>
          <w:p>
            <w:pPr>
              <w:spacing w:after="0"/>
              <w:rPr>
                <w:sz w:val="13"/>
                <w:szCs w:val="13"/>
                <w:color w:val="auto"/>
              </w:rPr>
            </w:pPr>
          </w:p>
        </w:tc>
        <w:tc>
          <w:tcPr>
            <w:tcW w:w="1360" w:type="dxa"/>
            <w:vAlign w:val="bottom"/>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280" w:type="dxa"/>
            <w:vAlign w:val="bottom"/>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December 31, 2023,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19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and misrepresentation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The case is currently at an early stage. Progress seeks an order requiring Wabtec to divest GE Transportation, unspecified treble damages for its alleged lost profits from reduced sales of locomotive and cab systems, and attorneys’ fees and costs. It also asks the court to enjoin Wabtec from engaging in the conduct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ind w:right="440"/>
        <w:spacing w:after="0" w:line="287" w:lineRule="auto"/>
        <w:rPr>
          <w:sz w:val="20"/>
          <w:szCs w:val="20"/>
          <w:color w:val="auto"/>
        </w:rPr>
      </w:pPr>
      <w:r>
        <w:rPr>
          <w:rFonts w:ascii="Times New Roman" w:cs="Times New Roman" w:eastAsia="Times New Roman" w:hAnsi="Times New Roman"/>
          <w:sz w:val="17"/>
          <w:szCs w:val="17"/>
          <w:color w:val="auto"/>
        </w:rPr>
        <w:t>and require the Company to comply with its agreements with Progress. Wabtec intends to vigorously defend itself against this lawsuit and believes that it has meritorious defenses to the claims asserted by Progress.</w:t>
      </w:r>
    </w:p>
    <w:p>
      <w:pPr>
        <w:spacing w:after="0" w:line="48"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has filed a Notice of Appeal.</w:t>
      </w:r>
    </w:p>
    <w:p>
      <w:pPr>
        <w:spacing w:after="0" w:line="82"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2"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Freight Segment </w:t>
      </w:r>
      <w:r>
        <w:rPr>
          <w:rFonts w:ascii="Times New Roman" w:cs="Times New Roman" w:eastAsia="Times New Roman" w:hAnsi="Times New Roman"/>
          <w:sz w:val="17"/>
          <w:szCs w:val="17"/>
          <w:color w:val="auto"/>
        </w:rPr>
        <w:t>builds, rebuilds, upgrades, and overhauls locomotives, services locomotives and freight cars, and provides a range of component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0" w:lineRule="exact"/>
        <w:rPr>
          <w:sz w:val="20"/>
          <w:szCs w:val="20"/>
          <w:color w:val="auto"/>
        </w:rPr>
      </w:pPr>
    </w:p>
    <w:p>
      <w:pPr>
        <w:ind w:right="60" w:firstLine="464"/>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Transit Segment </w:t>
      </w:r>
      <w:r>
        <w:rPr>
          <w:rFonts w:ascii="Times New Roman" w:cs="Times New Roman" w:eastAsia="Times New Roman" w:hAnsi="Times New Roman"/>
          <w:sz w:val="17"/>
          <w:szCs w:val="17"/>
          <w:color w:val="auto"/>
        </w:rPr>
        <w:t>primarily manufactures and services components for new and existing passenger transit vehicles, typically regional trains, high speed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66" w:lineRule="exact"/>
        <w:rPr>
          <w:sz w:val="20"/>
          <w:szCs w:val="20"/>
          <w:color w:val="auto"/>
        </w:rPr>
      </w:pPr>
    </w:p>
    <w:p>
      <w:pPr>
        <w:ind w:right="260" w:firstLine="464"/>
        <w:spacing w:after="0" w:line="270" w:lineRule="auto"/>
        <w:rPr>
          <w:sz w:val="20"/>
          <w:szCs w:val="20"/>
          <w:color w:val="auto"/>
        </w:rPr>
      </w:pPr>
      <w:r>
        <w:rPr>
          <w:rFonts w:ascii="Times New Roman" w:cs="Times New Roman" w:eastAsia="Times New Roman" w:hAnsi="Times New Roman"/>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62"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June 30,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1,920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center"/>
              <w:ind w:left="9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1,932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6"/>
                <w:szCs w:val="16"/>
                <w:color w:val="auto"/>
              </w:rPr>
            </w:pPr>
          </w:p>
        </w:tc>
        <w:tc>
          <w:tcPr>
            <w:tcW w:w="1120" w:type="dxa"/>
            <w:vAlign w:val="bottom"/>
          </w:tcPr>
          <w:p>
            <w:pPr>
              <w:jc w:val="right"/>
              <w:ind w:right="9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center"/>
              <w:ind w:left="897"/>
              <w:spacing w:after="0" w:line="191" w:lineRule="exact"/>
              <w:rPr>
                <w:sz w:val="20"/>
                <w:szCs w:val="20"/>
                <w:color w:val="auto"/>
              </w:rPr>
            </w:pPr>
            <w:r>
              <w:rPr>
                <w:rFonts w:ascii="Times New Roman" w:cs="Times New Roman" w:eastAsia="Times New Roman" w:hAnsi="Times New Roman"/>
                <w:sz w:val="17"/>
                <w:szCs w:val="17"/>
                <w:color w:val="auto"/>
                <w:w w:val="98"/>
              </w:rPr>
              <w:t>(43)</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(88)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June 30, 2023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1,697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center"/>
              <w:ind w:left="91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1,712</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(26)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6"/>
                <w:szCs w:val="16"/>
                <w:color w:val="auto"/>
              </w:rPr>
            </w:pPr>
          </w:p>
        </w:tc>
        <w:tc>
          <w:tcPr>
            <w:tcW w:w="1120" w:type="dxa"/>
            <w:vAlign w:val="bottom"/>
          </w:tcPr>
          <w:p>
            <w:pPr>
              <w:jc w:val="right"/>
              <w:ind w:right="9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center"/>
              <w:ind w:left="897"/>
              <w:spacing w:after="0" w:line="191" w:lineRule="exact"/>
              <w:rPr>
                <w:sz w:val="20"/>
                <w:szCs w:val="20"/>
                <w:color w:val="auto"/>
              </w:rPr>
            </w:pPr>
            <w:r>
              <w:rPr>
                <w:rFonts w:ascii="Times New Roman" w:cs="Times New Roman" w:eastAsia="Times New Roman" w:hAnsi="Times New Roman"/>
                <w:sz w:val="17"/>
                <w:szCs w:val="17"/>
                <w:color w:val="auto"/>
                <w:w w:val="98"/>
              </w:rPr>
              <w:t>(25)</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7"/>
              <w:spacing w:after="0"/>
              <w:rPr>
                <w:sz w:val="20"/>
                <w:szCs w:val="20"/>
                <w:color w:val="auto"/>
              </w:rPr>
            </w:pPr>
            <w:r>
              <w:rPr>
                <w:rFonts w:ascii="Times New Roman" w:cs="Times New Roman" w:eastAsia="Times New Roman" w:hAnsi="Times New Roman"/>
                <w:sz w:val="17"/>
                <w:szCs w:val="17"/>
                <w:color w:val="auto"/>
                <w:w w:val="98"/>
              </w:rPr>
              <w:t>(53)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center"/>
              <w:ind w:left="897"/>
              <w:spacing w:after="0"/>
              <w:rPr>
                <w:sz w:val="20"/>
                <w:szCs w:val="20"/>
                <w:color w:val="auto"/>
              </w:rPr>
            </w:pPr>
            <w:r>
              <w:rPr>
                <w:rFonts w:ascii="Times New Roman" w:cs="Times New Roman" w:eastAsia="Times New Roman" w:hAnsi="Times New Roman"/>
                <w:sz w:val="17"/>
                <w:szCs w:val="17"/>
                <w:color w:val="auto"/>
                <w:w w:val="98"/>
              </w:rPr>
              <w:t>(78)</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six months ended June 30, 2024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3,744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3,769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759</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(73)</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six months ended June 30, 2023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4,601</w:t>
            </w:r>
          </w:p>
        </w:tc>
        <w:tc>
          <w:tcPr>
            <w:tcW w:w="0" w:type="dxa"/>
            <w:vAlign w:val="bottom"/>
          </w:tcPr>
          <w:p>
            <w:pPr>
              <w:spacing w:after="0"/>
              <w:rPr>
                <w:sz w:val="1"/>
                <w:szCs w:val="1"/>
                <w:color w:val="auto"/>
              </w:rPr>
            </w:pPr>
          </w:p>
        </w:tc>
      </w:tr>
      <w:tr>
        <w:trPr>
          <w:trHeight w:val="219"/>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6"/>
                <w:szCs w:val="16"/>
                <w:color w:val="auto"/>
              </w:rPr>
            </w:pPr>
          </w:p>
        </w:tc>
        <w:tc>
          <w:tcPr>
            <w:tcW w:w="300" w:type="dxa"/>
            <w:vAlign w:val="bottom"/>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6"/>
                <w:szCs w:val="16"/>
                <w:color w:val="auto"/>
              </w:rPr>
            </w:pPr>
          </w:p>
        </w:tc>
        <w:tc>
          <w:tcPr>
            <w:tcW w:w="220" w:type="dxa"/>
            <w:vAlign w:val="bottom"/>
          </w:tcPr>
          <w:p>
            <w:pPr>
              <w:jc w:val="right"/>
              <w:ind w:right="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6"/>
                <w:szCs w:val="16"/>
                <w:color w:val="auto"/>
              </w:rPr>
            </w:pPr>
          </w:p>
        </w:tc>
        <w:tc>
          <w:tcPr>
            <w:tcW w:w="340" w:type="dxa"/>
            <w:vAlign w:val="bottom"/>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588</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6"/>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1840" w:type="dxa"/>
            <w:vAlign w:val="bottom"/>
            <w:gridSpan w:val="3"/>
          </w:tcPr>
          <w:p>
            <w:pPr>
              <w:jc w:val="center"/>
              <w:ind w:left="497"/>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ind w:left="65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6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36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60" w:type="dxa"/>
            <w:vAlign w:val="bottom"/>
            <w:tcBorders>
              <w:bottom w:val="single" w:sz="8" w:color="auto"/>
            </w:tcBorders>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OTHER INCOME,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8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components of Other income, net are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6"/>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60" w:type="dxa"/>
            <w:vAlign w:val="bottom"/>
          </w:tcPr>
          <w:p>
            <w:pPr>
              <w:spacing w:after="0"/>
              <w:rPr>
                <w:sz w:val="15"/>
                <w:szCs w:val="15"/>
                <w:color w:val="auto"/>
              </w:rPr>
            </w:pPr>
          </w:p>
        </w:tc>
        <w:tc>
          <w:tcPr>
            <w:tcW w:w="1840" w:type="dxa"/>
            <w:vAlign w:val="bottom"/>
            <w:gridSpan w:val="3"/>
          </w:tcPr>
          <w:p>
            <w:pPr>
              <w:jc w:val="center"/>
              <w:ind w:left="497"/>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ind w:left="67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Equity income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19"/>
        </w:trPr>
        <w:tc>
          <w:tcPr>
            <w:tcW w:w="4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9"/>
        </w:trPr>
        <w:tc>
          <w:tcPr>
            <w:tcW w:w="4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miscellaneous income (expense), net</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income, net</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80" w:firstLine="464"/>
        <w:spacing w:after="0" w:line="245" w:lineRule="auto"/>
        <w:rPr>
          <w:sz w:val="20"/>
          <w:szCs w:val="20"/>
          <w:color w:val="auto"/>
        </w:rPr>
      </w:pPr>
      <w:r>
        <w:rPr>
          <w:rFonts w:ascii="Times New Roman" w:cs="Times New Roman" w:eastAsia="Times New Roman" w:hAnsi="Times New Roman"/>
          <w:sz w:val="17"/>
          <w:szCs w:val="17"/>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restructuring charges related to Integration 2.0 of approximately $135 million to $165 million.</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2.0 initiative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60" w:type="dxa"/>
            <w:vAlign w:val="bottom"/>
          </w:tcPr>
          <w:p>
            <w:pPr>
              <w:spacing w:after="0"/>
              <w:rPr>
                <w:sz w:val="17"/>
                <w:szCs w:val="17"/>
                <w:color w:val="auto"/>
              </w:rPr>
            </w:pPr>
          </w:p>
        </w:tc>
        <w:tc>
          <w:tcPr>
            <w:tcW w:w="2780" w:type="dxa"/>
            <w:vAlign w:val="bottom"/>
            <w:gridSpan w:val="4"/>
          </w:tcPr>
          <w:p>
            <w:pPr>
              <w:jc w:val="right"/>
              <w:ind w:right="575"/>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50"/>
        </w:trPr>
        <w:tc>
          <w:tcPr>
            <w:tcW w:w="4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9"/>
        </w:trPr>
        <w:tc>
          <w:tcPr>
            <w:tcW w:w="20" w:type="dxa"/>
            <w:vAlign w:val="bottom"/>
          </w:tcPr>
          <w:p>
            <w:pPr>
              <w:spacing w:after="0"/>
              <w:rPr>
                <w:sz w:val="19"/>
                <w:szCs w:val="19"/>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Integration 2.0 restructuring charges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right="40" w:firstLine="464"/>
        <w:spacing w:after="0" w:line="248" w:lineRule="auto"/>
        <w:rPr>
          <w:sz w:val="20"/>
          <w:szCs w:val="20"/>
          <w:color w:val="auto"/>
        </w:rPr>
      </w:pPr>
      <w:r>
        <w:rPr>
          <w:rFonts w:ascii="Times New Roman" w:cs="Times New Roman" w:eastAsia="Times New Roman" w:hAnsi="Times New Roman"/>
          <w:sz w:val="17"/>
          <w:szCs w:val="17"/>
          <w:color w:val="auto"/>
        </w:rPr>
        <w:t>Total one-time restructuring charges related to Integration 2.0 to date are approximately $130 million, which includes amounts recorded beginning in the fourth quarter 2021, and are primarily for employee-related costs and asset write downs associated with site consolidations in Europe. Cash payments made during the three and six months ended June 30, 2024 were approximately $8 million and $30 million, respectively. Cash payments made during the three and six months ended June 30, 2023 were not material.</w:t>
      </w:r>
    </w:p>
    <w:p>
      <w:pPr>
        <w:spacing w:after="0" w:line="69" w:lineRule="exact"/>
        <w:rPr>
          <w:sz w:val="20"/>
          <w:szCs w:val="20"/>
          <w:color w:val="auto"/>
        </w:rPr>
      </w:pPr>
    </w:p>
    <w:p>
      <w:pPr>
        <w:ind w:right="160" w:firstLine="464"/>
        <w:spacing w:after="0" w:line="245" w:lineRule="auto"/>
        <w:rPr>
          <w:sz w:val="20"/>
          <w:szCs w:val="20"/>
          <w:color w:val="auto"/>
        </w:rPr>
      </w:pPr>
      <w:r>
        <w:rPr>
          <w:rFonts w:ascii="Times New Roman" w:cs="Times New Roman" w:eastAsia="Times New Roman" w:hAnsi="Times New Roman"/>
          <w:sz w:val="17"/>
          <w:szCs w:val="17"/>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$2 million and $5 million during the three and six months ended June 30, 2024, respectively, primarily for asset write downs related to Portfolio Optimization. No charges related to Portfolio Optimization were recorded during the three and six months ended June 30, 2023. Total one-time restructuring charges related to Portfolio Optimization to date are approximately $33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6" w:name="page27"/>
    <w:bookmarkEnd w:id="26"/>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8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2023, filed with the Securities and Exchange Commission on February 14,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2024, approximately 50%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20" w:lineRule="exact"/>
        <w:rPr>
          <w:sz w:val="20"/>
          <w:szCs w:val="20"/>
          <w:color w:val="auto"/>
        </w:rPr>
      </w:pPr>
    </w:p>
    <w:p>
      <w:pPr>
        <w:ind w:right="40" w:firstLine="464"/>
        <w:spacing w:after="0"/>
        <w:rPr>
          <w:sz w:val="20"/>
          <w:szCs w:val="20"/>
          <w:color w:val="auto"/>
        </w:rPr>
      </w:pPr>
      <w:r>
        <w:rPr>
          <w:rFonts w:ascii="Times New Roman" w:cs="Times New Roman" w:eastAsia="Times New Roman" w:hAnsi="Times New Roman"/>
          <w:sz w:val="17"/>
          <w:szCs w:val="17"/>
          <w:color w:val="auto"/>
        </w:rPr>
        <w:t>During the first six months of 2024, Wabtec continued to execute on our value creation framework by signing several key agreements including: a multi-year Tier 4 locomotive order in North America for over $600 million, Wabtec's first multi-year service contract with a customer in Brazil worth over $240 million, a long term parts agreement with a customer in Asia, and a multi-year order for new locomotives in Africa. Operationally, Wabtec began commercial operations for its Green Friction braking solution in Paris and launched the next generation of railcar movers with its Shuttlewagon Commander NXT. Additionally, as a result of Wabtec's strong revenue and profitable growth over the past few years, rating agencies have made the following changes to our credit ratings: both Fitch Ratings and S&amp;P Global Ratings upgraded Wabtec's credit rating from BBB- to BBB with a Stable outlook, and Moody's updated Wabtec's outlook to positive from stable.</w:t>
      </w:r>
    </w:p>
    <w:p>
      <w:pPr>
        <w:spacing w:after="0" w:line="279"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During the first quarter of 2022, Wabtec announced Integration 2.0, a three-year strategic initiative to target incremental run rate synergies estimated to be between $75 million and $90 million in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Management will also consider additional capital investments to further simplify and streamline the business. The Company anticipates that it will incur one-time restructuring charges of approximately $135 million to $165 million related to this initiative, of which approximately</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$130 million has been incurred through June 30, 2024. Total estimated initiative charges could change based on the specific programs approved or changes to the scope of the review. During the three and six months ended June 30, 2024, the Company incurred one-time restructuring charges for programs included in the initiative of approximately $4 million and $12 million, respectively, and $8 million and $17 million for the three and six months ended June 30, 2023, respectively, primarily for employee-related costs and asset write downs associated with site consolidations in Europe. Programs approved to date are expected to result in approximately 15 facility closures and impact up to 1,100 employees.</w:t>
      </w:r>
    </w:p>
    <w:p>
      <w:pPr>
        <w:spacing w:after="0" w:line="75"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In addition to Integration 2.0, Wabtec is focused on exiting various low margin product offerings through Portfolio Optimization to improve profitability while reducing manufacturing complexity. Wabtec expects to incur approximately $85 million in net exit charges related to Portfolio Optimization, which will be predominately non-cash asset write downs. Wabtec recorded charges of approximately $2 million and $5 million during the three and six months ended June 30, 2024, respectively, for asset write downs related to Portfolio Optimization. No charges related to Portfolio Optimization were recorded during the six months ended June 30, 2023. Total one-time restructuring charges related to Portfolio Optimization to date are approximately $33 million.</w:t>
      </w:r>
    </w:p>
    <w:p>
      <w:pPr>
        <w:spacing w:after="0" w:line="72"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Future macroeconomic volatility, supply chain disruptions and labor availability could cause component and raw material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Integration 2.0.</w:t>
      </w:r>
    </w:p>
    <w:p>
      <w:pPr>
        <w:spacing w:after="0" w:line="70"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Company management determined that certain parts of the business would be better aligned with management oversight in different product lines. These changes were immaterial to the individual product lines and segments affected, and historical amounts have been reclassified to conform to the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QUARTER 2024 COMPARED TO SECOND QUARTER 2023</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10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1,899</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(1,684)</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(411)</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June 30, 2024 from the three months ended June 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2023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2024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Net sales for the three months ended June 30, 2024 increased by $237 million, or 9.8%, to $2.64 billion compared to the same period in 2023. Organic sales increased $221 million which was attributable to both Freight and Transit Segments. Freight Equipment sales increased from higher North American and international locomotive sales and increased mining sales. Components sales increased due to higher international railcar sales and growth in industrial end-markets. Freight Services sales increased from higher deliveries of locomotive modernizations and overhauls and higher parts sales. Transit sales increased from higher demand for Aftermarket products driven by increased infrastructure investment, partially offset by lower Original Equipment sales. Sales from acquisitions contributed $34 million in the Freight Segment and unfavorable changes in foreign exchange rates decreased sales by $18 million from both the Freight and Transit Segments.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 w:lineRule="exact"/>
        <w:rPr>
          <w:sz w:val="20"/>
          <w:szCs w:val="20"/>
          <w:color w:val="auto"/>
        </w:rPr>
      </w:pPr>
    </w:p>
    <w:p>
      <w:pPr>
        <w:ind w:firstLine="464"/>
        <w:spacing w:after="0"/>
        <w:rPr>
          <w:sz w:val="20"/>
          <w:szCs w:val="20"/>
          <w:color w:val="auto"/>
        </w:rPr>
      </w:pPr>
      <w:r>
        <w:rPr>
          <w:rFonts w:ascii="Times New Roman" w:cs="Times New Roman" w:eastAsia="Times New Roman" w:hAnsi="Times New Roman"/>
          <w:sz w:val="17"/>
          <w:szCs w:val="17"/>
          <w:color w:val="auto"/>
        </w:rPr>
        <w:t>Cost of sales for the three months ended June 30, 2024 increased by $86 million, or 5.1%, to $1.77 billion compared to the same period in 2023. The increase is primarily due to the increase in net sales. Cost of sales as a percentage of net sales was 67.0% and 69.9% for the three months ended June 30, 2024 and 2023, respectively. The improvement in gross margin is attributable to favorable mix within and between the Freight and Transit segments, strong productivity and favorable fixed cost absorption. Costs of sales for the three months ended June 30, 2024 and 2023 included $6 million and $8 million, respectively, of restructuring costs, primarily for headcount actions and footprint rationalization related to Integration 2.0 in both years and Portfolio Optimization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right="20" w:firstLine="464"/>
        <w:spacing w:after="0" w:line="239" w:lineRule="auto"/>
        <w:rPr>
          <w:sz w:val="20"/>
          <w:szCs w:val="20"/>
          <w:color w:val="auto"/>
        </w:rPr>
      </w:pPr>
      <w:r>
        <w:rPr>
          <w:rFonts w:ascii="Times New Roman" w:cs="Times New Roman" w:eastAsia="Times New Roman" w:hAnsi="Times New Roman"/>
          <w:sz w:val="17"/>
          <w:szCs w:val="17"/>
          <w:color w:val="auto"/>
        </w:rPr>
        <w:t>Total operating expenses increased $33 million, or 8.0%, for the three months ended June 30, 2024 compared to the same period in 2023, primarily due to the increase in net sales. Operating expenses as a percentage of sales was 16.8% and 17.1% for the three months ended June 30, 2024 and 2023, respectively. Selling, general and administrative expenses ("SG&amp;A") increased $31 million for the three months ended June 30, 2024 compared to the same period in 2023. The increase is primarily from costs incurred to support the higher sales volume and higher employee compensation and benefit costs, partially offset by the impacts of Integration 2.0. Restructuring costs included in SG&amp;A were $3 million and $2 million for the three months ended June 30, 2024 and 2023, respectively, primarily for headcount actions and footprint rationalization programs related to Integration 2.0.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$6 million to $49 million for the three months ended June 30, 2024 compared to the same period in 2023 primarily due to lower average overall debt balances in the current period, partially offset by higher effective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8"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Other income, net, increased $2 million to $4 million for the three months ended June 30, 2024 compared to the same period in 2023, primarily due to lower foreign exchange losses, partially offset by lower equity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38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24.5% and 25.5% for the three months ended June 30, 2024 and 2023, respectively. The year over year decrease was primarily driven by a change in the jurisdictional mix of earnings for the three months ended June 30, 2024.</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1,192</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(1,159)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68.2 %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(3.0)</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(278)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20.4 %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15.9 %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940"/>
              <w:spacing w:after="0" w:line="191" w:lineRule="exact"/>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second quarter of 2024 from the second quarter of 2023:</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2023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2024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Freight Segment organic sales increased by $197 million driven primarily by:</w:t>
      </w:r>
    </w:p>
    <w:p>
      <w:pPr>
        <w:spacing w:after="0" w:line="49"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sales from higher North America and international locomotive sales and increased mining sales,</w:t>
      </w:r>
    </w:p>
    <w:p>
      <w:pPr>
        <w:spacing w:after="0" w:line="4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Components sales from higher international railcar sales and growth in industrial end-markets, and</w:t>
      </w:r>
    </w:p>
    <w:p>
      <w:pPr>
        <w:spacing w:after="0" w:line="36" w:lineRule="exact"/>
        <w:rPr>
          <w:rFonts w:ascii="Times New Roman" w:cs="Times New Roman" w:eastAsia="Times New Roman" w:hAnsi="Times New Roman"/>
          <w:sz w:val="17"/>
          <w:szCs w:val="17"/>
          <w:color w:val="auto"/>
        </w:rPr>
      </w:pPr>
    </w:p>
    <w:p>
      <w:pPr>
        <w:ind w:right="3000" w:firstLine="313"/>
        <w:spacing w:after="0" w:line="334" w:lineRule="auto"/>
        <w:tabs>
          <w:tab w:leader="none" w:pos="61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Services sales from higher deliveries of locomotive modernizations and overhauls and higher parts sales Additionally, Freight Segment sales also benefited from our strategic acquisition of L&amp;M Radiator, Inc. by $34 million.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Freight Segment Cost of sales increased $92 million from higher sales volume, and Cost of sales as a percentage of Net sales decreased 3.0 percentage points. The improvement in gross margin is attributable to favorable mix within the Freight Segment product lines, strong productivity and favorable fixed cost absorption. Cost of sales for the three months ended June 30, 2023 was also impacted by manufacturing inefficiencies related to labor negotiations at our Erie facility. Cost of sales for each of the three months ended June 30, 2024 and 2023 included $5 million of restructuring costs, primarily related to Integration 2.0 in both years and Portfolio Optimization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Freight Segment operating expenses increased by $9 million primarily driven by higher SG&amp;A expenses resulting from higher costs to support increased sales volume, higher employee compensation and benefit costs and incremental expense from acquisitions.</w:t>
      </w: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983"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6"/>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(2.3)</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11.3 %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9.6 %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940"/>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second quarter of 2024 from the second quarter of 2023:</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Second Quarter 2023 Net sales</w:t>
            </w: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6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6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Second Quarter 2024 Net sales</w:t>
            </w: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$24 million driven by strong Aftermarket sales primarily as a result of increased demand for products and services and increased infrastructure investment. This increase was partially offset by a decrease in Original Equipment Manufacturing sales. Changes in foreign exchange rates also decreased sales by $10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Transit Segment Cost of sales decreased by $6 million, and Costs of sales as a percentage of sales decreased by 2.3 percentage points primarily from favorable mix within the Transit product lines, partially offset by higher sales volume. The increase in gross margin was also attributable to benefits from structured cost actions taken through Integration 2.0 and prior years' restructuring and integration projects. Transit Cost of sales for the three months ended June 30, 2024 and 2023 includes $1 million and $3 million of restructuring costs, respectively, primarily for footprint rationalization and headcount actions in Europe related to Integration 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increased by $6 million as compared to the prior year. Higher SG&amp;A expenses to support higher sales volume and higher employee compensation and benefit costs were partially offset by benefits from structured cost actions taken through Integration 2.0 and prior years' restructuring and integration projects. Transit SG&amp;A expenses for each of the three months ended June 30, 2024 and 2023 include $3 million of restructuring costs, primarily for footprint rationalization and headcount actions in Europe related to Integration 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FIRST SIX MONTHS OF 2024 COMPARED TO FIRST SIX MONTHS OF 2023</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27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ind w:right="51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6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3,583</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r>
      <w:tr>
        <w:trPr>
          <w:trHeight w:val="212"/>
        </w:trPr>
        <w:tc>
          <w:tcPr>
            <w:tcW w:w="20" w:type="dxa"/>
            <w:vAlign w:val="bottom"/>
          </w:tcPr>
          <w:p>
            <w:pPr>
              <w:spacing w:after="0"/>
              <w:rPr>
                <w:sz w:val="18"/>
                <w:szCs w:val="18"/>
                <w:color w:val="auto"/>
              </w:rPr>
            </w:pPr>
          </w:p>
        </w:tc>
        <w:tc>
          <w:tcPr>
            <w:tcW w:w="64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4,601</w:t>
            </w:r>
          </w:p>
        </w:tc>
      </w:tr>
      <w:tr>
        <w:trPr>
          <w:trHeight w:val="219"/>
        </w:trPr>
        <w:tc>
          <w:tcPr>
            <w:tcW w:w="6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(2,657)</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2"/>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(3,213)</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19"/>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19"/>
        </w:trPr>
        <w:tc>
          <w:tcPr>
            <w:tcW w:w="20" w:type="dxa"/>
            <w:vAlign w:val="bottom"/>
          </w:tcPr>
          <w:p>
            <w:pPr>
              <w:spacing w:after="0"/>
              <w:rPr>
                <w:sz w:val="19"/>
                <w:szCs w:val="19"/>
                <w:color w:val="auto"/>
              </w:rPr>
            </w:pPr>
          </w:p>
        </w:tc>
        <w:tc>
          <w:tcPr>
            <w:tcW w:w="64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12"/>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r>
      <w:tr>
        <w:trPr>
          <w:trHeight w:val="219"/>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Other income, net</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2"/>
        </w:trPr>
        <w:tc>
          <w:tcPr>
            <w:tcW w:w="2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11220" w:type="dxa"/>
            <w:vAlign w:val="bottom"/>
            <w:gridSpan w:val="13"/>
          </w:tcPr>
          <w:p>
            <w:pPr>
              <w:jc w:val="right"/>
              <w:ind w:right="31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six months ended June 30, 2024 from the six months ended June 30,</w:t>
            </w:r>
          </w:p>
        </w:tc>
      </w:tr>
      <w:tr>
        <w:trPr>
          <w:trHeight w:val="223"/>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67"/>
        </w:trPr>
        <w:tc>
          <w:tcPr>
            <w:tcW w:w="6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18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580" w:type="dxa"/>
            <w:vAlign w:val="bottom"/>
          </w:tcPr>
          <w:p>
            <w:pPr>
              <w:spacing w:after="0"/>
              <w:rPr>
                <w:sz w:val="14"/>
                <w:szCs w:val="14"/>
                <w:color w:val="auto"/>
              </w:rPr>
            </w:pP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32"/>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2023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4,601</w:t>
            </w:r>
          </w:p>
        </w:tc>
      </w:tr>
      <w:tr>
        <w:trPr>
          <w:trHeight w:val="219"/>
        </w:trPr>
        <w:tc>
          <w:tcPr>
            <w:tcW w:w="20" w:type="dxa"/>
            <w:vAlign w:val="bottom"/>
          </w:tcPr>
          <w:p>
            <w:pPr>
              <w:spacing w:after="0"/>
              <w:rPr>
                <w:sz w:val="19"/>
                <w:szCs w:val="19"/>
                <w:color w:val="auto"/>
              </w:rPr>
            </w:pPr>
          </w:p>
        </w:tc>
        <w:tc>
          <w:tcPr>
            <w:tcW w:w="64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w:t>
            </w:r>
          </w:p>
        </w:tc>
      </w:tr>
      <w:tr>
        <w:trPr>
          <w:trHeight w:val="237"/>
        </w:trPr>
        <w:tc>
          <w:tcPr>
            <w:tcW w:w="64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2024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Net sales for the six months ended June 30, 2024 increased by $540 million, or 11.7%, to $5.14 billion compared to the same period in 2023. Organic sales increased $483 million which was attributable to both Freight and Transit Segments. Freight Equipment sales increased from higher North American and international locomotive sales and increased mining sales. Freight Services sales increased from higher deliveries of locomotive modernizations and overhauls and higher parts sales. Transit sales increased from higher demand for Aftermarket products driven by increased infrastructure investment, partially offset by lower Original Equipment sales. Sales from acquisitions contributed $70 million in the Freight Segment and unfavorable changes in foreign exchange rates decreased sales by $13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 w:lineRule="exact"/>
        <w:rPr>
          <w:sz w:val="20"/>
          <w:szCs w:val="20"/>
          <w:color w:val="auto"/>
        </w:rPr>
      </w:pPr>
    </w:p>
    <w:p>
      <w:pPr>
        <w:ind w:firstLine="464"/>
        <w:spacing w:after="0"/>
        <w:rPr>
          <w:sz w:val="20"/>
          <w:szCs w:val="20"/>
          <w:color w:val="auto"/>
        </w:rPr>
      </w:pPr>
      <w:r>
        <w:rPr>
          <w:rFonts w:ascii="Times New Roman" w:cs="Times New Roman" w:eastAsia="Times New Roman" w:hAnsi="Times New Roman"/>
          <w:sz w:val="17"/>
          <w:szCs w:val="17"/>
          <w:color w:val="auto"/>
        </w:rPr>
        <w:t>Cost of sales for the six months ended June 30, 2024 increased by $239 million, or 7.4%, to $3.45 billion compared to the same period in 2023. The increase is primarily due to the increase in net sales. Cost of sales as a percentage of net sales was 67.2% and 69.8% for the six months ended June 30, 2024 and 2023, respectively. The improvement in gross margin is attributable to improved pricing, favorable mix between the Freight and Transit segments and improved productivity. Cost of sales for both the six months ended June 30, 2024 and 2023 included $12 million of restructuring costs, primarily for headcount actions and footprint rationalization related to Integration 2.0 in both years and Portfolio Optimization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right="20" w:firstLine="464"/>
        <w:spacing w:after="0" w:line="239" w:lineRule="auto"/>
        <w:rPr>
          <w:sz w:val="20"/>
          <w:szCs w:val="20"/>
          <w:color w:val="auto"/>
        </w:rPr>
      </w:pPr>
      <w:r>
        <w:rPr>
          <w:rFonts w:ascii="Times New Roman" w:cs="Times New Roman" w:eastAsia="Times New Roman" w:hAnsi="Times New Roman"/>
          <w:sz w:val="17"/>
          <w:szCs w:val="17"/>
          <w:color w:val="auto"/>
        </w:rPr>
        <w:t>Total operating expenses increased $47 million, or 5.9%, for the six months ended June 30, 2024 compared to the same period in 2023, primarily due to the increase in net sales. Operating expenses as a percentage of sales was 16.5% and 17.4% for the six months ended June 30, 2024 and 2023, respectively. Selling, general and administrative expenses ("SG&amp;A") increased $49 million for the six months ended June 30, 2024 compared to the same period in 2023. The increase is primarily from costs incurred to support the higher sales volume and higher employee compensation and benefit costs, partially offset by the impacts of Integration 2.0. Restructuring costs included in SG&amp;A were $6 million and $7 million for the six months ended June 30, 2024 and 2023, respectively, primarily for headcount actions and footprint rationalization programs related to Integration 2.0.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34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$7 million to $96 million for the six months ended June 30, 2024 compared to the same period in 2023 primarily due to lower average overall debt balances in the current period, partially offset by higher effective interest rates.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8"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Other income, net, decreased $5 million to $2 million for the six months ended June 30, 2024 compared to the same period in 2023, primarily due to lower equity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The effective income tax rate was 24.1% and 25.5% for the six months ended June 30, 2024 and 2023, respectively. The year over year decrease was</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primarily driven by higher discrete equity compensation tax deductions for the six months ended June 30, 2024 and a change in the jurisdictional mix of earnings.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2,760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2,242</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3,744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(1,687)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(2,450)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(2,237)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68.8 %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(3.4)</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495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20.3 %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15.2 %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six months of 2024 from the first six months of 2023:</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2023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7"/>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2024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Freight Segment organic sales increased by $428 million driven primarily by:</w:t>
      </w:r>
    </w:p>
    <w:p>
      <w:pPr>
        <w:spacing w:after="0" w:line="49"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Equipment sales from higher North America and international locomotive sales and increased mining sales, and</w:t>
      </w:r>
    </w:p>
    <w:p>
      <w:pPr>
        <w:spacing w:after="0" w:line="49" w:lineRule="exact"/>
        <w:rPr>
          <w:rFonts w:ascii="Times New Roman" w:cs="Times New Roman" w:eastAsia="Times New Roman" w:hAnsi="Times New Roman"/>
          <w:sz w:val="17"/>
          <w:szCs w:val="17"/>
          <w:color w:val="auto"/>
        </w:rPr>
      </w:pPr>
    </w:p>
    <w:p>
      <w:pPr>
        <w:ind w:right="3000" w:firstLine="313"/>
        <w:spacing w:after="0" w:line="318" w:lineRule="auto"/>
        <w:tabs>
          <w:tab w:leader="none" w:pos="6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Services sales from higher deliveries of locomotive modernizations and overhauls and higher parts sales Additionally, Freight Segment sales also benefited from our strategic acquisition of L&amp;M Radiator, Inc. by $70 million.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Freight Segment Cost of sales increased $213 million from higher sales volume, and Cost of sales as a percentage of Net sales decreased 3.4 percentage points. The improvement in gross margin is attributable to improved pricing, favorable mix within the Freight Segment product lines and improved productivity. Cost of sales for the six months ended June 30, 2023 was also impacted by manufacturing inefficiencies related to labor negotiations at our Erie facility and costs related to next generation product development in Digital Intelligence. Cost of sales for the six months ended June 30, 2024 and 2023 included $8 million and $6 million, respectively, of restructuring costs, primarily related to Integration 2.0 in both years and Portfolio Optimization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Freight Segment operating expenses increased by $14 million primarily driven by higher SG&amp;A expenses resulting from higher costs to support increased sales volume, higher employee compensation and benefit costs and incremental expense from acquisitions.</w:t>
      </w: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983" w:right="5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1620" w:type="dxa"/>
            <w:vAlign w:val="bottom"/>
            <w:tcBorders>
              <w:top w:val="single" w:sz="8" w:color="auto"/>
            </w:tcBorders>
          </w:tcPr>
          <w:p>
            <w:pPr>
              <w:jc w:val="right"/>
              <w:ind w:right="376"/>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19"/>
        </w:trPr>
        <w:tc>
          <w:tcPr>
            <w:tcW w:w="4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(1,002)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(976)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(0.7)</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11.2 %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10.3 %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0.9</w:t>
            </w:r>
          </w:p>
        </w:tc>
        <w:tc>
          <w:tcPr>
            <w:tcW w:w="8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4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six months of 2024 from the first six months of 2023:</w:t>
      </w:r>
    </w:p>
    <w:tbl>
      <w:tblPr>
        <w:tblLayout w:type="fixed"/>
        <w:tblInd w:w="0" w:type="dxa"/>
        <w:tblCellMar>
          <w:top w:w="0" w:type="dxa"/>
          <w:left w:w="0" w:type="dxa"/>
          <w:bottom w:w="0" w:type="dxa"/>
          <w:right w:w="0" w:type="dxa"/>
        </w:tblCellMar>
      </w:tblPr>
      <w:tr>
        <w:trPr>
          <w:trHeight w:val="153"/>
        </w:trPr>
        <w:tc>
          <w:tcPr>
            <w:tcW w:w="972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Six Months of 2023 Net Sales</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w:t>
            </w:r>
          </w:p>
        </w:tc>
      </w:tr>
      <w:tr>
        <w:trPr>
          <w:trHeight w:val="219"/>
        </w:trPr>
        <w:tc>
          <w:tcPr>
            <w:tcW w:w="20" w:type="dxa"/>
            <w:vAlign w:val="bottom"/>
          </w:tcPr>
          <w:p>
            <w:pPr>
              <w:spacing w:after="0"/>
              <w:rPr>
                <w:sz w:val="19"/>
                <w:szCs w:val="19"/>
                <w:color w:val="auto"/>
              </w:rPr>
            </w:pPr>
          </w:p>
        </w:tc>
        <w:tc>
          <w:tcPr>
            <w:tcW w:w="97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97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97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First Six Months of 2024 Net Sales</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$55 million driven by strong Aftermarket sales primarily as a result of increased demand for products and services and increased infrastructure investment, partially offset by lower Original Equipment Manufacturing sales. Unfavorable changes in foreign exchange rates also decreased sales by $6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Transit Segment Cost of sales increased by $26 million primarily from higher sales volume, and Costs of sales as a percentage of sales decreased by 0.7 percentage points. The increase in gross margin is primarily attributable to favorable mix within the Transit Segment and the benefits from structured cost actions taken through Integration 2.0 and prior years' restructuring and integration projects. Transit Cost of sales for the six months ended June 30, 2024 and 2023 includes $4 million and $6 million of restructuring costs, respectively, primarily for footprint rationalization and headcount actions in Europe related to Integration 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Transit Segment operating expenses increased by $5 million as compared to the prior year. Higher SG&amp;A expenses to support higher sales volume and higher employee compensation and benefit costs were partially offset by benefits from structured cost actions taken through Integration 2.0 and prior years' restructuring and integration projects. Transit SG&amp;A expenses for the six months ended June 30, 2024 and 2023 includes $6 million and $5 million of restructuring costs, respectively, primarily for footprint rationalization and headcount actions in Europe related to Integration 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and borrowings under the Company’s Senior Notes, the 2022 Credit Agreement and the 2024 Credit Agreement, each with a consortium of commercial banks.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Six Months Ended</w:t>
            </w:r>
          </w:p>
        </w:tc>
        <w:tc>
          <w:tcPr>
            <w:tcW w:w="940" w:type="dxa"/>
            <w:vAlign w:val="bottom"/>
          </w:tcPr>
          <w:p>
            <w:pPr>
              <w:spacing w:after="0"/>
              <w:rPr>
                <w:sz w:val="14"/>
                <w:szCs w:val="14"/>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bl>
    <w:p>
      <w:pPr>
        <w:spacing w:after="0" w:line="219" w:lineRule="exact"/>
        <w:rPr>
          <w:sz w:val="20"/>
          <w:szCs w:val="20"/>
          <w:color w:val="auto"/>
        </w:rPr>
      </w:pPr>
    </w:p>
    <w:p>
      <w:pPr>
        <w:ind w:right="1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six months of 2024, cash provided by operating activities was $569 million compared to $90 million in the first six months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2023. Significant changes to the sources and (uses) of cash for the six month periods include the following:</w:t>
      </w:r>
    </w:p>
    <w:p>
      <w:pPr>
        <w:spacing w:after="0" w:line="94" w:lineRule="exact"/>
        <w:rPr>
          <w:sz w:val="20"/>
          <w:szCs w:val="20"/>
          <w:color w:val="auto"/>
        </w:rPr>
      </w:pPr>
    </w:p>
    <w:p>
      <w:pPr>
        <w:ind w:left="620" w:hanging="15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 million from increased Net income;</w:t>
      </w:r>
    </w:p>
    <w:p>
      <w:pPr>
        <w:spacing w:after="0" w:line="165" w:lineRule="exact"/>
        <w:rPr>
          <w:rFonts w:ascii="Times New Roman" w:cs="Times New Roman" w:eastAsia="Times New Roman" w:hAnsi="Times New Roman"/>
          <w:sz w:val="17"/>
          <w:szCs w:val="17"/>
          <w:color w:val="auto"/>
        </w:rPr>
      </w:pPr>
    </w:p>
    <w:p>
      <w:pPr>
        <w:ind w:left="320" w:right="860" w:firstLine="147"/>
        <w:spacing w:after="0" w:line="287" w:lineRule="auto"/>
        <w:tabs>
          <w:tab w:leader="none" w:pos="62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 million from changes in Inventory primarily from the inventory build during the first six months of 2023 in anticipation of a strike at the manufacturing facility in Erie, Pennsylvania, as well as supply chain disruptions;</w:t>
      </w:r>
    </w:p>
    <w:p>
      <w:pPr>
        <w:spacing w:after="0" w:line="99"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 million from changes in Accounts payable due to timing of payments;</w:t>
      </w:r>
    </w:p>
    <w:p>
      <w:pPr>
        <w:spacing w:after="0" w:line="165" w:lineRule="exact"/>
        <w:rPr>
          <w:rFonts w:ascii="Times New Roman" w:cs="Times New Roman" w:eastAsia="Times New Roman" w:hAnsi="Times New Roman"/>
          <w:sz w:val="17"/>
          <w:szCs w:val="17"/>
          <w:color w:val="auto"/>
        </w:rPr>
      </w:pPr>
    </w:p>
    <w:p>
      <w:pPr>
        <w:ind w:left="320" w:right="80" w:firstLine="147"/>
        <w:spacing w:after="0" w:line="287" w:lineRule="auto"/>
        <w:tabs>
          <w:tab w:leader="none" w:pos="62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million from favorable changes in accounts receivables driven by $179 million of higher collections on receivables, mostly offset by $(175) million of higher remittance for the Revolving Receivables Program;</w:t>
      </w:r>
    </w:p>
    <w:p>
      <w:pPr>
        <w:spacing w:after="0" w:line="99"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$(96) million from changes in the timing of customer deposits expected to be consumed in one year; and,</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$115 million from changes in long term deposits from customers.</w:t>
      </w:r>
    </w:p>
    <w:p>
      <w:pPr>
        <w:spacing w:after="0" w:line="108" w:lineRule="exact"/>
        <w:rPr>
          <w:sz w:val="20"/>
          <w:szCs w:val="20"/>
          <w:color w:val="auto"/>
        </w:rPr>
      </w:pPr>
    </w:p>
    <w:p>
      <w:pPr>
        <w:ind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six months of 2024 and 2023, cash used for investing activities was $(57) million and $(293) million, respectively. During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first six months of 2024, Wabtec used $(77) million for additions to property, plant and equipment for investments in our facilities and manufacturing processes and received $20 million of proceeds from disposals of property, plant and equipment. During the first six months of 2023, Wabtec acquired L&amp;M Radiator Inc., a leading manufacturer of heavy-duty equipment radiators and heat exchangers, for net cash of approximately $(223) million and used $(70) million for additions to property, plant, and equipment.</w:t>
      </w:r>
    </w:p>
    <w:p>
      <w:pPr>
        <w:spacing w:after="0" w:line="63" w:lineRule="exact"/>
        <w:rPr>
          <w:sz w:val="20"/>
          <w:szCs w:val="20"/>
          <w:color w:val="auto"/>
        </w:rPr>
      </w:pPr>
    </w:p>
    <w:p>
      <w:pPr>
        <w:ind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six months of 2024, cash used for financing activities was $(523) million which included $(58) million from net changes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debt, $(375) million in stock repurchases, $(71) million of dividend payments, and $(23) million of payments for income tax withholding on share-based compensation. In the first six months of 2023, cash provided by financing activities was $30 million, which included $374 million from net changes in debt, $(252) million in stock repurchases, $(62) million of dividend payments, $(15) million of payments for income tax withholding on share-based compensation, and $(12) million for distributions to noncontrolling interest.</w:t>
      </w:r>
    </w:p>
    <w:p>
      <w:pPr>
        <w:spacing w:after="0" w:line="69"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w:t>
      </w:r>
    </w:p>
    <w:p>
      <w:pPr>
        <w:spacing w:after="0" w:line="62"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As of June 30, 2024, the Company held approximately $595 million of cash, cash equivalents and restricted cash, of which approximately $210 million was held within the United States and approximately $385 million was held outside of the United States, primarily in India, Europe, Brazil, and China. While repatriation of some cash held outside the United States may be restricted by local laws, most of the Company’s foreign cash could be repatriated to the United States net of any tax impacts. As of June 30, 2024, approximately $5 million of the Company's $595 million of cash balance was classified as restricted.</w:t>
      </w:r>
    </w:p>
    <w:p>
      <w:pPr>
        <w:spacing w:after="0" w:line="68"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8" w:name="page39"/>
    <w:bookmarkEnd w:id="38"/>
    <w:p>
      <w:pPr>
        <w:ind w:right="2020"/>
        <w:spacing w:after="0" w:line="379" w:lineRule="auto"/>
        <w:rPr>
          <w:sz w:val="20"/>
          <w:szCs w:val="20"/>
          <w:color w:val="auto"/>
        </w:rPr>
      </w:pPr>
      <w:r>
        <w:rPr>
          <w:rFonts w:ascii="Times New Roman" w:cs="Times New Roman" w:eastAsia="Times New Roman" w:hAnsi="Times New Roman"/>
          <w:sz w:val="17"/>
          <w:szCs w:val="17"/>
          <w:color w:val="auto"/>
        </w:rPr>
        <w:t xml:space="preserve">may determine, and will depend on prevailing market conditions, our liquidity requirements, contractual restrictions and other factors. </w:t>
      </w:r>
      <w:r>
        <w:rPr>
          <w:rFonts w:ascii="Times New Roman" w:cs="Times New Roman" w:eastAsia="Times New Roman" w:hAnsi="Times New Roman"/>
          <w:sz w:val="17"/>
          <w:szCs w:val="17"/>
          <w:i w:val="1"/>
          <w:iCs w:val="1"/>
          <w:color w:val="auto"/>
        </w:rPr>
        <w:t>Revolving Receivables Program</w:t>
      </w:r>
    </w:p>
    <w:p>
      <w:pPr>
        <w:spacing w:after="0" w:line="1" w:lineRule="exact"/>
        <w:rPr>
          <w:sz w:val="20"/>
          <w:szCs w:val="20"/>
          <w:color w:val="auto"/>
        </w:rPr>
      </w:pPr>
    </w:p>
    <w:p>
      <w:pPr>
        <w:ind w:right="160" w:firstLine="464"/>
        <w:spacing w:after="0" w:line="260" w:lineRule="auto"/>
        <w:rPr>
          <w:sz w:val="20"/>
          <w:szCs w:val="20"/>
          <w:color w:val="auto"/>
        </w:rPr>
      </w:pPr>
      <w:r>
        <w:rPr>
          <w:rFonts w:ascii="Times New Roman" w:cs="Times New Roman" w:eastAsia="Times New Roman" w:hAnsi="Times New Roman"/>
          <w:sz w:val="17"/>
          <w:szCs w:val="17"/>
          <w:color w:val="auto"/>
        </w:rPr>
        <w:t>The Company utilizes a revolving receivables facility to sell up to $350 million of certain receivables through our bankruptcy-remote subsidiary to a financial institution on a recurring basis in exchange for cash equal to the gross receivables sold. As customers pay their balances, we transfer additional receivables into the program, which could result in our gross receivables sold being higher or lower than customer collections remitted to the financial institution for any applicable periods. Net cash (payments) proceeds included in cash from operations from the revolving receivables program were $(20) million and $155 million for the six months ended June 30, 2024 and 2023, respectively. Additional information with respect to the Revolving Receivables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18" w:lineRule="exact"/>
        <w:rPr>
          <w:sz w:val="20"/>
          <w:szCs w:val="20"/>
          <w:color w:val="auto"/>
        </w:rPr>
      </w:pPr>
    </w:p>
    <w:p>
      <w:pPr>
        <w:ind w:right="400" w:firstLine="464"/>
        <w:spacing w:after="0" w:line="261" w:lineRule="auto"/>
        <w:rPr>
          <w:sz w:val="20"/>
          <w:szCs w:val="20"/>
          <w:color w:val="auto"/>
        </w:rPr>
      </w:pPr>
      <w:r>
        <w:rPr>
          <w:rFonts w:ascii="Times New Roman" w:cs="Times New Roman" w:eastAsia="Times New Roman" w:hAnsi="Times New Roman"/>
          <w:sz w:val="17"/>
          <w:szCs w:val="17"/>
          <w:color w:val="auto"/>
        </w:rPr>
        <w:t>The obligations under the US Notes issued by Westinghouse Air Brake Technologies Corporation (the "Parent Company") have been fully and unconditionally guaranteed by certain of the Parent Company's U.S. subsidiaries ("Guarantor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2"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00" w:type="dxa"/>
            <w:vAlign w:val="bottom"/>
          </w:tcPr>
          <w:p>
            <w:pPr>
              <w:jc w:val="right"/>
              <w:ind w:right="173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4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4"/>
                <w:szCs w:val="14"/>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Pr>
          <w:p>
            <w:pPr>
              <w:spacing w:after="0"/>
              <w:rPr>
                <w:sz w:val="14"/>
                <w:szCs w:val="14"/>
                <w:color w:val="auto"/>
              </w:rPr>
            </w:pPr>
          </w:p>
        </w:tc>
        <w:tc>
          <w:tcPr>
            <w:tcW w:w="17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2,164</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2,960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2024</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2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9,731</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8"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3" w:lineRule="exact"/>
        <w:rPr>
          <w:sz w:val="20"/>
          <w:szCs w:val="20"/>
          <w:color w:val="auto"/>
        </w:rPr>
      </w:pPr>
    </w:p>
    <w:p>
      <w:pPr>
        <w:ind w:right="340" w:firstLine="464"/>
        <w:spacing w:after="0" w:line="235"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20" w:type="dxa"/>
            <w:vAlign w:val="bottom"/>
          </w:tcPr>
          <w:p>
            <w:pPr>
              <w:jc w:val="center"/>
              <w:ind w:right="40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1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72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3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72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jc w:val="right"/>
              <w:ind w:right="1734"/>
              <w:spacing w:after="0"/>
              <w:rPr>
                <w:sz w:val="20"/>
                <w:szCs w:val="20"/>
                <w:color w:val="auto"/>
              </w:rPr>
            </w:pPr>
            <w:r>
              <w:rPr>
                <w:rFonts w:ascii="Times New Roman" w:cs="Times New Roman" w:eastAsia="Times New Roman" w:hAnsi="Times New Roman"/>
                <w:sz w:val="17"/>
                <w:szCs w:val="17"/>
                <w:color w:val="auto"/>
              </w:rPr>
              <w:t>40</w:t>
            </w: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20" w:type="dxa"/>
            <w:vAlign w:val="bottom"/>
            <w:gridSpan w:val="3"/>
          </w:tcPr>
          <w:p>
            <w:pPr>
              <w:jc w:val="right"/>
              <w:ind w:right="133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20" w:type="dxa"/>
            <w:vAlign w:val="bottom"/>
            <w:gridSpan w:val="3"/>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w w:val="99"/>
              </w:rPr>
              <w:t>Issuer and Guarantor</w:t>
            </w:r>
          </w:p>
        </w:tc>
        <w:tc>
          <w:tcPr>
            <w:tcW w:w="480" w:type="dxa"/>
            <w:vAlign w:val="bottom"/>
          </w:tcPr>
          <w:p>
            <w:pPr>
              <w:spacing w:after="0"/>
              <w:rPr>
                <w:sz w:val="16"/>
                <w:szCs w:val="16"/>
                <w:color w:val="auto"/>
              </w:rPr>
            </w:pP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14"/>
                <w:szCs w:val="14"/>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540" w:type="dxa"/>
            <w:vAlign w:val="bottom"/>
            <w:shd w:val="clear" w:color="auto" w:fill="CCEEFF"/>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540" w:type="dxa"/>
            <w:vAlign w:val="bottom"/>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80" w:type="dxa"/>
            <w:vAlign w:val="bottom"/>
          </w:tcPr>
          <w:p>
            <w:pPr>
              <w:spacing w:after="0"/>
              <w:rPr>
                <w:sz w:val="19"/>
                <w:szCs w:val="19"/>
                <w:color w:val="auto"/>
              </w:rPr>
            </w:pPr>
          </w:p>
        </w:tc>
        <w:tc>
          <w:tcPr>
            <w:tcW w:w="1700" w:type="dxa"/>
            <w:vAlign w:val="bottom"/>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540" w:type="dxa"/>
            <w:vAlign w:val="bottom"/>
            <w:shd w:val="clear" w:color="auto" w:fill="CCEEFF"/>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540" w:type="dxa"/>
            <w:vAlign w:val="bottom"/>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3,492</w:t>
            </w:r>
          </w:p>
        </w:tc>
        <w:tc>
          <w:tcPr>
            <w:tcW w:w="80" w:type="dxa"/>
            <w:vAlign w:val="bottom"/>
          </w:tcPr>
          <w:p>
            <w:pPr>
              <w:spacing w:after="0"/>
              <w:rPr>
                <w:sz w:val="19"/>
                <w:szCs w:val="19"/>
                <w:color w:val="auto"/>
              </w:rPr>
            </w:pPr>
          </w:p>
        </w:tc>
        <w:tc>
          <w:tcPr>
            <w:tcW w:w="1700" w:type="dxa"/>
            <w:vAlign w:val="bottom"/>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3,287</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540" w:type="dxa"/>
            <w:vAlign w:val="bottom"/>
            <w:shd w:val="clear" w:color="auto" w:fill="CCEEFF"/>
          </w:tcPr>
          <w:p>
            <w:pPr>
              <w:jc w:val="right"/>
              <w:ind w:right="135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bl>
    <w:p>
      <w:pPr>
        <w:spacing w:after="0" w:line="164" w:lineRule="exact"/>
        <w:rPr>
          <w:sz w:val="20"/>
          <w:szCs w:val="20"/>
          <w:color w:val="auto"/>
        </w:rPr>
      </w:pPr>
    </w:p>
    <w:p>
      <w:pPr>
        <w:ind w:right="200" w:firstLine="464"/>
        <w:spacing w:after="0" w:line="239"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2024</w:t>
            </w: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4"/>
                <w:szCs w:val="14"/>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June 30,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Company Stock Repurchase Plan</w:t>
      </w:r>
    </w:p>
    <w:p>
      <w:pPr>
        <w:spacing w:after="0" w:line="118" w:lineRule="exact"/>
        <w:rPr>
          <w:sz w:val="20"/>
          <w:szCs w:val="20"/>
          <w:color w:val="auto"/>
        </w:rPr>
      </w:pPr>
    </w:p>
    <w:p>
      <w:pPr>
        <w:ind w:firstLine="619"/>
        <w:spacing w:after="0" w:line="258" w:lineRule="auto"/>
        <w:rPr>
          <w:sz w:val="20"/>
          <w:szCs w:val="20"/>
          <w:color w:val="auto"/>
        </w:rPr>
      </w:pPr>
      <w:r>
        <w:rPr>
          <w:rFonts w:ascii="Times New Roman" w:cs="Times New Roman" w:eastAsia="Times New Roman" w:hAnsi="Times New Roman"/>
          <w:sz w:val="17"/>
          <w:szCs w:val="17"/>
          <w:color w:val="auto"/>
        </w:rPr>
        <w:t>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2022 Credit Agreement and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2024, approximately $723 million was remaining under the stock repurchase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33" w:lineRule="exact"/>
        <w:rPr>
          <w:sz w:val="20"/>
          <w:szCs w:val="20"/>
          <w:color w:val="auto"/>
        </w:rPr>
      </w:pPr>
    </w:p>
    <w:p>
      <w:pPr>
        <w:ind w:left="580" w:right="400" w:hanging="306"/>
        <w:spacing w:after="0" w:line="235" w:lineRule="auto"/>
        <w:tabs>
          <w:tab w:leader="none" w:pos="57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spacing w:after="0" w:line="1" w:lineRule="exact"/>
        <w:rPr>
          <w:rFonts w:ascii="Arial" w:cs="Arial" w:eastAsia="Arial" w:hAnsi="Arial"/>
          <w:sz w:val="21"/>
          <w:szCs w:val="21"/>
          <w:color w:val="auto"/>
        </w:rPr>
      </w:pPr>
    </w:p>
    <w:p>
      <w:pPr>
        <w:ind w:left="580" w:right="18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services in the freight and passenger rail industry;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1" w:name="page42"/>
    <w:bookmarkEnd w:id="41"/>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for our products and services;</w:t>
      </w:r>
    </w:p>
    <w:p>
      <w:pPr>
        <w:spacing w:after="0" w:line="27" w:lineRule="exact"/>
        <w:rPr>
          <w:rFonts w:ascii="Times New Roman" w:cs="Times New Roman" w:eastAsia="Times New Roman" w:hAnsi="Times New Roman"/>
          <w:sz w:val="17"/>
          <w:szCs w:val="17"/>
          <w:color w:val="auto"/>
        </w:rPr>
      </w:pPr>
    </w:p>
    <w:p>
      <w:pPr>
        <w:ind w:left="580" w:right="60" w:hanging="306"/>
        <w:spacing w:after="0" w:line="253" w:lineRule="auto"/>
        <w:tabs>
          <w:tab w:leader="none" w:pos="5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340" w:hanging="306"/>
        <w:spacing w:after="0" w:line="253" w:lineRule="auto"/>
        <w:tabs>
          <w:tab w:leader="none" w:pos="57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ESG topics that have the highest relative priority for Wabtec's external stakeholders;</w:t>
      </w:r>
    </w:p>
    <w:p>
      <w:pPr>
        <w:spacing w:after="0" w:line="200" w:lineRule="exact"/>
        <w:rPr>
          <w:sz w:val="20"/>
          <w:szCs w:val="20"/>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and relations;</w:t>
      </w:r>
    </w:p>
    <w:p>
      <w:pPr>
        <w:spacing w:after="0" w:line="10" w:lineRule="exact"/>
        <w:rPr>
          <w:rFonts w:ascii="Times New Roman" w:cs="Times New Roman" w:eastAsia="Times New Roman" w:hAnsi="Times New Roman"/>
          <w:sz w:val="17"/>
          <w:szCs w:val="17"/>
          <w:color w:val="auto"/>
        </w:rPr>
      </w:pPr>
    </w:p>
    <w:p>
      <w:pPr>
        <w:jc w:val="both"/>
        <w:ind w:left="580" w:right="520" w:hanging="306"/>
        <w:spacing w:after="0" w:line="253" w:lineRule="auto"/>
        <w:tabs>
          <w:tab w:leader="none" w:pos="57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and integration of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income tax legislation;</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200" w:lineRule="exact"/>
        <w:rPr>
          <w:sz w:val="20"/>
          <w:szCs w:val="20"/>
          <w:color w:val="auto"/>
        </w:rPr>
      </w:pPr>
    </w:p>
    <w:p>
      <w:pPr>
        <w:ind w:left="580" w:hanging="306"/>
        <w:spacing w:after="0"/>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2023.</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2023. In particular, judgment is used in areas such as accounts receivable and the allowance for doubtful accounts, inventories, business combinations, goodwill and indefinite-lived intangible assets, warranty reserves, income taxes, and revenue recognition. There have been no significant changes in the related accounting policies since December 31,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which is scheduled to mature on March 14, 2029.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 As a result of these transactions, contractual obligations related the repayment of Long-term debt for 2029 and beyond has increased to $725 million.</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96" w:right="379" w:bottom="1440" w:gutter="0" w:footer="0" w:header="0"/>
        </w:sectPr>
      </w:pPr>
    </w:p>
    <w:bookmarkStart w:id="43" w:name="page44"/>
    <w:bookmarkEnd w:id="43"/>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Our exposure to market risk has not changed materially since December 31, 2023.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June 30, 2024.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June 30, 2024,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2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2023.</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June 30, 2024:</w:t>
      </w:r>
    </w:p>
    <w:p>
      <w:pPr>
        <w:spacing w:after="0" w:line="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color w:val="auto"/>
                <w:w w:val="97"/>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Total Number of Shares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Average Price Paid</w:t>
            </w:r>
          </w:p>
        </w:tc>
        <w:tc>
          <w:tcPr>
            <w:tcW w:w="16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7"/>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20" w:type="dxa"/>
            <w:vAlign w:val="bottom"/>
            <w:gridSpan w:val="4"/>
            <w:vMerge w:val="continue"/>
          </w:tcPr>
          <w:p>
            <w:pPr>
              <w:spacing w:after="0"/>
              <w:rPr>
                <w:sz w:val="12"/>
                <w:szCs w:val="12"/>
                <w:color w:val="auto"/>
              </w:rPr>
            </w:pPr>
          </w:p>
        </w:tc>
        <w:tc>
          <w:tcPr>
            <w:tcW w:w="17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Purchased</w:t>
            </w:r>
          </w:p>
        </w:tc>
        <w:tc>
          <w:tcPr>
            <w:tcW w:w="240" w:type="dxa"/>
            <w:vAlign w:val="bottom"/>
          </w:tcPr>
          <w:p>
            <w:pPr>
              <w:spacing w:after="0"/>
              <w:rPr>
                <w:sz w:val="12"/>
                <w:szCs w:val="12"/>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w w:val="97"/>
              </w:rPr>
              <w:t>per Share</w:t>
            </w:r>
          </w:p>
        </w:tc>
        <w:tc>
          <w:tcPr>
            <w:tcW w:w="1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2024</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608,708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608,708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19"/>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May 2024</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432,926</w:t>
            </w:r>
          </w:p>
        </w:tc>
        <w:tc>
          <w:tcPr>
            <w:tcW w:w="10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163.21</w:t>
            </w:r>
          </w:p>
        </w:tc>
        <w:tc>
          <w:tcPr>
            <w:tcW w:w="100" w:type="dxa"/>
            <w:vAlign w:val="bottom"/>
          </w:tcPr>
          <w:p>
            <w:pPr>
              <w:spacing w:after="0"/>
              <w:rPr>
                <w:sz w:val="19"/>
                <w:szCs w:val="19"/>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432,926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0" w:type="dxa"/>
            <w:vAlign w:val="bottom"/>
          </w:tcPr>
          <w:p>
            <w:pPr>
              <w:spacing w:after="0"/>
              <w:rPr>
                <w:sz w:val="1"/>
                <w:szCs w:val="1"/>
                <w:color w:val="auto"/>
              </w:rPr>
            </w:pPr>
          </w:p>
        </w:tc>
      </w:tr>
      <w:tr>
        <w:trPr>
          <w:trHeight w:val="219"/>
        </w:trPr>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163.56</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237,960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12"/>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June 30,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1,279,594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155.86</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1,279,594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67"/>
        <w:spacing w:after="0" w:line="258" w:lineRule="auto"/>
        <w:tabs>
          <w:tab w:leader="none" w:pos="87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9, 2024, the Board of Directors reauthorized its stock repurchase program to refresh the amount available for stock repurchases to $1 billion of the Company’s outstanding shares. This new stock repurchase authorization supersedes the previous authorization of $750 million, of which approximately $333 million remained at the reauthorization date. No time limit was set for the completion of the program which conforms to the requirements under the 2022 Credit Agreement,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June 30, 2024, approximately $723 million was remaining under the stock repurchase plan.</w:t>
      </w:r>
    </w:p>
    <w:p>
      <w:pPr>
        <w:spacing w:after="0" w:line="35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None of Wabtec's Directors or Officers have adopted, terminated, or materially modified any trading plans, whether or not the plan was intended to qualify for the affirmative defense under Rule 10b5-1, during the second quarter ended June 30, 2024.</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642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7100" w:type="dxa"/>
            <w:vAlign w:val="bottom"/>
            <w:gridSpan w:val="6"/>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18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5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60" w:hanging="1440"/>
        <w:spacing w:after="0"/>
        <w:tabs>
          <w:tab w:leader="none" w:pos="1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3" w:right="1440" w:bottom="1440" w:gutter="0" w:footer="0" w:header="0"/>
        </w:sectPr>
      </w:pPr>
    </w:p>
    <w:bookmarkStart w:id="46" w:name="page47"/>
    <w:bookmarkEnd w:id="4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180"/>
          </w:cols>
          <w:pgMar w:left="320" w:top="893" w:right="3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the 2022 Credit Agreement and the 2024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June 30, 2024: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US Notes, 2022 Credit Agreement and 2024 Credit Agreement</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rPr>
          <w:sz w:val="20"/>
          <w:szCs w:val="20"/>
          <w:color w:val="auto"/>
        </w:rPr>
      </w:pPr>
      <w:r>
        <w:rPr>
          <w:rFonts w:ascii="Times New Roman" w:cs="Times New Roman" w:eastAsia="Times New Roman" w:hAnsi="Times New Roman"/>
          <w:sz w:val="17"/>
          <w:szCs w:val="17"/>
          <w:color w:val="auto"/>
        </w:rPr>
        <w:t>Wabtec Transportation Systems,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line="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July 24,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July 24, 2024</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June 30, 2024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July 24, 2024</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July 24, 2024</w:t>
            </w:r>
          </w:p>
        </w:tc>
      </w:tr>
    </w:tbl>
    <w:p>
      <w:pPr>
        <w:spacing w:after="0" w:line="1" w:lineRule="exact"/>
        <w:rPr>
          <w:sz w:val="20"/>
          <w:szCs w:val="20"/>
          <w:color w:val="auto"/>
        </w:rPr>
      </w:pP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2024-07-24T10:54:24Z</dcterms:created>
  <dcterms:modified xsi:type="dcterms:W3CDTF">2024-07-24T10:54:24Z</dcterms:modified>
</cp:coreProperties>
</file>