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ind w:left="480" w:hanging="454"/>
        <w:spacing w:after="0" w:line="182" w:lineRule="auto"/>
        <w:tabs>
          <w:tab w:leader="none" w:pos="48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1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ind w:left="480" w:hanging="454"/>
        <w:spacing w:after="0" w:line="180" w:lineRule="auto"/>
        <w:tabs>
          <w:tab w:leader="none" w:pos="48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20"/>
          </w:cols>
          <w:pgMar w:left="320" w:top="1394" w:right="359" w:bottom="1440" w:gutter="0" w:footer="0" w:header="0"/>
        </w:sectPr>
      </w:pPr>
    </w:p>
    <w:p>
      <w:pPr>
        <w:spacing w:after="0" w:line="177"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3040" w:space="720"/>
            <w:col w:w="7460"/>
          </w:cols>
          <w:pgMar w:left="320" w:top="1394" w:right="3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WESTINGHOUSE AIR BRAKE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TECHNOLOGIESCORPORATION</w:t>
      </w: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220"/>
          </w:cols>
          <w:pgMar w:left="320" w:top="1394" w:right="359" w:bottom="1440" w:gutter="0" w:footer="0" w:header="0"/>
          <w:type w:val="continuous"/>
        </w:sectPr>
      </w:pPr>
    </w:p>
    <w:p>
      <w:pPr>
        <w:spacing w:after="0" w:line="41"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25-1615902</w:t>
      </w:r>
    </w:p>
    <w:p>
      <w:pPr>
        <w:spacing w:after="0" w:line="93" w:lineRule="exact"/>
        <w:rPr>
          <w:sz w:val="24"/>
          <w:szCs w:val="24"/>
          <w:color w:val="auto"/>
        </w:rPr>
      </w:pPr>
    </w:p>
    <w:p>
      <w:pPr>
        <w:sectPr>
          <w:pgSz w:w="11900" w:h="16838" w:orient="portrait"/>
          <w:cols w:equalWidth="0" w:num="2">
            <w:col w:w="7300" w:space="720"/>
            <w:col w:w="3200"/>
          </w:cols>
          <w:pgMar w:left="320" w:top="1394" w:right="359" w:bottom="1440" w:gutter="0" w:footer="0" w:header="0"/>
          <w:type w:val="continuous"/>
        </w:sectPr>
      </w:pPr>
    </w:p>
    <w:p>
      <w:pPr>
        <w:jc w:val="center"/>
        <w:ind w:right="1540"/>
        <w:spacing w:after="0"/>
        <w:rPr>
          <w:sz w:val="20"/>
          <w:szCs w:val="20"/>
          <w:color w:val="auto"/>
        </w:rPr>
      </w:pPr>
      <w:r>
        <w:rPr>
          <w:rFonts w:ascii="Arial" w:cs="Arial" w:eastAsia="Arial" w:hAnsi="Arial"/>
          <w:sz w:val="13"/>
          <w:szCs w:val="13"/>
          <w:b w:val="1"/>
          <w:bCs w:val="1"/>
          <w:color w:val="auto"/>
        </w:rPr>
        <w:t>(State or other jurisdiction</w:t>
      </w:r>
    </w:p>
    <w:p>
      <w:pPr>
        <w:spacing w:after="0" w:line="13"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96" w:lineRule="exact"/>
        <w:rPr>
          <w:sz w:val="24"/>
          <w:szCs w:val="24"/>
          <w:color w:val="auto"/>
        </w:rPr>
      </w:pPr>
    </w:p>
    <w:p>
      <w:pPr>
        <w:sectPr>
          <w:pgSz w:w="11900" w:h="16838" w:orient="portrait"/>
          <w:cols w:equalWidth="0" w:num="2">
            <w:col w:w="7180" w:space="720"/>
            <w:col w:w="3320"/>
          </w:cols>
          <w:pgMar w:left="320" w:top="1394" w:right="359" w:bottom="1440" w:gutter="0" w:footer="0" w:header="0"/>
          <w:type w:val="continuous"/>
        </w:sectPr>
      </w:pPr>
    </w:p>
    <w:p>
      <w:pPr>
        <w:spacing w:after="0" w:line="27" w:lineRule="exact"/>
        <w:rPr>
          <w:sz w:val="24"/>
          <w:szCs w:val="24"/>
          <w:color w:val="auto"/>
        </w:rPr>
      </w:pPr>
    </w:p>
    <w:p>
      <w:pPr>
        <w:ind w:left="1240"/>
        <w:spacing w:after="0"/>
        <w:rPr>
          <w:sz w:val="20"/>
          <w:szCs w:val="20"/>
          <w:color w:val="auto"/>
        </w:rPr>
      </w:pPr>
      <w:r>
        <w:rPr>
          <w:rFonts w:ascii="Arial" w:cs="Arial" w:eastAsia="Arial" w:hAnsi="Arial"/>
          <w:sz w:val="15"/>
          <w:szCs w:val="15"/>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15212</w:t>
      </w:r>
    </w:p>
    <w:p>
      <w:pPr>
        <w:spacing w:after="0" w:line="93" w:lineRule="exact"/>
        <w:rPr>
          <w:sz w:val="24"/>
          <w:szCs w:val="24"/>
          <w:color w:val="auto"/>
        </w:rPr>
      </w:pPr>
    </w:p>
    <w:p>
      <w:pPr>
        <w:sectPr>
          <w:pgSz w:w="11900" w:h="16838" w:orient="portrait"/>
          <w:cols w:equalWidth="0" w:num="2">
            <w:col w:w="7500" w:space="720"/>
            <w:col w:w="3000"/>
          </w:cols>
          <w:pgMar w:left="320" w:top="1394" w:right="359" w:bottom="1440" w:gutter="0" w:footer="0" w:header="0"/>
          <w:type w:val="continuous"/>
        </w:sectPr>
      </w:pPr>
    </w:p>
    <w:p>
      <w:pPr>
        <w:ind w:left="17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0" w:lineRule="exact"/>
        <w:rPr>
          <w:sz w:val="24"/>
          <w:szCs w:val="24"/>
          <w:color w:val="auto"/>
        </w:rPr>
      </w:pPr>
    </w:p>
    <w:p>
      <w:pPr>
        <w:sectPr>
          <w:pgSz w:w="11900" w:h="16838" w:orient="portrait"/>
          <w:cols w:equalWidth="0" w:num="2">
            <w:col w:w="7420" w:space="720"/>
            <w:col w:w="3080"/>
          </w:cols>
          <w:pgMar w:left="320" w:top="1394"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412-825-1000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220"/>
          </w:cols>
          <w:pgMar w:left="320" w:top="1394" w:right="359" w:bottom="1440" w:gutter="0" w:footer="0" w:header="0"/>
          <w:type w:val="continuous"/>
        </w:sectPr>
      </w:pP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10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34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auto"/>
                <w:w w:val="90"/>
              </w:rPr>
              <w:t>Class</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400" w:type="dxa"/>
            <w:vAlign w:val="bottom"/>
            <w:tcBorders>
              <w:bottom w:val="single" w:sz="8" w:color="auto"/>
            </w:tcBorders>
          </w:tcPr>
          <w:p>
            <w:pPr>
              <w:jc w:val="center"/>
              <w:ind w:right="386"/>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7"/>
        </w:trPr>
        <w:tc>
          <w:tcPr>
            <w:tcW w:w="4340" w:type="dxa"/>
            <w:vAlign w:val="bottom"/>
          </w:tcPr>
          <w:p>
            <w:pPr>
              <w:jc w:val="center"/>
              <w:ind w:left="446"/>
              <w:spacing w:after="0"/>
              <w:rPr>
                <w:sz w:val="20"/>
                <w:szCs w:val="20"/>
                <w:color w:val="auto"/>
              </w:rPr>
            </w:pPr>
            <w:r>
              <w:rPr>
                <w:rFonts w:ascii="Arial" w:cs="Arial" w:eastAsia="Arial" w:hAnsi="Arial"/>
                <w:sz w:val="15"/>
                <w:szCs w:val="15"/>
                <w:color w:val="auto"/>
                <w:w w:val="91"/>
              </w:rPr>
              <w:t>Common Stock, $.01 par value per share</w:t>
            </w:r>
          </w:p>
        </w:tc>
        <w:tc>
          <w:tcPr>
            <w:tcW w:w="2440" w:type="dxa"/>
            <w:vAlign w:val="bottom"/>
          </w:tcPr>
          <w:p>
            <w:pPr>
              <w:jc w:val="center"/>
              <w:spacing w:after="0"/>
              <w:rPr>
                <w:sz w:val="20"/>
                <w:szCs w:val="20"/>
                <w:color w:val="auto"/>
              </w:rPr>
            </w:pPr>
            <w:r>
              <w:rPr>
                <w:rFonts w:ascii="Arial" w:cs="Arial" w:eastAsia="Arial" w:hAnsi="Arial"/>
                <w:sz w:val="15"/>
                <w:szCs w:val="15"/>
                <w:color w:val="auto"/>
                <w:w w:val="99"/>
              </w:rPr>
              <w:t>WAB</w:t>
            </w:r>
          </w:p>
        </w:tc>
        <w:tc>
          <w:tcPr>
            <w:tcW w:w="4400" w:type="dxa"/>
            <w:vAlign w:val="bottom"/>
          </w:tcPr>
          <w:p>
            <w:pPr>
              <w:jc w:val="center"/>
              <w:ind w:right="386"/>
              <w:spacing w:after="0"/>
              <w:rPr>
                <w:sz w:val="20"/>
                <w:szCs w:val="20"/>
                <w:color w:val="auto"/>
              </w:rPr>
            </w:pPr>
            <w:r>
              <w:rPr>
                <w:rFonts w:ascii="Arial" w:cs="Arial" w:eastAsia="Arial" w:hAnsi="Arial"/>
                <w:sz w:val="15"/>
                <w:szCs w:val="15"/>
                <w:color w:val="auto"/>
                <w:w w:val="93"/>
              </w:rPr>
              <w:t>New York Stock Exchange</w:t>
            </w:r>
          </w:p>
        </w:tc>
      </w:tr>
    </w:tbl>
    <w:p>
      <w:pPr>
        <w:spacing w:after="0" w:line="97" w:lineRule="exact"/>
        <w:rPr>
          <w:sz w:val="24"/>
          <w:szCs w:val="24"/>
          <w:color w:val="auto"/>
        </w:rPr>
      </w:pPr>
    </w:p>
    <w:p>
      <w:pPr>
        <w:ind w:right="120" w:firstLine="486"/>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100" w:firstLine="486"/>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486"/>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394" w:right="359" w:bottom="1440" w:gutter="0" w:footer="0" w:header="0"/>
          <w:type w:val="continuous"/>
        </w:sectPr>
      </w:pPr>
    </w:p>
    <w:p>
      <w:pPr>
        <w:spacing w:after="0" w:line="54" w:lineRule="exact"/>
        <w:rPr>
          <w:sz w:val="24"/>
          <w:szCs w:val="24"/>
          <w:color w:val="auto"/>
        </w:rPr>
      </w:pPr>
    </w:p>
    <w:p>
      <w:pPr>
        <w:ind w:left="158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ectPr>
          <w:pgSz w:w="11900" w:h="16838" w:orient="portrait"/>
          <w:cols w:equalWidth="0" w:num="6">
            <w:col w:w="3360" w:space="720"/>
            <w:col w:w="140" w:space="320"/>
            <w:col w:w="1680" w:space="720"/>
            <w:col w:w="140" w:space="300"/>
            <w:col w:w="1280" w:space="620"/>
            <w:col w:w="1940"/>
          </w:cols>
          <w:pgMar w:left="320" w:top="1394" w:right="359" w:bottom="1440" w:gutter="0" w:footer="0" w:header="0"/>
          <w:type w:val="continuous"/>
        </w:sectPr>
      </w:pPr>
    </w:p>
    <w:p>
      <w:pPr>
        <w:spacing w:after="0" w:line="43" w:lineRule="exact"/>
        <w:rPr>
          <w:sz w:val="24"/>
          <w:szCs w:val="24"/>
          <w:color w:val="auto"/>
        </w:rPr>
      </w:pPr>
    </w:p>
    <w:p>
      <w:pPr>
        <w:ind w:left="158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4" w:lineRule="exact"/>
        <w:rPr>
          <w:sz w:val="24"/>
          <w:szCs w:val="24"/>
          <w:color w:val="auto"/>
        </w:rPr>
      </w:pPr>
    </w:p>
    <w:p>
      <w:pPr>
        <w:sectPr>
          <w:pgSz w:w="11900" w:h="16838" w:orient="portrait"/>
          <w:cols w:equalWidth="0" w:num="4">
            <w:col w:w="3360" w:space="720"/>
            <w:col w:w="140" w:space="320"/>
            <w:col w:w="1680" w:space="720"/>
            <w:col w:w="4280"/>
          </w:cols>
          <w:pgMar w:left="320" w:top="1394" w:right="359" w:bottom="1440" w:gutter="0" w:footer="0" w:header="0"/>
          <w:type w:val="continuous"/>
        </w:sectPr>
      </w:pPr>
    </w:p>
    <w:p>
      <w:pPr>
        <w:ind w:right="60" w:firstLine="486"/>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80"/>
        <w:spacing w:after="0" w:line="176"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As of July 23, 2020, there were 190,299,552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94"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June 30, 2020</w:t>
      </w:r>
    </w:p>
    <w:p>
      <w:pPr>
        <w:spacing w:after="0" w:line="7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16"/>
        </w:trPr>
        <w:tc>
          <w:tcPr>
            <w:tcW w:w="1020" w:type="dxa"/>
            <w:vAlign w:val="bottom"/>
          </w:tcPr>
          <w:p>
            <w:pPr>
              <w:spacing w:after="0"/>
              <w:rPr>
                <w:sz w:val="18"/>
                <w:szCs w:val="18"/>
                <w:color w:val="auto"/>
              </w:rPr>
            </w:pPr>
          </w:p>
        </w:tc>
        <w:tc>
          <w:tcPr>
            <w:tcW w:w="970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I—FINANCIAL INFORMATION</w:t>
            </w:r>
          </w:p>
        </w:tc>
        <w:tc>
          <w:tcPr>
            <w:tcW w:w="520" w:type="dxa"/>
            <w:vAlign w:val="bottom"/>
          </w:tcPr>
          <w:p>
            <w:pPr>
              <w:spacing w:after="0"/>
              <w:rPr>
                <w:sz w:val="18"/>
                <w:szCs w:val="18"/>
                <w:color w:val="auto"/>
              </w:rPr>
            </w:pPr>
          </w:p>
        </w:tc>
      </w:tr>
      <w:tr>
        <w:trPr>
          <w:trHeight w:val="54"/>
        </w:trPr>
        <w:tc>
          <w:tcPr>
            <w:tcW w:w="1020" w:type="dxa"/>
            <w:vAlign w:val="bottom"/>
          </w:tcPr>
          <w:p>
            <w:pPr>
              <w:spacing w:after="0"/>
              <w:rPr>
                <w:sz w:val="4"/>
                <w:szCs w:val="4"/>
                <w:color w:val="auto"/>
              </w:rPr>
            </w:pPr>
          </w:p>
        </w:tc>
        <w:tc>
          <w:tcPr>
            <w:tcW w:w="49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9"/>
        </w:trPr>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1.</w:t>
            </w:r>
          </w:p>
        </w:tc>
        <w:tc>
          <w:tcPr>
            <w:tcW w:w="9700" w:type="dxa"/>
            <w:vAlign w:val="bottom"/>
            <w:gridSpan w:val="6"/>
            <w:shd w:val="clear" w:color="auto" w:fill="CCEEFF"/>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 (Unaudited)</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30"/>
        </w:trPr>
        <w:tc>
          <w:tcPr>
            <w:tcW w:w="1020" w:type="dxa"/>
            <w:vAlign w:val="bottom"/>
          </w:tcPr>
          <w:p>
            <w:pPr>
              <w:spacing w:after="0"/>
              <w:rPr>
                <w:sz w:val="19"/>
                <w:szCs w:val="19"/>
                <w:color w:val="auto"/>
              </w:rPr>
            </w:pPr>
          </w:p>
        </w:tc>
        <w:tc>
          <w:tcPr>
            <w:tcW w:w="9700" w:type="dxa"/>
            <w:vAlign w:val="bottom"/>
            <w:gridSpan w:val="6"/>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June 30, 2020 and December 31, 2019</w:t>
              </w:r>
            </w:hyperlink>
          </w:p>
        </w:tc>
        <w:tc>
          <w:tcPr>
            <w:tcW w:w="52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29"/>
        </w:trPr>
        <w:tc>
          <w:tcPr>
            <w:tcW w:w="1020" w:type="dxa"/>
            <w:vAlign w:val="bottom"/>
            <w:shd w:val="clear" w:color="auto" w:fill="CCEEFF"/>
          </w:tcPr>
          <w:p>
            <w:pPr>
              <w:spacing w:after="0"/>
              <w:rPr>
                <w:sz w:val="19"/>
                <w:szCs w:val="19"/>
                <w:color w:val="auto"/>
              </w:rPr>
            </w:pPr>
          </w:p>
        </w:tc>
        <w:tc>
          <w:tcPr>
            <w:tcW w:w="9700" w:type="dxa"/>
            <w:vAlign w:val="bottom"/>
            <w:gridSpan w:val="6"/>
            <w:shd w:val="clear" w:color="auto" w:fill="CCEEFF"/>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Income for the three and six months ended June 30, 2020 and 2019</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189"/>
        </w:trPr>
        <w:tc>
          <w:tcPr>
            <w:tcW w:w="1020" w:type="dxa"/>
            <w:vAlign w:val="bottom"/>
          </w:tcPr>
          <w:p>
            <w:pPr>
              <w:spacing w:after="0"/>
              <w:rPr>
                <w:sz w:val="16"/>
                <w:szCs w:val="16"/>
                <w:color w:val="auto"/>
              </w:rPr>
            </w:pPr>
          </w:p>
        </w:tc>
        <w:tc>
          <w:tcPr>
            <w:tcW w:w="9700" w:type="dxa"/>
            <w:vAlign w:val="bottom"/>
            <w:gridSpan w:val="6"/>
          </w:tcPr>
          <w:p>
            <w:pPr>
              <w:spacing w:after="0" w:line="189" w:lineRule="exact"/>
              <w:rPr>
                <w:rFonts w:ascii="Arial" w:cs="Arial" w:eastAsia="Arial" w:hAnsi="Arial"/>
                <w:sz w:val="18"/>
                <w:szCs w:val="18"/>
                <w:color w:val="0000FF"/>
                <w:w w:val="97"/>
              </w:rPr>
            </w:pPr>
            <w:hyperlink w:anchor="page4">
              <w:r>
                <w:rPr>
                  <w:rFonts w:ascii="Arial" w:cs="Arial" w:eastAsia="Arial" w:hAnsi="Arial"/>
                  <w:sz w:val="18"/>
                  <w:szCs w:val="18"/>
                  <w:u w:val="single" w:color="auto"/>
                  <w:color w:val="0000FF"/>
                  <w:w w:val="97"/>
                </w:rPr>
                <w:t>Condensed Consolidated Statements of Comprehensive Income for the three</w:t>
              </w:r>
              <w:r>
                <w:rPr>
                  <w:rFonts w:ascii="Arial" w:cs="Arial" w:eastAsia="Arial" w:hAnsi="Arial"/>
                  <w:sz w:val="18"/>
                  <w:szCs w:val="18"/>
                  <w:color w:val="0000FF"/>
                  <w:w w:val="97"/>
                </w:rPr>
                <w:t xml:space="preserve"> and six months ended June 30, </w:t>
              </w:r>
              <w:r>
                <w:rPr>
                  <w:rFonts w:ascii="Arial" w:cs="Arial" w:eastAsia="Arial" w:hAnsi="Arial"/>
                  <w:sz w:val="18"/>
                  <w:szCs w:val="18"/>
                  <w:u w:val="single" w:color="auto"/>
                  <w:color w:val="0000FF"/>
                  <w:w w:val="97"/>
                </w:rPr>
                <w:t>2020 and 2019</w:t>
              </w:r>
            </w:hyperlink>
          </w:p>
        </w:tc>
        <w:tc>
          <w:tcPr>
            <w:tcW w:w="520" w:type="dxa"/>
            <w:vAlign w:val="bottom"/>
          </w:tcPr>
          <w:p>
            <w:pPr>
              <w:jc w:val="right"/>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10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1020" w:type="dxa"/>
            <w:vAlign w:val="bottom"/>
            <w:shd w:val="clear" w:color="auto" w:fill="CCEEFF"/>
          </w:tcPr>
          <w:p>
            <w:pPr>
              <w:spacing w:after="0"/>
              <w:rPr>
                <w:sz w:val="16"/>
                <w:szCs w:val="16"/>
                <w:color w:val="auto"/>
              </w:rPr>
            </w:pPr>
          </w:p>
        </w:tc>
        <w:tc>
          <w:tcPr>
            <w:tcW w:w="9700" w:type="dxa"/>
            <w:vAlign w:val="bottom"/>
            <w:gridSpan w:val="6"/>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Statements of Cash Flows for the six months ended </w:t>
              </w:r>
              <w:r>
                <w:rPr>
                  <w:rFonts w:ascii="Arial" w:cs="Arial" w:eastAsia="Arial" w:hAnsi="Arial"/>
                  <w:sz w:val="18"/>
                  <w:szCs w:val="18"/>
                  <w:u w:val="single" w:color="auto"/>
                  <w:color w:val="0000FF"/>
                </w:rPr>
                <w:t>June 30, 2020 and 2019</w:t>
              </w:r>
            </w:hyperlink>
          </w:p>
        </w:tc>
        <w:tc>
          <w:tcPr>
            <w:tcW w:w="520" w:type="dxa"/>
            <w:vAlign w:val="bottom"/>
            <w:shd w:val="clear" w:color="auto" w:fill="CCEEFF"/>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20" w:type="dxa"/>
            <w:vAlign w:val="bottom"/>
          </w:tcPr>
          <w:p>
            <w:pPr>
              <w:spacing w:after="0"/>
              <w:rPr>
                <w:sz w:val="16"/>
                <w:szCs w:val="16"/>
                <w:color w:val="auto"/>
              </w:rPr>
            </w:pPr>
          </w:p>
        </w:tc>
        <w:tc>
          <w:tcPr>
            <w:tcW w:w="9700" w:type="dxa"/>
            <w:vAlign w:val="bottom"/>
            <w:gridSpan w:val="6"/>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 Consolidated Statements of Shareholders' Equity for the</w:t>
              </w:r>
              <w:r>
                <w:rPr>
                  <w:rFonts w:ascii="Arial" w:cs="Arial" w:eastAsia="Arial" w:hAnsi="Arial"/>
                  <w:sz w:val="18"/>
                  <w:szCs w:val="18"/>
                  <w:color w:val="0000FF"/>
                </w:rPr>
                <w:t xml:space="preserve"> six months ended June 30, </w:t>
              </w:r>
              <w:r>
                <w:rPr>
                  <w:rFonts w:ascii="Arial" w:cs="Arial" w:eastAsia="Arial" w:hAnsi="Arial"/>
                  <w:sz w:val="18"/>
                  <w:szCs w:val="18"/>
                  <w:u w:val="single" w:color="auto"/>
                  <w:color w:val="0000FF"/>
                </w:rPr>
                <w:t>2020 and 2019</w:t>
              </w:r>
            </w:hyperlink>
          </w:p>
        </w:tc>
        <w:tc>
          <w:tcPr>
            <w:tcW w:w="520" w:type="dxa"/>
            <w:vAlign w:val="bottom"/>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30"/>
        </w:trPr>
        <w:tc>
          <w:tcPr>
            <w:tcW w:w="1020" w:type="dxa"/>
            <w:vAlign w:val="bottom"/>
            <w:shd w:val="clear" w:color="auto" w:fill="CCEEFF"/>
          </w:tcPr>
          <w:p>
            <w:pPr>
              <w:spacing w:after="0"/>
              <w:rPr>
                <w:sz w:val="19"/>
                <w:szCs w:val="19"/>
                <w:color w:val="auto"/>
              </w:rPr>
            </w:pPr>
          </w:p>
        </w:tc>
        <w:tc>
          <w:tcPr>
            <w:tcW w:w="9700" w:type="dxa"/>
            <w:vAlign w:val="bottom"/>
            <w:gridSpan w:val="6"/>
            <w:shd w:val="clear" w:color="auto" w:fill="CCEEFF"/>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29"/>
        </w:trPr>
        <w:tc>
          <w:tcPr>
            <w:tcW w:w="1020" w:type="dxa"/>
            <w:vAlign w:val="bottom"/>
          </w:tcPr>
          <w:p>
            <w:pPr>
              <w:ind w:left="60"/>
              <w:spacing w:after="0"/>
              <w:rPr>
                <w:sz w:val="20"/>
                <w:szCs w:val="20"/>
                <w:color w:val="auto"/>
              </w:rPr>
            </w:pPr>
            <w:r>
              <w:rPr>
                <w:rFonts w:ascii="Arial" w:cs="Arial" w:eastAsia="Arial" w:hAnsi="Arial"/>
                <w:sz w:val="18"/>
                <w:szCs w:val="18"/>
                <w:color w:val="auto"/>
              </w:rPr>
              <w:t>Item 2.</w:t>
            </w:r>
          </w:p>
        </w:tc>
        <w:tc>
          <w:tcPr>
            <w:tcW w:w="9700" w:type="dxa"/>
            <w:vAlign w:val="bottom"/>
            <w:gridSpan w:val="6"/>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29"/>
        </w:trPr>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3.</w:t>
            </w:r>
          </w:p>
        </w:tc>
        <w:tc>
          <w:tcPr>
            <w:tcW w:w="9700" w:type="dxa"/>
            <w:vAlign w:val="bottom"/>
            <w:gridSpan w:val="6"/>
            <w:shd w:val="clear" w:color="auto" w:fill="CCEEFF"/>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Quantitative and Qualitative Disclosures about Market Risk</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30"/>
        </w:trPr>
        <w:tc>
          <w:tcPr>
            <w:tcW w:w="1020" w:type="dxa"/>
            <w:vAlign w:val="bottom"/>
          </w:tcPr>
          <w:p>
            <w:pPr>
              <w:ind w:left="60"/>
              <w:spacing w:after="0"/>
              <w:rPr>
                <w:sz w:val="20"/>
                <w:szCs w:val="20"/>
                <w:color w:val="auto"/>
              </w:rPr>
            </w:pPr>
            <w:r>
              <w:rPr>
                <w:rFonts w:ascii="Arial" w:cs="Arial" w:eastAsia="Arial" w:hAnsi="Arial"/>
                <w:sz w:val="18"/>
                <w:szCs w:val="18"/>
                <w:color w:val="auto"/>
              </w:rPr>
              <w:t>Item 4.</w:t>
            </w:r>
          </w:p>
        </w:tc>
        <w:tc>
          <w:tcPr>
            <w:tcW w:w="9700" w:type="dxa"/>
            <w:vAlign w:val="bottom"/>
            <w:gridSpan w:val="6"/>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Controls and Procedures</w:t>
              </w:r>
            </w:hyperlink>
          </w:p>
        </w:tc>
        <w:tc>
          <w:tcPr>
            <w:tcW w:w="520" w:type="dxa"/>
            <w:vAlign w:val="bottom"/>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PART II—OTHER INFORMATION</w:t>
            </w:r>
          </w:p>
        </w:tc>
        <w:tc>
          <w:tcPr>
            <w:tcW w:w="520" w:type="dxa"/>
            <w:vAlign w:val="bottom"/>
            <w:tcBorders>
              <w:bottom w:val="single" w:sz="8" w:color="CCEEFF"/>
            </w:tcBorders>
            <w:shd w:val="clear" w:color="auto" w:fill="CCEEFF"/>
          </w:tcPr>
          <w:p>
            <w:pPr>
              <w:spacing w:after="0"/>
              <w:rPr>
                <w:sz w:val="21"/>
                <w:szCs w:val="21"/>
                <w:color w:val="auto"/>
              </w:rPr>
            </w:pPr>
          </w:p>
        </w:tc>
      </w:tr>
      <w:tr>
        <w:trPr>
          <w:trHeight w:val="229"/>
        </w:trPr>
        <w:tc>
          <w:tcPr>
            <w:tcW w:w="1020" w:type="dxa"/>
            <w:vAlign w:val="bottom"/>
          </w:tcPr>
          <w:p>
            <w:pPr>
              <w:ind w:left="60"/>
              <w:spacing w:after="0"/>
              <w:rPr>
                <w:sz w:val="20"/>
                <w:szCs w:val="20"/>
                <w:color w:val="auto"/>
              </w:rPr>
            </w:pPr>
            <w:r>
              <w:rPr>
                <w:rFonts w:ascii="Arial" w:cs="Arial" w:eastAsia="Arial" w:hAnsi="Arial"/>
                <w:sz w:val="18"/>
                <w:szCs w:val="18"/>
                <w:color w:val="auto"/>
              </w:rPr>
              <w:t>Item 1.</w:t>
            </w:r>
          </w:p>
        </w:tc>
        <w:tc>
          <w:tcPr>
            <w:tcW w:w="9700" w:type="dxa"/>
            <w:vAlign w:val="bottom"/>
            <w:gridSpan w:val="6"/>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Legal Proceedings</w:t>
              </w:r>
            </w:hyperlink>
          </w:p>
        </w:tc>
        <w:tc>
          <w:tcPr>
            <w:tcW w:w="52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29"/>
        </w:trPr>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1A.</w:t>
            </w:r>
          </w:p>
        </w:tc>
        <w:tc>
          <w:tcPr>
            <w:tcW w:w="9700" w:type="dxa"/>
            <w:vAlign w:val="bottom"/>
            <w:gridSpan w:val="6"/>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Risk Factors</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30"/>
        </w:trPr>
        <w:tc>
          <w:tcPr>
            <w:tcW w:w="1020" w:type="dxa"/>
            <w:vAlign w:val="bottom"/>
          </w:tcPr>
          <w:p>
            <w:pPr>
              <w:ind w:left="60"/>
              <w:spacing w:after="0"/>
              <w:rPr>
                <w:sz w:val="20"/>
                <w:szCs w:val="20"/>
                <w:color w:val="auto"/>
              </w:rPr>
            </w:pPr>
            <w:r>
              <w:rPr>
                <w:rFonts w:ascii="Arial" w:cs="Arial" w:eastAsia="Arial" w:hAnsi="Arial"/>
                <w:sz w:val="18"/>
                <w:szCs w:val="18"/>
                <w:color w:val="auto"/>
              </w:rPr>
              <w:t>Item 2.</w:t>
            </w:r>
          </w:p>
        </w:tc>
        <w:tc>
          <w:tcPr>
            <w:tcW w:w="9700" w:type="dxa"/>
            <w:vAlign w:val="bottom"/>
            <w:gridSpan w:val="6"/>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Unregistered Sales of Equity Securities and Use of Proceeds</w:t>
              </w:r>
            </w:hyperlink>
          </w:p>
        </w:tc>
        <w:tc>
          <w:tcPr>
            <w:tcW w:w="52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29"/>
        </w:trPr>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4.</w:t>
            </w:r>
          </w:p>
        </w:tc>
        <w:tc>
          <w:tcPr>
            <w:tcW w:w="9700" w:type="dxa"/>
            <w:vAlign w:val="bottom"/>
            <w:gridSpan w:val="6"/>
            <w:shd w:val="clear" w:color="auto" w:fill="CCEEFF"/>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Mine Safety Disclosures</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r>
      <w:tr>
        <w:trPr>
          <w:trHeight w:val="230"/>
        </w:trPr>
        <w:tc>
          <w:tcPr>
            <w:tcW w:w="1020" w:type="dxa"/>
            <w:vAlign w:val="bottom"/>
          </w:tcPr>
          <w:p>
            <w:pPr>
              <w:ind w:left="60"/>
              <w:spacing w:after="0"/>
              <w:rPr>
                <w:sz w:val="20"/>
                <w:szCs w:val="20"/>
                <w:color w:val="auto"/>
              </w:rPr>
            </w:pPr>
            <w:r>
              <w:rPr>
                <w:rFonts w:ascii="Arial" w:cs="Arial" w:eastAsia="Arial" w:hAnsi="Arial"/>
                <w:sz w:val="18"/>
                <w:szCs w:val="18"/>
                <w:color w:val="auto"/>
              </w:rPr>
              <w:t>Item 6.</w:t>
            </w:r>
          </w:p>
        </w:tc>
        <w:tc>
          <w:tcPr>
            <w:tcW w:w="9700" w:type="dxa"/>
            <w:vAlign w:val="bottom"/>
            <w:gridSpan w:val="6"/>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Exhibits</w:t>
              </w:r>
            </w:hyperlink>
          </w:p>
        </w:tc>
        <w:tc>
          <w:tcPr>
            <w:tcW w:w="520" w:type="dxa"/>
            <w:vAlign w:val="bottom"/>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51</w:t>
              </w:r>
            </w:hyperlink>
          </w:p>
        </w:tc>
      </w:tr>
      <w:tr>
        <w:trPr>
          <w:trHeight w:val="229"/>
        </w:trPr>
        <w:tc>
          <w:tcPr>
            <w:tcW w:w="1020" w:type="dxa"/>
            <w:vAlign w:val="bottom"/>
            <w:shd w:val="clear" w:color="auto" w:fill="CCEEFF"/>
          </w:tcPr>
          <w:p>
            <w:pPr>
              <w:spacing w:after="0"/>
              <w:rPr>
                <w:sz w:val="19"/>
                <w:szCs w:val="19"/>
                <w:color w:val="auto"/>
              </w:rPr>
            </w:pPr>
          </w:p>
        </w:tc>
        <w:tc>
          <w:tcPr>
            <w:tcW w:w="9700" w:type="dxa"/>
            <w:vAlign w:val="bottom"/>
            <w:gridSpan w:val="6"/>
            <w:shd w:val="clear" w:color="auto" w:fill="CCEEFF"/>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Signatures</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Unaudited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3"/>
                <w:szCs w:val="13"/>
                <w:color w:val="auto"/>
              </w:rPr>
            </w:pPr>
          </w:p>
        </w:tc>
        <w:tc>
          <w:tcPr>
            <w:tcW w:w="114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 except par value</w:t>
            </w:r>
          </w:p>
        </w:tc>
        <w:tc>
          <w:tcPr>
            <w:tcW w:w="200" w:type="dxa"/>
            <w:vAlign w:val="bottom"/>
          </w:tcPr>
          <w:p>
            <w:pPr>
              <w:spacing w:after="0"/>
              <w:rPr>
                <w:sz w:val="13"/>
                <w:szCs w:val="13"/>
                <w:color w:val="auto"/>
              </w:rPr>
            </w:pPr>
          </w:p>
        </w:tc>
        <w:tc>
          <w:tcPr>
            <w:tcW w:w="1100" w:type="dxa"/>
            <w:vAlign w:val="bottom"/>
          </w:tcPr>
          <w:p>
            <w:pPr>
              <w:jc w:val="center"/>
              <w:ind w:right="120"/>
              <w:spacing w:after="0" w:line="158"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39"/>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6800" w:type="dxa"/>
            <w:vAlign w:val="bottom"/>
            <w:tcBorders>
              <w:bottom w:val="single" w:sz="8" w:color="CCEEFF"/>
            </w:tcBorders>
            <w:shd w:val="clear" w:color="auto" w:fill="CCEEFF"/>
          </w:tcPr>
          <w:p>
            <w:pPr>
              <w:jc w:val="center"/>
              <w:ind w:right="1639"/>
              <w:spacing w:after="0"/>
              <w:rPr>
                <w:sz w:val="20"/>
                <w:szCs w:val="20"/>
                <w:color w:val="auto"/>
              </w:rPr>
            </w:pPr>
            <w:r>
              <w:rPr>
                <w:rFonts w:ascii="Arial" w:cs="Arial" w:eastAsia="Arial" w:hAnsi="Arial"/>
                <w:sz w:val="16"/>
                <w:szCs w:val="16"/>
                <w:b w:val="1"/>
                <w:bCs w:val="1"/>
                <w:color w:val="auto"/>
                <w:w w:val="83"/>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587.9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964.4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1,149.9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Unbilled accounts receivables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1,799.5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1,773.1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3,969.7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4,192.1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2,240.5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2,216.0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Accumulated depreciation</w:t>
            </w:r>
          </w:p>
        </w:tc>
        <w:tc>
          <w:tcPr>
            <w:tcW w:w="20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(628.1)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(560.2)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8,309.9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8,360.6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3,935.4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4,104.0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2"/>
          </w:tcPr>
          <w:p>
            <w:pPr>
              <w:ind w:left="240"/>
              <w:spacing w:after="0"/>
              <w:rPr>
                <w:sz w:val="20"/>
                <w:szCs w:val="20"/>
                <w:color w:val="auto"/>
              </w:rPr>
            </w:pPr>
            <w:r>
              <w:rPr>
                <w:rFonts w:ascii="Arial" w:cs="Arial" w:eastAsia="Arial" w:hAnsi="Arial"/>
                <w:sz w:val="16"/>
                <w:szCs w:val="16"/>
                <w:color w:val="auto"/>
              </w:rPr>
              <w:t>Total other assets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12,883.3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13,096.3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18,465.4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18,944.2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spacing w:after="0" w:line="20" w:lineRule="exact"/>
              <w:rPr>
                <w:sz w:val="1"/>
                <w:szCs w:val="1"/>
                <w:color w:val="auto"/>
              </w:rPr>
            </w:pPr>
          </w:p>
        </w:tc>
        <w:tc>
          <w:tcPr>
            <w:tcW w:w="6800" w:type="dxa"/>
            <w:vAlign w:val="bottom"/>
            <w:tcBorders>
              <w:top w:val="single" w:sz="8" w:color="CCEEFF"/>
              <w:bottom w:val="single" w:sz="8" w:color="CCEEFF"/>
            </w:tcBorders>
            <w:vMerge w:val="restart"/>
          </w:tcPr>
          <w:p>
            <w:pPr>
              <w:jc w:val="center"/>
              <w:ind w:right="1639"/>
              <w:spacing w:after="0"/>
              <w:rPr>
                <w:sz w:val="20"/>
                <w:szCs w:val="20"/>
                <w:color w:val="auto"/>
              </w:rPr>
            </w:pPr>
            <w:r>
              <w:rPr>
                <w:rFonts w:ascii="Arial" w:cs="Arial" w:eastAsia="Arial" w:hAnsi="Arial"/>
                <w:sz w:val="16"/>
                <w:szCs w:val="16"/>
                <w:b w:val="1"/>
                <w:bCs w:val="1"/>
                <w:color w:val="auto"/>
                <w:w w:val="92"/>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68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1,006.0</w:t>
            </w:r>
          </w:p>
        </w:tc>
        <w:tc>
          <w:tcPr>
            <w:tcW w:w="1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1,157.5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Customer deposits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231.1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343.8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Accrued warranty</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697.1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2"/>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3,483.2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3,768.7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Accrued postretirement and pension benefits</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Contingent consideration</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297.6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long 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2"/>
          </w:tcPr>
          <w:p>
            <w:pPr>
              <w:ind w:left="4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8,584.8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8,950.6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15)</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850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w w:val="97"/>
              </w:rPr>
              <w:t>Convertible preferred stock, $.01 par value; 1.0 shares authorized, no shares issued and outstanding, at June 30, 2020 and</w:t>
            </w: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500" w:type="dxa"/>
            <w:vAlign w:val="bottom"/>
            <w:gridSpan w:val="2"/>
          </w:tcPr>
          <w:p>
            <w:pPr>
              <w:spacing w:after="0" w:line="166" w:lineRule="exact"/>
              <w:rPr>
                <w:sz w:val="20"/>
                <w:szCs w:val="20"/>
                <w:color w:val="auto"/>
              </w:rPr>
            </w:pPr>
            <w:r>
              <w:rPr>
                <w:rFonts w:ascii="Arial" w:cs="Arial" w:eastAsia="Arial" w:hAnsi="Arial"/>
                <w:sz w:val="16"/>
                <w:szCs w:val="16"/>
                <w:color w:val="auto"/>
                <w:w w:val="92"/>
              </w:rPr>
              <w:t>Common stock, $.01 par value; 500.0 shares authorized: 226.9 and 226.9 shares issued and 190.3 and 191.7 outstanding at June</w:t>
            </w:r>
          </w:p>
        </w:tc>
        <w:tc>
          <w:tcPr>
            <w:tcW w:w="200" w:type="dxa"/>
            <w:vAlign w:val="bottom"/>
          </w:tcPr>
          <w:p>
            <w:pPr>
              <w:spacing w:after="0"/>
              <w:rPr>
                <w:sz w:val="14"/>
                <w:szCs w:val="14"/>
                <w:color w:val="auto"/>
              </w:rPr>
            </w:pPr>
          </w:p>
        </w:tc>
        <w:tc>
          <w:tcPr>
            <w:tcW w:w="1100" w:type="dxa"/>
            <w:vAlign w:val="bottom"/>
            <w:vMerge w:val="restart"/>
          </w:tcPr>
          <w:p>
            <w:pPr>
              <w:jc w:val="right"/>
              <w:ind w:right="6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30, 2020 and December 31, 2019, respectively</w:t>
            </w: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7,871.7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7,877.2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Treasury stock, at cost, 36.6 and 35.2 shares, at June 30, 2020 and December 31, 2019, respectively</w:t>
            </w:r>
          </w:p>
        </w:tc>
        <w:tc>
          <w:tcPr>
            <w:tcW w:w="2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(909.3)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3,419.0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(537.8)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9,845.6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9,880.6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9,993.6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18,465.4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18,944.2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931" w:right="339" w:bottom="8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811"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3"/>
              </w:rPr>
              <w:t>Unaudited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3"/>
              </w:rPr>
              <w:t>Unaudited</w:t>
            </w:r>
          </w:p>
        </w:tc>
        <w:tc>
          <w:tcPr>
            <w:tcW w:w="84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2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6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4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Sales of goods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1,406.1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2,996.9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3,327.0</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Sales of services</w:t>
            </w: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331.3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670.4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502.9</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1,737.4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3,667.3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3,829.9</w:t>
            </w: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Cost of goods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(1,377.7)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(2,451.3)</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(189.4)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(374.9)</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2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(1,250.7)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(1,621.6)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(2,826.2)</w:t>
            </w:r>
          </w:p>
        </w:tc>
      </w:tr>
      <w:tr>
        <w:trPr>
          <w:trHeight w:val="237"/>
        </w:trPr>
        <w:tc>
          <w:tcPr>
            <w:tcW w:w="2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486.7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1,065.4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1,003.7</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(550.7)</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Engineering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(93.4)</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62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(735.8)</w:t>
            </w:r>
          </w:p>
        </w:tc>
      </w:tr>
      <w:tr>
        <w:trPr>
          <w:trHeight w:val="237"/>
        </w:trPr>
        <w:tc>
          <w:tcPr>
            <w:tcW w:w="2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159.4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267.9</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(103.0)</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2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158.8</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37"/>
        </w:trPr>
        <w:tc>
          <w:tcPr>
            <w:tcW w:w="20" w:type="dxa"/>
            <w:vAlign w:val="bottom"/>
          </w:tcPr>
          <w:p>
            <w:pPr>
              <w:spacing w:after="0"/>
              <w:rPr>
                <w:sz w:val="20"/>
                <w:szCs w:val="20"/>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98.8</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Less: Net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0.9</w:t>
            </w:r>
          </w:p>
        </w:tc>
      </w:tr>
      <w:tr>
        <w:trPr>
          <w:trHeight w:val="263"/>
        </w:trPr>
        <w:tc>
          <w:tcPr>
            <w:tcW w:w="20" w:type="dxa"/>
            <w:vAlign w:val="bottom"/>
          </w:tcPr>
          <w:p>
            <w:pPr>
              <w:spacing w:after="0"/>
              <w:rPr>
                <w:sz w:val="22"/>
                <w:szCs w:val="22"/>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86.8</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6200" w:type="dxa"/>
            <w:vAlign w:val="bottom"/>
            <w:gridSpan w:val="2"/>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0.46</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149.6</w:t>
            </w: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162.2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6"/>
              </w:rPr>
              <w:t>Unaudited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3"/>
              </w:rPr>
              <w:t>Unaudited</w:t>
            </w:r>
          </w:p>
        </w:tc>
        <w:tc>
          <w:tcPr>
            <w:tcW w:w="74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0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396"/>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Net income attributable to Wabtec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2"/>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99.7</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gain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r>
      <w:tr>
        <w:trPr>
          <w:trHeight w:val="243"/>
        </w:trPr>
        <w:tc>
          <w:tcPr>
            <w:tcW w:w="20" w:type="dxa"/>
            <w:vAlign w:val="bottom"/>
          </w:tcPr>
          <w:p>
            <w:pPr>
              <w:spacing w:after="0"/>
              <w:rPr>
                <w:sz w:val="21"/>
                <w:szCs w:val="21"/>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Unrealized loss on derivative contracts</w:t>
            </w:r>
          </w:p>
        </w:tc>
        <w:tc>
          <w:tcPr>
            <w:tcW w:w="24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Unrealized gain (loss) on pension benefit plans and post-retirement benefit plans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r>
      <w:tr>
        <w:trPr>
          <w:trHeight w:val="237"/>
        </w:trPr>
        <w:tc>
          <w:tcPr>
            <w:tcW w:w="20" w:type="dxa"/>
            <w:vAlign w:val="bottom"/>
          </w:tcPr>
          <w:p>
            <w:pPr>
              <w:spacing w:after="0"/>
              <w:rPr>
                <w:sz w:val="20"/>
                <w:szCs w:val="20"/>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before tax</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20.8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(156.1)</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(34.1)</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8"/>
              </w:rPr>
              <w:t>Income tax benefit (expense) related to components of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37"/>
        </w:trPr>
        <w:tc>
          <w:tcPr>
            <w:tcW w:w="20" w:type="dxa"/>
            <w:vAlign w:val="bottom"/>
          </w:tcPr>
          <w:p>
            <w:pPr>
              <w:spacing w:after="0"/>
              <w:rPr>
                <w:sz w:val="20"/>
                <w:szCs w:val="20"/>
                <w:color w:val="auto"/>
              </w:rPr>
            </w:pPr>
          </w:p>
        </w:tc>
        <w:tc>
          <w:tcPr>
            <w:tcW w:w="6660" w:type="dxa"/>
            <w:vAlign w:val="bottom"/>
            <w:gridSpan w:val="2"/>
          </w:tcPr>
          <w:p>
            <w:pPr>
              <w:ind w:left="2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(155.2)</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(32.6)</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6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income attributable to Wabtec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3"/>
              </w:rPr>
              <w:t>Unaudited</w:t>
            </w:r>
          </w:p>
        </w:tc>
        <w:tc>
          <w:tcPr>
            <w:tcW w:w="92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00" w:type="dxa"/>
            <w:vAlign w:val="bottom"/>
          </w:tcPr>
          <w:p>
            <w:pPr>
              <w:spacing w:after="0"/>
              <w:rPr>
                <w:sz w:val="14"/>
                <w:szCs w:val="14"/>
                <w:color w:val="auto"/>
              </w:rPr>
            </w:pPr>
          </w:p>
        </w:tc>
        <w:tc>
          <w:tcPr>
            <w:tcW w:w="10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6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98.8</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165.1</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23.9</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Below market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147.4</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21.4</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80.0</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443.8</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(2,981.6)</w:t>
            </w:r>
          </w:p>
        </w:tc>
      </w:tr>
      <w:tr>
        <w:trPr>
          <w:trHeight w:val="237"/>
        </w:trPr>
        <w:tc>
          <w:tcPr>
            <w:tcW w:w="20" w:type="dxa"/>
            <w:vAlign w:val="bottom"/>
          </w:tcPr>
          <w:p>
            <w:pPr>
              <w:spacing w:after="0"/>
              <w:rPr>
                <w:sz w:val="20"/>
                <w:szCs w:val="20"/>
                <w:color w:val="auto"/>
              </w:rPr>
            </w:pPr>
          </w:p>
        </w:tc>
        <w:tc>
          <w:tcPr>
            <w:tcW w:w="8500" w:type="dxa"/>
            <w:vAlign w:val="bottom"/>
            <w:gridSpan w:val="2"/>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(3,040.4)</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2,093.0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2,325.9</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Payments of debt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(1,552.1)</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Repurchase of stock</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Cash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Payment of contingent consideration on acquisitions</w:t>
            </w:r>
          </w:p>
        </w:tc>
        <w:tc>
          <w:tcPr>
            <w:tcW w:w="3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r>
      <w:tr>
        <w:trPr>
          <w:trHeight w:val="237"/>
        </w:trPr>
        <w:tc>
          <w:tcPr>
            <w:tcW w:w="20" w:type="dxa"/>
            <w:vAlign w:val="bottom"/>
          </w:tcPr>
          <w:p>
            <w:pPr>
              <w:spacing w:after="0"/>
              <w:rPr>
                <w:sz w:val="20"/>
                <w:szCs w:val="20"/>
                <w:color w:val="auto"/>
              </w:rPr>
            </w:pPr>
          </w:p>
        </w:tc>
        <w:tc>
          <w:tcPr>
            <w:tcW w:w="8500" w:type="dxa"/>
            <w:vAlign w:val="bottom"/>
            <w:gridSpan w:val="2"/>
          </w:tcPr>
          <w:p>
            <w:pPr>
              <w:ind w:left="720"/>
              <w:spacing w:after="0"/>
              <w:rPr>
                <w:sz w:val="20"/>
                <w:szCs w:val="20"/>
                <w:color w:val="auto"/>
              </w:rPr>
            </w:pPr>
            <w:r>
              <w:rPr>
                <w:rFonts w:ascii="Arial" w:cs="Arial" w:eastAsia="Arial" w:hAnsi="Arial"/>
                <w:sz w:val="18"/>
                <w:szCs w:val="18"/>
                <w:color w:val="auto"/>
              </w:rPr>
              <w:t>Net cash (used for) provided by financing activities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726.1</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changes in currency exchange rates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r>
      <w:tr>
        <w:trPr>
          <w:trHeight w:val="237"/>
        </w:trPr>
        <w:tc>
          <w:tcPr>
            <w:tcW w:w="20" w:type="dxa"/>
            <w:vAlign w:val="bottom"/>
          </w:tcPr>
          <w:p>
            <w:pPr>
              <w:spacing w:after="0"/>
              <w:rPr>
                <w:sz w:val="20"/>
                <w:szCs w:val="20"/>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Decrease in cash</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(1,881.1)</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2,342.4</w:t>
            </w:r>
          </w:p>
        </w:tc>
      </w:tr>
      <w:tr>
        <w:trPr>
          <w:trHeight w:val="264"/>
        </w:trPr>
        <w:tc>
          <w:tcPr>
            <w:tcW w:w="20" w:type="dxa"/>
            <w:vAlign w:val="bottom"/>
          </w:tcPr>
          <w:p>
            <w:pPr>
              <w:spacing w:after="0"/>
              <w:rPr>
                <w:sz w:val="22"/>
                <w:szCs w:val="22"/>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587.9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461.3</w:t>
            </w: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8"/>
              </w:rPr>
              <w:t>Common Stock</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87"/>
              </w:rPr>
              <w:t>Treasury Stock</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88"/>
              </w:rPr>
              <w:t>Accumulated Other</w:t>
            </w:r>
          </w:p>
        </w:tc>
        <w:tc>
          <w:tcPr>
            <w:tcW w:w="10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In millions,</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4"/>
                <w:szCs w:val="14"/>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6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2019</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7,877.2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3,267.0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(382.6)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9,993.6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Cash dividends ($0.12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Proceeds from treasury stock issued from the</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and other benefit</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(178.0)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2020</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226.9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7,875.0</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3,355.6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(560.6)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35.9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9,797.7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Cash dividends ($0.12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Proceeds from treasury stock issued from the</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and other benefit</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owner changes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Balance, June 30, 2020</w:t>
            </w:r>
          </w:p>
        </w:tc>
        <w:tc>
          <w:tcPr>
            <w:tcW w:w="10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226.9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7,871.7</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(36.6)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(909.3)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3,419.0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(537.8)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35.0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9,880.6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December 31, 2018</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914.6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3,022.0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Cash dividends ($0.12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Proceeds from treasury stock issued from the</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and other benefit</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Other comprehensive loss, net of tax</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(52.4)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Acquisitions, net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6,887.6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6,975.0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March 31, 2019</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198.1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7,796.3</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(807.2)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3,005.8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(309.0)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92.5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9,780.4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Cash dividends ($0.12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4"/>
              </w:rPr>
              <w:t>Proceeds from treasury stock issued from the</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and other benefit</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plans, net of tax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Other comprehensive income, net of tax</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19.8</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Acquisitions, net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auto"/>
              </w:rPr>
              <w:t>Other owner changes</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June 30, 2019</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7,807.1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(805.6)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3,087.3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9,834.9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 w:name="page8"/>
    <w:bookmarkEnd w:id="7"/>
    <w:p>
      <w:pPr>
        <w:jc w:val="center"/>
        <w:ind w:left="340" w:right="2660"/>
        <w:spacing w:after="0" w:line="289" w:lineRule="auto"/>
        <w:rPr>
          <w:sz w:val="20"/>
          <w:szCs w:val="20"/>
          <w:color w:val="auto"/>
        </w:rPr>
      </w:pPr>
      <w:r>
        <w:rPr>
          <w:rFonts w:ascii="Arial" w:cs="Arial" w:eastAsia="Arial" w:hAnsi="Arial"/>
          <w:sz w:val="17"/>
          <w:szCs w:val="17"/>
          <w:b w:val="1"/>
          <w:bCs w:val="1"/>
          <w:color w:val="auto"/>
        </w:rPr>
        <w:t>WESTINGHOUSE AIR BRAKE TECHNOLOGIES CORPORATION NOTES TO CONDENSED CONSOLIDATED FINANCIAL STATEMENTS FOR THE QUARTERLY PERIOD ENDED JUNE 30, 2020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Westinghouse Air Brake Technologies Corporation (“Wabtec” or the "Company")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2020, approximately 56% of the Company’s revenues came from customers outside the United States.</w:t>
      </w:r>
    </w:p>
    <w:p>
      <w:pPr>
        <w:spacing w:after="0" w:line="58"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taken to help curb the spread, including temporary plant closures in China, India, Italy and other countries where outbreaks and stay-at-home orders were most prevalent, had an adverse impact on our operations and business results for the first six months of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 particularly in light of the rapidly evolving COVID-19 pandemic that is impacting our sales channels, supply chain, manufacturing operations, workforce, or other key aspects of our operations and the high degree of uncertainty regarding the pandemic's duration and severity, actions to control it, and the potential impact on global economic activity, global supply chain operations and our customers, suppliers, and end-markets.</w:t>
      </w:r>
    </w:p>
    <w:p>
      <w:pPr>
        <w:spacing w:after="0" w:line="7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September 30, and December 31.</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2019. The December 31, 2019 information has been derived from the Company’s Annual Report on Form 10-K for the year ended December 31, 2019.</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w:t>
      </w:r>
    </w:p>
    <w:p>
      <w:pPr>
        <w:spacing w:after="0" w:line="117"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3"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A majority of the Company’s revenues are derived from performance obligations that are satisfied at a point in time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passes to the customer. The remaining revenues are earned over time. Generally, for performance obligations satisfied at a point in time control passes at the time of shipment in accordance with agreed upon delivery terms.</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8"/>
          <w:szCs w:val="18"/>
          <w:color w:val="auto"/>
        </w:rPr>
        <w:t>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84"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$108.1 million at June 30, 2020 and $109.4 million at December 31, 2019, respectively. Included in noncurrent contract assets are certain costs that are specifically related to a contract, however,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58"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$61.3 million at June 30, 2020 and $77.0 million at December 31, 2019.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$96.7 million and $118.5 million at June 30, 2020 and December 31, 2019, respectively. These provisions for estimated losses are classified as current liabilities and included within the caption “Other Accrued Liabilities” on the consolidated balance sheet.</w:t>
      </w:r>
    </w:p>
    <w:p>
      <w:pPr>
        <w:spacing w:after="0" w:line="7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0"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Generally, the Company’s revenue contains a single performance obligation for each distinct good;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color w:val="auto"/>
        </w:rPr>
        <w:t>Remaining performance obligations represent the transaction price of firm customer orders subject to standard industry cancellation provisions and substantial scope-of-work adjustments. As of June 30, 2020, the Company's remaining performance obligations were $20.5 billion. The Company expects to recognize revenue of approximately 25% of the remaining performance obligations over the next 12 months, with the remainder recognized thereafter.</w:t>
      </w:r>
    </w:p>
    <w:p>
      <w:pPr>
        <w:spacing w:after="0" w:line="41" w:lineRule="exact"/>
        <w:rPr>
          <w:sz w:val="20"/>
          <w:szCs w:val="20"/>
          <w:color w:val="auto"/>
        </w:rPr>
      </w:pPr>
    </w:p>
    <w:p>
      <w:pPr>
        <w:ind w:right="100" w:firstLine="486"/>
        <w:spacing w:after="0" w:line="292" w:lineRule="auto"/>
        <w:rPr>
          <w:sz w:val="20"/>
          <w:szCs w:val="20"/>
          <w:color w:val="auto"/>
        </w:rPr>
      </w:pPr>
      <w:r>
        <w:rPr>
          <w:rFonts w:ascii="Arial" w:cs="Arial" w:eastAsia="Arial" w:hAnsi="Arial"/>
          <w:sz w:val="16"/>
          <w:szCs w:val="16"/>
          <w:b w:val="1"/>
          <w:bCs w:val="1"/>
          <w:i w:val="1"/>
          <w:iCs w:val="1"/>
          <w:color w:val="auto"/>
        </w:rPr>
        <w:t xml:space="preserve">Revolving Receivables Program </w:t>
      </w:r>
      <w:r>
        <w:rPr>
          <w:rFonts w:ascii="Arial" w:cs="Arial" w:eastAsia="Arial" w:hAnsi="Arial"/>
          <w:sz w:val="16"/>
          <w:szCs w:val="16"/>
          <w:color w:val="auto"/>
        </w:rPr>
        <w:t>In May 2020, the Company entered into a revolving agreement to transfer up to $150.0 million of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of certain subsidiaries of the Company (the "Originators") through our bankruptcy-remote subsidiary to a financial institution on a recurring basis in exchange for cash equal to the gross receivables transferred. As customers pay their balances, we transfer additional receivables into the program, resulting in our gross receivables sold exceeding net cash flow impacts (e.g., collect and reinvest). Our bankruptcy-remote subsidiary holds additional receivables of $164.7 million at June 30, 2020 that are pledged as collateral under this agreement. The transfers are recorded at fair value of the proceeds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received and obligations assumed less derecognized receivables. No obligation was recorded at June 30, 2020 as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t>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the Originators, nor the bankruptcy remote subsidiary guarantees the collectability of the receivables under the revolving agreements.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receivables sold: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 June</w:t>
            </w:r>
          </w:p>
        </w:tc>
      </w:tr>
      <w:tr>
        <w:trPr>
          <w:trHeight w:val="158"/>
        </w:trPr>
        <w:tc>
          <w:tcPr>
            <w:tcW w:w="20" w:type="dxa"/>
            <w:vAlign w:val="bottom"/>
          </w:tcPr>
          <w:p>
            <w:pPr>
              <w:spacing w:after="0"/>
              <w:rPr>
                <w:sz w:val="13"/>
                <w:szCs w:val="13"/>
                <w:color w:val="auto"/>
              </w:rPr>
            </w:pPr>
          </w:p>
        </w:tc>
        <w:tc>
          <w:tcPr>
            <w:tcW w:w="94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3"/>
                <w:szCs w:val="13"/>
                <w:color w:val="auto"/>
              </w:rPr>
            </w:pPr>
          </w:p>
        </w:tc>
        <w:tc>
          <w:tcPr>
            <w:tcW w:w="1380" w:type="dxa"/>
            <w:vAlign w:val="bottom"/>
          </w:tcPr>
          <w:p>
            <w:pPr>
              <w:jc w:val="right"/>
              <w:ind w:right="535"/>
              <w:spacing w:after="0" w:line="158" w:lineRule="exact"/>
              <w:rPr>
                <w:sz w:val="20"/>
                <w:szCs w:val="20"/>
                <w:color w:val="auto"/>
              </w:rPr>
            </w:pPr>
            <w:r>
              <w:rPr>
                <w:rFonts w:ascii="Arial" w:cs="Arial" w:eastAsia="Arial" w:hAnsi="Arial"/>
                <w:sz w:val="14"/>
                <w:szCs w:val="14"/>
                <w:b w:val="1"/>
                <w:bCs w:val="1"/>
                <w:color w:val="auto"/>
              </w:rPr>
              <w:t>30, 2020</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receivables sold/cash proceeds received</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293.9</w:t>
            </w:r>
          </w:p>
        </w:tc>
      </w:tr>
      <w:tr>
        <w:trPr>
          <w:trHeight w:val="243"/>
        </w:trPr>
        <w:tc>
          <w:tcPr>
            <w:tcW w:w="20" w:type="dxa"/>
            <w:vAlign w:val="bottom"/>
          </w:tcPr>
          <w:p>
            <w:pPr>
              <w:spacing w:after="0"/>
              <w:rPr>
                <w:sz w:val="21"/>
                <w:szCs w:val="21"/>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Collections reinvested under revolving agreement</w:t>
            </w:r>
          </w:p>
        </w:tc>
        <w:tc>
          <w:tcPr>
            <w:tcW w:w="380" w:type="dxa"/>
            <w:vAlign w:val="bottom"/>
          </w:tcPr>
          <w:p>
            <w:pPr>
              <w:spacing w:after="0"/>
              <w:rPr>
                <w:sz w:val="21"/>
                <w:szCs w:val="21"/>
                <w:color w:val="auto"/>
              </w:rPr>
            </w:pP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193.9</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proceeds received (remitted)</w:t>
            </w: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Depreciation Expense </w:t>
      </w:r>
      <w:r>
        <w:rPr>
          <w:rFonts w:ascii="Arial" w:cs="Arial" w:eastAsia="Arial" w:hAnsi="Arial"/>
          <w:sz w:val="18"/>
          <w:szCs w:val="18"/>
          <w:color w:val="auto"/>
        </w:rPr>
        <w:t>Depreciation of property, plant and equipment related to the manufacturing of products or services provided is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Goods Sold or Cost of Services. Depreciation of other property, plant and equipment that is not attributable to the manufacturing of products or services provided is included in Selling, General and Administrative Expenses or Engineering Expense to the extent the property, plant, and equipment is used for research and development purposes.</w:t>
      </w:r>
    </w:p>
    <w:p>
      <w:pPr>
        <w:spacing w:after="0" w:line="7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b w:val="1"/>
          <w:bCs w:val="1"/>
          <w:i w:val="1"/>
          <w:iCs w:val="1"/>
          <w:color w:val="auto"/>
        </w:rPr>
        <w:t xml:space="preserve">Goodwill and Intangibles Assets </w:t>
      </w:r>
      <w:r>
        <w:rPr>
          <w:rFonts w:ascii="Arial" w:cs="Arial" w:eastAsia="Arial" w:hAnsi="Arial"/>
          <w:sz w:val="18"/>
          <w:szCs w:val="18"/>
          <w:color w:val="auto"/>
        </w:rPr>
        <w:t>Goodwill and other intangible assets with indefinite lives are not amortized. Other intangibles (with definite lives)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has identified three reporting units for purposes of testing goodwill for impairment. Two reporting units exist within the freight segment and the transit segment is also a reporting unit.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be performed.</w:t>
      </w:r>
    </w:p>
    <w:p>
      <w:pPr>
        <w:spacing w:after="0" w:line="84"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As a result of the COVID-19 pandemic and the uncertainty surrounding the global economy, the Company's stock price was highly volatile during the first six months of 2020. The Company considered the Company's stock price volatility combined with overall macroeconomic conditions and concluded that it was not more likely than not that the fair value of its three reporting units declined below their carrying value and therefore an interim quantitative impairment test was not required during the first six months of 2020. The present uncertainty surrounding the global economy due to the COVID-19 pandemic increases the likelihood that adverse changes could occur in key assumptions used to determine the fair value of reporting units like sales estimates, cost factors, discount rates and stock price resulting in interim quantitative goodwill impairment tests and non-cash goodwill impairments in future periods.</w:t>
      </w:r>
    </w:p>
    <w:p>
      <w:pPr>
        <w:spacing w:after="0" w:line="8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Also, as a result of the COVID-19 pandemic the Company reviewed indefinite-lived tradename intangible assets and concluded that it was not more likely than not that the fair value of such tradename assets were below their carrying value. However, uncertainty surrounding the impact of the COVID-19 pandemic increases the likelihood that adverse changes in key assumptions used to determine the fair value of indefinite-lived intangibles like sales estimates or discount rates could result in interim quantitative tradename impairments tests and non-cash tradename impairments in future periods. Additionally, uncertainty around the current macroeconomic environment could result in changes to the Company’s marketing and branding strategy which also could impact the carrying value or estimated useful lives of the Company’s tradenames.</w:t>
      </w:r>
    </w:p>
    <w:p>
      <w:pPr>
        <w:spacing w:after="0" w:line="70"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mitigate the impact of changes in foreign currency exchange rates and interest rates on earnings and cash flow. For further information regarding financial derivatives and hedging activities, refer to Notes 13 and 14.</w:t>
      </w:r>
    </w:p>
    <w:p>
      <w:pPr>
        <w:spacing w:after="0" w:line="76"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Certain of our international operations have determined that the local currency is the functional currency whereas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Accounting Standards Codification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ind w:right="280"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In December 2019, the Financial Accounting Standards Board ("FASB") issued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Update ("ASU") 2019-12, “Income Taxes: Simplifying the Accounting for Income Taxes.” The amendments in this update simplify the accounting for certain income tax transactions by removing specific exceptions to the general principles in Topic 740, Income Taxes. This guidance is effective for fiscal years beginning after December 15, 2020 with early adoption permitted. The Company is currently evaluating the potential impact of adopting this guidance on its consolidated financial statements.</w:t>
      </w:r>
    </w:p>
    <w:p>
      <w:pPr>
        <w:spacing w:after="0" w:line="8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b w:val="1"/>
          <w:bCs w:val="1"/>
          <w:i w:val="1"/>
          <w:iCs w:val="1"/>
          <w:color w:val="auto"/>
        </w:rPr>
        <w:t xml:space="preserve">Recently Adopted Accounting Pronouncements </w:t>
      </w:r>
      <w:r>
        <w:rPr>
          <w:rFonts w:ascii="Arial" w:cs="Arial" w:eastAsia="Arial" w:hAnsi="Arial"/>
          <w:sz w:val="17"/>
          <w:szCs w:val="17"/>
          <w:color w:val="auto"/>
        </w:rPr>
        <w:t>In June 2016, FASB issued ASU 2016-13, "Financial Instruments - Credit Losses (Topic 326):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Measurement of Credit Losses on Financial Instruments." This updated guidance sets forth a current expected credit loss model based on expected losses. Under this model, an entity recognizes an allowance for expected credit losses based on historical experience, current conditions and forecasted information rather than the current methodology of delaying recognition of credit losses until it is probable a loss has been incurred. This guidance became effective for the Company on January 1, 2020. The Company adopted this accounting standard at the beginning of the period. The impact of adopting the new standard was not material to the consolidated statement of income or the consolidated balance sheet.</w:t>
      </w:r>
    </w:p>
    <w:p>
      <w:pPr>
        <w:spacing w:after="0" w:line="70"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January 2017,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This guidance became effective for the Company on January 1, 2020. The adoption of this guidance had no impact on the Company, however, the amendments in this update could result in a change to the overall conclusion as to whether or not a reporting unit's goodwill is impaired and the amount of an impairment charge recognized in the event a reporting unit's carrying value exceeds its fair value.</w:t>
      </w:r>
    </w:p>
    <w:p>
      <w:pPr>
        <w:spacing w:after="0" w:line="87"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In March 2020, the SEC amended Rules 3-10 and 3-16 of Regulation S-X regarding financial disclosure requirements for registered debt offerings involving subsidiaries as either issuers or guarantors and affiliates whose securities are pledged as collateral. This new guidance narrows the circumstances that require separate financial statements of subsidiary issuers and guarantors and streamlines the alternative disclosures required in lieu of those statements. The final rule also allows for simplified disclosures to be included within Management’s Discussion and Analysis. This rule is effective January 4, 2021 with early adoption permitted. The Company elected to early adopt this rule during the three months ended June 30, 2020.</w:t>
      </w:r>
    </w:p>
    <w:p>
      <w:pPr>
        <w:spacing w:after="0" w:line="53"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and circumstances from nonowner sources.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changes in accumulated other comprehensive income (loss) by component, net of tax, for the six months ended June 30, 2020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00" w:type="dxa"/>
            <w:vAlign w:val="bottom"/>
          </w:tcPr>
          <w:p>
            <w:pPr>
              <w:spacing w:after="0"/>
              <w:rPr>
                <w:sz w:val="12"/>
                <w:szCs w:val="12"/>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72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8"/>
              </w:rPr>
              <w:t>contracts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1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3"/>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00" w:type="dxa"/>
            <w:vAlign w:val="bottom"/>
            <w:gridSpan w:val="2"/>
          </w:tcPr>
          <w:p>
            <w:pPr>
              <w:ind w:left="460"/>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gridSpan w:val="3"/>
          </w:tcPr>
          <w:p>
            <w:pPr>
              <w:ind w:left="20"/>
              <w:spacing w:after="0"/>
              <w:rPr>
                <w:sz w:val="20"/>
                <w:szCs w:val="20"/>
                <w:color w:val="auto"/>
              </w:rPr>
            </w:pPr>
            <w:r>
              <w:rPr>
                <w:rFonts w:ascii="Arial" w:cs="Arial" w:eastAsia="Arial" w:hAnsi="Arial"/>
                <w:sz w:val="18"/>
                <w:szCs w:val="18"/>
                <w:color w:val="auto"/>
              </w:rPr>
              <w:t>Balance at June 30, 2020</w:t>
            </w:r>
          </w:p>
        </w:tc>
        <w:tc>
          <w:tcPr>
            <w:tcW w:w="9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(537.8)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ind w:left="480"/>
        <w:spacing w:after="0"/>
        <w:rPr>
          <w:sz w:val="20"/>
          <w:szCs w:val="20"/>
          <w:color w:val="auto"/>
        </w:rPr>
      </w:pPr>
      <w:r>
        <w:rPr>
          <w:rFonts w:ascii="Arial" w:cs="Arial" w:eastAsia="Arial" w:hAnsi="Arial"/>
          <w:sz w:val="18"/>
          <w:szCs w:val="18"/>
          <w:color w:val="auto"/>
        </w:rPr>
        <w:t>Reclassifications out of accumulated other comprehensive income (loss) for the three months ended June 30, 2020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Amount reclassified from</w:t>
            </w: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58"/>
        </w:trPr>
        <w:tc>
          <w:tcPr>
            <w:tcW w:w="674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3"/>
                <w:szCs w:val="13"/>
                <w:color w:val="auto"/>
              </w:rPr>
            </w:pPr>
          </w:p>
        </w:tc>
        <w:tc>
          <w:tcPr>
            <w:tcW w:w="198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2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benefit plan items</w:t>
            </w: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center"/>
              <w:ind w:left="1357"/>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77"/>
              <w:spacing w:after="0"/>
              <w:rPr>
                <w:sz w:val="20"/>
                <w:szCs w:val="20"/>
                <w:color w:val="auto"/>
              </w:rPr>
            </w:pPr>
            <w:r>
              <w:rPr>
                <w:rFonts w:ascii="Arial" w:cs="Arial" w:eastAsia="Arial" w:hAnsi="Arial"/>
                <w:sz w:val="18"/>
                <w:szCs w:val="18"/>
                <w:color w:val="auto"/>
                <w:w w:val="95"/>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center"/>
              <w:ind w:left="1377"/>
              <w:spacing w:after="0"/>
              <w:rPr>
                <w:sz w:val="20"/>
                <w:szCs w:val="20"/>
                <w:color w:val="auto"/>
              </w:rPr>
            </w:pPr>
            <w:r>
              <w:rPr>
                <w:rFonts w:ascii="Arial" w:cs="Arial" w:eastAsia="Arial" w:hAnsi="Arial"/>
                <w:sz w:val="18"/>
                <w:szCs w:val="18"/>
                <w:color w:val="auto"/>
                <w:w w:val="95"/>
              </w:rPr>
              <w:t>1.0</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57"/>
              <w:spacing w:after="0"/>
              <w:rPr>
                <w:sz w:val="20"/>
                <w:szCs w:val="20"/>
                <w:color w:val="auto"/>
              </w:rPr>
            </w:pPr>
            <w:r>
              <w:rPr>
                <w:rFonts w:ascii="Arial" w:cs="Arial" w:eastAsia="Arial" w:hAnsi="Arial"/>
                <w:sz w:val="18"/>
                <w:szCs w:val="18"/>
                <w:color w:val="auto"/>
                <w:w w:val="91"/>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center"/>
              <w:ind w:left="1377"/>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1180" w:type="dxa"/>
            <w:vAlign w:val="bottom"/>
            <w:gridSpan w:val="6"/>
          </w:tcPr>
          <w:p>
            <w:pPr>
              <w:ind w:left="460"/>
              <w:spacing w:after="0"/>
              <w:rPr>
                <w:sz w:val="20"/>
                <w:szCs w:val="20"/>
                <w:color w:val="auto"/>
              </w:rPr>
            </w:pPr>
            <w:r>
              <w:rPr>
                <w:rFonts w:ascii="Arial" w:cs="Arial" w:eastAsia="Arial" w:hAnsi="Arial"/>
                <w:sz w:val="18"/>
                <w:szCs w:val="18"/>
                <w:color w:val="auto"/>
              </w:rPr>
              <w:t>Reclassifications out of accumulated other comprehensive income (loss) for the six months ended June 30, 2020 are as follows:</w:t>
            </w: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Amount reclassified from</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58"/>
        </w:trPr>
        <w:tc>
          <w:tcPr>
            <w:tcW w:w="674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3"/>
                <w:szCs w:val="13"/>
                <w:color w:val="auto"/>
              </w:rPr>
            </w:pPr>
          </w:p>
        </w:tc>
        <w:tc>
          <w:tcPr>
            <w:tcW w:w="198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2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benefit plan items</w:t>
            </w: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center"/>
              <w:ind w:left="1357"/>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77"/>
              <w:spacing w:after="0"/>
              <w:rPr>
                <w:sz w:val="20"/>
                <w:szCs w:val="20"/>
                <w:color w:val="auto"/>
              </w:rPr>
            </w:pPr>
            <w:r>
              <w:rPr>
                <w:rFonts w:ascii="Arial" w:cs="Arial" w:eastAsia="Arial" w:hAnsi="Arial"/>
                <w:sz w:val="18"/>
                <w:szCs w:val="18"/>
                <w:color w:val="auto"/>
                <w:w w:val="95"/>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36"/>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center"/>
              <w:ind w:left="1377"/>
              <w:spacing w:after="0"/>
              <w:rPr>
                <w:sz w:val="20"/>
                <w:szCs w:val="20"/>
                <w:color w:val="auto"/>
              </w:rPr>
            </w:pPr>
            <w:r>
              <w:rPr>
                <w:rFonts w:ascii="Arial" w:cs="Arial" w:eastAsia="Arial" w:hAnsi="Arial"/>
                <w:sz w:val="18"/>
                <w:szCs w:val="18"/>
                <w:color w:val="auto"/>
                <w:w w:val="95"/>
              </w:rPr>
              <w:t>2.0</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57"/>
              <w:spacing w:after="0"/>
              <w:rPr>
                <w:sz w:val="20"/>
                <w:szCs w:val="20"/>
                <w:color w:val="auto"/>
              </w:rPr>
            </w:pPr>
            <w:r>
              <w:rPr>
                <w:rFonts w:ascii="Arial" w:cs="Arial" w:eastAsia="Arial" w:hAnsi="Arial"/>
                <w:sz w:val="18"/>
                <w:szCs w:val="18"/>
                <w:color w:val="auto"/>
                <w:w w:val="91"/>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center"/>
              <w:ind w:left="1377"/>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97" w:right="359" w:bottom="1440" w:gutter="0" w:footer="0" w:header="0"/>
        </w:sectPr>
      </w:pPr>
    </w:p>
    <w:bookmarkStart w:id="12" w:name="page13"/>
    <w:bookmarkEnd w:id="12"/>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six months ended June 30, 2019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Pension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1"/>
              </w:rPr>
              <w:t>post</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retirement</w:t>
            </w: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2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3"/>
                <w:szCs w:val="13"/>
                <w:color w:val="auto"/>
              </w:rPr>
            </w:pPr>
          </w:p>
        </w:tc>
        <w:tc>
          <w:tcPr>
            <w:tcW w:w="11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3"/>
                <w:szCs w:val="13"/>
                <w:color w:val="auto"/>
              </w:rPr>
            </w:pPr>
          </w:p>
        </w:tc>
        <w:tc>
          <w:tcPr>
            <w:tcW w:w="13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benefit plans</w:t>
            </w: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(54.3)</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1"/>
                <w:szCs w:val="21"/>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Balance at June 30, 2019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loss for the three months ended June 30, 2019 are as follows: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 reclassified from</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58"/>
        </w:trPr>
        <w:tc>
          <w:tcPr>
            <w:tcW w:w="674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3"/>
                <w:szCs w:val="13"/>
                <w:color w:val="auto"/>
              </w:rPr>
            </w:pPr>
          </w:p>
        </w:tc>
        <w:tc>
          <w:tcPr>
            <w:tcW w:w="2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benefit plan items</w:t>
            </w: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center"/>
              <w:ind w:left="1357"/>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77"/>
              <w:spacing w:after="0"/>
              <w:rPr>
                <w:sz w:val="20"/>
                <w:szCs w:val="20"/>
                <w:color w:val="auto"/>
              </w:rPr>
            </w:pPr>
            <w:r>
              <w:rPr>
                <w:rFonts w:ascii="Arial" w:cs="Arial" w:eastAsia="Arial" w:hAnsi="Arial"/>
                <w:sz w:val="18"/>
                <w:szCs w:val="18"/>
                <w:color w:val="auto"/>
                <w:w w:val="95"/>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36"/>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center"/>
              <w:ind w:left="1377"/>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57"/>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center"/>
              <w:ind w:left="1377"/>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020" w:type="dxa"/>
            <w:vAlign w:val="bottom"/>
            <w:gridSpan w:val="5"/>
          </w:tcPr>
          <w:p>
            <w:pPr>
              <w:ind w:left="460"/>
              <w:spacing w:after="0"/>
              <w:rPr>
                <w:sz w:val="20"/>
                <w:szCs w:val="20"/>
                <w:color w:val="auto"/>
              </w:rPr>
            </w:pPr>
            <w:r>
              <w:rPr>
                <w:rFonts w:ascii="Arial" w:cs="Arial" w:eastAsia="Arial" w:hAnsi="Arial"/>
                <w:sz w:val="18"/>
                <w:szCs w:val="18"/>
                <w:color w:val="auto"/>
                <w:w w:val="90"/>
              </w:rPr>
              <w:t>Reclassifications out of accumulated other comprehensive loss for the six months ended June 30, 2019 are as follows:</w:t>
            </w:r>
          </w:p>
        </w:tc>
        <w:tc>
          <w:tcPr>
            <w:tcW w:w="21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 reclassified from</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58"/>
        </w:trPr>
        <w:tc>
          <w:tcPr>
            <w:tcW w:w="674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3"/>
                <w:szCs w:val="13"/>
                <w:color w:val="auto"/>
              </w:rPr>
            </w:pPr>
          </w:p>
        </w:tc>
        <w:tc>
          <w:tcPr>
            <w:tcW w:w="2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benefit plan items</w:t>
            </w: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center"/>
              <w:ind w:left="1357"/>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77"/>
              <w:spacing w:after="0"/>
              <w:rPr>
                <w:sz w:val="20"/>
                <w:szCs w:val="20"/>
                <w:color w:val="auto"/>
              </w:rPr>
            </w:pPr>
            <w:r>
              <w:rPr>
                <w:rFonts w:ascii="Arial" w:cs="Arial" w:eastAsia="Arial" w:hAnsi="Arial"/>
                <w:sz w:val="18"/>
                <w:szCs w:val="18"/>
                <w:color w:val="auto"/>
                <w:w w:val="95"/>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center"/>
              <w:ind w:left="1377"/>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57"/>
              <w:spacing w:after="0"/>
              <w:rPr>
                <w:sz w:val="20"/>
                <w:szCs w:val="20"/>
                <w:color w:val="auto"/>
              </w:rPr>
            </w:pPr>
            <w:r>
              <w:rPr>
                <w:rFonts w:ascii="Arial" w:cs="Arial" w:eastAsia="Arial" w:hAnsi="Arial"/>
                <w:sz w:val="18"/>
                <w:szCs w:val="18"/>
                <w:color w:val="auto"/>
                <w:w w:val="91"/>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r>
      <w:tr>
        <w:trPr>
          <w:trHeight w:val="263"/>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center"/>
              <w:ind w:left="1377"/>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Electric Transportation</w:t>
      </w:r>
    </w:p>
    <w:p>
      <w:pPr>
        <w:spacing w:after="0" w:line="117" w:lineRule="exact"/>
        <w:rPr>
          <w:sz w:val="20"/>
          <w:szCs w:val="20"/>
          <w:color w:val="auto"/>
        </w:rPr>
      </w:pPr>
    </w:p>
    <w:p>
      <w:pPr>
        <w:ind w:right="240" w:firstLine="357"/>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composed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spacing w:after="0" w:line="301" w:lineRule="auto"/>
        <w:rPr>
          <w:sz w:val="20"/>
          <w:szCs w:val="20"/>
          <w:color w:val="auto"/>
        </w:rPr>
      </w:pPr>
      <w:r>
        <w:rPr>
          <w:rFonts w:ascii="Arial" w:cs="Arial" w:eastAsia="Arial" w:hAnsi="Arial"/>
          <w:sz w:val="16"/>
          <w:szCs w:val="16"/>
          <w:color w:val="auto"/>
        </w:rPr>
        <w:t>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49"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stockholders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0" w:lineRule="exact"/>
        <w:rPr>
          <w:sz w:val="20"/>
          <w:szCs w:val="20"/>
          <w:color w:val="auto"/>
        </w:rPr>
      </w:pPr>
    </w:p>
    <w:p>
      <w:pPr>
        <w:ind w:right="240" w:firstLine="486"/>
        <w:spacing w:after="0" w:line="271" w:lineRule="auto"/>
        <w:rPr>
          <w:sz w:val="20"/>
          <w:szCs w:val="20"/>
          <w:color w:val="auto"/>
        </w:rPr>
      </w:pPr>
      <w:r>
        <w:rPr>
          <w:rFonts w:ascii="Arial" w:cs="Arial" w:eastAsia="Arial" w:hAnsi="Arial"/>
          <w:sz w:val="17"/>
          <w:szCs w:val="17"/>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70" w:lineRule="exact"/>
        <w:rPr>
          <w:sz w:val="20"/>
          <w:szCs w:val="20"/>
          <w:color w:val="auto"/>
        </w:rPr>
      </w:pPr>
    </w:p>
    <w:p>
      <w:pPr>
        <w:ind w:right="280" w:firstLine="486"/>
        <w:spacing w:after="0" w:line="296"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and Direct Sale Purchaser, which also is Wabtec’s wholly owned subsidiary, together, SpinCo and Direct Sale Purchaser own and operate the post-transaction GE Transportation. All shares of the Company’s common stock, including those issued in the 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53"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which converted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5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 GE Transportation. The total value of the consideration paid, and to be paid, by Wabtec in the acquisition transactions is approximately $10.3 billion, including the cash paid for the Direct Sales Assets, equity transferred for SpinCo, contingent consideration, assumed debt and net of cash acquired. The consideration is based on the Company’s closing share price of $73.36 on February 22, 2019 and the fair value of the contingent consideration.</w:t>
      </w:r>
    </w:p>
    <w:p>
      <w:pPr>
        <w:spacing w:after="0" w:line="56"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Discounted cash flow models were used to estimate the fair values of acquired contract backlog, customer relationships, intellectual property intangibles, and below-market customer contracts liabilities. The fair value measurements were primarily based on significant inputs that are not observable in the market and are considered Level 3. The noncontrolling interest includes equity interests in GE Transportation's Brazil operations held by third parties on the date of acquisition. At the time of acquisition, quotable market prices of the noncontrolling interest existed; therefore, the noncontrolling interest in the GE Transportation Brazil operations were measured using a Level 1 input. In April 2019, the Company acquired the noncontrolling interest in GE Transportation's Brazil operations for $56.2 million which approximated the fair value assigned to the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noncontrolling interest on the date of acquisition. The remaining noncontrolling interest value was determined based on inputs that are not observable in the market and are considered Level 3.</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final fair value of the GE Transportation assets acquired and liabilities assumed: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177.2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541.3</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1,189.7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1,088.6</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5,978.0</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55.0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550.0</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1,180.0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Backlog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1,450.0</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321.2</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12,602.5</w:t>
            </w:r>
          </w:p>
        </w:tc>
      </w:tr>
      <w:tr>
        <w:trPr>
          <w:trHeight w:val="243"/>
        </w:trPr>
        <w:tc>
          <w:tcPr>
            <w:tcW w:w="994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1,594.2</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440.0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661.0</w:t>
            </w:r>
          </w:p>
        </w:tc>
      </w:tr>
      <w:tr>
        <w:trPr>
          <w:trHeight w:val="237"/>
        </w:trPr>
        <w:tc>
          <w:tcPr>
            <w:tcW w:w="994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2,695.2</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9,907.3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94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88.3</w:t>
            </w:r>
          </w:p>
        </w:tc>
      </w:tr>
    </w:tbl>
    <w:p>
      <w:pPr>
        <w:spacing w:after="0" w:line="175" w:lineRule="exact"/>
        <w:rPr>
          <w:sz w:val="20"/>
          <w:szCs w:val="20"/>
          <w:color w:val="auto"/>
        </w:rPr>
      </w:pPr>
    </w:p>
    <w:p>
      <w:pPr>
        <w:ind w:right="300" w:firstLine="486"/>
        <w:spacing w:after="0" w:line="273" w:lineRule="auto"/>
        <w:rPr>
          <w:sz w:val="20"/>
          <w:szCs w:val="20"/>
          <w:color w:val="auto"/>
        </w:rPr>
      </w:pPr>
      <w:r>
        <w:rPr>
          <w:rFonts w:ascii="Arial" w:cs="Arial" w:eastAsia="Arial" w:hAnsi="Arial"/>
          <w:sz w:val="17"/>
          <w:szCs w:val="17"/>
          <w:color w:val="auto"/>
        </w:rPr>
        <w:t>The revisions to the initial estimates were based on information that existed at the date of acquisition. Substantially all of the accounts receivable acquired are expected to be collectible. Trade names, customer relationships, patents and backlog intangible assets are all subject to amortization. Contingent liabilities assumed as part of the transaction were not material. The contingent liabilities are related to legal and tax matters. Contingent liabilities are recorded at fair value in purchase accounting, aside from those pertaining to uncertainty in income taxes which are an exception to the fair value basis of accounting. Included in other noncurrent liabilities are approximately $524.6 million of customer contracts whose terms are unfavorable compared to market terms at the date of consummation of the GE Transportation acquisition.</w:t>
      </w:r>
    </w:p>
    <w:p>
      <w:pPr>
        <w:spacing w:after="0" w:line="7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that are expected to be achieved as a result of the consummation of the acquisition of GE Transportation. A majority of the purchased goodwill is deductible for tax purposes. The goodwill has been allocated to the Freight segment.</w:t>
      </w:r>
    </w:p>
    <w:p>
      <w:pPr>
        <w:spacing w:after="0" w:line="7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Costs related to the acquisition and integration of GE Transportation were approximately $21.6 million for the six months ended June 30, 2020 and are included in selling, general and administrative expenses on the consolidated statements of income.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ind w:right="160" w:firstLine="486"/>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GET acquisition listed above had occurred on January 1, 2019: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220" w:type="dxa"/>
            <w:vAlign w:val="bottom"/>
          </w:tcPr>
          <w:p>
            <w:pPr>
              <w:spacing w:after="0"/>
              <w:rPr>
                <w:sz w:val="14"/>
                <w:szCs w:val="14"/>
                <w:color w:val="auto"/>
              </w:rPr>
            </w:pPr>
          </w:p>
        </w:tc>
        <w:tc>
          <w:tcPr>
            <w:tcW w:w="142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w w:val="93"/>
              </w:rPr>
              <w:t>Six Months Ended</w:t>
            </w:r>
          </w:p>
        </w:tc>
      </w:tr>
      <w:tr>
        <w:trPr>
          <w:trHeight w:val="158"/>
        </w:trPr>
        <w:tc>
          <w:tcPr>
            <w:tcW w:w="20" w:type="dxa"/>
            <w:vAlign w:val="bottom"/>
          </w:tcPr>
          <w:p>
            <w:pPr>
              <w:spacing w:after="0"/>
              <w:rPr>
                <w:sz w:val="13"/>
                <w:szCs w:val="13"/>
                <w:color w:val="auto"/>
              </w:rPr>
            </w:pPr>
          </w:p>
        </w:tc>
        <w:tc>
          <w:tcPr>
            <w:tcW w:w="434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140" w:type="dxa"/>
            <w:vAlign w:val="bottom"/>
          </w:tcPr>
          <w:p>
            <w:pPr>
              <w:spacing w:after="0"/>
              <w:rPr>
                <w:sz w:val="13"/>
                <w:szCs w:val="13"/>
                <w:color w:val="auto"/>
              </w:rPr>
            </w:pPr>
          </w:p>
        </w:tc>
        <w:tc>
          <w:tcPr>
            <w:tcW w:w="16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June 30, 2020</w:t>
            </w:r>
          </w:p>
        </w:tc>
        <w:tc>
          <w:tcPr>
            <w:tcW w:w="140" w:type="dxa"/>
            <w:vAlign w:val="bottom"/>
          </w:tcPr>
          <w:p>
            <w:pPr>
              <w:spacing w:after="0"/>
              <w:rPr>
                <w:sz w:val="13"/>
                <w:szCs w:val="13"/>
                <w:color w:val="auto"/>
              </w:rPr>
            </w:pPr>
          </w:p>
        </w:tc>
        <w:tc>
          <w:tcPr>
            <w:tcW w:w="16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June 30, 2019</w:t>
            </w:r>
          </w:p>
        </w:tc>
        <w:tc>
          <w:tcPr>
            <w:tcW w:w="180" w:type="dxa"/>
            <w:vAlign w:val="bottom"/>
          </w:tcPr>
          <w:p>
            <w:pPr>
              <w:spacing w:after="0"/>
              <w:rPr>
                <w:sz w:val="13"/>
                <w:szCs w:val="13"/>
                <w:color w:val="auto"/>
              </w:rPr>
            </w:pPr>
          </w:p>
        </w:tc>
        <w:tc>
          <w:tcPr>
            <w:tcW w:w="1560" w:type="dxa"/>
            <w:vAlign w:val="bottom"/>
            <w:gridSpan w:val="4"/>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June 30, 2020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13"/>
              <w:spacing w:after="0" w:line="158" w:lineRule="exact"/>
              <w:rPr>
                <w:sz w:val="20"/>
                <w:szCs w:val="20"/>
                <w:color w:val="auto"/>
              </w:rPr>
            </w:pPr>
            <w:r>
              <w:rPr>
                <w:rFonts w:ascii="Arial" w:cs="Arial" w:eastAsia="Arial" w:hAnsi="Arial"/>
                <w:sz w:val="14"/>
                <w:szCs w:val="14"/>
                <w:b w:val="1"/>
                <w:bCs w:val="1"/>
                <w:color w:val="auto"/>
                <w:w w:val="96"/>
              </w:rPr>
              <w:t>June 30, 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3,667.3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4,305.5</w:t>
            </w:r>
          </w:p>
        </w:tc>
      </w:tr>
      <w:tr>
        <w:trPr>
          <w:trHeight w:val="243"/>
        </w:trPr>
        <w:tc>
          <w:tcPr>
            <w:tcW w:w="20" w:type="dxa"/>
            <w:vAlign w:val="bottom"/>
          </w:tcPr>
          <w:p>
            <w:pPr>
              <w:spacing w:after="0"/>
              <w:rPr>
                <w:sz w:val="21"/>
                <w:szCs w:val="21"/>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614.7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1,065.4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1,069.0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50.4</w:t>
            </w:r>
          </w:p>
        </w:tc>
      </w:tr>
      <w:tr>
        <w:trPr>
          <w:trHeight w:val="243"/>
        </w:trPr>
        <w:tc>
          <w:tcPr>
            <w:tcW w:w="20" w:type="dxa"/>
            <w:vAlign w:val="bottom"/>
          </w:tcPr>
          <w:p>
            <w:pPr>
              <w:spacing w:after="0"/>
              <w:rPr>
                <w:sz w:val="21"/>
                <w:szCs w:val="21"/>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0.61</w:t>
            </w:r>
          </w:p>
        </w:tc>
      </w:tr>
      <w:tr>
        <w:trPr>
          <w:trHeight w:val="243"/>
        </w:trPr>
        <w:tc>
          <w:tcPr>
            <w:tcW w:w="20" w:type="dxa"/>
            <w:vAlign w:val="bottom"/>
          </w:tcPr>
          <w:p>
            <w:pPr>
              <w:spacing w:after="0"/>
              <w:rPr>
                <w:sz w:val="21"/>
                <w:szCs w:val="21"/>
                <w:color w:val="auto"/>
              </w:rPr>
            </w:pPr>
          </w:p>
        </w:tc>
        <w:tc>
          <w:tcPr>
            <w:tcW w:w="4340" w:type="dxa"/>
            <w:vAlign w:val="bottom"/>
            <w:gridSpan w:val="3"/>
          </w:tcPr>
          <w:p>
            <w:pPr>
              <w:ind w:left="200"/>
              <w:spacing w:after="0"/>
              <w:rPr>
                <w:sz w:val="20"/>
                <w:szCs w:val="20"/>
                <w:color w:val="auto"/>
              </w:rPr>
            </w:pPr>
            <w:r>
              <w:rPr>
                <w:rFonts w:ascii="Arial" w:cs="Arial" w:eastAsia="Arial" w:hAnsi="Arial"/>
                <w:sz w:val="18"/>
                <w:szCs w:val="18"/>
                <w:color w:val="auto"/>
              </w:rPr>
              <w:t>Pro forma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0.26</w:t>
            </w:r>
          </w:p>
        </w:tc>
      </w:tr>
      <w:tr>
        <w:trPr>
          <w:trHeight w:val="594"/>
        </w:trPr>
        <w:tc>
          <w:tcPr>
            <w:tcW w:w="4360" w:type="dxa"/>
            <w:vAlign w:val="bottom"/>
            <w:gridSpan w:val="4"/>
          </w:tcPr>
          <w:p>
            <w:pPr>
              <w:spacing w:after="0"/>
              <w:rPr>
                <w:sz w:val="20"/>
                <w:szCs w:val="20"/>
                <w:color w:val="auto"/>
              </w:rPr>
            </w:pPr>
            <w:r>
              <w:rPr>
                <w:rFonts w:ascii="Arial" w:cs="Arial" w:eastAsia="Arial" w:hAnsi="Arial"/>
                <w:sz w:val="18"/>
                <w:szCs w:val="18"/>
                <w:b w:val="1"/>
                <w:bCs w:val="1"/>
                <w:color w:val="auto"/>
              </w:rPr>
              <w:t>4. INVENTORIES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340" w:type="dxa"/>
            <w:vAlign w:val="bottom"/>
            <w:gridSpan w:val="3"/>
          </w:tcPr>
          <w:p>
            <w:pPr>
              <w:ind w:left="480"/>
              <w:spacing w:after="0"/>
              <w:rPr>
                <w:sz w:val="20"/>
                <w:szCs w:val="20"/>
                <w:color w:val="auto"/>
              </w:rPr>
            </w:pPr>
            <w:r>
              <w:rPr>
                <w:rFonts w:ascii="Arial" w:cs="Arial" w:eastAsia="Arial" w:hAnsi="Arial"/>
                <w:sz w:val="18"/>
                <w:szCs w:val="18"/>
                <w:color w:val="auto"/>
                <w:w w:val="92"/>
              </w:rPr>
              <w:t>The components of inventory, net of reserves, were:</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r>
      <w:tr>
        <w:trPr>
          <w:trHeight w:val="158"/>
        </w:trPr>
        <w:tc>
          <w:tcPr>
            <w:tcW w:w="20" w:type="dxa"/>
            <w:vAlign w:val="bottom"/>
          </w:tcPr>
          <w:p>
            <w:pPr>
              <w:spacing w:after="0"/>
              <w:rPr>
                <w:sz w:val="13"/>
                <w:szCs w:val="13"/>
                <w:color w:val="auto"/>
              </w:rPr>
            </w:pPr>
          </w:p>
        </w:tc>
        <w:tc>
          <w:tcPr>
            <w:tcW w:w="434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33"/>
              <w:spacing w:after="0" w:line="158"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724.6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786.4</w:t>
            </w:r>
          </w:p>
        </w:tc>
      </w:tr>
      <w:tr>
        <w:trPr>
          <w:trHeight w:val="243"/>
        </w:trPr>
        <w:tc>
          <w:tcPr>
            <w:tcW w:w="20" w:type="dxa"/>
            <w:vAlign w:val="bottom"/>
          </w:tcPr>
          <w:p>
            <w:pPr>
              <w:spacing w:after="0"/>
              <w:rPr>
                <w:sz w:val="21"/>
                <w:szCs w:val="21"/>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Work-in-progress</w:t>
            </w: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8"/>
                <w:szCs w:val="18"/>
                <w:color w:val="auto"/>
              </w:rPr>
              <w:t>414.8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374.0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660.1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612.7</w:t>
            </w:r>
          </w:p>
        </w:tc>
      </w:tr>
      <w:tr>
        <w:trPr>
          <w:trHeight w:val="264"/>
        </w:trPr>
        <w:tc>
          <w:tcPr>
            <w:tcW w:w="20" w:type="dxa"/>
            <w:vAlign w:val="bottom"/>
          </w:tcPr>
          <w:p>
            <w:pPr>
              <w:spacing w:after="0"/>
              <w:rPr>
                <w:sz w:val="22"/>
                <w:szCs w:val="22"/>
                <w:color w:val="auto"/>
              </w:rPr>
            </w:pPr>
          </w:p>
        </w:tc>
        <w:tc>
          <w:tcPr>
            <w:tcW w:w="4340" w:type="dxa"/>
            <w:vAlign w:val="bottom"/>
            <w:gridSpan w:val="3"/>
          </w:tcPr>
          <w:p>
            <w:pPr>
              <w:ind w:left="480"/>
              <w:spacing w:after="0"/>
              <w:rPr>
                <w:sz w:val="20"/>
                <w:szCs w:val="20"/>
                <w:color w:val="auto"/>
              </w:rPr>
            </w:pPr>
            <w:r>
              <w:rPr>
                <w:rFonts w:ascii="Arial" w:cs="Arial" w:eastAsia="Arial" w:hAnsi="Arial"/>
                <w:sz w:val="18"/>
                <w:szCs w:val="18"/>
                <w:color w:val="auto"/>
              </w:rPr>
              <w:t>Total inventories</w:t>
            </w: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1,799.5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1,773.1</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six months ended June 30, 2020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Freight Segment</w:t>
            </w: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Transit Segment</w:t>
            </w:r>
          </w:p>
        </w:tc>
        <w:tc>
          <w:tcPr>
            <w:tcW w:w="300" w:type="dxa"/>
            <w:vAlign w:val="bottom"/>
          </w:tcPr>
          <w:p>
            <w:pPr>
              <w:spacing w:after="0"/>
              <w:rPr>
                <w:sz w:val="14"/>
                <w:szCs w:val="14"/>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6,876.6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8,360.6</w:t>
            </w:r>
          </w:p>
        </w:tc>
      </w:tr>
      <w:tr>
        <w:trPr>
          <w:trHeight w:val="243"/>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Additions / opening balance sheet adjustments</w:t>
            </w: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(3.5)</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w:t>
            </w:r>
          </w:p>
        </w:tc>
      </w:tr>
      <w:tr>
        <w:trPr>
          <w:trHeight w:val="263"/>
        </w:trPr>
        <w:tc>
          <w:tcPr>
            <w:tcW w:w="20" w:type="dxa"/>
            <w:vAlign w:val="bottom"/>
          </w:tcPr>
          <w:p>
            <w:pPr>
              <w:spacing w:after="0"/>
              <w:rPr>
                <w:sz w:val="22"/>
                <w:szCs w:val="22"/>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Balance at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6,836.3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1,473.6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8,309.9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As of June 30, 2020 and December 31, 2019, the Company’s trade names had a net carrying amount of $614.3 million and $623.1 million, respectively. The Company believes these intangibles have indefinite lives, with the exception of the right to use the GE Transportation trade name, to which the Company has assigned a useful life of 5 years.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of the Company, other than goodwill and trade names,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December 31,</w:t>
            </w:r>
          </w:p>
        </w:tc>
      </w:tr>
      <w:tr>
        <w:trPr>
          <w:trHeight w:val="158"/>
        </w:trPr>
        <w:tc>
          <w:tcPr>
            <w:tcW w:w="20" w:type="dxa"/>
            <w:vAlign w:val="bottom"/>
          </w:tcPr>
          <w:p>
            <w:pPr>
              <w:spacing w:after="0"/>
              <w:rPr>
                <w:sz w:val="13"/>
                <w:szCs w:val="13"/>
                <w:color w:val="auto"/>
              </w:rPr>
            </w:pPr>
          </w:p>
        </w:tc>
        <w:tc>
          <w:tcPr>
            <w:tcW w:w="8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060" w:type="dxa"/>
            <w:vAlign w:val="bottom"/>
          </w:tcPr>
          <w:p>
            <w:pPr>
              <w:jc w:val="right"/>
              <w:ind w:right="416"/>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36"/>
              <w:spacing w:after="0" w:line="158" w:lineRule="exact"/>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66"/>
        </w:trPr>
        <w:tc>
          <w:tcPr>
            <w:tcW w:w="20" w:type="dxa"/>
            <w:vAlign w:val="bottom"/>
          </w:tcPr>
          <w:p>
            <w:pPr>
              <w:spacing w:after="0"/>
              <w:rPr>
                <w:sz w:val="23"/>
                <w:szCs w:val="23"/>
                <w:color w:val="auto"/>
              </w:rPr>
            </w:pPr>
          </w:p>
        </w:tc>
        <w:tc>
          <w:tcPr>
            <w:tcW w:w="8500" w:type="dxa"/>
            <w:vAlign w:val="bottom"/>
            <w:gridSpan w:val="2"/>
          </w:tcPr>
          <w:p>
            <w:pPr>
              <w:spacing w:after="0"/>
              <w:rPr>
                <w:sz w:val="20"/>
                <w:szCs w:val="20"/>
                <w:color w:val="auto"/>
              </w:rPr>
            </w:pPr>
            <w:r>
              <w:rPr>
                <w:rFonts w:ascii="Arial" w:cs="Arial" w:eastAsia="Arial" w:hAnsi="Arial"/>
                <w:sz w:val="15"/>
                <w:szCs w:val="15"/>
                <w:color w:val="auto"/>
              </w:rPr>
              <w:t>Intellectual property, patents, and other intangibles, net of accumulated amortization of $173.1 and $123.8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1,108.9</w:t>
            </w:r>
          </w:p>
        </w:tc>
      </w:tr>
      <w:tr>
        <w:trPr>
          <w:trHeight w:val="274"/>
        </w:trPr>
        <w:tc>
          <w:tcPr>
            <w:tcW w:w="20" w:type="dxa"/>
            <w:vAlign w:val="bottom"/>
            <w:shd w:val="clear" w:color="auto" w:fill="CCEEFF"/>
          </w:tcPr>
          <w:p>
            <w:pPr>
              <w:spacing w:after="0"/>
              <w:rPr>
                <w:sz w:val="23"/>
                <w:szCs w:val="23"/>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Backlog, net of accumulated amortization of $149.2 and $92.0</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1,277.4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1,342.1</w:t>
            </w:r>
          </w:p>
        </w:tc>
      </w:tr>
      <w:tr>
        <w:trPr>
          <w:trHeight w:val="266"/>
        </w:trPr>
        <w:tc>
          <w:tcPr>
            <w:tcW w:w="20" w:type="dxa"/>
            <w:vAlign w:val="bottom"/>
            <w:tcBorders>
              <w:bottom w:val="single" w:sz="8" w:color="CCEEFF"/>
            </w:tcBorders>
          </w:tcPr>
          <w:p>
            <w:pPr>
              <w:spacing w:after="0"/>
              <w:rPr>
                <w:sz w:val="23"/>
                <w:szCs w:val="23"/>
                <w:color w:val="auto"/>
              </w:rPr>
            </w:pPr>
          </w:p>
        </w:tc>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Customer relationships, net of accumulated amortization of $236.5 and $212.9</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985.3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1,029.9</w:t>
            </w:r>
          </w:p>
        </w:tc>
      </w:tr>
      <w:tr>
        <w:trPr>
          <w:trHeight w:val="293"/>
        </w:trPr>
        <w:tc>
          <w:tcPr>
            <w:tcW w:w="20" w:type="dxa"/>
            <w:vAlign w:val="bottom"/>
            <w:tcBorders>
              <w:bottom w:val="single" w:sz="8" w:color="CCEEFF"/>
            </w:tcBorders>
            <w:shd w:val="clear" w:color="auto" w:fill="CCEEFF"/>
          </w:tcPr>
          <w:p>
            <w:pPr>
              <w:spacing w:after="0"/>
              <w:rPr>
                <w:sz w:val="24"/>
                <w:szCs w:val="24"/>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3,321.1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3,480.9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The weighted average remaining useful life of backlog, intellectual property, customer relationships and other intangibles were 13 years, 12 years, 17 years and 9 years, respectively. The backlog intangible primarily consists of in-place long-term service agreements acquired by the Company in conjunction with the acquisition of GE Transportation. Amortization expense for intangible assets was $72.3 million and $141.3 million for the three and six months ended June 30, 2020 and $66.0 million and $93.4 million for the three and six months ended June 30, 2019,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139.8</w:t>
            </w:r>
          </w:p>
        </w:tc>
      </w:tr>
      <w:tr>
        <w:trPr>
          <w:trHeight w:val="243"/>
        </w:trPr>
        <w:tc>
          <w:tcPr>
            <w:tcW w:w="680" w:type="dxa"/>
            <w:vAlign w:val="bottom"/>
            <w:gridSpan w:val="2"/>
          </w:tcPr>
          <w:p>
            <w:pPr>
              <w:jc w:val="right"/>
              <w:ind w:right="159"/>
              <w:spacing w:after="0"/>
              <w:rPr>
                <w:sz w:val="20"/>
                <w:szCs w:val="20"/>
                <w:color w:val="auto"/>
              </w:rPr>
            </w:pPr>
            <w:r>
              <w:rPr>
                <w:rFonts w:ascii="Arial" w:cs="Arial" w:eastAsia="Arial" w:hAnsi="Arial"/>
                <w:sz w:val="18"/>
                <w:szCs w:val="18"/>
                <w:color w:val="auto"/>
              </w:rPr>
              <w:t>2021</w:t>
            </w:r>
          </w:p>
        </w:tc>
        <w:tc>
          <w:tcPr>
            <w:tcW w:w="50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277.7</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2022</w:t>
            </w:r>
          </w:p>
        </w:tc>
        <w:tc>
          <w:tcPr>
            <w:tcW w:w="500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277.1</w:t>
            </w:r>
          </w:p>
        </w:tc>
      </w:tr>
      <w:tr>
        <w:trPr>
          <w:trHeight w:val="243"/>
        </w:trPr>
        <w:tc>
          <w:tcPr>
            <w:tcW w:w="680" w:type="dxa"/>
            <w:vAlign w:val="bottom"/>
            <w:gridSpan w:val="2"/>
          </w:tcPr>
          <w:p>
            <w:pPr>
              <w:jc w:val="right"/>
              <w:ind w:right="159"/>
              <w:spacing w:after="0"/>
              <w:rPr>
                <w:sz w:val="20"/>
                <w:szCs w:val="20"/>
                <w:color w:val="auto"/>
              </w:rPr>
            </w:pPr>
            <w:r>
              <w:rPr>
                <w:rFonts w:ascii="Arial" w:cs="Arial" w:eastAsia="Arial" w:hAnsi="Arial"/>
                <w:sz w:val="18"/>
                <w:szCs w:val="18"/>
                <w:color w:val="auto"/>
              </w:rPr>
              <w:t>2023</w:t>
            </w:r>
          </w:p>
        </w:tc>
        <w:tc>
          <w:tcPr>
            <w:tcW w:w="50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276.7</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8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2024</w:t>
            </w:r>
          </w:p>
        </w:tc>
        <w:tc>
          <w:tcPr>
            <w:tcW w:w="50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267.2</w:t>
            </w:r>
          </w:p>
        </w:tc>
      </w:tr>
      <w:tr>
        <w:trPr>
          <w:trHeight w:val="27"/>
        </w:trPr>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change in the carrying amount of contract assets and contract liabilities for the six months ended June 30, 2020 and 2019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Contract Assets</w:t>
            </w:r>
          </w:p>
        </w:tc>
        <w:tc>
          <w:tcPr>
            <w:tcW w:w="11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5"/>
                <w:szCs w:val="15"/>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345.6</w:t>
            </w: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213.6</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Recognized in current year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451.8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324.9</w:t>
            </w: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Reclassified to accounts receivable</w:t>
            </w:r>
          </w:p>
        </w:tc>
        <w:tc>
          <w:tcPr>
            <w:tcW w:w="4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(519.1)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(300.7)</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64"/>
        </w:trPr>
        <w:tc>
          <w:tcPr>
            <w:tcW w:w="20" w:type="dxa"/>
            <w:vAlign w:val="bottom"/>
          </w:tcPr>
          <w:p>
            <w:pPr>
              <w:spacing w:after="0"/>
              <w:rPr>
                <w:sz w:val="22"/>
                <w:szCs w:val="22"/>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554.0</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582.5</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 Liabilities</w:t>
            </w:r>
          </w:p>
        </w:tc>
        <w:tc>
          <w:tcPr>
            <w:tcW w:w="112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5"/>
                <w:szCs w:val="15"/>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444.8</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282.1</w:t>
            </w: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Recognized in current year</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572.6</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Amounts in beginning balance reclassified to revenue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(252.0)</w:t>
            </w: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Current year amounts reclassified to revenue</w:t>
            </w:r>
          </w:p>
        </w:tc>
        <w:tc>
          <w:tcPr>
            <w:tcW w:w="4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(257.6)</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64"/>
        </w:trPr>
        <w:tc>
          <w:tcPr>
            <w:tcW w:w="20" w:type="dxa"/>
            <w:vAlign w:val="bottom"/>
          </w:tcPr>
          <w:p>
            <w:pPr>
              <w:spacing w:after="0"/>
              <w:rPr>
                <w:sz w:val="22"/>
                <w:szCs w:val="22"/>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777.8</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789.0</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contracts.</w:t>
      </w:r>
    </w:p>
    <w:p>
      <w:pPr>
        <w:spacing w:after="0" w:line="79"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The Company has established discount rates by geographic region ranging from 1.0% to 12.3%.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6"/>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5"/>
                <w:szCs w:val="15"/>
                <w:color w:val="auto"/>
              </w:rPr>
            </w:pPr>
          </w:p>
        </w:tc>
        <w:tc>
          <w:tcPr>
            <w:tcW w:w="8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Finance lease expense amortization of leased assets</w:t>
            </w:r>
          </w:p>
        </w:tc>
        <w:tc>
          <w:tcPr>
            <w:tcW w:w="3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Short-term and variable lease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Sublease income</w:t>
            </w:r>
          </w:p>
        </w:tc>
        <w:tc>
          <w:tcPr>
            <w:tcW w:w="3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5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ind w:left="480"/>
              <w:spacing w:after="0"/>
              <w:rPr>
                <w:sz w:val="20"/>
                <w:szCs w:val="20"/>
                <w:color w:val="auto"/>
              </w:rPr>
            </w:pPr>
            <w:r>
              <w:rPr>
                <w:rFonts w:ascii="Arial" w:cs="Arial" w:eastAsia="Arial" w:hAnsi="Arial"/>
                <w:sz w:val="18"/>
                <w:szCs w:val="18"/>
                <w:color w:val="auto"/>
              </w:rPr>
              <w:t>Scheduled payments of lease liabilities are as follows: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3"/>
              </w:rPr>
              <w:t>Operating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Finance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Leases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4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43"/>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51"/>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Less: Present value discount</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lease liabilities</w:t>
            </w:r>
          </w:p>
        </w:tc>
        <w:tc>
          <w:tcPr>
            <w:tcW w:w="3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remaining lease term and discount rate assumptions used to develop the present value of lease liabilities:</w:t>
      </w:r>
    </w:p>
    <w:p>
      <w:pPr>
        <w:spacing w:after="0" w:line="174" w:lineRule="exact"/>
        <w:rPr>
          <w:sz w:val="20"/>
          <w:szCs w:val="20"/>
          <w:color w:val="auto"/>
        </w:rPr>
      </w:pPr>
    </w:p>
    <w:p>
      <w:pPr>
        <w:ind w:left="1006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lease term (years)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65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5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45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Effective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90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Book Value</w:t>
            </w:r>
          </w:p>
        </w:tc>
        <w:tc>
          <w:tcPr>
            <w:tcW w:w="100" w:type="dxa"/>
            <w:vAlign w:val="bottom"/>
          </w:tcPr>
          <w:p>
            <w:pPr>
              <w:spacing w:after="0"/>
              <w:rPr>
                <w:sz w:val="14"/>
                <w:szCs w:val="14"/>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1</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Book Value</w:t>
            </w:r>
          </w:p>
        </w:tc>
        <w:tc>
          <w:tcPr>
            <w:tcW w:w="100" w:type="dxa"/>
            <w:vAlign w:val="bottom"/>
          </w:tcPr>
          <w:p>
            <w:pPr>
              <w:spacing w:after="0"/>
              <w:rPr>
                <w:sz w:val="14"/>
                <w:szCs w:val="14"/>
                <w:color w:val="auto"/>
              </w:rPr>
            </w:pPr>
          </w:p>
        </w:tc>
        <w:tc>
          <w:tcPr>
            <w:tcW w:w="1340" w:type="dxa"/>
            <w:vAlign w:val="bottom"/>
          </w:tcPr>
          <w:p>
            <w:pPr>
              <w:jc w:val="right"/>
              <w:ind w:right="22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Credit and 364 Day Facilities:</w:t>
            </w: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3"/>
              </w:rPr>
              <w:t>U.S. dollar-denominated Term Loans, net of unamortized debt issuance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953.1</w:t>
            </w:r>
          </w:p>
        </w:tc>
        <w:tc>
          <w:tcPr>
            <w:tcW w:w="1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953.1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684.7</w:t>
            </w:r>
          </w:p>
        </w:tc>
        <w:tc>
          <w:tcPr>
            <w:tcW w:w="1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684.7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gridSpan w:val="2"/>
          </w:tcPr>
          <w:p>
            <w:pPr>
              <w:ind w:left="120"/>
              <w:spacing w:after="0"/>
              <w:rPr>
                <w:sz w:val="20"/>
                <w:szCs w:val="20"/>
                <w:color w:val="auto"/>
              </w:rPr>
            </w:pPr>
            <w:r>
              <w:rPr>
                <w:rFonts w:ascii="Arial" w:cs="Arial" w:eastAsia="Arial" w:hAnsi="Arial"/>
                <w:sz w:val="14"/>
                <w:szCs w:val="14"/>
                <w:color w:val="auto"/>
              </w:rPr>
              <w:t>costs of $1.7 and $1.1</w:t>
            </w:r>
          </w:p>
        </w:tc>
        <w:tc>
          <w:tcPr>
            <w:tcW w:w="7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Multi-Currency Revolving loan facility net of unamortized debt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231.5</w:t>
            </w:r>
          </w:p>
        </w:tc>
        <w:tc>
          <w:tcPr>
            <w:tcW w:w="14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costs of $1.4 and $0.9</w:t>
            </w:r>
          </w:p>
        </w:tc>
        <w:tc>
          <w:tcPr>
            <w:tcW w:w="7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spacing w:after="0" w:line="135" w:lineRule="exact"/>
              <w:rPr>
                <w:sz w:val="20"/>
                <w:szCs w:val="20"/>
                <w:color w:val="auto"/>
              </w:rPr>
            </w:pPr>
            <w:r>
              <w:rPr>
                <w:rFonts w:ascii="Arial" w:cs="Arial" w:eastAsia="Arial" w:hAnsi="Arial"/>
                <w:sz w:val="14"/>
                <w:szCs w:val="14"/>
                <w:color w:val="auto"/>
              </w:rPr>
              <w:t>Floating Senior Notes, due 2021, net of unamortized debt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498.6</w:t>
            </w:r>
          </w:p>
        </w:tc>
        <w:tc>
          <w:tcPr>
            <w:tcW w:w="1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492.9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498.0</w:t>
            </w:r>
          </w:p>
        </w:tc>
        <w:tc>
          <w:tcPr>
            <w:tcW w:w="1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gridSpan w:val="2"/>
          </w:tcPr>
          <w:p>
            <w:pPr>
              <w:ind w:left="220"/>
              <w:spacing w:after="0"/>
              <w:rPr>
                <w:sz w:val="20"/>
                <w:szCs w:val="20"/>
                <w:color w:val="auto"/>
              </w:rPr>
            </w:pPr>
            <w:r>
              <w:rPr>
                <w:rFonts w:ascii="Arial" w:cs="Arial" w:eastAsia="Arial" w:hAnsi="Arial"/>
                <w:sz w:val="14"/>
                <w:szCs w:val="14"/>
                <w:color w:val="auto"/>
              </w:rPr>
              <w:t>issuance costs of $1.4 and $2.0</w:t>
            </w:r>
          </w:p>
        </w:tc>
        <w:tc>
          <w:tcPr>
            <w:tcW w:w="7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4.375% Senior Notes, due 2023, net of unamortized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249.2</w:t>
            </w:r>
          </w:p>
        </w:tc>
        <w:tc>
          <w:tcPr>
            <w:tcW w:w="14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253.4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249.1</w:t>
            </w:r>
          </w:p>
        </w:tc>
        <w:tc>
          <w:tcPr>
            <w:tcW w:w="14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discount and debt issuance costs of $0.8 and $0.9</w:t>
            </w:r>
          </w:p>
        </w:tc>
        <w:tc>
          <w:tcPr>
            <w:tcW w:w="7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spacing w:after="0" w:line="135" w:lineRule="exact"/>
              <w:rPr>
                <w:sz w:val="20"/>
                <w:szCs w:val="20"/>
                <w:color w:val="auto"/>
              </w:rPr>
            </w:pPr>
            <w:r>
              <w:rPr>
                <w:rFonts w:ascii="Arial" w:cs="Arial" w:eastAsia="Arial" w:hAnsi="Arial"/>
                <w:sz w:val="14"/>
                <w:szCs w:val="14"/>
                <w:color w:val="auto"/>
              </w:rPr>
              <w:t>4.15% Senior Notes, due 2024, net of unamortized debt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745.0</w:t>
            </w:r>
          </w:p>
        </w:tc>
        <w:tc>
          <w:tcPr>
            <w:tcW w:w="1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788.8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744.3</w:t>
            </w:r>
          </w:p>
        </w:tc>
        <w:tc>
          <w:tcPr>
            <w:tcW w:w="1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805.5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gridSpan w:val="2"/>
          </w:tcPr>
          <w:p>
            <w:pPr>
              <w:ind w:left="220"/>
              <w:spacing w:after="0"/>
              <w:rPr>
                <w:sz w:val="20"/>
                <w:szCs w:val="20"/>
                <w:color w:val="auto"/>
              </w:rPr>
            </w:pPr>
            <w:r>
              <w:rPr>
                <w:rFonts w:ascii="Arial" w:cs="Arial" w:eastAsia="Arial" w:hAnsi="Arial"/>
                <w:sz w:val="14"/>
                <w:szCs w:val="14"/>
                <w:color w:val="auto"/>
              </w:rPr>
              <w:t>issuance costs of $5.0 and $5.7</w:t>
            </w:r>
          </w:p>
        </w:tc>
        <w:tc>
          <w:tcPr>
            <w:tcW w:w="7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3.45% Senior Notes, due 2026, net of unamortized debt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748.6</w:t>
            </w:r>
          </w:p>
        </w:tc>
        <w:tc>
          <w:tcPr>
            <w:tcW w:w="14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769.6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748.5</w:t>
            </w:r>
          </w:p>
        </w:tc>
        <w:tc>
          <w:tcPr>
            <w:tcW w:w="144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759.1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issuance costs of $1.4 and $1.5</w:t>
            </w:r>
          </w:p>
        </w:tc>
        <w:tc>
          <w:tcPr>
            <w:tcW w:w="780" w:type="dxa"/>
            <w:vAlign w:val="bottom"/>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4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spacing w:after="0" w:line="135" w:lineRule="exact"/>
              <w:rPr>
                <w:sz w:val="20"/>
                <w:szCs w:val="20"/>
                <w:color w:val="auto"/>
              </w:rPr>
            </w:pPr>
            <w:r>
              <w:rPr>
                <w:rFonts w:ascii="Arial" w:cs="Arial" w:eastAsia="Arial" w:hAnsi="Arial"/>
                <w:sz w:val="14"/>
                <w:szCs w:val="14"/>
                <w:color w:val="auto"/>
              </w:rPr>
              <w:t>4.70% Senior Notes, due 2028, net of unamortized debt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1,241.3</w:t>
            </w:r>
          </w:p>
        </w:tc>
        <w:tc>
          <w:tcPr>
            <w:tcW w:w="1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1,385.2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1,240.8</w:t>
            </w:r>
          </w:p>
        </w:tc>
        <w:tc>
          <w:tcPr>
            <w:tcW w:w="144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1,378.3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gridSpan w:val="2"/>
          </w:tcPr>
          <w:p>
            <w:pPr>
              <w:ind w:left="180"/>
              <w:spacing w:after="0"/>
              <w:rPr>
                <w:sz w:val="20"/>
                <w:szCs w:val="20"/>
                <w:color w:val="auto"/>
              </w:rPr>
            </w:pPr>
            <w:r>
              <w:rPr>
                <w:rFonts w:ascii="Arial" w:cs="Arial" w:eastAsia="Arial" w:hAnsi="Arial"/>
                <w:sz w:val="14"/>
                <w:szCs w:val="14"/>
                <w:color w:val="auto"/>
              </w:rPr>
              <w:t>issuance costs of $8.7 and $9.2</w:t>
            </w:r>
          </w:p>
        </w:tc>
        <w:tc>
          <w:tcPr>
            <w:tcW w:w="7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Borrowings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tcPr>
          <w:p>
            <w:pPr>
              <w:ind w:left="440"/>
              <w:spacing w:after="0"/>
              <w:rPr>
                <w:sz w:val="20"/>
                <w:szCs w:val="20"/>
                <w:color w:val="auto"/>
              </w:rPr>
            </w:pPr>
            <w:r>
              <w:rPr>
                <w:rFonts w:ascii="Arial" w:cs="Arial" w:eastAsia="Arial" w:hAnsi="Arial"/>
                <w:sz w:val="14"/>
                <w:szCs w:val="14"/>
                <w:color w:val="auto"/>
              </w:rPr>
              <w:t>Total</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4,465.8</w:t>
            </w:r>
          </w:p>
        </w:tc>
        <w:tc>
          <w:tcPr>
            <w:tcW w:w="1440" w:type="dxa"/>
            <w:vAlign w:val="bottom"/>
            <w:gridSpan w:val="2"/>
          </w:tcPr>
          <w:p>
            <w:pPr>
              <w:jc w:val="right"/>
              <w:ind w:right="68"/>
              <w:spacing w:after="0"/>
              <w:rPr>
                <w:sz w:val="20"/>
                <w:szCs w:val="20"/>
                <w:color w:val="auto"/>
              </w:rPr>
            </w:pPr>
            <w:r>
              <w:rPr>
                <w:rFonts w:ascii="Arial" w:cs="Arial" w:eastAsia="Arial" w:hAnsi="Arial"/>
                <w:sz w:val="14"/>
                <w:szCs w:val="14"/>
                <w:color w:val="auto"/>
              </w:rPr>
              <w:t>4,673.0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4,429.3</w:t>
            </w:r>
          </w:p>
        </w:tc>
        <w:tc>
          <w:tcPr>
            <w:tcW w:w="1440" w:type="dxa"/>
            <w:vAlign w:val="bottom"/>
            <w:gridSpan w:val="2"/>
          </w:tcPr>
          <w:p>
            <w:pPr>
              <w:jc w:val="right"/>
              <w:ind w:right="68"/>
              <w:spacing w:after="0"/>
              <w:rPr>
                <w:sz w:val="20"/>
                <w:szCs w:val="20"/>
                <w:color w:val="auto"/>
              </w:rPr>
            </w:pPr>
            <w:r>
              <w:rPr>
                <w:rFonts w:ascii="Arial" w:cs="Arial" w:eastAsia="Arial" w:hAnsi="Arial"/>
                <w:sz w:val="14"/>
                <w:szCs w:val="14"/>
                <w:color w:val="auto"/>
              </w:rPr>
              <w:t>4,655.4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Less - current portion</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697.1</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ind w:left="440"/>
              <w:spacing w:after="0"/>
              <w:rPr>
                <w:sz w:val="20"/>
                <w:szCs w:val="20"/>
                <w:color w:val="auto"/>
              </w:rPr>
            </w:pPr>
            <w:r>
              <w:rPr>
                <w:rFonts w:ascii="Arial" w:cs="Arial" w:eastAsia="Arial" w:hAnsi="Arial"/>
                <w:sz w:val="14"/>
                <w:szCs w:val="14"/>
                <w:color w:val="auto"/>
              </w:rPr>
              <w:t>Long-term portion</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3,768.7</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4,333.6</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See Note 14 for information on the fair value measurement of the Company's long-term debt.</w:t>
      </w:r>
    </w:p>
    <w:p>
      <w:pPr>
        <w:spacing w:after="0" w:line="16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June 30, 2020 and December 31, 2019, the Company had total unamortized debt issuance costs of $20.4 million and $21.3 million, respectively.</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2020, the weighted average interest rate on the Company’s variable rate debt was 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Credit Facility</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$1,200.0 million in multi-currency revolving loans (inclusive of swingline loans of up to $75.0 million and letters of credit of up to $450.0 million (the "Revolving Credit Facility")). The Revolving Credit Facility will mature on June 8, 2023.</w:t>
      </w:r>
    </w:p>
    <w:p>
      <w:pPr>
        <w:spacing w:after="0" w:line="80" w:lineRule="exact"/>
        <w:rPr>
          <w:sz w:val="20"/>
          <w:szCs w:val="20"/>
          <w:color w:val="auto"/>
        </w:rPr>
      </w:pPr>
    </w:p>
    <w:p>
      <w:pPr>
        <w:ind w:right="120" w:firstLine="486"/>
        <w:spacing w:after="0" w:line="334" w:lineRule="auto"/>
        <w:rPr>
          <w:sz w:val="20"/>
          <w:szCs w:val="20"/>
          <w:color w:val="auto"/>
        </w:rPr>
      </w:pPr>
      <w:r>
        <w:rPr>
          <w:rFonts w:ascii="Arial" w:cs="Arial" w:eastAsia="Arial" w:hAnsi="Arial"/>
          <w:sz w:val="16"/>
          <w:szCs w:val="16"/>
          <w:color w:val="auto"/>
        </w:rPr>
        <w:t>Under the Senior Credit Facility, we can elect to receive advances bearing interest based on either the ABR rate or the LIBOR rate (each as defined in the Senior Credit Facility) plus an applicable margin that is determined based on our credit ratings or the Company’s Leverage. The agreement contains</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affirmative, negative and financial covenants, and events of default customary for facilities of this type. The obligations under the Senior Credit Facility are guaranteed by Wabtec and certain of Wabtec’s U.S. subsidiaries, as guarantors.</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then ended: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Interest Coverage Ratio </w:t>
            </w:r>
            <w:r>
              <w:rPr>
                <w:rFonts w:ascii="Arial" w:cs="Arial" w:eastAsia="Arial" w:hAnsi="Arial"/>
                <w:sz w:val="9"/>
                <w:szCs w:val="9"/>
                <w:color w:val="auto"/>
              </w:rPr>
              <w:t>1</w:t>
            </w:r>
          </w:p>
        </w:tc>
        <w:tc>
          <w:tcPr>
            <w:tcW w:w="5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3.0x</w:t>
            </w:r>
          </w:p>
        </w:tc>
      </w:tr>
      <w:tr>
        <w:trPr>
          <w:trHeight w:val="204"/>
        </w:trPr>
        <w:tc>
          <w:tcPr>
            <w:tcW w:w="6180" w:type="dxa"/>
            <w:vAlign w:val="bottom"/>
          </w:tcPr>
          <w:p>
            <w:pPr>
              <w:ind w:left="20"/>
              <w:spacing w:after="0"/>
              <w:rPr>
                <w:sz w:val="20"/>
                <w:szCs w:val="20"/>
                <w:color w:val="auto"/>
              </w:rPr>
            </w:pPr>
            <w:r>
              <w:rPr>
                <w:rFonts w:ascii="Arial" w:cs="Arial" w:eastAsia="Arial" w:hAnsi="Arial"/>
                <w:sz w:val="14"/>
                <w:szCs w:val="14"/>
                <w:color w:val="auto"/>
              </w:rPr>
              <w:t xml:space="preserve">Leverage Ratio </w:t>
            </w:r>
            <w:r>
              <w:rPr>
                <w:rFonts w:ascii="Arial" w:cs="Arial" w:eastAsia="Arial" w:hAnsi="Arial"/>
                <w:sz w:val="9"/>
                <w:szCs w:val="9"/>
                <w:color w:val="auto"/>
              </w:rPr>
              <w:t>2</w:t>
            </w:r>
          </w:p>
        </w:tc>
        <w:tc>
          <w:tcPr>
            <w:tcW w:w="5060" w:type="dxa"/>
            <w:vAlign w:val="bottom"/>
          </w:tcPr>
          <w:p>
            <w:pPr>
              <w:jc w:val="right"/>
              <w:spacing w:after="0"/>
              <w:rPr>
                <w:sz w:val="20"/>
                <w:szCs w:val="20"/>
                <w:color w:val="auto"/>
              </w:rPr>
            </w:pPr>
            <w:r>
              <w:rPr>
                <w:rFonts w:ascii="Arial" w:cs="Arial" w:eastAsia="Arial" w:hAnsi="Arial"/>
                <w:sz w:val="14"/>
                <w:szCs w:val="14"/>
                <w:color w:val="auto"/>
              </w:rPr>
              <w:t>3.25x</w:t>
            </w:r>
          </w:p>
        </w:tc>
      </w:tr>
    </w:tbl>
    <w:p>
      <w:pPr>
        <w:spacing w:after="0" w:line="15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interest coverage ratio is defined as EBITDA, as defined in the Senior Credit Facility, to net interest expense for the four quarters then ended.</w:t>
      </w:r>
    </w:p>
    <w:p>
      <w:pPr>
        <w:spacing w:after="0" w:line="55" w:lineRule="exact"/>
        <w:rPr>
          <w:rFonts w:ascii="Arial" w:cs="Arial" w:eastAsia="Arial" w:hAnsi="Arial"/>
          <w:sz w:val="14"/>
          <w:szCs w:val="14"/>
          <w:color w:val="auto"/>
        </w:rPr>
      </w:pPr>
    </w:p>
    <w:p>
      <w:pPr>
        <w:ind w:right="40" w:firstLine="8"/>
        <w:spacing w:after="0" w:line="257" w:lineRule="auto"/>
        <w:tabs>
          <w:tab w:leader="none" w:pos="14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Senior Credit Facility, for the four quarters then ended. The Leverage Ratio temporarily increases for four quarters following major acquisitions. Subsequent to the GE Transportation acquisition, the leverage ratio was temporarily increased to 3.5x for the first and second quarters of 2020.</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ind w:left="500"/>
        <w:spacing w:after="0"/>
        <w:rPr>
          <w:sz w:val="20"/>
          <w:szCs w:val="20"/>
          <w:color w:val="auto"/>
        </w:rPr>
      </w:pPr>
      <w:r>
        <w:rPr>
          <w:rFonts w:ascii="Arial" w:cs="Arial" w:eastAsia="Arial" w:hAnsi="Arial"/>
          <w:sz w:val="18"/>
          <w:szCs w:val="18"/>
          <w:color w:val="auto"/>
        </w:rPr>
        <w:t>The Company was in compliance with all of our covenants in the Senior Credit Facility as of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364 Day Facility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April 10, 2020 the Company entered into a new $600 million 364 day credit facility (“364 Day Facility”) maturing April 2021 with a group of</w:t>
      </w:r>
    </w:p>
    <w:p>
      <w:pPr>
        <w:spacing w:after="0" w:line="61"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banks which includes a $144.0 million revolving credit facility and a $456.0 million term loan. The agreement calls for interest at either a LIBOR-based rate, or a rate based on the prime lending rate of the agent bank, at the Company’s option. The agreement contains affirmative, negative and financial</w:t>
      </w:r>
    </w:p>
    <w:p>
      <w:pPr>
        <w:ind w:right="80"/>
        <w:spacing w:after="0" w:line="311" w:lineRule="auto"/>
        <w:rPr>
          <w:sz w:val="20"/>
          <w:szCs w:val="20"/>
          <w:color w:val="auto"/>
        </w:rPr>
      </w:pPr>
      <w:r>
        <w:rPr>
          <w:rFonts w:ascii="Arial" w:cs="Arial" w:eastAsia="Arial" w:hAnsi="Arial"/>
          <w:sz w:val="16"/>
          <w:szCs w:val="16"/>
          <w:color w:val="auto"/>
        </w:rPr>
        <w:t>covenants, and events of default customary for facilities of this type and substantially similar to our existing Senior Credit Facility. On June 12, 2020 the Company amended this 364 Day Facility maturity to July 9, 2021. The Company was in compliance with all of our covenants in the 364 Day Facility as of June 30, 2020. The obligations under the 364 Day Facility are guaranteed by certain of the Company's U.S. subsidiaries, as guarantors.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availability under the Revolving Facilities: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Revolving Credit Facility</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364 Day Revolver</w:t>
            </w:r>
          </w:p>
        </w:tc>
      </w:tr>
      <w:tr>
        <w:trPr>
          <w:trHeight w:val="20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Maximum Availability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144.0</w:t>
            </w:r>
          </w:p>
        </w:tc>
      </w:tr>
      <w:tr>
        <w:trPr>
          <w:trHeight w:val="197"/>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Outstanding Borrowings</w:t>
            </w:r>
          </w:p>
        </w:tc>
        <w:tc>
          <w:tcPr>
            <w:tcW w:w="200" w:type="dxa"/>
            <w:vAlign w:val="bottom"/>
          </w:tcPr>
          <w:p>
            <w:pPr>
              <w:spacing w:after="0"/>
              <w:rPr>
                <w:sz w:val="17"/>
                <w:szCs w:val="17"/>
                <w:color w:val="auto"/>
              </w:rPr>
            </w:pPr>
          </w:p>
        </w:tc>
        <w:tc>
          <w:tcPr>
            <w:tcW w:w="2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03"/>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Letters of Credit Under Revolving Facility</w:t>
            </w:r>
          </w:p>
        </w:tc>
        <w:tc>
          <w:tcPr>
            <w:tcW w:w="2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02"/>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Current Availability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1,167.7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144.0</w:t>
            </w:r>
          </w:p>
        </w:tc>
      </w:tr>
      <w:tr>
        <w:trPr>
          <w:trHeight w:val="21"/>
        </w:trPr>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"Senior Notes" comprise our Floating Rate Senior Notes due 2021, 4.375% Senior Notes due 2023, 4.15% Senior Notes due 2024, 3.45% Senior Notes due 2026 and 4.70% Senior Notes due 2028. Interest on the floating rate Senior Notes is payable quarterly. Interest is payable semi-annually on all other Senior Notes. The Company may redeem each series of the notes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(other than the floating rate notes, which are redeemable at a redemption price of 100% of the principal amount). The Senior Notes are senior unsecured obligations of the Company and rank pari passu with all existing and future senior debt and senior to all existing and future subordinated indebtedness of the Company.</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indentures under which the Senior Notes were issued contain covenants and restrictions which limit, subject to certain exceptions, certain sale</w:t>
      </w:r>
    </w:p>
    <w:p>
      <w:pPr>
        <w:spacing w:after="0" w:line="7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w:t>
      </w:r>
    </w:p>
    <w:p>
      <w:pPr>
        <w:spacing w:after="0" w:line="7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right="300" w:firstLine="486"/>
        <w:spacing w:after="0" w:line="308" w:lineRule="auto"/>
        <w:rPr>
          <w:sz w:val="20"/>
          <w:szCs w:val="20"/>
          <w:color w:val="auto"/>
        </w:rPr>
      </w:pPr>
      <w:r>
        <w:rPr>
          <w:rFonts w:ascii="Arial" w:cs="Arial" w:eastAsia="Arial" w:hAnsi="Arial"/>
          <w:sz w:val="16"/>
          <w:szCs w:val="16"/>
          <w:color w:val="auto"/>
        </w:rPr>
        <w:t>Subsequent to the end of the quarter the Company issued $500.0 million of 3.20% Senior Notes due in 2025 (the “2025 Notes”). The 2025 Notes were issued at 99.892% of face value. Interest on the 2025 Notes accrues at a rate of 3.20% per annum and is payable semi-annually on June 15 and</w:t>
      </w:r>
    </w:p>
    <w:p>
      <w:pPr>
        <w:jc w:val="both"/>
        <w:ind w:right="180"/>
        <w:spacing w:after="0" w:line="263" w:lineRule="auto"/>
        <w:rPr>
          <w:sz w:val="20"/>
          <w:szCs w:val="20"/>
          <w:color w:val="auto"/>
        </w:rPr>
      </w:pPr>
      <w:r>
        <w:rPr>
          <w:rFonts w:ascii="Arial" w:cs="Arial" w:eastAsia="Arial" w:hAnsi="Arial"/>
          <w:sz w:val="18"/>
          <w:szCs w:val="18"/>
          <w:color w:val="auto"/>
        </w:rPr>
        <w:t>December 15 of each year, beginning December 15, 2020. The proceeds were used to prepay the Floating Senior Notes due 2021. The Company incurred $1.5 million of deferred financing costs related to the issuance of the 2025 Notes. The Floating Senior Notes due 2021 are classified as Current portion of long-term debt on the consolidated balance sheet at June 30, 2020 and were repaid on July 2,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80" w:firstLine="486"/>
        <w:spacing w:after="0" w:line="296" w:lineRule="auto"/>
        <w:rPr>
          <w:sz w:val="20"/>
          <w:szCs w:val="20"/>
          <w:color w:val="auto"/>
        </w:rPr>
      </w:pPr>
      <w:r>
        <w:rPr>
          <w:rFonts w:ascii="Arial" w:cs="Arial" w:eastAsia="Arial" w:hAnsi="Arial"/>
          <w:sz w:val="16"/>
          <w:szCs w:val="16"/>
          <w:color w:val="auto"/>
        </w:rPr>
        <w:t>As of June 30, 2020,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provides a maximum of 9,100,000 shares for grants or awards, plus any shares which remain available under the 2000 Plan. The amendment and restatement of the 2011 Plan was approved by stockholders of Wabtec on May 15, 2020. The Company also maintains a 1995 Non-Employee Directors’ Fee and Stock Option Plan as amended and restated (“the Directors Plan”).</w:t>
      </w:r>
    </w:p>
    <w:p>
      <w:pPr>
        <w:spacing w:after="0" w:line="53"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Stock-based compensation recognized was $1.6 million of income and $15.8 million of expense for the three months ended June 30, 2020 and 2019, respectively. Stock-based compensation expense was $5.7 million and $24.3 million for the six</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ind w:right="240"/>
        <w:spacing w:after="0" w:line="277" w:lineRule="auto"/>
        <w:rPr>
          <w:sz w:val="20"/>
          <w:szCs w:val="20"/>
          <w:color w:val="auto"/>
        </w:rPr>
      </w:pPr>
      <w:r>
        <w:rPr>
          <w:rFonts w:ascii="Arial" w:cs="Arial" w:eastAsia="Arial" w:hAnsi="Arial"/>
          <w:sz w:val="18"/>
          <w:szCs w:val="18"/>
          <w:color w:val="auto"/>
        </w:rPr>
        <w:t>months ended June 30, 2020 and 2019, respectively. At June 30, 2020, unamortized compensation expense related to stock options, non-vested restricted shares and incentive stock units expected to vest totaled $46.4 million.</w:t>
      </w:r>
    </w:p>
    <w:p>
      <w:pPr>
        <w:spacing w:after="0" w:line="6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at an exercise price equivalent to the stock's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granted prior to 2019 become exercisable over a four-year vesting period, while options granted in 2019 and after become exercisable over a three-year vesting period. Both vesting periods expire 10 years from the date of grant.</w:t>
      </w:r>
    </w:p>
    <w:p>
      <w:pPr>
        <w:spacing w:after="0" w:line="7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six months ended June 30, 2020:</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Exercise</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1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588,024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63.36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tcPr>
          <w:p>
            <w:pPr>
              <w:ind w:left="540"/>
              <w:spacing w:after="0"/>
              <w:rPr>
                <w:sz w:val="20"/>
                <w:szCs w:val="20"/>
                <w:color w:val="auto"/>
              </w:rPr>
            </w:pPr>
            <w:r>
              <w:rPr>
                <w:rFonts w:ascii="Arial" w:cs="Arial" w:eastAsia="Arial" w:hAnsi="Arial"/>
                <w:sz w:val="18"/>
                <w:szCs w:val="18"/>
                <w:color w:val="auto"/>
              </w:rPr>
              <w:t>131,556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78.33</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(11,440)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37.84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280" w:type="dxa"/>
            <w:vAlign w:val="bottom"/>
          </w:tcPr>
          <w:p>
            <w:pPr>
              <w:ind w:left="560"/>
              <w:spacing w:after="0"/>
              <w:rPr>
                <w:sz w:val="20"/>
                <w:szCs w:val="20"/>
                <w:color w:val="auto"/>
              </w:rPr>
            </w:pPr>
            <w:r>
              <w:rPr>
                <w:rFonts w:ascii="Arial" w:cs="Arial" w:eastAsia="Arial" w:hAnsi="Arial"/>
                <w:sz w:val="18"/>
                <w:szCs w:val="18"/>
                <w:color w:val="auto"/>
              </w:rPr>
              <w:t>(16,712)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74.11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691,428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66.37</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tcPr>
          <w:p>
            <w:pPr>
              <w:ind w:left="20"/>
              <w:spacing w:after="0"/>
              <w:rPr>
                <w:sz w:val="20"/>
                <w:szCs w:val="20"/>
                <w:color w:val="auto"/>
              </w:rPr>
            </w:pPr>
            <w:r>
              <w:rPr>
                <w:rFonts w:ascii="Arial" w:cs="Arial" w:eastAsia="Arial" w:hAnsi="Arial"/>
                <w:sz w:val="18"/>
                <w:szCs w:val="18"/>
                <w:color w:val="auto"/>
              </w:rPr>
              <w:t>Exercisable at June 30, 2020</w:t>
            </w:r>
          </w:p>
        </w:tc>
        <w:tc>
          <w:tcPr>
            <w:tcW w:w="1280" w:type="dxa"/>
            <w:vAlign w:val="bottom"/>
          </w:tcPr>
          <w:p>
            <w:pPr>
              <w:ind w:left="540"/>
              <w:spacing w:after="0"/>
              <w:rPr>
                <w:sz w:val="20"/>
                <w:szCs w:val="20"/>
                <w:color w:val="auto"/>
              </w:rPr>
            </w:pPr>
            <w:r>
              <w:rPr>
                <w:rFonts w:ascii="Arial" w:cs="Arial" w:eastAsia="Arial" w:hAnsi="Arial"/>
                <w:sz w:val="18"/>
                <w:szCs w:val="18"/>
                <w:color w:val="auto"/>
              </w:rPr>
              <w:t>443,157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52.68</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5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13335</wp:posOffset>
            </wp:positionV>
            <wp:extent cx="18173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r>
      <w:tr>
        <w:trPr>
          <w:trHeight w:val="24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75"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U.S. Treasury bond rates for the expected life of the option.</w:t>
      </w:r>
    </w:p>
    <w:p>
      <w:pPr>
        <w:spacing w:after="0" w:line="7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2011 Plan and 2000 Plan, eligible employees are granted restricted stock that generally vests over three or four years from the date of grant. Under the Directors Plan, restricted stock awards vest one year from the date of grant.</w:t>
      </w:r>
    </w:p>
    <w:p>
      <w:pPr>
        <w:spacing w:after="0" w:line="76"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June 30, 2020, the Company estimates that it will achieve 48%, 44% and 100% for the incentive stock awards expected to vest based on performance for the three-year periods ending December 31, 2020, 2021, and 2022, respectively, and has recorded incentive compensation expense accordingly. If the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7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ind w:right="320" w:firstLine="486"/>
        <w:spacing w:after="0" w:line="308"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the Directors Plan, and incentive stock units activity for the 2011 Plan and the 2000 Plan with related information for the six months ended June 30, 2020:</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791,031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572,002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216,242</w:t>
            </w:r>
          </w:p>
        </w:tc>
        <w:tc>
          <w:tcPr>
            <w:tcW w:w="120" w:type="dxa"/>
            <w:vAlign w:val="bottom"/>
          </w:tcPr>
          <w:p>
            <w:pPr>
              <w:spacing w:after="0"/>
              <w:rPr>
                <w:sz w:val="21"/>
                <w:szCs w:val="21"/>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238,818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(276,018)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Adjustment for incentive stock awards expected to vest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(256,627)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Canceled</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(42,306)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(30,850)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71.76</w:t>
            </w:r>
          </w:p>
        </w:tc>
        <w:tc>
          <w:tcPr>
            <w:tcW w:w="0" w:type="dxa"/>
            <w:vAlign w:val="bottom"/>
          </w:tcPr>
          <w:p>
            <w:pPr>
              <w:spacing w:after="0"/>
              <w:rPr>
                <w:sz w:val="1"/>
                <w:szCs w:val="1"/>
                <w:color w:val="auto"/>
              </w:rPr>
            </w:pPr>
          </w:p>
        </w:tc>
      </w:tr>
      <w:tr>
        <w:trPr>
          <w:trHeight w:val="264"/>
        </w:trPr>
        <w:tc>
          <w:tcPr>
            <w:tcW w:w="708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688,949</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376,274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74.46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The overall effective tax rate was 24.9% and 25.2% for the three and six months ended June 30, 2020 respectively and 28.7% and 37.7% for the three and six months ended June 30, 2019, respectively. The decrease in the effective rate is primarily the result of non-deductible transaction related expenses incurred during the six months ended June 30, 2019 as a result of the GE Transportation acquisition and an increase in the estimated liabilities resulting from provisions of the Tax Cuts and Jobs Act that did not recur in 2020.</w:t>
      </w:r>
    </w:p>
    <w:p>
      <w:pPr>
        <w:spacing w:after="0" w:line="79" w:lineRule="exact"/>
        <w:rPr>
          <w:sz w:val="20"/>
          <w:szCs w:val="20"/>
          <w:color w:val="auto"/>
        </w:rPr>
      </w:pPr>
    </w:p>
    <w:p>
      <w:pPr>
        <w:jc w:val="both"/>
        <w:ind w:right="100" w:firstLine="486"/>
        <w:spacing w:after="0" w:line="286" w:lineRule="auto"/>
        <w:rPr>
          <w:sz w:val="20"/>
          <w:szCs w:val="20"/>
          <w:color w:val="auto"/>
        </w:rPr>
      </w:pPr>
      <w:r>
        <w:rPr>
          <w:rFonts w:ascii="Arial" w:cs="Arial" w:eastAsia="Arial" w:hAnsi="Arial"/>
          <w:sz w:val="17"/>
          <w:szCs w:val="17"/>
          <w:color w:val="auto"/>
        </w:rPr>
        <w:t>As of June 30, 2020, the liability for income taxes associated with uncertain tax positions was $12.6 million, of which $12.6 million, if recognized, would favorably affect the Company’s effective income tax rate. As of December 31, 2019, the liability for income taxes associated with unrecognized tax benefits was $17.2 million, of which $17.2 million, if recognized, would favorably affect the Company's effective tax rate.</w:t>
      </w:r>
    </w:p>
    <w:p>
      <w:pPr>
        <w:spacing w:after="0" w:line="5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$2.9 million may change within the next 12 months due to the expiration of statutory review periods and current examinations.</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response to the COVID-19 pandemic, legislation concerning taxes was passed during the six months ended June 30, 2020. While we are continuing to assess the impact of the legislation on our tax planning strategies, we do not expect there to be a material impact to our consolidated financial statements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4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 share - net income</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attributable to Wabtec shareholders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86.8</w:t>
            </w: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and non-vested restricted stock</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Less: dividends declared - preferred shares</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basic earnings per</w:t>
            </w:r>
          </w:p>
        </w:tc>
        <w:tc>
          <w:tcPr>
            <w:tcW w:w="3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Add: dividends declared - preferred shares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w:t>
            </w:r>
          </w:p>
        </w:tc>
        <w:tc>
          <w:tcPr>
            <w:tcW w:w="3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share</w:t>
            </w: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31"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 for basic earnings per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share - weighted average shares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Assumed conversion of preferred shares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Assumed conversion of dilutive stock-based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6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Denominator for diluted earnings per common share adjusted weighted average shares and assumed conversion</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189.8</w:t>
      </w:r>
    </w:p>
    <w:p>
      <w:pPr>
        <w:spacing w:after="0" w:line="368"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0.4</w:t>
      </w:r>
    </w:p>
    <w:p>
      <w:pPr>
        <w:spacing w:after="0" w:line="77" w:lineRule="exact"/>
        <w:rPr>
          <w:sz w:val="20"/>
          <w:szCs w:val="20"/>
          <w:color w:val="auto"/>
        </w:rPr>
      </w:pPr>
    </w:p>
    <w:p>
      <w:pPr>
        <w:jc w:val="right"/>
        <w:ind w:right="380"/>
        <w:spacing w:after="0"/>
        <w:rPr>
          <w:sz w:val="20"/>
          <w:szCs w:val="20"/>
          <w:color w:val="auto"/>
        </w:rPr>
      </w:pPr>
      <w:r>
        <w:rPr>
          <w:rFonts w:ascii="Arial" w:cs="Arial" w:eastAsia="Arial" w:hAnsi="Arial"/>
          <w:sz w:val="15"/>
          <w:szCs w:val="15"/>
          <w:color w:val="auto"/>
        </w:rPr>
        <w:t>190.2</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color w:val="auto"/>
        </w:rPr>
        <w:t>177.3</w:t>
      </w:r>
    </w:p>
    <w:p>
      <w:pPr>
        <w:spacing w:after="0" w:line="368"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13.7</w:t>
      </w:r>
    </w:p>
    <w:p>
      <w:pPr>
        <w:spacing w:after="0" w:line="314"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0.4</w:t>
      </w:r>
    </w:p>
    <w:p>
      <w:pPr>
        <w:spacing w:after="0" w:line="77" w:lineRule="exact"/>
        <w:rPr>
          <w:sz w:val="20"/>
          <w:szCs w:val="20"/>
          <w:color w:val="auto"/>
        </w:rPr>
      </w:pPr>
    </w:p>
    <w:p>
      <w:pPr>
        <w:jc w:val="right"/>
        <w:ind w:right="240"/>
        <w:spacing w:after="0"/>
        <w:rPr>
          <w:sz w:val="20"/>
          <w:szCs w:val="20"/>
          <w:color w:val="auto"/>
        </w:rPr>
      </w:pPr>
      <w:r>
        <w:rPr>
          <w:rFonts w:ascii="Arial" w:cs="Arial" w:eastAsia="Arial" w:hAnsi="Arial"/>
          <w:sz w:val="15"/>
          <w:szCs w:val="15"/>
          <w:color w:val="auto"/>
        </w:rPr>
        <w:t>191.5</w:t>
      </w:r>
    </w:p>
    <w:p>
      <w:pPr>
        <w:spacing w:after="0" w:line="120" w:lineRule="exact"/>
        <w:rPr>
          <w:sz w:val="20"/>
          <w:szCs w:val="20"/>
          <w:color w:val="auto"/>
        </w:rPr>
      </w:pPr>
    </w:p>
    <w:p>
      <w:pPr>
        <w:sectPr>
          <w:pgSz w:w="11900" w:h="16838" w:orient="portrait"/>
          <w:cols w:equalWidth="0" w:num="3">
            <w:col w:w="8380" w:space="720"/>
            <w:col w:w="780" w:space="720"/>
            <w:col w:w="64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Net income attributable to Wabtec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-127635</wp:posOffset>
            </wp:positionV>
            <wp:extent cx="18256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shareholders per common share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0.46</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 Basic weighted-average common shares outstanding</w:t>
            </w:r>
          </w:p>
        </w:tc>
        <w:tc>
          <w:tcPr>
            <w:tcW w:w="2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Basic weighted-average common shares outstanding and</w:t>
            </w:r>
          </w:p>
        </w:tc>
        <w:tc>
          <w:tcPr>
            <w:tcW w:w="2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320" w:type="dxa"/>
            <w:vAlign w:val="bottom"/>
          </w:tcPr>
          <w:p>
            <w:pPr>
              <w:ind w:left="360"/>
              <w:spacing w:after="0"/>
              <w:rPr>
                <w:sz w:val="20"/>
                <w:szCs w:val="20"/>
                <w:color w:val="auto"/>
              </w:rPr>
            </w:pPr>
            <w:r>
              <w:rPr>
                <w:rFonts w:ascii="Arial" w:cs="Arial" w:eastAsia="Arial" w:hAnsi="Arial"/>
                <w:sz w:val="18"/>
                <w:szCs w:val="18"/>
                <w:color w:val="auto"/>
              </w:rPr>
              <w:t>non-vested restricted stock expected to vest</w:t>
            </w:r>
          </w:p>
        </w:tc>
        <w:tc>
          <w:tcPr>
            <w:tcW w:w="2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190.3</w:t>
            </w:r>
          </w:p>
        </w:tc>
        <w:tc>
          <w:tcPr>
            <w:tcW w:w="7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Percentage allocated to common shareholders</w:t>
            </w:r>
          </w:p>
        </w:tc>
        <w:tc>
          <w:tcPr>
            <w:tcW w:w="2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 Ended</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right"/>
              <w:ind w:right="291"/>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 share - net income</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attributable to Wabtec shareholders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198.4</w:t>
            </w: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and non-vested restricted stock</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Less: dividends declared - preferred shares</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basic earnings per</w:t>
            </w:r>
          </w:p>
        </w:tc>
        <w:tc>
          <w:tcPr>
            <w:tcW w:w="3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Add: dividends declared - preferred shares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 for diluted earnings per</w:t>
            </w:r>
          </w:p>
        </w:tc>
        <w:tc>
          <w:tcPr>
            <w:tcW w:w="32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83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 for basic earnings per common</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share - weighted average shares</w:t>
            </w: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Assumed conversion of preferred shares</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Assumed conversion of dilutive stock-based</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140"/>
              <w:spacing w:after="0"/>
              <w:rPr>
                <w:sz w:val="20"/>
                <w:szCs w:val="20"/>
                <w:color w:val="auto"/>
              </w:rPr>
            </w:pPr>
            <w:r>
              <w:rPr>
                <w:rFonts w:ascii="Arial" w:cs="Arial" w:eastAsia="Arial" w:hAnsi="Arial"/>
                <w:sz w:val="18"/>
                <w:szCs w:val="18"/>
                <w:color w:val="auto"/>
              </w:rPr>
              <w:t>compensation plans</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Denominator for diluted earnings per common share adjusted weighted average shares and assumed conversion</w:t>
            </w:r>
          </w:p>
        </w:tc>
        <w:tc>
          <w:tcPr>
            <w:tcW w:w="3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4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Net income attributable to Wabtec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8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shareholders per common share</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8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34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Basic weighted-average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149.6</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2"/>
          </w:tcPr>
          <w:p>
            <w:pPr>
              <w:ind w:left="240"/>
              <w:spacing w:after="0"/>
              <w:rPr>
                <w:sz w:val="20"/>
                <w:szCs w:val="20"/>
                <w:color w:val="auto"/>
              </w:rPr>
            </w:pPr>
            <w:r>
              <w:rPr>
                <w:rFonts w:ascii="Arial" w:cs="Arial" w:eastAsia="Arial" w:hAnsi="Arial"/>
                <w:sz w:val="18"/>
                <w:szCs w:val="18"/>
                <w:color w:val="auto"/>
              </w:rPr>
              <w:t>Basic weighted-average common shares outstanding and</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360"/>
              <w:spacing w:after="0"/>
              <w:rPr>
                <w:sz w:val="20"/>
                <w:szCs w:val="20"/>
                <w:color w:val="auto"/>
              </w:rPr>
            </w:pPr>
            <w:r>
              <w:rPr>
                <w:rFonts w:ascii="Arial" w:cs="Arial" w:eastAsia="Arial" w:hAnsi="Arial"/>
                <w:sz w:val="18"/>
                <w:szCs w:val="18"/>
                <w:color w:val="auto"/>
              </w:rPr>
              <w:t>non-vested restricted stock expected to vest</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w:t>
            </w: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66040</wp:posOffset>
            </wp:positionV>
            <wp:extent cx="1731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153.7</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97.5</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65.8</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(60.6)</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impact/other</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64"/>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Balance at June 30</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258.5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256.0</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13. DERIVATIVE FINANCIAL INSTRUMENTS AND HEDGING</w:t>
      </w:r>
    </w:p>
    <w:p>
      <w:pPr>
        <w:spacing w:after="0" w:line="121"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we are exposed to interest rate, commodity price and foreign currency exchange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fluctuations. At times, we mitigate these risk exposures through the use of derivatives such as cross-currency swaps, foreign currency forward contracts, interest rate swaps, commodity forwards and futures. In accordance with our policy, derivatives are only used for hedging purposes. We do not use derivatives for trading or speculative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Company uses forward contracts to mitigate its foreign currency exchange rate exposure due to forecasted sales of 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 The contracts are scheduled to mature within two years. For the three and six months ended June 30, 2020 and 2019, the amounts reclassified into income were not material.</w:t>
      </w:r>
    </w:p>
    <w:p>
      <w:pPr>
        <w:spacing w:after="0" w:line="70"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The Company has established revenue hedging, balance sheet risk management and net investment hedging programs to protect against volatility of future foreign currency cash flows and changes in fair value caused by volatility in foreign exchange rates. We conduct our business worldwide in U.S. dollars and the functional currencies of our foreign subsidiaries, including Euro, Indian rupee, British pound sterling, Australian dollars and several other foreign currencies. Changes in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and net purchases and sales in non-functional currencies. We have certain foreign currency exchange rate risk management programs that use foreign currency forward contracts and cross-currency swaps. These forward contracts and cross-currency swaps are generally used to offset the potential income statement effects from intercompany loans denominated in non-functional currencies. In addition, the Company uses forward contracts to mitigate its foreign currency exchange rate exposure due to forecasted sales of finished goods and future settlement of foreign currency denominated assets and liabilities. These programs mitigate but do not entirely eliminate foreign currency exchange rate risk.</w:t>
      </w:r>
    </w:p>
    <w:p>
      <w:pPr>
        <w:spacing w:after="0" w:line="6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w:t>
      </w:r>
    </w:p>
    <w:p>
      <w:pPr>
        <w:spacing w:after="0" w:line="79"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expense, net. The net loss related to these contracts was $0.4 million for the six months ended June 30, 2020. These contracts are scheduled to mature within one year.</w:t>
      </w:r>
    </w:p>
    <w:p>
      <w:pPr>
        <w:spacing w:after="0" w:line="6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June 30,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Gross Notional Amount</w:t>
            </w:r>
          </w:p>
        </w:tc>
      </w:tr>
      <w:tr>
        <w:trPr>
          <w:trHeight w:val="161"/>
        </w:trPr>
        <w:tc>
          <w:tcPr>
            <w:tcW w:w="20" w:type="dxa"/>
            <w:vAlign w:val="bottom"/>
          </w:tcPr>
          <w:p>
            <w:pPr>
              <w:spacing w:after="0"/>
              <w:rPr>
                <w:sz w:val="14"/>
                <w:szCs w:val="14"/>
                <w:color w:val="auto"/>
              </w:rPr>
            </w:pPr>
          </w:p>
        </w:tc>
        <w:tc>
          <w:tcPr>
            <w:tcW w:w="4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320" w:type="dxa"/>
            <w:vAlign w:val="bottom"/>
          </w:tcPr>
          <w:p>
            <w:pPr>
              <w:jc w:val="right"/>
              <w:ind w:right="375"/>
              <w:spacing w:after="0"/>
              <w:rPr>
                <w:sz w:val="20"/>
                <w:szCs w:val="20"/>
                <w:color w:val="auto"/>
              </w:rPr>
            </w:pPr>
            <w:r>
              <w:rPr>
                <w:rFonts w:ascii="Arial" w:cs="Arial" w:eastAsia="Arial" w:hAnsi="Arial"/>
                <w:sz w:val="14"/>
                <w:szCs w:val="14"/>
                <w:b w:val="1"/>
                <w:bCs w:val="1"/>
                <w:color w:val="auto"/>
              </w:rPr>
              <w:t>Designated</w:t>
            </w:r>
          </w:p>
        </w:tc>
        <w:tc>
          <w:tcPr>
            <w:tcW w:w="400" w:type="dxa"/>
            <w:vAlign w:val="bottom"/>
          </w:tcPr>
          <w:p>
            <w:pPr>
              <w:spacing w:after="0"/>
              <w:rPr>
                <w:sz w:val="14"/>
                <w:szCs w:val="14"/>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Non-Designated</w:t>
            </w:r>
          </w:p>
        </w:tc>
        <w:tc>
          <w:tcPr>
            <w:tcW w:w="3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Designated</w:t>
            </w:r>
          </w:p>
        </w:tc>
        <w:tc>
          <w:tcPr>
            <w:tcW w:w="220" w:type="dxa"/>
            <w:vAlign w:val="bottom"/>
          </w:tcPr>
          <w:p>
            <w:pPr>
              <w:spacing w:after="0"/>
              <w:rPr>
                <w:sz w:val="14"/>
                <w:szCs w:val="14"/>
                <w:color w:val="auto"/>
              </w:rPr>
            </w:pPr>
          </w:p>
        </w:tc>
        <w:tc>
          <w:tcPr>
            <w:tcW w:w="140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Non-Designated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448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7.9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2,000.7</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311.5</w:t>
            </w:r>
          </w:p>
        </w:tc>
      </w:tr>
      <w:tr>
        <w:trPr>
          <w:trHeight w:val="276"/>
        </w:trPr>
        <w:tc>
          <w:tcPr>
            <w:tcW w:w="20" w:type="dxa"/>
            <w:vAlign w:val="bottom"/>
            <w:shd w:val="clear" w:color="auto" w:fill="CCEEFF"/>
          </w:tcPr>
          <w:p>
            <w:pPr>
              <w:spacing w:after="0"/>
              <w:rPr>
                <w:sz w:val="24"/>
                <w:szCs w:val="24"/>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Arial" w:cs="Arial" w:eastAsia="Arial" w:hAnsi="Arial"/>
                <w:sz w:val="14"/>
                <w:szCs w:val="14"/>
                <w:color w:val="auto"/>
              </w:rPr>
              <w:t>Cross-currency Swaps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(9.3)</w:t>
            </w: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69"/>
        </w:trPr>
        <w:tc>
          <w:tcPr>
            <w:tcW w:w="20" w:type="dxa"/>
            <w:vAlign w:val="bottom"/>
          </w:tcPr>
          <w:p>
            <w:pPr>
              <w:spacing w:after="0"/>
              <w:rPr>
                <w:sz w:val="23"/>
                <w:szCs w:val="23"/>
                <w:color w:val="auto"/>
              </w:rPr>
            </w:pPr>
          </w:p>
        </w:tc>
        <w:tc>
          <w:tcPr>
            <w:tcW w:w="4480" w:type="dxa"/>
            <w:vAlign w:val="bottom"/>
            <w:gridSpan w:val="2"/>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2,561.6</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311.5</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9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295"/>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ind w:right="34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 as of 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8"/>
              </w:rPr>
              <w:t>Fair Value</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Gross Notional Amount</w:t>
            </w:r>
          </w:p>
        </w:tc>
      </w:tr>
      <w:tr>
        <w:trPr>
          <w:trHeight w:val="162"/>
        </w:trPr>
        <w:tc>
          <w:tcPr>
            <w:tcW w:w="2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Designated</w:t>
            </w:r>
          </w:p>
        </w:tc>
        <w:tc>
          <w:tcPr>
            <w:tcW w:w="36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Non-Designated</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Designated</w:t>
            </w:r>
          </w:p>
        </w:tc>
        <w:tc>
          <w:tcPr>
            <w:tcW w:w="200" w:type="dxa"/>
            <w:vAlign w:val="bottom"/>
          </w:tcPr>
          <w:p>
            <w:pPr>
              <w:spacing w:after="0"/>
              <w:rPr>
                <w:sz w:val="14"/>
                <w:szCs w:val="14"/>
                <w:color w:val="auto"/>
              </w:rPr>
            </w:pP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Non-Designated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452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860"/>
              <w:spacing w:after="0"/>
              <w:rPr>
                <w:sz w:val="20"/>
                <w:szCs w:val="20"/>
                <w:color w:val="auto"/>
              </w:rPr>
            </w:pPr>
            <w:r>
              <w:rPr>
                <w:rFonts w:ascii="Arial" w:cs="Arial" w:eastAsia="Arial" w:hAnsi="Arial"/>
                <w:sz w:val="18"/>
                <w:szCs w:val="18"/>
                <w:color w:val="auto"/>
              </w:rPr>
              <w:t>11.2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6"/>
              <w:spacing w:after="0"/>
              <w:rPr>
                <w:sz w:val="20"/>
                <w:szCs w:val="20"/>
                <w:color w:val="auto"/>
              </w:rPr>
            </w:pPr>
            <w:r>
              <w:rPr>
                <w:rFonts w:ascii="Arial" w:cs="Arial" w:eastAsia="Arial" w:hAnsi="Arial"/>
                <w:sz w:val="18"/>
                <w:szCs w:val="18"/>
                <w:color w:val="auto"/>
              </w:rPr>
              <w:t>920.0</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403.0</w:t>
            </w:r>
          </w:p>
        </w:tc>
      </w:tr>
      <w:tr>
        <w:trPr>
          <w:trHeight w:val="276"/>
        </w:trPr>
        <w:tc>
          <w:tcPr>
            <w:tcW w:w="20" w:type="dxa"/>
            <w:vAlign w:val="bottom"/>
            <w:shd w:val="clear" w:color="auto" w:fill="CCEEFF"/>
          </w:tcPr>
          <w:p>
            <w:pPr>
              <w:spacing w:after="0"/>
              <w:rPr>
                <w:sz w:val="24"/>
                <w:szCs w:val="24"/>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1,184.6</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Cross-currency Swaps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(9.4)</w:t>
            </w:r>
          </w:p>
        </w:tc>
        <w:tc>
          <w:tcPr>
            <w:tcW w:w="3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560.8</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69"/>
        </w:trPr>
        <w:tc>
          <w:tcPr>
            <w:tcW w:w="20" w:type="dxa"/>
            <w:vAlign w:val="bottom"/>
          </w:tcPr>
          <w:p>
            <w:pPr>
              <w:spacing w:after="0"/>
              <w:rPr>
                <w:sz w:val="23"/>
                <w:szCs w:val="23"/>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(8.0)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2,665.4</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403.0</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0" w:firstLine="486"/>
        <w:spacing w:after="0" w:line="308" w:lineRule="auto"/>
        <w:rPr>
          <w:sz w:val="20"/>
          <w:szCs w:val="20"/>
          <w:color w:val="auto"/>
        </w:rPr>
      </w:pPr>
      <w:r>
        <w:rPr>
          <w:rFonts w:ascii="Arial" w:cs="Arial" w:eastAsia="Arial" w:hAnsi="Arial"/>
          <w:sz w:val="16"/>
          <w:szCs w:val="16"/>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w:t>
      </w:r>
    </w:p>
    <w:p>
      <w:pPr>
        <w:ind w:right="740"/>
        <w:spacing w:after="0" w:line="375" w:lineRule="auto"/>
        <w:rPr>
          <w:sz w:val="20"/>
          <w:szCs w:val="20"/>
          <w:color w:val="auto"/>
        </w:rPr>
      </w:pPr>
      <w:r>
        <w:rPr>
          <w:rFonts w:ascii="Arial" w:cs="Arial" w:eastAsia="Arial" w:hAnsi="Arial"/>
          <w:sz w:val="18"/>
          <w:szCs w:val="18"/>
          <w:color w:val="auto"/>
        </w:rPr>
        <w:t xml:space="preserve">activities that would put principal capital at risk. For the six months ended June 30, 2020 the amounts reclassified into income were not material. </w:t>
      </w:r>
      <w:r>
        <w:rPr>
          <w:rFonts w:ascii="Arial" w:cs="Arial" w:eastAsia="Arial" w:hAnsi="Arial"/>
          <w:sz w:val="18"/>
          <w:szCs w:val="18"/>
          <w:i w:val="1"/>
          <w:iCs w:val="1"/>
          <w:color w:val="auto"/>
        </w:rPr>
        <w:t>Commodity Price Risk</w:t>
      </w:r>
    </w:p>
    <w:p>
      <w:pPr>
        <w:spacing w:after="0" w:line="1"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color w:val="auto"/>
        </w:rPr>
        <w:t>The Company may use commodity forward contracts and futures to mitigate its exposure to commodity price changes and to reduce its overall cost of manufacturing. For the six months ended June 30, 2020 the amounts recognized as income or expense were not material.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 AND FAIR VALUE OF FINANCIAL INSTRUMENTS</w:t>
      </w:r>
    </w:p>
    <w:p>
      <w:pPr>
        <w:spacing w:after="0" w:line="12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40" w:firstLine="486"/>
        <w:spacing w:after="0" w:line="274"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June 30, 2020 which are included in other current assets and liabilities on the Consolidated Balance sheet: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Fair Value Measurements at June 30, 2020 Using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60" w:type="dxa"/>
            <w:vAlign w:val="bottom"/>
          </w:tcPr>
          <w:p>
            <w:pPr>
              <w:spacing w:after="0"/>
              <w:rPr>
                <w:sz w:val="13"/>
                <w:szCs w:val="13"/>
                <w:color w:val="auto"/>
              </w:rPr>
            </w:pPr>
          </w:p>
        </w:tc>
        <w:tc>
          <w:tcPr>
            <w:tcW w:w="116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Value at</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Identical Assets</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160" w:type="dxa"/>
            <w:vAlign w:val="bottom"/>
          </w:tcPr>
          <w:p>
            <w:pPr>
              <w:spacing w:after="0"/>
              <w:rPr>
                <w:sz w:val="16"/>
                <w:szCs w:val="16"/>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16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5"/>
                <w:szCs w:val="15"/>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Cross-Currency Swap Agreement</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mitigates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26" w:name="page27"/>
    <w:bookmarkEnd w:id="26"/>
    <w:p>
      <w:pPr>
        <w:ind w:right="60" w:firstLine="486"/>
        <w:spacing w:after="0" w:line="288"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June 30, 2020 and December 31, 2019.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and includes $160.0 million classified as "Other accrued liabilities" on the Company's consolidated balance sheet and $297.6 million in long-term liabilities classified as "Contingent consideration" on the Company's consolidated balance sheet. The fair value approximates the carrying value at June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are described in the Company’s Annual Report on Form 10-K for the year ended December 31, 2019, in Note 20 therein, filed on February 24, 2020. During the first six months of 2020, there were no material changes to the information described in the Form 10-K related to claims arising from asbestos exposure.</w:t>
      </w:r>
    </w:p>
    <w:p>
      <w:pPr>
        <w:spacing w:after="0" w:line="6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2019, in Note 20 therein, filed on February 24, 2020. Except as described below, there have been no material changes to the information described in the Form 10-K related to claims arising from Company's ordinary operations.</w:t>
      </w:r>
    </w:p>
    <w:p>
      <w:pPr>
        <w:spacing w:after="0" w:line="80"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the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was scheduled to begin in May 2020 but was postponed until September 21, 2020. DTC’s complaint generally supports Xorail’s position and does not name or implicate Xorail; DTC has not updated its notices against Xorail, nor have they filed any formal claim against Xorail.</w:t>
      </w:r>
    </w:p>
    <w:p>
      <w:pPr>
        <w:spacing w:after="0" w:line="5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On April 3, 2018, the Company and Knorr-Bremse AG entered into a consent decree with the United States Department of Justice resolving allegations that the Company and Knorr-Bremse AG had maintained unlawful agreements not to compete for each other’s employees. The allegations also related to Faiveley Transport before it was acquired by the Company in November 2016. No monetary fines or penalties were imposed on the Company. The Company elected to settle this matter with the Department of Justice to avoid the cost and distraction of litigation. Putative class action lawsuits thereafter were filed in several different federal district courts naming the Company and Knorr as defendants in connection with the allegations contained in the consent decree. A federal Multi-District Litigation (MDL) Panel consolidated the cases in the Western District of Pennsylvania, and on October 12, 2018, a consolidated class action complaint was filed in the Western District of PA with five named plaintiffs. On August 13, 2019, the Company was notified that co-defendant Knorr-Bremse settled with plaintiffs. On January 21, 2020, following Court-sponsored early mediation, the Company entered into a Memorandum of Understanding with plaintiffs, agreeing to settle all claims in the case. In March 2020, the Court issued preliminary approval of the agreed settlement terms and amount.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in 2020 and through the retrospective revision of 2019 segment information. The Company believes these changes better present Management's new view of the business. The Company’s business segments are:</w:t>
      </w:r>
    </w:p>
    <w:p>
      <w:pPr>
        <w:spacing w:after="0" w:line="54" w:lineRule="exact"/>
        <w:rPr>
          <w:sz w:val="20"/>
          <w:szCs w:val="20"/>
          <w:color w:val="auto"/>
        </w:rPr>
      </w:pPr>
    </w:p>
    <w:p>
      <w:pPr>
        <w:ind w:right="260" w:firstLine="486"/>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builds new locomotives, manufactures and services components for new and existing freight cars and locomotives,</w:t>
      </w:r>
      <w:r>
        <w:rPr>
          <w:rFonts w:ascii="Arial" w:cs="Arial" w:eastAsia="Arial" w:hAnsi="Arial"/>
          <w:sz w:val="18"/>
          <w:szCs w:val="18"/>
          <w:b w:val="1"/>
          <w:bCs w:val="1"/>
          <w:color w:val="auto"/>
        </w:rPr>
        <w:t xml:space="preserve"> </w:t>
      </w:r>
      <w:r>
        <w:rPr>
          <w:rFonts w:ascii="Arial" w:cs="Arial" w:eastAsia="Arial" w:hAnsi="Arial"/>
          <w:sz w:val="18"/>
          <w:szCs w:val="18"/>
          <w:color w:val="auto"/>
        </w:rPr>
        <w:t>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right="12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w:t>
      </w:r>
      <w:r>
        <w:rPr>
          <w:rFonts w:ascii="Arial" w:cs="Arial" w:eastAsia="Arial" w:hAnsi="Arial"/>
          <w:sz w:val="18"/>
          <w:szCs w:val="18"/>
          <w:b w:val="1"/>
          <w:bCs w:val="1"/>
          <w:color w:val="auto"/>
        </w:rPr>
        <w:t xml:space="preserve"> </w:t>
      </w:r>
      <w:r>
        <w:rPr>
          <w:rFonts w:ascii="Arial" w:cs="Arial" w:eastAsia="Arial" w:hAnsi="Arial"/>
          <w:sz w:val="18"/>
          <w:szCs w:val="18"/>
          <w:color w:val="auto"/>
        </w:rPr>
        <w:t>speed 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76" w:lineRule="exact"/>
        <w:rPr>
          <w:sz w:val="20"/>
          <w:szCs w:val="20"/>
          <w:color w:val="auto"/>
        </w:rPr>
      </w:pPr>
    </w:p>
    <w:p>
      <w:pPr>
        <w:ind w:right="260" w:firstLine="486"/>
        <w:spacing w:after="0" w:line="275"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June 30, 2020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Freight</w:t>
            </w: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1,737.4</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1,217.6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538.8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1,737.4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June 30, 2019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Freight</w:t>
            </w: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2,236.3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1,541.9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2,236.3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167.5</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color w:val="auto"/>
        </w:rPr>
        <w:t>Segment financial information for the six months ended June 30, 2020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Freight</w:t>
            </w: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2,505.7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3,667.3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2,531.1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1,176.8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3,667.3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303.2</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376.7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303.2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six months ended June 30, 2019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Freight</w:t>
            </w: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2,441.8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3,829.9</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2,473.1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1,396.2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3,829.9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248.4</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267.9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248.4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(212.1)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by product line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 June 30,</w:t>
            </w:r>
          </w:p>
        </w:tc>
      </w:tr>
      <w:tr>
        <w:trPr>
          <w:trHeight w:val="174"/>
        </w:trPr>
        <w:tc>
          <w:tcPr>
            <w:tcW w:w="2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Freight Segment: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8080" w:type="dxa"/>
            <w:vAlign w:val="bottom"/>
            <w:gridSpan w:val="2"/>
          </w:tcPr>
          <w:p>
            <w:pPr>
              <w:ind w:left="100"/>
              <w:spacing w:after="0"/>
              <w:rPr>
                <w:sz w:val="20"/>
                <w:szCs w:val="20"/>
                <w:color w:val="auto"/>
              </w:rPr>
            </w:pPr>
            <w:r>
              <w:rPr>
                <w:rFonts w:ascii="Arial" w:cs="Arial" w:eastAsia="Arial" w:hAnsi="Arial"/>
                <w:sz w:val="14"/>
                <w:szCs w:val="14"/>
                <w:color w:val="auto"/>
              </w:rPr>
              <w:t>Equipment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334.9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531.4</w:t>
            </w:r>
          </w:p>
        </w:tc>
      </w:tr>
      <w:tr>
        <w:trPr>
          <w:trHeight w:val="208"/>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Components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279.5</w:t>
            </w:r>
          </w:p>
        </w:tc>
      </w:tr>
      <w:tr>
        <w:trPr>
          <w:trHeight w:val="196"/>
        </w:trPr>
        <w:tc>
          <w:tcPr>
            <w:tcW w:w="20" w:type="dxa"/>
            <w:vAlign w:val="bottom"/>
          </w:tcPr>
          <w:p>
            <w:pPr>
              <w:spacing w:after="0"/>
              <w:rPr>
                <w:sz w:val="17"/>
                <w:szCs w:val="17"/>
                <w:color w:val="auto"/>
              </w:rPr>
            </w:pPr>
          </w:p>
        </w:tc>
        <w:tc>
          <w:tcPr>
            <w:tcW w:w="8080" w:type="dxa"/>
            <w:vAlign w:val="bottom"/>
            <w:gridSpan w:val="2"/>
          </w:tcPr>
          <w:p>
            <w:pPr>
              <w:ind w:left="100"/>
              <w:spacing w:after="0"/>
              <w:rPr>
                <w:sz w:val="20"/>
                <w:szCs w:val="20"/>
                <w:color w:val="auto"/>
              </w:rPr>
            </w:pPr>
            <w:r>
              <w:rPr>
                <w:rFonts w:ascii="Arial" w:cs="Arial" w:eastAsia="Arial" w:hAnsi="Arial"/>
                <w:sz w:val="14"/>
                <w:szCs w:val="14"/>
                <w:color w:val="auto"/>
              </w:rPr>
              <w:t>Digital Electronics</w:t>
            </w:r>
          </w:p>
        </w:tc>
        <w:tc>
          <w:tcPr>
            <w:tcW w:w="3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165.5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159.0</w:t>
            </w:r>
          </w:p>
        </w:tc>
      </w:tr>
      <w:tr>
        <w:trPr>
          <w:trHeight w:val="203"/>
        </w:trPr>
        <w:tc>
          <w:tcPr>
            <w:tcW w:w="20" w:type="dxa"/>
            <w:vAlign w:val="bottom"/>
            <w:shd w:val="clear" w:color="auto" w:fill="CCEEFF"/>
          </w:tcPr>
          <w:p>
            <w:pPr>
              <w:spacing w:after="0"/>
              <w:rPr>
                <w:sz w:val="17"/>
                <w:szCs w:val="17"/>
                <w:color w:val="auto"/>
              </w:rPr>
            </w:pPr>
          </w:p>
        </w:tc>
        <w:tc>
          <w:tcPr>
            <w:tcW w:w="8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508.8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556.4</w:t>
            </w:r>
          </w:p>
        </w:tc>
      </w:tr>
      <w:tr>
        <w:trPr>
          <w:trHeight w:val="209"/>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Freight Segment sales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1,204.7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1,526.3</w:t>
            </w:r>
          </w:p>
        </w:tc>
      </w:tr>
      <w:tr>
        <w:trPr>
          <w:trHeight w:val="203"/>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Original Equipment Manufacturer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335.6</w:t>
            </w:r>
          </w:p>
        </w:tc>
      </w:tr>
      <w:tr>
        <w:trPr>
          <w:trHeight w:val="197"/>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Aftermarket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305.4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374.4</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Transit Segment sales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532.7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710.0</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174"/>
        </w:trPr>
        <w:tc>
          <w:tcPr>
            <w:tcW w:w="2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5"/>
                <w:szCs w:val="15"/>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Freight Segment: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8080" w:type="dxa"/>
            <w:vAlign w:val="bottom"/>
            <w:gridSpan w:val="2"/>
          </w:tcPr>
          <w:p>
            <w:pPr>
              <w:ind w:left="100"/>
              <w:spacing w:after="0"/>
              <w:rPr>
                <w:sz w:val="20"/>
                <w:szCs w:val="20"/>
                <w:color w:val="auto"/>
              </w:rPr>
            </w:pPr>
            <w:r>
              <w:rPr>
                <w:rFonts w:ascii="Arial" w:cs="Arial" w:eastAsia="Arial" w:hAnsi="Arial"/>
                <w:sz w:val="14"/>
                <w:szCs w:val="14"/>
                <w:color w:val="auto"/>
              </w:rPr>
              <w:t>Equipment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742.9</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798.5</w:t>
            </w:r>
          </w:p>
        </w:tc>
      </w:tr>
      <w:tr>
        <w:trPr>
          <w:trHeight w:val="209"/>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Components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574.7</w:t>
            </w:r>
          </w:p>
        </w:tc>
      </w:tr>
      <w:tr>
        <w:trPr>
          <w:trHeight w:val="196"/>
        </w:trPr>
        <w:tc>
          <w:tcPr>
            <w:tcW w:w="20" w:type="dxa"/>
            <w:vAlign w:val="bottom"/>
          </w:tcPr>
          <w:p>
            <w:pPr>
              <w:spacing w:after="0"/>
              <w:rPr>
                <w:sz w:val="17"/>
                <w:szCs w:val="17"/>
                <w:color w:val="auto"/>
              </w:rPr>
            </w:pPr>
          </w:p>
        </w:tc>
        <w:tc>
          <w:tcPr>
            <w:tcW w:w="8080" w:type="dxa"/>
            <w:vAlign w:val="bottom"/>
            <w:gridSpan w:val="2"/>
          </w:tcPr>
          <w:p>
            <w:pPr>
              <w:ind w:left="100"/>
              <w:spacing w:after="0"/>
              <w:rPr>
                <w:sz w:val="20"/>
                <w:szCs w:val="20"/>
                <w:color w:val="auto"/>
              </w:rPr>
            </w:pPr>
            <w:r>
              <w:rPr>
                <w:rFonts w:ascii="Arial" w:cs="Arial" w:eastAsia="Arial" w:hAnsi="Arial"/>
                <w:sz w:val="14"/>
                <w:szCs w:val="14"/>
                <w:color w:val="auto"/>
              </w:rPr>
              <w:t>Digital Electronics</w:t>
            </w:r>
          </w:p>
        </w:tc>
        <w:tc>
          <w:tcPr>
            <w:tcW w:w="3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339.1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280.8</w:t>
            </w:r>
          </w:p>
        </w:tc>
      </w:tr>
      <w:tr>
        <w:trPr>
          <w:trHeight w:val="203"/>
        </w:trPr>
        <w:tc>
          <w:tcPr>
            <w:tcW w:w="20" w:type="dxa"/>
            <w:vAlign w:val="bottom"/>
            <w:shd w:val="clear" w:color="auto" w:fill="CCEEFF"/>
          </w:tcPr>
          <w:p>
            <w:pPr>
              <w:spacing w:after="0"/>
              <w:rPr>
                <w:sz w:val="17"/>
                <w:szCs w:val="17"/>
                <w:color w:val="auto"/>
              </w:rPr>
            </w:pPr>
          </w:p>
        </w:tc>
        <w:tc>
          <w:tcPr>
            <w:tcW w:w="8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1,007.8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787.8</w:t>
            </w:r>
          </w:p>
        </w:tc>
      </w:tr>
      <w:tr>
        <w:trPr>
          <w:trHeight w:val="209"/>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Freight Segment sales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2,505.7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2,441.8</w:t>
            </w:r>
          </w:p>
        </w:tc>
      </w:tr>
      <w:tr>
        <w:trPr>
          <w:trHeight w:val="203"/>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808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Original Equipment Manufacturer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662.9</w:t>
            </w:r>
          </w:p>
        </w:tc>
      </w:tr>
      <w:tr>
        <w:trPr>
          <w:trHeight w:val="197"/>
        </w:trPr>
        <w:tc>
          <w:tcPr>
            <w:tcW w:w="20" w:type="dxa"/>
            <w:vAlign w:val="bottom"/>
            <w:tcBorders>
              <w:bottom w:val="single" w:sz="8" w:color="CCEEFF"/>
            </w:tcBorders>
          </w:tcPr>
          <w:p>
            <w:pPr>
              <w:spacing w:after="0"/>
              <w:rPr>
                <w:sz w:val="17"/>
                <w:szCs w:val="17"/>
                <w:color w:val="auto"/>
              </w:rPr>
            </w:pPr>
          </w:p>
        </w:tc>
        <w:tc>
          <w:tcPr>
            <w:tcW w:w="80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Aftermarket</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725.2</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Transit Segment sales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1,161.6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17. OTHER INCOME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income (expense), net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center"/>
              <w:ind w:left="257"/>
              <w:spacing w:after="0"/>
              <w:rPr>
                <w:sz w:val="20"/>
                <w:szCs w:val="20"/>
                <w:color w:val="auto"/>
              </w:rPr>
            </w:pPr>
            <w:r>
              <w:rPr>
                <w:rFonts w:ascii="Arial" w:cs="Arial" w:eastAsia="Arial" w:hAnsi="Arial"/>
                <w:sz w:val="18"/>
                <w:szCs w:val="18"/>
                <w:color w:val="auto"/>
                <w:w w:val="91"/>
              </w:rPr>
              <w:t>(0.3)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91"/>
              </w:rPr>
              <w:t>(1.2)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r>
      <w:tr>
        <w:trPr>
          <w:trHeight w:val="243"/>
        </w:trPr>
        <w:tc>
          <w:tcPr>
            <w:tcW w:w="2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280" w:type="dxa"/>
            <w:vAlign w:val="bottom"/>
          </w:tcPr>
          <w:p>
            <w:pPr>
              <w:spacing w:after="0"/>
              <w:rPr>
                <w:sz w:val="21"/>
                <w:szCs w:val="21"/>
                <w:color w:val="auto"/>
              </w:rPr>
            </w:pPr>
          </w:p>
        </w:tc>
        <w:tc>
          <w:tcPr>
            <w:tcW w:w="920" w:type="dxa"/>
            <w:vAlign w:val="bottom"/>
          </w:tcPr>
          <w:p>
            <w:pPr>
              <w:jc w:val="center"/>
              <w:ind w:left="297"/>
              <w:spacing w:after="0"/>
              <w:rPr>
                <w:sz w:val="20"/>
                <w:szCs w:val="20"/>
                <w:color w:val="auto"/>
              </w:rPr>
            </w:pPr>
            <w:r>
              <w:rPr>
                <w:rFonts w:ascii="Arial" w:cs="Arial" w:eastAsia="Arial" w:hAnsi="Arial"/>
                <w:sz w:val="18"/>
                <w:szCs w:val="18"/>
                <w:color w:val="auto"/>
                <w:w w:val="87"/>
              </w:rPr>
              <w:t>2.0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center"/>
              <w:ind w:left="233"/>
              <w:spacing w:after="0"/>
              <w:rPr>
                <w:sz w:val="20"/>
                <w:szCs w:val="20"/>
                <w:color w:val="auto"/>
              </w:rPr>
            </w:pPr>
            <w:r>
              <w:rPr>
                <w:rFonts w:ascii="Arial" w:cs="Arial" w:eastAsia="Arial" w:hAnsi="Arial"/>
                <w:sz w:val="18"/>
                <w:szCs w:val="18"/>
                <w:color w:val="auto"/>
                <w:w w:val="87"/>
              </w:rPr>
              <w:t>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pension assets/amortization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97"/>
              <w:spacing w:after="0"/>
              <w:rPr>
                <w:sz w:val="20"/>
                <w:szCs w:val="20"/>
                <w:color w:val="auto"/>
              </w:rPr>
            </w:pPr>
            <w:r>
              <w:rPr>
                <w:rFonts w:ascii="Arial" w:cs="Arial" w:eastAsia="Arial" w:hAnsi="Arial"/>
                <w:sz w:val="18"/>
                <w:szCs w:val="18"/>
                <w:color w:val="auto"/>
                <w:w w:val="87"/>
              </w:rPr>
              <w:t>2.3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233"/>
              <w:spacing w:after="0"/>
              <w:rPr>
                <w:sz w:val="20"/>
                <w:szCs w:val="20"/>
                <w:color w:val="auto"/>
              </w:rPr>
            </w:pPr>
            <w:r>
              <w:rPr>
                <w:rFonts w:ascii="Arial" w:cs="Arial" w:eastAsia="Arial" w:hAnsi="Arial"/>
                <w:sz w:val="18"/>
                <w:szCs w:val="18"/>
                <w:color w:val="auto"/>
                <w:w w:val="87"/>
              </w:rPr>
              <w:t>1.8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5.2</w:t>
            </w:r>
          </w:p>
        </w:tc>
      </w:tr>
      <w:tr>
        <w:trPr>
          <w:trHeight w:val="243"/>
        </w:trPr>
        <w:tc>
          <w:tcPr>
            <w:tcW w:w="20" w:type="dxa"/>
            <w:vAlign w:val="bottom"/>
          </w:tcPr>
          <w:p>
            <w:pPr>
              <w:spacing w:after="0"/>
              <w:rPr>
                <w:sz w:val="21"/>
                <w:szCs w:val="21"/>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miscellaneous income (expense)</w:t>
            </w:r>
          </w:p>
        </w:tc>
        <w:tc>
          <w:tcPr>
            <w:tcW w:w="280" w:type="dxa"/>
            <w:vAlign w:val="bottom"/>
          </w:tcPr>
          <w:p>
            <w:pPr>
              <w:spacing w:after="0"/>
              <w:rPr>
                <w:sz w:val="21"/>
                <w:szCs w:val="21"/>
                <w:color w:val="auto"/>
              </w:rPr>
            </w:pPr>
          </w:p>
        </w:tc>
        <w:tc>
          <w:tcPr>
            <w:tcW w:w="920" w:type="dxa"/>
            <w:vAlign w:val="bottom"/>
          </w:tcPr>
          <w:p>
            <w:pPr>
              <w:jc w:val="center"/>
              <w:ind w:left="297"/>
              <w:spacing w:after="0"/>
              <w:rPr>
                <w:sz w:val="20"/>
                <w:szCs w:val="20"/>
                <w:color w:val="auto"/>
              </w:rPr>
            </w:pPr>
            <w:r>
              <w:rPr>
                <w:rFonts w:ascii="Arial" w:cs="Arial" w:eastAsia="Arial" w:hAnsi="Arial"/>
                <w:sz w:val="18"/>
                <w:szCs w:val="18"/>
                <w:color w:val="auto"/>
                <w:w w:val="87"/>
              </w:rPr>
              <w:t>2.3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center"/>
              <w:ind w:left="233"/>
              <w:spacing w:after="0"/>
              <w:rPr>
                <w:sz w:val="20"/>
                <w:szCs w:val="20"/>
                <w:color w:val="auto"/>
              </w:rPr>
            </w:pPr>
            <w:r>
              <w:rPr>
                <w:rFonts w:ascii="Arial" w:cs="Arial" w:eastAsia="Arial" w:hAnsi="Arial"/>
                <w:sz w:val="18"/>
                <w:szCs w:val="18"/>
                <w:color w:val="auto"/>
                <w:w w:val="87"/>
              </w:rPr>
              <w:t>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0.5</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center"/>
              <w:ind w:left="297"/>
              <w:spacing w:after="0"/>
              <w:rPr>
                <w:sz w:val="20"/>
                <w:szCs w:val="20"/>
                <w:color w:val="auto"/>
              </w:rPr>
            </w:pPr>
            <w:r>
              <w:rPr>
                <w:rFonts w:ascii="Arial" w:cs="Arial" w:eastAsia="Arial" w:hAnsi="Arial"/>
                <w:sz w:val="18"/>
                <w:szCs w:val="18"/>
                <w:color w:val="auto"/>
                <w:w w:val="87"/>
              </w:rPr>
              <w:t>6.3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center"/>
              <w:ind w:left="233"/>
              <w:spacing w:after="0"/>
              <w:rPr>
                <w:sz w:val="20"/>
                <w:szCs w:val="20"/>
                <w:color w:val="auto"/>
              </w:rPr>
            </w:pPr>
            <w:r>
              <w:rPr>
                <w:rFonts w:ascii="Arial" w:cs="Arial" w:eastAsia="Arial" w:hAnsi="Arial"/>
                <w:sz w:val="18"/>
                <w:szCs w:val="18"/>
                <w:color w:val="auto"/>
                <w:w w:val="87"/>
              </w:rPr>
              <w:t>2.1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ind w:firstLine="486"/>
        <w:spacing w:after="0" w:line="31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2019, filed with the Securities and Exchange Commission on February 24, 2020.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six months of 2020, approximately 56% of the Company’s revenues came from customers outside the United States.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taken to help curb the spread, including temporary plant closures in China, India, Italy and other countries where outbreaks and stay-at-home orders were most prevalent had an adverse impact on our operations and business results for the first six months of 2020.</w:t>
      </w:r>
    </w:p>
    <w:p>
      <w:pPr>
        <w:spacing w:after="0" w:line="58" w:lineRule="exact"/>
        <w:rPr>
          <w:sz w:val="20"/>
          <w:szCs w:val="20"/>
          <w:color w:val="auto"/>
        </w:rPr>
      </w:pPr>
    </w:p>
    <w:p>
      <w:pPr>
        <w:ind w:right="100" w:firstLine="486"/>
        <w:spacing w:after="0" w:line="268" w:lineRule="auto"/>
        <w:rPr>
          <w:sz w:val="20"/>
          <w:szCs w:val="20"/>
          <w:color w:val="auto"/>
        </w:rPr>
      </w:pPr>
      <w:r>
        <w:rPr>
          <w:rFonts w:ascii="Arial" w:cs="Arial" w:eastAsia="Arial" w:hAnsi="Arial"/>
          <w:sz w:val="17"/>
          <w:szCs w:val="17"/>
          <w:color w:val="auto"/>
        </w:rPr>
        <w:t>We continue to monitor the rapidly evolving situation and guidance from international and domestic authorities, including federal, state and local public health authorities and may take additional actions based on their recommendations; however, there are numerous uncertainties, including the duration and severity of the pandemic, actions that may be taken by governmental authorities and private industry, including preventing or curtailing the operations of our plants, the potential impact on global economic activity, global supply chain operations, our employees, and our customers, supplier and end-markets, and other consequences that could negatively impact our business. We also face the possibility that government policies may become more restrictive especially if COVID-19 transmission rates increase in certain areas. As a result of these numerous uncertainties, we are unable to specifically predict the extent and length of time the COVID-19 pandemic will negatively impact our business. COVID-19 had a materially adverse impact on our operations and business results for the three months ended June 30, 2020 which is discussed in the Results of Operations section below and we expect COVID-19 to continue to have a materially adverse impact on our operations and business results for the remainder of 2020. The future adverse impact may include, reduced demand for our products, reduced cash from operations and a volatile effective tax rate driven by changes in earnings mix across the Company’s different jurisdictions. We continue to work with our employees, customers, and suppliers to navigate the impacts of COVID-19. We also continue to assess possible implications to our business, customers, supply chain and end-markets, and to take actions in an effort to mitigate adverse consequences.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8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1" w:name="page32"/>
    <w:bookmarkEnd w:id="31"/>
    <w:p>
      <w:pPr>
        <w:jc w:val="both"/>
        <w:ind w:right="400" w:firstLine="486"/>
        <w:spacing w:after="0" w:line="263"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76"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It is currently uncertain how the COVID-19 pandemic will negatively impact these annual growth rate expectations.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diesel and electric locomotives was about 114,800 units, with about 33% in Asia Pacific, about 26% in North America and about 18% in Russia-CIS (Commonwealth of Independent States). Wabtec estimates that about 2,900 new locomotives were delivered worldwide in 2019. UNIFE estimated the global installed base of freight cars was about 5.1 million, with about 33% in North America, about 26% in Asia Pacific and about 24% in Russia-CIS. Wabtec estimates that about 174,000 new freight cars were delivered worldwide in 2019. UNIFE estimated the global installed base of passenger transit vehicles to be about 600,000 units, with about 45% in Asia Pacific, about 33% in Europe and about 12% in Russia-CIS. Wabtec estimates that about 35,000 new passenger transit vehicles were ordered worldwide in 2019.</w:t>
      </w:r>
    </w:p>
    <w:p>
      <w:pPr>
        <w:spacing w:after="0" w:line="6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Europe, the majority of the rail system serves the passenger transit market, which is expected to continue growing as energy and environmental policies encourage continued investment in public mass transit and modal shift from car to rail, albeit this growth may be stunted in the near-term as a result of the COVID-19 outbreak. According to UNIFE, France, Germany and the United Kingdom were the largest Western European transit markets, representing almost two-thirds of industry spending in the European Union. UNIFE projected the accessible Western European rail market to grow at about 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5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 Demand for both our freight and passenger transit products and services in North America may be negatively impacted by the COVID-19 outbreak.</w:t>
      </w:r>
    </w:p>
    <w:p>
      <w:pPr>
        <w:spacing w:after="0" w:line="78"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GE Transportation.</w:t>
      </w:r>
    </w:p>
    <w:p>
      <w:pPr>
        <w:spacing w:after="0" w:line="57"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It is currently uncertain as to how the COVID-19 outbreak will impact the expected growth in these emerging markets especially 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the near-term. As this growth occurs, Wabtec expects to have additional opportunities to provide products and services in these markets.</w:t>
      </w:r>
    </w:p>
    <w:p>
      <w:pPr>
        <w:spacing w:after="0" w:line="117"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4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2020 and beyond, general global economic and market conditions will have an impact on our sales and operations. The COVID-19 pandemic has increased the uncertainty around global economic and market conditions.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growth strategy including the level of investment that customers are willing to make in new technologies developed by the industry and the Company, and risks inherent in global expansion. When necessary, we will modify our financial and operating strategies to address changes in market conditions and risks.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OF WABTEC WITH GE TRANSPORTATION</w:t>
      </w:r>
    </w:p>
    <w:p>
      <w:pPr>
        <w:spacing w:after="0" w:line="121"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composed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stockholders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70" w:lineRule="exact"/>
        <w:rPr>
          <w:sz w:val="20"/>
          <w:szCs w:val="20"/>
          <w:color w:val="auto"/>
        </w:rPr>
      </w:pPr>
    </w:p>
    <w:p>
      <w:pPr>
        <w:jc w:val="both"/>
        <w:ind w:right="300" w:firstLine="486"/>
        <w:spacing w:after="0" w:line="263" w:lineRule="auto"/>
        <w:rPr>
          <w:sz w:val="20"/>
          <w:szCs w:val="20"/>
          <w:color w:val="auto"/>
        </w:rPr>
      </w:pPr>
      <w:r>
        <w:rPr>
          <w:rFonts w:ascii="Arial" w:cs="Arial" w:eastAsia="Arial" w:hAnsi="Arial"/>
          <w:sz w:val="18"/>
          <w:szCs w:val="18"/>
          <w:color w:val="auto"/>
        </w:rPr>
        <w:t>After the Merger, SpinCo, which is Wabtec’s wholly owned subsidiary (except with respect to shares of SpinCo Class A preferred stock held by GE), and Direct Sale Purchaser, which also is Wabtec’s wholly owned subsidiary, together own and operate the post-transaction GE Transportation. All shares of the Company’s common stock, including those issued in the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3" w:name="page34"/>
    <w:bookmarkEnd w:id="33"/>
    <w:p>
      <w:pPr>
        <w:ind w:right="120"/>
        <w:spacing w:after="0" w:line="263" w:lineRule="auto"/>
        <w:rPr>
          <w:sz w:val="20"/>
          <w:szCs w:val="20"/>
          <w:color w:val="auto"/>
        </w:rPr>
      </w:pPr>
      <w:r>
        <w:rPr>
          <w:rFonts w:ascii="Arial" w:cs="Arial" w:eastAsia="Arial" w:hAnsi="Arial"/>
          <w:sz w:val="18"/>
          <w:szCs w:val="18"/>
          <w:color w:val="auto"/>
        </w:rPr>
        <w:t>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76" w:lineRule="exact"/>
        <w:rPr>
          <w:sz w:val="20"/>
          <w:szCs w:val="20"/>
          <w:color w:val="auto"/>
        </w:rPr>
      </w:pPr>
    </w:p>
    <w:p>
      <w:pPr>
        <w:ind w:right="260" w:firstLine="486"/>
        <w:spacing w:after="0" w:line="308"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w:t>
      </w:r>
    </w:p>
    <w:p>
      <w:pPr>
        <w:spacing w:after="0"/>
        <w:rPr>
          <w:sz w:val="20"/>
          <w:szCs w:val="20"/>
          <w:color w:val="auto"/>
        </w:rPr>
      </w:pPr>
      <w:r>
        <w:rPr>
          <w:rFonts w:ascii="Arial" w:cs="Arial" w:eastAsia="Arial" w:hAnsi="Arial"/>
          <w:sz w:val="16"/>
          <w:szCs w:val="16"/>
          <w:color w:val="auto"/>
        </w:rPr>
        <w:t>which converted to approximately 3,515,500 shares of common stock, as well as 16,969,656 shares of common stock owned directly by GE. Finally, on</w:t>
      </w:r>
    </w:p>
    <w:p>
      <w:pPr>
        <w:spacing w:after="0" w:line="73"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w:t>
      </w:r>
    </w:p>
    <w:p>
      <w:pPr>
        <w:spacing w:after="0"/>
        <w:rPr>
          <w:sz w:val="20"/>
          <w:szCs w:val="20"/>
          <w:color w:val="auto"/>
        </w:rPr>
      </w:pPr>
      <w:r>
        <w:rPr>
          <w:rFonts w:ascii="Arial" w:cs="Arial" w:eastAsia="Arial" w:hAnsi="Arial"/>
          <w:sz w:val="18"/>
          <w:szCs w:val="18"/>
          <w:color w:val="auto"/>
        </w:rPr>
        <w:t>Wabtec's stock following the closing date of the Merger. The Company did not receive any proceeds from the sale of any of these shares.</w:t>
      </w:r>
    </w:p>
    <w:p>
      <w:pPr>
        <w:spacing w:after="0" w:line="11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 GE Transportation. The total value of the consideration paid, and to be paid, by Wabtec in the acquisition transaction is approximately $10.3 billion, including the cash paid for the Direct Sales Assets, equity transferred for SpinCo, contingent consideration, assumed debt and net of cash acquired. The estimated consideration is based on the Company’s closing share price of $73.36 on February 22, 2019 and the fair value of the contingent consideration.</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COMPARED TO SECOND QUARTER 2019</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6"/>
              </w:rPr>
              <w:t>Three Months Ended</w:t>
            </w:r>
          </w:p>
        </w:tc>
        <w:tc>
          <w:tcPr>
            <w:tcW w:w="120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r>
      <w:tr>
        <w:trPr>
          <w:trHeight w:val="162"/>
        </w:trPr>
        <w:tc>
          <w:tcPr>
            <w:tcW w:w="698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In millions</w:t>
            </w:r>
          </w:p>
        </w:tc>
        <w:tc>
          <w:tcPr>
            <w:tcW w:w="320" w:type="dxa"/>
            <w:vAlign w:val="bottom"/>
          </w:tcPr>
          <w:p>
            <w:pPr>
              <w:spacing w:after="0"/>
              <w:rPr>
                <w:sz w:val="14"/>
                <w:szCs w:val="14"/>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0"/>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Sales of goods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1,406.1</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1,892.5</w:t>
            </w: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Sales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343.8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20" w:type="dxa"/>
            <w:vAlign w:val="bottom"/>
          </w:tcPr>
          <w:p>
            <w:pPr>
              <w:spacing w:after="0"/>
              <w:rPr>
                <w:sz w:val="20"/>
                <w:szCs w:val="20"/>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1,737.4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2,236.3</w:t>
            </w:r>
          </w:p>
        </w:tc>
        <w:tc>
          <w:tcPr>
            <w:tcW w:w="12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Cost of goods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(1,377.7)</w:t>
            </w: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37"/>
        </w:trPr>
        <w:tc>
          <w:tcPr>
            <w:tcW w:w="20" w:type="dxa"/>
            <w:vAlign w:val="bottom"/>
          </w:tcPr>
          <w:p>
            <w:pPr>
              <w:spacing w:after="0"/>
              <w:rPr>
                <w:sz w:val="20"/>
                <w:szCs w:val="20"/>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 cost of sales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(1,621.6)</w:t>
            </w: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614.7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(57.2)</w:t>
            </w:r>
          </w:p>
        </w:tc>
        <w:tc>
          <w:tcPr>
            <w:tcW w:w="12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37"/>
        </w:trPr>
        <w:tc>
          <w:tcPr>
            <w:tcW w:w="20" w:type="dxa"/>
            <w:vAlign w:val="bottom"/>
          </w:tcPr>
          <w:p>
            <w:pPr>
              <w:spacing w:after="0"/>
              <w:rPr>
                <w:sz w:val="20"/>
                <w:szCs w:val="20"/>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(414.1)</w:t>
            </w: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1200" w:type="dxa"/>
            <w:vAlign w:val="bottom"/>
          </w:tcPr>
          <w:p>
            <w:pPr>
              <w:jc w:val="right"/>
              <w:spacing w:after="0"/>
              <w:rPr>
                <w:sz w:val="20"/>
                <w:szCs w:val="20"/>
                <w:color w:val="auto"/>
              </w:rPr>
            </w:pPr>
            <w:r>
              <w:rPr>
                <w:rFonts w:ascii="Arial" w:cs="Arial" w:eastAsia="Arial" w:hAnsi="Arial"/>
                <w:sz w:val="18"/>
                <w:szCs w:val="18"/>
                <w:color w:val="auto"/>
              </w:rPr>
              <w:t>200.0 %</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144.2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Less: Net loss attributable to noncontrolling interest</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20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86.8</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104.1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change</w:t>
      </w:r>
    </w:p>
    <w:p>
      <w:pPr>
        <w:spacing w:after="0" w:line="121"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The Company has two reportable segments - the Freight Segment and the Transit Segment.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in 2020 and through the retrospective revision of 2019 segment information. The Company believes these changes better present management's new view of the business.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shows the major components of the change in sales in the second quarter of 2020 from the second quarter of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Freight</w:t>
            </w:r>
          </w:p>
        </w:tc>
        <w:tc>
          <w:tcPr>
            <w:tcW w:w="380" w:type="dxa"/>
            <w:vAlign w:val="bottom"/>
          </w:tcPr>
          <w:p>
            <w:pPr>
              <w:spacing w:after="0"/>
              <w:rPr>
                <w:sz w:val="14"/>
                <w:szCs w:val="14"/>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Transit</w:t>
            </w:r>
          </w:p>
        </w:tc>
        <w:tc>
          <w:tcPr>
            <w:tcW w:w="460" w:type="dxa"/>
            <w:vAlign w:val="bottom"/>
          </w:tcPr>
          <w:p>
            <w:pPr>
              <w:spacing w:after="0"/>
              <w:rPr>
                <w:sz w:val="14"/>
                <w:szCs w:val="14"/>
                <w:color w:val="auto"/>
              </w:rPr>
            </w:pPr>
          </w:p>
        </w:tc>
        <w:tc>
          <w:tcPr>
            <w:tcW w:w="144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13"/>
                <w:szCs w:val="13"/>
                <w:color w:val="auto"/>
              </w:rPr>
            </w:pPr>
          </w:p>
        </w:tc>
        <w:tc>
          <w:tcPr>
            <w:tcW w:w="16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7"/>
              </w:rPr>
              <w:t>Segment</w:t>
            </w:r>
          </w:p>
        </w:tc>
        <w:tc>
          <w:tcPr>
            <w:tcW w:w="380" w:type="dxa"/>
            <w:vAlign w:val="bottom"/>
          </w:tcPr>
          <w:p>
            <w:pPr>
              <w:spacing w:after="0"/>
              <w:rPr>
                <w:sz w:val="13"/>
                <w:szCs w:val="13"/>
                <w:color w:val="auto"/>
              </w:rPr>
            </w:pPr>
          </w:p>
        </w:tc>
        <w:tc>
          <w:tcPr>
            <w:tcW w:w="160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 2019 Net Sales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1,526.3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2,236.3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21"/>
                <w:szCs w:val="21"/>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Organic</w:t>
            </w:r>
          </w:p>
        </w:tc>
        <w:tc>
          <w:tcPr>
            <w:tcW w:w="3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(314.5)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 2020 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1,204.7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532.7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1,737.4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5" w:name="page36"/>
    <w:bookmarkEnd w:id="35"/>
    <w:p>
      <w:pPr>
        <w:jc w:val="both"/>
        <w:ind w:right="180" w:firstLine="486"/>
        <w:spacing w:after="0" w:line="259" w:lineRule="auto"/>
        <w:rPr>
          <w:sz w:val="20"/>
          <w:szCs w:val="20"/>
          <w:color w:val="auto"/>
        </w:rPr>
      </w:pPr>
      <w:r>
        <w:rPr>
          <w:rFonts w:ascii="Arial" w:cs="Arial" w:eastAsia="Arial" w:hAnsi="Arial"/>
          <w:sz w:val="18"/>
          <w:szCs w:val="18"/>
          <w:color w:val="auto"/>
        </w:rPr>
        <w:t>Results of operations were negatively impacted during the second quarter as a result of the COVID-19 pandemic. Management’s discussion below includes analysis as to the impact of the COVID-19 pandemic where it could be explicitly identified; however, in many instances it is difficult to quantify with a high level of certainty the negative impact the COVID-19 pandemic had on our net sales, cost of goods, operating expenses, interest expense, and income tax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auto"/>
        </w:rPr>
        <w:t>Net sales for the three months ended June 30, 2020 decreased by $499 million, or 22.3%, to $1.7 billion. The decrease is primarily due to an decrease of $322 million in the Freight Segment due to lower locomotive Equipment sales, a decrease in Services sales due to lower freight rail volumes and an increase in parking of locomotives, particularly in North America and lower sales in Components due to a reduction of freight carbuilds in the second quarter of 2020, which were partially offset by growth in Digital Electronics. The lower freight rail volumes and increased parking of locomotives are primarily due to the COVID-19 pandemic and its impact on the economy. The Transit Segment experienced a decrease in sales of $177 million, primarily due to COVID-19 related production delays and reduced passenger traffic. Unfavorable changes in foreign currency exchange rates reduced net sales by $43 million.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Cost of sales decreased by $371 million to $1.3 billion in 2020 compared to $1.6 billion in 2019. The decrease is primarily due to the sales decreases discussed above. The second quarter of 2020 includes $17 million of restructuring costs, primarily for the exit of certain product lines, footprint rationalization, and related headcount actions as part of the ongoing integration actions related to the GE Transportation acquisition and in response to the COVID-19 pandemic. The second quarter of 2019 included an $89 million charge related to purchase price accounting for the step-up of GE Transportation inventory. Excluding these costs in both years, cost of sales as a percentage of sales was 71.0% in 2020 and 68.5% in 2019, representing a 2.5% increase. The increase can be attributed to lower absorption of overhead costs due to the decrease in sales volumes primarily caused by the ongoing COVID-19 pandemic and unfavorable sales mix partially offset by increased synergy savings related to the GE Transportation acquisition.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operating expenses decreased $87 million to 18.8% of sales in the second quarter of 2020 compared to 18.5% during the second quarter of</w:t>
      </w:r>
    </w:p>
    <w:p>
      <w:pPr>
        <w:spacing w:after="0" w:line="4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2019. Restructuring and transaction costs included in Selling, General, and Administrative expenses ("SG&amp;A") were $13 million and $32 million in the second quarter of 2020 and 2019, respectively. Additionally, SG&amp;A expenses decreased $41 million related to acquisition synergy savings and reduced employee benefit costs and $14 million related to cost reduction initiatives and the lower sales volume. Engineering expense decreased $19 million due to cost savings measures put in place in response to the COVID-19 pandemic on research and development projects and amortization expense increased $6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Interest expense, net, decreased $7 million in the second quarter of 2020 over the same period in 2019 attributable to lower variable interest rates and lower overall average debt balances in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color w:val="auto"/>
        </w:rPr>
        <w:t>Other income (expense), net, was $6.3 million of income in the second quarter of 2020 compared to $2.1 million of income in the same period of 2019, primarily driven by a decrease in foreign currency exchange loss and an increase in income from equity method investments.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80" w:firstLine="486"/>
        <w:spacing w:after="0" w:line="259" w:lineRule="auto"/>
        <w:rPr>
          <w:sz w:val="20"/>
          <w:szCs w:val="20"/>
          <w:color w:val="auto"/>
        </w:rPr>
      </w:pPr>
      <w:r>
        <w:rPr>
          <w:rFonts w:ascii="Arial" w:cs="Arial" w:eastAsia="Arial" w:hAnsi="Arial"/>
          <w:sz w:val="18"/>
          <w:szCs w:val="18"/>
          <w:color w:val="auto"/>
        </w:rPr>
        <w:t>The effective income tax rate was 24.9% and 28.7% for the second quarter of 2020 and 2019, respectively. The decrease in the effective rate is primarily the result of non-deductible transaction related expenses incurred during the three months ended June 30, 2019 as a result of the GE Transportation acquisition that did not recur in 2020 as well as increased estimated liabilities resulting from provisions of the Tax Cuts and Jobs Act recognized during the three months ended June 30, 2019.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r>
      <w:tr>
        <w:trPr>
          <w:trHeight w:val="16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4"/>
                <w:szCs w:val="14"/>
                <w:color w:val="auto"/>
              </w:rPr>
            </w:pP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right"/>
              <w:ind w:right="408"/>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320"/>
              <w:spacing w:after="0"/>
              <w:rPr>
                <w:sz w:val="20"/>
                <w:szCs w:val="20"/>
                <w:color w:val="auto"/>
              </w:rPr>
            </w:pPr>
            <w:r>
              <w:rPr>
                <w:rFonts w:ascii="Arial" w:cs="Arial" w:eastAsia="Arial" w:hAnsi="Arial"/>
                <w:sz w:val="18"/>
                <w:szCs w:val="18"/>
                <w:color w:val="auto"/>
              </w:rPr>
              <w:t>Sales of goods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1,191.8</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(26.1)%</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Sales of services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7"/>
        </w:trPr>
        <w:tc>
          <w:tcPr>
            <w:tcW w:w="20" w:type="dxa"/>
            <w:vAlign w:val="bottom"/>
          </w:tcPr>
          <w:p>
            <w:pPr>
              <w:spacing w:after="0"/>
              <w:rPr>
                <w:sz w:val="20"/>
                <w:szCs w:val="20"/>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Total net sales</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1,204.7</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1,526.3</w:t>
            </w:r>
          </w:p>
        </w:tc>
        <w:tc>
          <w:tcPr>
            <w:tcW w:w="180" w:type="dxa"/>
            <w:vAlign w:val="bottom"/>
            <w:tcBorders>
              <w:top w:val="single" w:sz="8" w:color="auto"/>
            </w:tcBorders>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320"/>
              <w:spacing w:after="0"/>
              <w:rPr>
                <w:sz w:val="20"/>
                <w:szCs w:val="20"/>
                <w:color w:val="auto"/>
              </w:rPr>
            </w:pPr>
            <w:r>
              <w:rPr>
                <w:rFonts w:ascii="Arial" w:cs="Arial" w:eastAsia="Arial" w:hAnsi="Arial"/>
                <w:sz w:val="18"/>
                <w:szCs w:val="18"/>
                <w:color w:val="auto"/>
              </w:rPr>
              <w:t>Cost of goods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(668.5)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(872.5)</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Cost of services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37"/>
        </w:trPr>
        <w:tc>
          <w:tcPr>
            <w:tcW w:w="20" w:type="dxa"/>
            <w:vAlign w:val="bottom"/>
          </w:tcPr>
          <w:p>
            <w:pPr>
              <w:spacing w:after="0"/>
              <w:rPr>
                <w:sz w:val="20"/>
                <w:szCs w:val="20"/>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Total cost of sales</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(852.0)</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(1,101.4)</w:t>
            </w:r>
          </w:p>
        </w:tc>
        <w:tc>
          <w:tcPr>
            <w:tcW w:w="180" w:type="dxa"/>
            <w:vAlign w:val="bottom"/>
            <w:tcBorders>
              <w:top w:val="single" w:sz="8" w:color="auto"/>
            </w:tcBorders>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5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424.9</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108"/>
        </w:trPr>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5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(211.2)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(257.4)</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5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920" w:type="dxa"/>
            <w:vAlign w:val="bottom"/>
            <w:shd w:val="clear" w:color="auto" w:fill="CCEEFF"/>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167.5</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second quarter of 2020 from the second quarter of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 2019 Net Sales</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1,526.3</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18.5</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040" w:type="dxa"/>
            <w:vAlign w:val="bottom"/>
            <w:gridSpan w:val="2"/>
          </w:tcPr>
          <w:p>
            <w:pPr>
              <w:ind w:left="200"/>
              <w:spacing w:after="0"/>
              <w:rPr>
                <w:sz w:val="20"/>
                <w:szCs w:val="20"/>
                <w:color w:val="auto"/>
              </w:rPr>
            </w:pPr>
            <w:r>
              <w:rPr>
                <w:rFonts w:ascii="Arial" w:cs="Arial" w:eastAsia="Arial" w:hAnsi="Arial"/>
                <w:sz w:val="18"/>
                <w:szCs w:val="18"/>
                <w:color w:val="auto"/>
              </w:rPr>
              <w:t>Equipment</w:t>
            </w:r>
          </w:p>
        </w:tc>
        <w:tc>
          <w:tcPr>
            <w:tcW w:w="8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(186.1)</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Components</w:t>
            </w: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200"/>
              <w:spacing w:after="0"/>
              <w:rPr>
                <w:sz w:val="20"/>
                <w:szCs w:val="20"/>
                <w:color w:val="auto"/>
              </w:rPr>
            </w:pPr>
            <w:r>
              <w:rPr>
                <w:rFonts w:ascii="Arial" w:cs="Arial" w:eastAsia="Arial" w:hAnsi="Arial"/>
                <w:sz w:val="18"/>
                <w:szCs w:val="18"/>
                <w:color w:val="auto"/>
              </w:rPr>
              <w:t>Digital Electronics</w:t>
            </w:r>
          </w:p>
        </w:tc>
        <w:tc>
          <w:tcPr>
            <w:tcW w:w="8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(25.6)</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 2020 Net Sales</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Freight Segment sales decreased by $322 million, or 21.1%, to $1.2 billion, due to lower locomotive Equipment sales, a decrease in Services sales due to lower freight rail volumes and an increase in parking of locomotives, particularly in North America and lower sales in Components due to a lower number of Freight carbuilds in the second quarter of 2020, partially offset by growth in Digital Electronics. The lower freight rail volumes and increased parking of locomotives are primarily due to the COVID-19 pandemic. Acquisitions increased sales by $19 million and unfavorable foreign currency exchange rates decreased sales by $26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Freight Segment cost of sales decreased by $249 million to $852 million in 2020. The decrease is primarily due to the sales decreases discussed above. The second quarter of 2020 includes $13 million of restructuring costs, primarily for the exit of certain product lines, footprint rationalization, and related headcount actions as part of the ongoing integration actions related to the GE Transportation acquisition and in response to the COVID-19 pandemic. The second quarter of 2019 included an $89 million non-recurring charge related to purchase price accounting for the step-up of GE Transportation inventory. Excluding these charges, cost of sales as a percentage of sales was 69.7% in 2020 and 66.3% in 2019, representing a 3.4% increase. The increase as a percentage of sales can be attributed to sales mix and lower absorption of overhead costs due to the decrease in sales volumes partially offset by increased synergy savings related to the GE Transportation acquisition and efforts to reduce costs in response to the COVID-19 pandemic.</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Freight Segment operating expenses decreased $46 million, or 17.9%, in 2020 to 17.5% of sales. Restructuring and transaction costs included in SG&amp;A were $7 million and $11 million in the second quarter of 2020 and 2019, respectively. SG&amp;A expenses decreased $38 million driven by the reduction in sales, reduced employee benefit costs and incremental synergy and cost reduction initiatives. Engineering expense decreased $10 million due to cost saving measures put in place as a result of the COVID-19 pandemic and amortization expense increased $6 million primarily due to acquisitions.</w:t>
      </w: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4"/>
                <w:szCs w:val="14"/>
                <w:color w:val="auto"/>
              </w:rPr>
            </w:pPr>
          </w:p>
        </w:tc>
        <w:tc>
          <w:tcPr>
            <w:tcW w:w="12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right"/>
              <w:ind w:right="408"/>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(520.2)</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56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Pr>
          <w:p>
            <w:pPr>
              <w:spacing w:after="0"/>
              <w:rPr>
                <w:sz w:val="7"/>
                <w:szCs w:val="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second quarter of 2020 from the second quarter of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Second Quarter 2019 Net Sales</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710.0</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8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Original Equipment Manufacturing</w:t>
            </w: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200"/>
              <w:spacing w:after="0"/>
              <w:rPr>
                <w:sz w:val="20"/>
                <w:szCs w:val="20"/>
                <w:color w:val="auto"/>
              </w:rPr>
            </w:pPr>
            <w:r>
              <w:rPr>
                <w:rFonts w:ascii="Arial" w:cs="Arial" w:eastAsia="Arial" w:hAnsi="Arial"/>
                <w:sz w:val="18"/>
                <w:szCs w:val="18"/>
                <w:color w:val="auto"/>
              </w:rPr>
              <w:t>Aftermarket</w:t>
            </w:r>
          </w:p>
        </w:tc>
        <w:tc>
          <w:tcPr>
            <w:tcW w:w="8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(58.9)</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9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8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63"/>
        </w:trPr>
        <w:tc>
          <w:tcPr>
            <w:tcW w:w="20" w:type="dxa"/>
            <w:vAlign w:val="bottom"/>
          </w:tcPr>
          <w:p>
            <w:pPr>
              <w:spacing w:after="0"/>
              <w:rPr>
                <w:sz w:val="22"/>
                <w:szCs w:val="22"/>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Second Quarter 2020 Net Sales</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532.7</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Transit Segment sales decreased by $177 million, or 25.0% primarily due to disruptions to our operations caused by the COVID-19 pandemic, particularly in Asia and Europe. This impact was felt in both the Original Equipment Manufacturing and Aftermarket product lines. Unfavorable foreign currency exchange rate changes decreased net sales by $18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Transit Segment cost of sales decreased by $122 million to $399 million in the second quarter of 2020 primarily due to the reduction in sales. The second quarter of 2020 includes $4 million of restructuring costs, primarily for footprint rationalization in the UK. Excluding these charges, cost of sales as a percentage of sales was 74.0%, 0.7% increase over the comparable period in 2019. The increase can be attributed to lower absorption of overhead costs due to the decrease in sales volumes primarily caused by the ongoing COVID-19 pandemic, partially offset by cost savings initiatives.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Transit Segment operating expenses decreased $33 million to $94 million, or 26.3%, in the second quarter of 2020 and decreased 30 basis points to 17.6% as a percentage of sales compared to the same period in 2019. SG&amp;A expenses decreased $24 million in 2020, primarily due to the lower sales and cost savings initiatives put in place to offset the adverse impact of COVID-19 and reduced employee benefit costs. Engineering expense decreased $9 million due to cost saving measures put in place as a result of the COVID-19 pandemic and amortization expense remained consistent year over year.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FIRST SIX MONTHS OF 2020 COMPARED TO FIRST SIX MONTHS OF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2"/>
              </w:rPr>
              <w:t>Six Months Ended</w:t>
            </w: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June 30,</w:t>
            </w: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8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Percent Change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6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ind w:left="320"/>
              <w:spacing w:after="0"/>
              <w:rPr>
                <w:sz w:val="20"/>
                <w:szCs w:val="20"/>
                <w:color w:val="auto"/>
              </w:rPr>
            </w:pPr>
            <w:r>
              <w:rPr>
                <w:rFonts w:ascii="Arial" w:cs="Arial" w:eastAsia="Arial" w:hAnsi="Arial"/>
                <w:sz w:val="18"/>
                <w:szCs w:val="18"/>
                <w:color w:val="auto"/>
              </w:rPr>
              <w:t>Sales of goods</w:t>
            </w:r>
          </w:p>
        </w:tc>
        <w:tc>
          <w:tcPr>
            <w:tcW w:w="1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2,996.9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3,327.0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Sales of services</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670.4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502.9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Total net sales</w:t>
            </w:r>
          </w:p>
        </w:tc>
        <w:tc>
          <w:tcPr>
            <w:tcW w:w="1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3,667.3</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3,829.9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ind w:left="320"/>
              <w:spacing w:after="0"/>
              <w:rPr>
                <w:sz w:val="20"/>
                <w:szCs w:val="20"/>
                <w:color w:val="auto"/>
              </w:rPr>
            </w:pPr>
            <w:r>
              <w:rPr>
                <w:rFonts w:ascii="Arial" w:cs="Arial" w:eastAsia="Arial" w:hAnsi="Arial"/>
                <w:sz w:val="18"/>
                <w:szCs w:val="18"/>
                <w:color w:val="auto"/>
              </w:rPr>
              <w:t>Cost of goods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(2,451.3)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Cost of services</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Total cost of sales</w:t>
            </w:r>
          </w:p>
        </w:tc>
        <w:tc>
          <w:tcPr>
            <w:tcW w:w="1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(2,601.9)</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(2,826.2)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1,003.7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ind w:left="320"/>
              <w:spacing w:after="0"/>
              <w:rPr>
                <w:sz w:val="20"/>
                <w:szCs w:val="20"/>
                <w:color w:val="auto"/>
              </w:rPr>
            </w:pPr>
            <w:r>
              <w:rPr>
                <w:rFonts w:ascii="Arial" w:cs="Arial" w:eastAsia="Arial" w:hAnsi="Arial"/>
                <w:sz w:val="18"/>
                <w:szCs w:val="18"/>
                <w:color w:val="auto"/>
              </w:rPr>
              <w:t>Engineering expenses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(91.7)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Amortization expense</w:t>
            </w:r>
          </w:p>
        </w:tc>
        <w:tc>
          <w:tcPr>
            <w:tcW w:w="16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gridSpan w:val="3"/>
          </w:tcPr>
          <w:p>
            <w:pPr>
              <w:ind w:left="440"/>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(688.7)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(735.8)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267.9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Other income and expenses:</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ind w:left="320"/>
              <w:spacing w:after="0"/>
              <w:rPr>
                <w:sz w:val="20"/>
                <w:szCs w:val="20"/>
                <w:color w:val="auto"/>
              </w:rPr>
            </w:pPr>
            <w:r>
              <w:rPr>
                <w:rFonts w:ascii="Arial" w:cs="Arial" w:eastAsia="Arial" w:hAnsi="Arial"/>
                <w:sz w:val="18"/>
                <w:szCs w:val="18"/>
                <w:color w:val="auto"/>
              </w:rPr>
              <w:t>Other income (expense), net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Income from operations before income taxes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158.8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ind w:left="32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(60.0)</w:t>
            </w: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98.8</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ind w:left="320"/>
              <w:spacing w:after="0"/>
              <w:rPr>
                <w:sz w:val="20"/>
                <w:szCs w:val="20"/>
                <w:color w:val="auto"/>
              </w:rPr>
            </w:pPr>
            <w:r>
              <w:rPr>
                <w:rFonts w:ascii="Arial" w:cs="Arial" w:eastAsia="Arial" w:hAnsi="Arial"/>
                <w:sz w:val="18"/>
                <w:szCs w:val="18"/>
                <w:color w:val="auto"/>
              </w:rPr>
              <w:t>Less: Net loss attributable to noncontrolling interest</w:t>
            </w: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0.9</w:t>
            </w:r>
          </w:p>
        </w:tc>
        <w:tc>
          <w:tcPr>
            <w:tcW w:w="1300" w:type="dxa"/>
            <w:vAlign w:val="bottom"/>
          </w:tcPr>
          <w:p>
            <w:pPr>
              <w:jc w:val="right"/>
              <w:spacing w:after="0"/>
              <w:rPr>
                <w:sz w:val="20"/>
                <w:szCs w:val="20"/>
                <w:color w:val="auto"/>
              </w:rPr>
            </w:pPr>
            <w:r>
              <w:rPr>
                <w:rFonts w:ascii="Arial" w:cs="Arial" w:eastAsia="Arial" w:hAnsi="Arial"/>
                <w:sz w:val="18"/>
                <w:szCs w:val="18"/>
                <w:color w:val="auto"/>
              </w:rPr>
              <w:t>55.6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Net income attributable to Wabtec shareholders</w:t>
            </w:r>
          </w:p>
        </w:tc>
        <w:tc>
          <w:tcPr>
            <w:tcW w:w="1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99.7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11180" w:type="dxa"/>
            <w:vAlign w:val="bottom"/>
            <w:gridSpan w:val="14"/>
          </w:tcPr>
          <w:p>
            <w:pPr>
              <w:ind w:left="480"/>
              <w:spacing w:after="0"/>
              <w:rPr>
                <w:sz w:val="20"/>
                <w:szCs w:val="20"/>
                <w:color w:val="auto"/>
              </w:rPr>
            </w:pPr>
            <w:r>
              <w:rPr>
                <w:rFonts w:ascii="Arial" w:cs="Arial" w:eastAsia="Arial" w:hAnsi="Arial"/>
                <w:sz w:val="18"/>
                <w:szCs w:val="18"/>
                <w:color w:val="auto"/>
                <w:w w:val="90"/>
              </w:rPr>
              <w:t>The following table shows the major components of the change in sales in the six months ended June 30, 2020 from the six months ended June 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Freight</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Transit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8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98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Segment</w:t>
            </w:r>
          </w:p>
        </w:tc>
        <w:tc>
          <w:tcPr>
            <w:tcW w:w="2340" w:type="dxa"/>
            <w:vAlign w:val="bottom"/>
            <w:gridSpan w:val="6"/>
          </w:tcPr>
          <w:p>
            <w:pPr>
              <w:jc w:val="right"/>
              <w:ind w:right="1140"/>
              <w:spacing w:after="0" w:line="158" w:lineRule="exact"/>
              <w:rPr>
                <w:sz w:val="20"/>
                <w:szCs w:val="20"/>
                <w:color w:val="auto"/>
              </w:rPr>
            </w:pPr>
            <w:r>
              <w:rPr>
                <w:rFonts w:ascii="Arial" w:cs="Arial" w:eastAsia="Arial" w:hAnsi="Arial"/>
                <w:sz w:val="14"/>
                <w:szCs w:val="14"/>
                <w:b w:val="1"/>
                <w:bCs w:val="1"/>
                <w:color w:val="auto"/>
              </w:rPr>
              <w:t>Segment</w:t>
            </w:r>
          </w:p>
        </w:tc>
        <w:tc>
          <w:tcPr>
            <w:tcW w:w="13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First Six Months of 2019 Net Sales</w:t>
            </w:r>
          </w:p>
        </w:tc>
        <w:tc>
          <w:tcPr>
            <w:tcW w:w="1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2,441.8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1,388.1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3,829.9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rPr>
              <w:t>Acquisitions</w:t>
            </w: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527.8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72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1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80" w:type="dxa"/>
            <w:vAlign w:val="bottom"/>
            <w:gridSpan w:val="3"/>
          </w:tcPr>
          <w:p>
            <w:pPr>
              <w:ind w:left="100"/>
              <w:spacing w:after="0"/>
              <w:rPr>
                <w:sz w:val="20"/>
                <w:szCs w:val="20"/>
                <w:color w:val="auto"/>
              </w:rPr>
            </w:pPr>
            <w:r>
              <w:rPr>
                <w:rFonts w:ascii="Arial" w:cs="Arial" w:eastAsia="Arial" w:hAnsi="Arial"/>
                <w:sz w:val="18"/>
                <w:szCs w:val="18"/>
                <w:color w:val="auto"/>
              </w:rPr>
              <w:t>Organic</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(623.4)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gridSpan w:val="2"/>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First Six Months of 2020 Net Sales</w:t>
            </w:r>
          </w:p>
        </w:tc>
        <w:tc>
          <w:tcPr>
            <w:tcW w:w="1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2,505.7</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1,161.6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3,667.3</w:t>
            </w:r>
          </w:p>
        </w:tc>
        <w:tc>
          <w:tcPr>
            <w:tcW w:w="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Results of operations were negatively impacted during the six months ended June 30, 2020 as a result of the COVID-19 pandemic. Management’s discussion below includes analysis as to the impact of the COVID-19 pandemic where it could be explicitly identified; however, in many instances it is difficult to quantify with a high level of certainty the negative impact the COVID-19 pandemic had on our net sales, cost of goods, operating expenses, interest expense, and income tax expense.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Net sales for the six months ended June 30, 2020 decreased by $163 million, or 4.2%, to $3.7 billion. The decrease is primarily due to an organic decrease of $422 million in the Freight Segment, due to lower locomotive Equipment sales, a decrease in Services sales due to lower freight rail volumes and an increase in parking of locomotives, particularly in North America and lower sales in Components due to a reduction of freight carbuilds in 2020 compared to 2019. The lower freight rail volumes and increased parking of locomotives is partially due to the COVID-19 pandemic and its impact on the economy. The Transit Segment experienced an organic decrease in sales of $202 million, primarily due to COVID-19 related production</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40" w:name="page41"/>
    <w:bookmarkEnd w:id="40"/>
    <w:p>
      <w:pPr>
        <w:ind w:right="1020"/>
        <w:spacing w:after="0" w:line="277" w:lineRule="auto"/>
        <w:rPr>
          <w:sz w:val="20"/>
          <w:szCs w:val="20"/>
          <w:color w:val="auto"/>
        </w:rPr>
      </w:pPr>
      <w:r>
        <w:rPr>
          <w:rFonts w:ascii="Arial" w:cs="Arial" w:eastAsia="Arial" w:hAnsi="Arial"/>
          <w:sz w:val="18"/>
          <w:szCs w:val="18"/>
          <w:color w:val="auto"/>
        </w:rPr>
        <w:t>delays and reduced passenger traffic. The decrease is partially offset by sales from acquisitions of $528 million, mainly, the acquisition of GE Transportation. Unfavorable changes in foreign currency exchange rates reduced net sales by $67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Cost of sales decreased by $224 million to $2.6 billion in 2020 compared to $2.8 billion in 2019. The decrease is primarily due to the sales decreases discussed above. Cost of sales in for the six months of 2020 includes $19 million of restructuring costs, primarily for the exit of certain product lines, footprint rationalization and related headcount actions as part of the ongoing integration actions related to the GE Transportation acquisition and in response to the COVID-19 pandemic. Cost of sales in the first six months of 2019 included a $169 million charge related to purchase price accounting for the step-up of GE Transportation inventory. Excluding these charges in both years, cost of sales as a percentage of sales was 70.4% in 2020 and 69.4% in 2019, representing a 1.0% increase. The increase can be attributed to lower absorption of overhead costs due to the decrease in sales volumes primarily caused by the ongoing COVID-19 pandemic and an unfavorable sales mix partially offset by increased synergy savings related to the GE Transportation acquisition.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Total operating expenses decreased $47 million to 18.8% of sales in the first six months of 2020 compared to 19.2% during the same period of 2019. Restructuring and transaction costs included in SG&amp;A were $29 million and $90 million for the six months ended June 30, 2020 and 2019, respectively. Additionally, SG&amp;A expenses decreased $83 million related to acquisition synergy savings, reduced employee benefit costs, cost reduction initiatives and lower sales volumes, partially offset by $54 million of incremental expense from acquisitions. Engineering expense decreased $5 million due to cost control measures on research and development projects partially offset by incremental expense from acquisitions, and amortization expense increased $48 million, due to the acquisition of GE Transportation.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net, increased $1.7 million in the first six months of 2020 over the same period in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expense, net, was $8.5 million in the second quarter of 2020 compared to $6.1 million in the same period of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The effective income tax rate was 25.2% and 37.7% for the six months ended June 30, 2020 and 2019, respectively. The decrease in the effective rate is primarily the result of non-deductible transaction related expenses incurred during the six months ended June 30, 2019 as a result of the GE Transportation acquisition that did not recur in 2020 and an increase in estimated liabilities resulting from provisions of the Tax Cuts and Jobs Act that were recognized in 2019.</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jc w:val="right"/>
              <w:ind w:right="1888"/>
              <w:spacing w:after="0"/>
              <w:rPr>
                <w:sz w:val="20"/>
                <w:szCs w:val="20"/>
                <w:color w:val="auto"/>
              </w:rPr>
            </w:pPr>
            <w:r>
              <w:rPr>
                <w:rFonts w:ascii="Arial" w:cs="Arial" w:eastAsia="Arial" w:hAnsi="Arial"/>
                <w:sz w:val="14"/>
                <w:szCs w:val="14"/>
                <w:b w:val="1"/>
                <w:bCs w:val="1"/>
                <w:color w:val="auto"/>
                <w:w w:val="92"/>
              </w:rPr>
              <w:t>Six Months Ended June 30,</w:t>
            </w:r>
          </w:p>
        </w:tc>
        <w:tc>
          <w:tcPr>
            <w:tcW w:w="20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4"/>
                <w:szCs w:val="14"/>
                <w:color w:val="auto"/>
              </w:rPr>
            </w:pP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57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ind w:right="208"/>
              <w:spacing w:after="0"/>
              <w:rPr>
                <w:sz w:val="20"/>
                <w:szCs w:val="20"/>
                <w:color w:val="auto"/>
              </w:rPr>
            </w:pPr>
            <w:r>
              <w:rPr>
                <w:rFonts w:ascii="Arial" w:cs="Arial" w:eastAsia="Arial" w:hAnsi="Arial"/>
                <w:sz w:val="14"/>
                <w:szCs w:val="14"/>
                <w:b w:val="1"/>
                <w:bCs w:val="1"/>
                <w:color w:val="auto"/>
              </w:rPr>
              <w:t>Percent Change</w:t>
            </w:r>
          </w:p>
        </w:tc>
        <w:tc>
          <w:tcPr>
            <w:tcW w:w="20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320"/>
              <w:spacing w:after="0"/>
              <w:rPr>
                <w:sz w:val="20"/>
                <w:szCs w:val="20"/>
                <w:color w:val="auto"/>
              </w:rPr>
            </w:pPr>
            <w:r>
              <w:rPr>
                <w:rFonts w:ascii="Arial" w:cs="Arial" w:eastAsia="Arial" w:hAnsi="Arial"/>
                <w:sz w:val="18"/>
                <w:szCs w:val="18"/>
                <w:color w:val="auto"/>
              </w:rPr>
              <w:t>Sales of goods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1,851.3</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1,957.5</w:t>
            </w: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Sales of services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tcPr>
          <w:p>
            <w:pPr>
              <w:spacing w:after="0"/>
              <w:rPr>
                <w:sz w:val="20"/>
                <w:szCs w:val="20"/>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Total net sales</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2,505.7</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2,441.8</w:t>
            </w:r>
          </w:p>
        </w:tc>
        <w:tc>
          <w:tcPr>
            <w:tcW w:w="180" w:type="dxa"/>
            <w:vAlign w:val="bottom"/>
            <w:tcBorders>
              <w:top w:val="single" w:sz="8" w:color="auto"/>
            </w:tcBorders>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320"/>
              <w:spacing w:after="0"/>
              <w:rPr>
                <w:sz w:val="20"/>
                <w:szCs w:val="20"/>
                <w:color w:val="auto"/>
              </w:rPr>
            </w:pPr>
            <w:r>
              <w:rPr>
                <w:rFonts w:ascii="Arial" w:cs="Arial" w:eastAsia="Arial" w:hAnsi="Arial"/>
                <w:sz w:val="18"/>
                <w:szCs w:val="18"/>
                <w:color w:val="auto"/>
              </w:rPr>
              <w:t>Cost of goods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(1,379.7)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(1,449.6)</w:t>
            </w: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Cost of services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tcPr>
          <w:p>
            <w:pPr>
              <w:spacing w:after="0"/>
              <w:rPr>
                <w:sz w:val="20"/>
                <w:szCs w:val="20"/>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Total cost of sales</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(1,751.4)</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(1,801.9)</w:t>
            </w:r>
          </w:p>
        </w:tc>
        <w:tc>
          <w:tcPr>
            <w:tcW w:w="180" w:type="dxa"/>
            <w:vAlign w:val="bottom"/>
            <w:tcBorders>
              <w:top w:val="single" w:sz="8" w:color="auto"/>
            </w:tcBorders>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5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639.9</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08"/>
        </w:trPr>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5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(451.1)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(391.5)</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5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248.4</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Freight Segment in the first six months of 2020 from the first six months of 2019:</w:t>
      </w:r>
    </w:p>
    <w:p>
      <w:pPr>
        <w:sectPr>
          <w:pgSz w:w="11900" w:h="16838" w:orient="portrait"/>
          <w:cols w:equalWidth="0" w:num="1">
            <w:col w:w="11240"/>
          </w:cols>
          <w:pgMar w:left="320" w:top="1147" w:right="339" w:bottom="1440" w:gutter="0" w:footer="0" w:header="0"/>
        </w:sectPr>
      </w:pP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First Six Months of 2019 Net Sales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Change in Sales by Product Line:</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Digital Electronics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Services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First Six Months of 2020 Net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2,441.8</w:t>
      </w:r>
    </w:p>
    <w:p>
      <w:pPr>
        <w:spacing w:after="0" w:line="7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524.8</w:t>
      </w:r>
    </w:p>
    <w:p>
      <w:pPr>
        <w:spacing w:after="0" w:line="33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(237.4)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(159.3)</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18.4</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(43.6)</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(39.0)</w:t>
      </w:r>
    </w:p>
    <w:p>
      <w:pPr>
        <w:spacing w:after="0" w:line="77"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2,505.7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64770</wp:posOffset>
            </wp:positionV>
            <wp:extent cx="1388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587" w:lineRule="exact"/>
        <w:rPr>
          <w:sz w:val="20"/>
          <w:szCs w:val="20"/>
          <w:color w:val="auto"/>
        </w:rPr>
      </w:pPr>
    </w:p>
    <w:p>
      <w:pPr>
        <w:sectPr>
          <w:pgSz w:w="11900" w:h="16838" w:orient="portrait"/>
          <w:cols w:equalWidth="0" w:num="2">
            <w:col w:w="8360" w:space="720"/>
            <w:col w:w="2160"/>
          </w:cols>
          <w:pgMar w:left="320" w:top="1147" w:right="339" w:bottom="1440" w:gutter="0" w:footer="0" w:header="0"/>
          <w:type w:val="continuous"/>
        </w:sectPr>
      </w:pPr>
    </w:p>
    <w:p>
      <w:pPr>
        <w:ind w:right="100" w:firstLine="486"/>
        <w:spacing w:after="0" w:line="257" w:lineRule="auto"/>
        <w:rPr>
          <w:sz w:val="20"/>
          <w:szCs w:val="20"/>
          <w:color w:val="auto"/>
        </w:rPr>
      </w:pPr>
      <w:r>
        <w:rPr>
          <w:rFonts w:ascii="Arial" w:cs="Arial" w:eastAsia="Arial" w:hAnsi="Arial"/>
          <w:sz w:val="18"/>
          <w:szCs w:val="18"/>
          <w:color w:val="auto"/>
        </w:rPr>
        <w:t>Freight Segment sales increased by $64 million, or 2.6%, to $2.5 billion, primarily due to sales from acquisitions of $525 million partially offset by an organic decrease of $422 million due to lower locomotive Equipment sales, a decrease in Services sales due to lower freight rail volumes and an increase in parking of locomotives, particularly in North America and lower Components sales due to a reduction of freight carbuilds in 2020 compared to 2019. The lower freight rail volumes and increased parking of locomotives are partially due to the COVID-19 pandemic and its impact on the economy. Unfavorable foreign currency exchange rates decreased sales by $39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Freight Segment cost of sales decreased by $51 million to $1.8 billion in 2020. The decrease is attributable to the organic sales decrease discussed above, partially offset by $371 million of incremental cost of sales from acquisitions, mainly the acquisition of GE Transportation. The first six months of 2020 includes $14 million of restructuring costs, primarily for the exit of certain product lines, costs for site closures, and related headcount actions as part of the ongoing integration actions related to the GE Transportation acquisition and in response to the COVID-19 pandemic. The first six months of 2019 included a $169 million charge related to purchase price accounting for the step-up of GE Transportation inventory. Excluding these charges, cost of sales as a percentage of sales was 69.3% in 2020 and 66.9% in 2019, representing a 2.4% increase. The increase can be attributed to sales mix and lower absorption of overhead costs due to the decrease in organic sales volumes partially offset by increased synergy savings related to the GE Transportation acquisition and efforts to reduce costs in response to the COVID-19 pandemic.</w:t>
      </w:r>
    </w:p>
    <w:p>
      <w:pPr>
        <w:sectPr>
          <w:pgSz w:w="11900" w:h="16838" w:orient="portrait"/>
          <w:cols w:equalWidth="0" w:num="1">
            <w:col w:w="11240"/>
          </w:cols>
          <w:pgMar w:left="320" w:top="1147"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Freight Segment operating expenses increased $60 million, or 15.2%, in 2020 to 18.0% of sales, primarily due to increased amortization expense of $48 million, due to the acquisition of GE Transportation. Restructuring and transaction costs included in SG&amp;A were $21 million and $16 million for the six months ending June 30, 2020 and 2019, respectively. SG&amp;A expenses, excluding restructuring and transaction costs, increased $2 million due to $55 million in incremental expense from acquisitions, primarily GE Transportation, partially offset by a $53 million reduction in employee benefit costs and synergy savings. Additionally, engineering expense increased $5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gridSpan w:val="4"/>
          </w:tcPr>
          <w:p>
            <w:pPr>
              <w:jc w:val="right"/>
              <w:ind w:right="2088"/>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6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4"/>
                <w:szCs w:val="14"/>
                <w:color w:val="auto"/>
              </w:rPr>
            </w:pPr>
          </w:p>
        </w:tc>
        <w:tc>
          <w:tcPr>
            <w:tcW w:w="13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57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right"/>
              <w:ind w:right="408"/>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(1,024.3)</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5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3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6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spacing w:after="0" w:line="12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shows the major components of the change in net sales for the Transit Segment in the first six months of 2020 from the first six months of 2019:</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Six Months of 2019 Net Sales</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1,388.1</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040" w:type="dxa"/>
            <w:vAlign w:val="bottom"/>
            <w:gridSpan w:val="2"/>
          </w:tcPr>
          <w:p>
            <w:pPr>
              <w:ind w:left="200"/>
              <w:spacing w:after="0"/>
              <w:rPr>
                <w:sz w:val="20"/>
                <w:szCs w:val="20"/>
                <w:color w:val="auto"/>
              </w:rPr>
            </w:pPr>
            <w:r>
              <w:rPr>
                <w:rFonts w:ascii="Arial" w:cs="Arial" w:eastAsia="Arial" w:hAnsi="Arial"/>
                <w:sz w:val="18"/>
                <w:szCs w:val="18"/>
                <w:color w:val="auto"/>
              </w:rPr>
              <w:t>Original Equipment Manufacturing</w:t>
            </w:r>
          </w:p>
        </w:tc>
        <w:tc>
          <w:tcPr>
            <w:tcW w:w="8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(140.2)</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Aftermarket</w:t>
            </w: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Six Months of 2020 Net Sales</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Transit Segment sales decreased by $227 million, or 16.3% primarily due to disruptions to our operations caused by the COVID-19 pandemic, particularly in Asia and Europe. This impact was felt in both the Original Equipment Manufacturing and Aftermarket product lines. Unfavorable foreign currency exchange rate changes decreased net sales by $28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Transit Segment cost of sales decreased by $174 million to $851 million in 2020 primarily due to the reduction in sales. The first six months of 2020 includes $5 million of restructuring costs, primarily for footprint rationalization in the UK. Excluding these costs, cost of sales as a percentage of sales was 72.8%, a 1.0% decrease over the comparable period in 2019. The decrease can be attributed to a favorable product mix shift towards more aftermarket spares which typically carry a higher margin and certain discrete project adjustments in 2019 that did not recur.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Transit Segment operating expenses decreased $39 million to $202 million, or 16.2%, in the first six months of 2020 and remained consistent, as a percentage of sales compared to the same period in 2019. SG&amp;A expenses decreased $30 million in 2020, primarily due to lower sales and cost savings initiatives put in place to offset the adverse impact of COVID-19 and reduced employee benefit costs. Engineering expense decreased $9 million due to cost savings measures put in place as a result of the COVID-19 pandemic and amortization expense remained consistent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235"/>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provided by (used for):</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443.8</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(3,040.4)</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726.1</w:t>
            </w:r>
          </w:p>
        </w:tc>
      </w:tr>
    </w:tbl>
    <w:p>
      <w:pPr>
        <w:spacing w:after="0" w:line="22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In the first six months of 2020, cash provided by operations was $229 million compared to cash provided by operations of $444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first six months of 2019. The major components of the decrease in operational cash flow were as follows: an unfavorable change in other assets and liabilities of $206 million primarily due to the timing of payments of accrued expenses and costs related to the GE Transportation acquisition, an unfavorable change in accrued liabilities and customer deposits of $124 million primarily due to the timing of customer advances, an unfavorable change in accounts payable of $77 million due to the timing of payments to suppliers, and an unfavorable change of $66 million in net income, after adjusting for the $169 million of inventory step-up charges incurred in the first six months of 2019 and a $4 million change in other non-cash items. These changes were offset by a favorable change in accounts receivable of $282 million mostly due to the timing of collections and the new receivables securitization program described below.</w:t>
      </w:r>
    </w:p>
    <w:p>
      <w:pPr>
        <w:spacing w:after="0" w:line="84"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the first six months of 2020 and 2019, cash used for investing activities was $98 million and $3.0 billion,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 components of the cash outflow in 2020 were $68 million in additions to property, plant and equipment for investments in our facilities and manufacturing processes, and $40 million in net cash paid for acquisitions. This compares to $3.0 billion in net cash paid for acquisitions and $62 million in property, plant, and equipment for additions in the first six months of 2019. Refer to Note 3 of the “Notes to Condensed Consolidated Financial Statements” for additional information on acquisitions.</w:t>
      </w:r>
    </w:p>
    <w:p>
      <w:pPr>
        <w:spacing w:after="0" w:line="80"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In the first six months of 2020, cash used for financing activities was $124 million which included $2,093 million in proceeds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the Revolving Credit Facility, $2,059 million in repayments of debt on the Revolving Credit Facility, $105 million in stock repurchases and $46 million of dividend payments. In the first six months of 2019, cash provided by financing activities was $726 million, which included $2.3 billion in proceeds from the Revolving Credit Facility, $1,552 million in repayments of debt on the Revolving Credit Facility, and $34 million of dividend payments.</w:t>
      </w:r>
    </w:p>
    <w:p>
      <w:pPr>
        <w:spacing w:after="0" w:line="4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COVID-19 pandemic had an adverse impact on cash from operating activities for the six months ended June 30, 2020, and management expects the COVID-19 pandemic to negatively impact cash from operations for the remainder of 2020. The extent and length of time in which the Company’s cash from operations will be negatively impacted is uncertain. Because of this uncertainty, the Company has taken prudent measures to decrease cash used for investing activities for the remainder of 2020. Additionally, the Company implemented new debt arrangements and a receivables securitization program (described below) as part of its liquidity planning. These measures further strengthen our liquidity position as we address the impacts of the COVID-19 pandemic. Management continues to monitor the rapidly evolving situation and will periodically reassess and adjust the Company’s cash management strategy as circumstances dictate.</w:t>
      </w:r>
    </w:p>
    <w:p>
      <w:pPr>
        <w:spacing w:after="0" w:line="87"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As of June 30, 2020, the Company held approximately $588 million of cash and cash equivalents. Of this amount, approximately $49 million was held within the United States and approximately $539 million was held outside of the United States, primarily in Europe, India and China. While repatriation of some cash held outside the United States may be restricted by local laws, most of the Company’s foreign cash could be repatriated to the United States.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April 10, 2020 the Company entered into a new $600 million 364 day credit facility (“364 Day Facility”) maturing April 2021 with a group of</w:t>
      </w:r>
    </w:p>
    <w:p>
      <w:pPr>
        <w:spacing w:after="0" w:line="61"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banks which includes a $144.0 million revolving credit facility (“364 Day Revolver”) and a $456.0 million term loan (“364 Term Loan”). The agreement calls for interest at either a LIBOR-based rate, or a rate based on the prime lending rate of the agent bank, at the Company’s option. The agreement contains affirmative, negative and financial covenants, and events of default customary for facilities of this type and substantially similar to our Senior Credit</w:t>
      </w:r>
    </w:p>
    <w:p>
      <w:pPr>
        <w:spacing w:after="0" w:line="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Facility. On June 12, 2020 the Company amended this 364 Day Facility maturity to July 9, 2021. The Company was in compliance with all of our covenants in the 364 Senior Credit Facility as of June 30, 2020. The obligations under the 364 Day Facility are guaranteed by certain of the Company's U.S. subsidiaries, as guarantors.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ind w:right="300" w:firstLine="486"/>
        <w:spacing w:after="0" w:line="308" w:lineRule="auto"/>
        <w:rPr>
          <w:sz w:val="20"/>
          <w:szCs w:val="20"/>
          <w:color w:val="auto"/>
        </w:rPr>
      </w:pPr>
      <w:r>
        <w:rPr>
          <w:rFonts w:ascii="Arial" w:cs="Arial" w:eastAsia="Arial" w:hAnsi="Arial"/>
          <w:sz w:val="16"/>
          <w:szCs w:val="16"/>
          <w:color w:val="auto"/>
        </w:rPr>
        <w:t>Subsequent to the end of the quarter the Company issued $500.0 million of 3.20% Senior Notes due in 2025 (the “2025 Notes”). The 2025 Notes were issued at 99.892% of face value. Interest on the 2025 Notes accrues at a rate of 3.20% per annum and is payable semi-annually on June 15 and</w:t>
      </w:r>
    </w:p>
    <w:p>
      <w:pPr>
        <w:jc w:val="both"/>
        <w:ind w:right="180"/>
        <w:spacing w:after="0" w:line="263" w:lineRule="auto"/>
        <w:rPr>
          <w:sz w:val="20"/>
          <w:szCs w:val="20"/>
          <w:color w:val="auto"/>
        </w:rPr>
      </w:pPr>
      <w:r>
        <w:rPr>
          <w:rFonts w:ascii="Arial" w:cs="Arial" w:eastAsia="Arial" w:hAnsi="Arial"/>
          <w:sz w:val="18"/>
          <w:szCs w:val="18"/>
          <w:color w:val="auto"/>
        </w:rPr>
        <w:t>December 15 of each year, beginning December 15, 2020. The proceeds were used to prepay the Floating Senior Notes due 2021. The Company incurred $1.5 million of deferred financing costs related to the issuance of the 2025 Notes. The Floating Senior Notes due 2021 are classified as current portion of long-term debt on the consolidated balance sheet at June 30, 2020, and were repaid on July 2, 2020.</w:t>
      </w:r>
    </w:p>
    <w:p>
      <w:pPr>
        <w:spacing w:after="0" w:line="7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Additional information with respect to Senior Notes, credit facilities and long-term debt is included in Note 8 of “Notes to Consolidated Financial Statements” included in Part I, Item 1 of this report and incorporated by reference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Receivables Program</w:t>
      </w:r>
    </w:p>
    <w:p>
      <w:pPr>
        <w:spacing w:after="0" w:line="117" w:lineRule="exact"/>
        <w:rPr>
          <w:sz w:val="20"/>
          <w:szCs w:val="20"/>
          <w:color w:val="auto"/>
        </w:rPr>
      </w:pPr>
    </w:p>
    <w:p>
      <w:pPr>
        <w:ind w:right="200" w:firstLine="486"/>
        <w:spacing w:after="0" w:line="292" w:lineRule="auto"/>
        <w:rPr>
          <w:sz w:val="20"/>
          <w:szCs w:val="20"/>
          <w:color w:val="auto"/>
        </w:rPr>
      </w:pPr>
      <w:r>
        <w:rPr>
          <w:rFonts w:ascii="Arial" w:cs="Arial" w:eastAsia="Arial" w:hAnsi="Arial"/>
          <w:sz w:val="16"/>
          <w:szCs w:val="16"/>
          <w:color w:val="auto"/>
        </w:rPr>
        <w:t>In May 2020, the Company entered into a revolving agreement to transfer up to $150.0 million of certain receivables of certain subsidiaries of the Company (the "Originators") through our bankruptcy-remote subsidiary to a financial institution on a recurring basis in exchange for cash equal to the gross receivables transferred. As customers pay their balances, we transfer additional receivables into the program, resulting in our gross receivables sold exceeding net cash flow impacts (e.g., collect and reinvest). Our bankruptcy-remote subsidiary holds additional receivables of $164.7 million at June 30, 2020 that are pledged as collateral under this agreement. The transfers are recorded at fair value of the proceeds received and obligations assumed less</w:t>
      </w:r>
    </w:p>
    <w:p>
      <w:pPr>
        <w:spacing w:after="0" w:line="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derecognized receivables. No obligation was recorded at June 30, 2020 as the estimated expected credit losses on receivables sold is insignificant. Our maximum exposure to loss related to these receivables transferred is limited to the amount outstanding. The Company has agreed to guarantee the performance of the Originators respective obligations under the revolving agreement. None of the Company, the Originators, nor the bankruptcy remote subsidiary guarantees the collectability of the receivables under the revolving agreements.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Guarantor Summarized Financial Information</w:t>
      </w:r>
    </w:p>
    <w:p>
      <w:pPr>
        <w:spacing w:after="0" w:line="117"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The obligations under the Company's Senior Notes, Senior Credit Facility, 364 Day Facility and 2025 Notes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w:t>
      </w:r>
    </w:p>
    <w:p>
      <w:pPr>
        <w:spacing w:after="0" w:line="41"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The following tables present summarized financial information of the parent and the guarantor subsidiaries on a combined basis. The combined summarized financial information eliminates intercompany balances and transactions among the parent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Summarized Statement of Income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2"/>
          </w:tcPr>
          <w:p>
            <w:pPr>
              <w:jc w:val="center"/>
              <w:ind w:right="708"/>
              <w:spacing w:after="0"/>
              <w:rPr>
                <w:sz w:val="20"/>
                <w:szCs w:val="20"/>
                <w:color w:val="auto"/>
              </w:rPr>
            </w:pPr>
            <w:r>
              <w:rPr>
                <w:rFonts w:ascii="Arial" w:cs="Arial" w:eastAsia="Arial" w:hAnsi="Arial"/>
                <w:sz w:val="14"/>
                <w:szCs w:val="14"/>
                <w:b w:val="1"/>
                <w:bCs w:val="1"/>
                <w:color w:val="auto"/>
                <w:w w:val="96"/>
              </w:rPr>
              <w:t>Unaudited</w:t>
            </w:r>
          </w:p>
        </w:tc>
        <w:tc>
          <w:tcPr>
            <w:tcW w:w="84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9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Westinghouse Air Brake Technologies Corp. and Guarantor</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0" w:type="dxa"/>
            <w:vAlign w:val="bottom"/>
            <w:gridSpan w:val="3"/>
          </w:tcPr>
          <w:p>
            <w:pPr>
              <w:jc w:val="center"/>
              <w:ind w:right="628"/>
              <w:spacing w:after="0"/>
              <w:rPr>
                <w:sz w:val="20"/>
                <w:szCs w:val="20"/>
                <w:color w:val="auto"/>
              </w:rPr>
            </w:pPr>
            <w:r>
              <w:rPr>
                <w:rFonts w:ascii="Arial" w:cs="Arial" w:eastAsia="Arial" w:hAnsi="Arial"/>
                <w:sz w:val="14"/>
                <w:szCs w:val="14"/>
                <w:b w:val="1"/>
                <w:bCs w:val="1"/>
                <w:color w:val="auto"/>
                <w:w w:val="88"/>
              </w:rPr>
              <w:t>Subsidiaries</w:t>
            </w:r>
          </w:p>
        </w:tc>
        <w:tc>
          <w:tcPr>
            <w:tcW w:w="84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140" w:type="dxa"/>
            <w:vAlign w:val="bottom"/>
            <w:gridSpan w:val="4"/>
          </w:tcPr>
          <w:p>
            <w:pPr>
              <w:jc w:val="center"/>
              <w:ind w:left="757"/>
              <w:spacing w:after="0"/>
              <w:rPr>
                <w:sz w:val="20"/>
                <w:szCs w:val="20"/>
                <w:color w:val="auto"/>
              </w:rPr>
            </w:pPr>
            <w:r>
              <w:rPr>
                <w:rFonts w:ascii="Arial" w:cs="Arial" w:eastAsia="Arial" w:hAnsi="Arial"/>
                <w:sz w:val="14"/>
                <w:szCs w:val="14"/>
                <w:b w:val="1"/>
                <w:bCs w:val="1"/>
                <w:color w:val="auto"/>
                <w:w w:val="93"/>
              </w:rPr>
              <w:t>Six Months Ended June 30, 2020</w:t>
            </w:r>
          </w:p>
        </w:tc>
        <w:tc>
          <w:tcPr>
            <w:tcW w:w="84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57"/>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2,038.8</w:t>
            </w:r>
          </w:p>
        </w:tc>
      </w:tr>
      <w:tr>
        <w:trPr>
          <w:trHeight w:val="243"/>
        </w:trPr>
        <w:tc>
          <w:tcPr>
            <w:tcW w:w="2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401.6</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2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83.4</w:t>
            </w:r>
          </w:p>
        </w:tc>
      </w:tr>
      <w:tr>
        <w:trPr>
          <w:trHeight w:val="378"/>
        </w:trPr>
        <w:tc>
          <w:tcPr>
            <w:tcW w:w="20" w:type="dxa"/>
            <w:vAlign w:val="bottom"/>
          </w:tcPr>
          <w:p>
            <w:pPr>
              <w:spacing w:after="0"/>
              <w:rPr>
                <w:sz w:val="24"/>
                <w:szCs w:val="24"/>
                <w:color w:val="auto"/>
              </w:rPr>
            </w:pPr>
          </w:p>
        </w:tc>
        <w:tc>
          <w:tcPr>
            <w:tcW w:w="446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Summarized Balance Sheet</w:t>
            </w:r>
          </w:p>
        </w:tc>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62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Westinghouse Air Brake Technologies Corp. and Guarantor Subsidiaries</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40" w:type="dxa"/>
            <w:vAlign w:val="bottom"/>
          </w:tcPr>
          <w:p>
            <w:pPr>
              <w:jc w:val="right"/>
              <w:ind w:right="637"/>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4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40" w:type="dxa"/>
            <w:vAlign w:val="bottom"/>
          </w:tcPr>
          <w:p>
            <w:pPr>
              <w:jc w:val="right"/>
              <w:ind w:right="557"/>
              <w:spacing w:after="0"/>
              <w:rPr>
                <w:sz w:val="20"/>
                <w:szCs w:val="20"/>
                <w:color w:val="auto"/>
              </w:rPr>
            </w:pPr>
            <w:r>
              <w:rPr>
                <w:rFonts w:ascii="Arial" w:cs="Arial" w:eastAsia="Arial" w:hAnsi="Arial"/>
                <w:sz w:val="14"/>
                <w:szCs w:val="14"/>
                <w:b w:val="1"/>
                <w:bCs w:val="1"/>
                <w:color w:val="auto"/>
                <w:w w:val="96"/>
              </w:rPr>
              <w:t>June 30, 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78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1600" w:type="dxa"/>
            <w:vAlign w:val="bottom"/>
            <w:tcBorders>
              <w:bottom w:val="single" w:sz="8" w:color="CCEEFF"/>
            </w:tcBorders>
            <w:gridSpan w:val="3"/>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1,360.1</w:t>
            </w:r>
          </w:p>
        </w:tc>
      </w:tr>
      <w:tr>
        <w:trPr>
          <w:trHeight w:val="243"/>
        </w:trPr>
        <w:tc>
          <w:tcPr>
            <w:tcW w:w="2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2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1,920.2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1,974.3</w:t>
            </w:r>
          </w:p>
        </w:tc>
      </w:tr>
      <w:tr>
        <w:trPr>
          <w:trHeight w:val="27"/>
        </w:trPr>
        <w:tc>
          <w:tcPr>
            <w:tcW w:w="2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1,695.6</w:t>
            </w:r>
          </w:p>
        </w:tc>
      </w:tr>
      <w:tr>
        <w:trPr>
          <w:trHeight w:val="243"/>
        </w:trPr>
        <w:tc>
          <w:tcPr>
            <w:tcW w:w="2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3,757.0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4,321.8</w:t>
            </w:r>
          </w:p>
        </w:tc>
      </w:tr>
      <w:tr>
        <w:trPr>
          <w:trHeight w:val="27"/>
        </w:trPr>
        <w:tc>
          <w:tcPr>
            <w:tcW w:w="20" w:type="dxa"/>
            <w:vAlign w:val="bottom"/>
          </w:tcPr>
          <w:p>
            <w:pPr>
              <w:spacing w:after="0"/>
              <w:rPr>
                <w:sz w:val="2"/>
                <w:szCs w:val="2"/>
                <w:color w:val="auto"/>
              </w:rPr>
            </w:pPr>
          </w:p>
        </w:tc>
        <w:tc>
          <w:tcPr>
            <w:tcW w:w="446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539.2</w:t>
            </w:r>
          </w:p>
        </w:tc>
      </w:tr>
      <w:tr>
        <w:trPr>
          <w:trHeight w:val="91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tcPr>
          <w:p>
            <w:pPr>
              <w:jc w:val="right"/>
              <w:ind w:right="810"/>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6" w:name="page47"/>
    <w:bookmarkEnd w:id="46"/>
    <w:p>
      <w:pPr>
        <w:ind w:right="300" w:firstLine="486"/>
        <w:spacing w:after="0" w:line="276" w:lineRule="auto"/>
        <w:rPr>
          <w:sz w:val="20"/>
          <w:szCs w:val="20"/>
          <w:color w:val="auto"/>
        </w:rPr>
      </w:pPr>
      <w:r>
        <w:rPr>
          <w:rFonts w:ascii="Arial" w:cs="Arial" w:eastAsia="Arial" w:hAnsi="Arial"/>
          <w:sz w:val="18"/>
          <w:szCs w:val="18"/>
          <w:color w:val="auto"/>
        </w:rPr>
        <w:t>The following is a description of the transactions between the combined Westinghouse Air Brake Technologies Corp. and Guarantor Subsidiaries with Non-Guarantor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Unaudited</w:t>
            </w: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Westinghouse Air Brake Technologies Corp. and Guarantor</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Subsidiaries</w:t>
            </w:r>
          </w:p>
        </w:tc>
      </w:tr>
      <w:tr>
        <w:trPr>
          <w:trHeight w:val="174"/>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5"/>
                <w:szCs w:val="15"/>
                <w:color w:val="auto"/>
              </w:rPr>
            </w:pPr>
          </w:p>
        </w:tc>
        <w:tc>
          <w:tcPr>
            <w:tcW w:w="386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Six Months Ended June 30,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 to Non-Guarantor Subsidiaries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324.1</w:t>
            </w:r>
          </w:p>
        </w:tc>
      </w:tr>
      <w:tr>
        <w:trPr>
          <w:trHeight w:val="243"/>
        </w:trPr>
        <w:tc>
          <w:tcPr>
            <w:tcW w:w="20" w:type="dxa"/>
            <w:vAlign w:val="bottom"/>
          </w:tcPr>
          <w:p>
            <w:pPr>
              <w:spacing w:after="0"/>
              <w:rPr>
                <w:sz w:val="21"/>
                <w:szCs w:val="21"/>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Purchases from Non-Guarantor Subsidiaries</w:t>
            </w:r>
          </w:p>
        </w:tc>
        <w:tc>
          <w:tcPr>
            <w:tcW w:w="120" w:type="dxa"/>
            <w:vAlign w:val="bottom"/>
          </w:tcPr>
          <w:p>
            <w:pPr>
              <w:spacing w:after="0"/>
              <w:rPr>
                <w:sz w:val="21"/>
                <w:szCs w:val="21"/>
                <w:color w:val="auto"/>
              </w:rPr>
            </w:pPr>
          </w:p>
        </w:tc>
        <w:tc>
          <w:tcPr>
            <w:tcW w:w="3860" w:type="dxa"/>
            <w:vAlign w:val="bottom"/>
          </w:tcPr>
          <w:p>
            <w:pPr>
              <w:jc w:val="right"/>
              <w:ind w:right="83"/>
              <w:spacing w:after="0"/>
              <w:rPr>
                <w:sz w:val="20"/>
                <w:szCs w:val="20"/>
                <w:color w:val="auto"/>
              </w:rPr>
            </w:pPr>
            <w:r>
              <w:rPr>
                <w:rFonts w:ascii="Arial" w:cs="Arial" w:eastAsia="Arial" w:hAnsi="Arial"/>
                <w:sz w:val="18"/>
                <w:szCs w:val="18"/>
                <w:color w:val="auto"/>
              </w:rPr>
              <w:t>581.2</w:t>
            </w:r>
          </w:p>
        </w:tc>
      </w:tr>
      <w:tr>
        <w:trPr>
          <w:trHeight w:val="48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jc w:val="center"/>
              <w:ind w:right="43"/>
              <w:spacing w:after="0"/>
              <w:rPr>
                <w:sz w:val="20"/>
                <w:szCs w:val="20"/>
                <w:color w:val="auto"/>
              </w:rPr>
            </w:pPr>
            <w:r>
              <w:rPr>
                <w:rFonts w:ascii="Arial" w:cs="Arial" w:eastAsia="Arial" w:hAnsi="Arial"/>
                <w:sz w:val="14"/>
                <w:szCs w:val="14"/>
                <w:b w:val="1"/>
                <w:bCs w:val="1"/>
                <w:color w:val="auto"/>
                <w:w w:val="96"/>
              </w:rPr>
              <w:t>Unaudited</w:t>
            </w: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Westinghouse Air Brake Technologies Corp. and Guarantor</w:t>
            </w: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6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Subsidiaries</w:t>
            </w:r>
          </w:p>
        </w:tc>
      </w:tr>
      <w:tr>
        <w:trPr>
          <w:trHeight w:val="174"/>
        </w:trPr>
        <w:tc>
          <w:tcPr>
            <w:tcW w:w="20" w:type="dxa"/>
            <w:vAlign w:val="bottom"/>
          </w:tcPr>
          <w:p>
            <w:pPr>
              <w:spacing w:after="0"/>
              <w:rPr>
                <w:sz w:val="15"/>
                <w:szCs w:val="15"/>
                <w:color w:val="auto"/>
              </w:rPr>
            </w:pPr>
          </w:p>
        </w:tc>
        <w:tc>
          <w:tcPr>
            <w:tcW w:w="7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5"/>
                <w:szCs w:val="15"/>
                <w:color w:val="auto"/>
              </w:rPr>
            </w:pPr>
          </w:p>
        </w:tc>
        <w:tc>
          <w:tcPr>
            <w:tcW w:w="3860" w:type="dxa"/>
            <w:vAlign w:val="bottom"/>
          </w:tcPr>
          <w:p>
            <w:pPr>
              <w:jc w:val="center"/>
              <w:ind w:right="43"/>
              <w:spacing w:after="0"/>
              <w:rPr>
                <w:sz w:val="20"/>
                <w:szCs w:val="20"/>
                <w:color w:val="auto"/>
              </w:rPr>
            </w:pPr>
            <w:r>
              <w:rPr>
                <w:rFonts w:ascii="Arial" w:cs="Arial" w:eastAsia="Arial" w:hAnsi="Arial"/>
                <w:sz w:val="14"/>
                <w:szCs w:val="14"/>
                <w:b w:val="1"/>
                <w:bCs w:val="1"/>
                <w:color w:val="auto"/>
                <w:w w:val="90"/>
              </w:rPr>
              <w:t>June 30,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 due from Non-Guarantor Subsidiaries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60" w:type="dxa"/>
            <w:vAlign w:val="bottom"/>
            <w:shd w:val="clear" w:color="auto" w:fill="CCEEFF"/>
          </w:tcPr>
          <w:p>
            <w:pPr>
              <w:jc w:val="right"/>
              <w:ind w:right="83"/>
              <w:spacing w:after="0"/>
              <w:rPr>
                <w:sz w:val="20"/>
                <w:szCs w:val="20"/>
                <w:color w:val="auto"/>
              </w:rPr>
            </w:pPr>
            <w:r>
              <w:rPr>
                <w:rFonts w:ascii="Arial" w:cs="Arial" w:eastAsia="Arial" w:hAnsi="Arial"/>
                <w:sz w:val="18"/>
                <w:szCs w:val="18"/>
                <w:color w:val="auto"/>
              </w:rPr>
              <w:t>1,688.9</w:t>
            </w:r>
          </w:p>
        </w:tc>
      </w:tr>
      <w:tr>
        <w:trPr>
          <w:trHeight w:val="27"/>
        </w:trPr>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On February 7, 2020, the Board of Directors amended its stock repurchase authorization to $500 million of the Company’s outstanding shares. This new stock repurchase authorization supersedes the previous authorization of $350 million of which about $138 million remained. During the first three months of 2020, the Company purchased 1.6 million shares for $105 million, leaving $395 million remaining under the authorization. No time limit was set for the completion of the program which conforms to the requirements under the Senior Credit Facility, the 364 Day Facility and the Senior Notes currently outstanding. Subsequent to the end of the first quarter of fiscal 2020, to enhance our liquidity position in response to COVID-19, management elected to temporarily suspend share repurchases under our existing stock repurchase program. The existing program remains authorized by the Board of Directors and we may resume share repurchases in the future at any time, depending upon market conditions, our capital needs and other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80" w:firstLine="486"/>
        <w:spacing w:after="0" w:line="301"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67" w:lineRule="exact"/>
        <w:rPr>
          <w:sz w:val="20"/>
          <w:szCs w:val="20"/>
          <w:color w:val="auto"/>
        </w:rPr>
      </w:pPr>
    </w:p>
    <w:p>
      <w:pPr>
        <w:ind w:left="620" w:right="4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8"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7" w:name="page48"/>
    <w:bookmarkEnd w:id="47"/>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auto"/>
        </w:rPr>
      </w:pPr>
    </w:p>
    <w:p>
      <w:pPr>
        <w:ind w:left="620" w:hanging="329"/>
        <w:spacing w:after="0" w:line="298" w:lineRule="auto"/>
        <w:tabs>
          <w:tab w:leader="none" w:pos="61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the GE Transportation Business;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and state income tax legislation;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factors</w:t>
      </w:r>
    </w:p>
    <w:p>
      <w:pPr>
        <w:spacing w:after="0" w:line="67"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severity and duration of the pandemic</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general economic conditions;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shutdown of one or more of our operating facilities;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and sourcing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of our customers to pay timely for goods and services delivered;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of our employees;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retain and recruit talented employees;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obtaining debt or equity financing.</w:t>
      </w:r>
    </w:p>
    <w:p>
      <w:pPr>
        <w:spacing w:after="0" w:line="117" w:lineRule="exact"/>
        <w:rPr>
          <w:sz w:val="20"/>
          <w:szCs w:val="20"/>
          <w:color w:val="auto"/>
        </w:rPr>
      </w:pPr>
    </w:p>
    <w:p>
      <w:pPr>
        <w:jc w:val="both"/>
        <w:ind w:right="160" w:firstLine="486"/>
        <w:spacing w:after="0" w:line="311"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2019.</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2019. In particular, judgment is used in areas such as accounts receivable and the allowance for doubtful accounts, inventories, goodwill and indefinite-lived intangibles, warranty reserves, pensions and postretirement benefits, income taxes and revenue recognition. There have been no significant changes in accounting policies since December 31, 2019.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48" w:name="page49"/>
    <w:bookmarkEnd w:id="48"/>
    <w:p>
      <w:pPr>
        <w:ind w:right="4180"/>
        <w:spacing w:after="0" w:line="377"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line="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the ordinary course of business, Wabtec is exposed to risks that increases in interest rates may adversely affect interest expense associated with its variable-rate debt and refinancing or issuance of incremental fixed rate debt. The Company’s variable rate debt represents 33% and 32% of total long-term debt at June 30, 2020 and December 31, 2019, respectively. Refer to Note 8 – Long Term Debt of “Notes to Condensed Consolidated Financial Statements” for additional information regarding interest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The Company is subject to certain risks associated with changes in foreign currency exchange rates to the extent our operations are conducted in currencies other than the U.S. dollar. For the first six months of 2020, approximately 44% of Wabtec’s net sales were to customers in the United States, 13% in the Eurozone, 7% in Egypt, 5% in India, 5% in Canada, 4% in Australia, 4% in the United Kingdom, 3% in Brazil, 3% in Mexico, 3% in China, and 9% in other international locations. To mitigate the impact of changes in foreign currency exchange rates on earnings and cash flows,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June 30, 2020.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87"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The business combination of Wabtec and GE Transportation, which was completed on February 25, 2019, resulted in a material change in the combined company's internal controls over financial reporting. The Company is continuing the process of designing and integrating policies, processes, operations, technology, and other components of internal controls over financial reporting of the combined company. Management believes the control design and implementation thereof are being appropriately modified to address the underlying risks and will monitor the implementation of new controls and test the operating effectiveness when instances are available in future periods.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15 of “Notes to Consolidated Financial Statements” included in Part I, Item 1 of this report and incorporate by reference herein.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2019, as supplemented by those disclosed in our Quarterly Report on Form 10-Q for the quarter ended March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June 30, 2020:</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96"/>
              </w:rPr>
              <w:t>Maximum Dollar</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Purchased as</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8"/>
              </w:rPr>
              <w:t>Value of Shares That</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Part of Publicly</w:t>
            </w:r>
          </w:p>
        </w:tc>
        <w:tc>
          <w:tcPr>
            <w:tcW w:w="14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92"/>
              </w:rPr>
              <w:t>May Yet Be</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8"/>
                <w:szCs w:val="18"/>
                <w:color w:val="auto"/>
              </w:rPr>
              <w:t>Total Number of</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Average Price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Month</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Shares Purchased</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Paid per Share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Programs (1)</w:t>
            </w:r>
          </w:p>
        </w:tc>
        <w:tc>
          <w:tcPr>
            <w:tcW w:w="140" w:type="dxa"/>
            <w:vAlign w:val="bottom"/>
          </w:tcPr>
          <w:p>
            <w:pPr>
              <w:spacing w:after="0"/>
              <w:rPr>
                <w:sz w:val="20"/>
                <w:szCs w:val="20"/>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89"/>
              </w:rPr>
              <w:t>Programs (1)</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April 2020</w:t>
            </w:r>
          </w:p>
        </w:tc>
        <w:tc>
          <w:tcPr>
            <w:tcW w:w="170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394,746,349</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May 2020</w:t>
            </w: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394,746,349</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2020</w:t>
            </w:r>
          </w:p>
        </w:tc>
        <w:tc>
          <w:tcPr>
            <w:tcW w:w="170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394,746,349</w:t>
            </w:r>
          </w:p>
        </w:tc>
      </w:tr>
      <w:tr>
        <w:trPr>
          <w:trHeight w:val="26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Total quarter ended June 30, 2020</w:t>
            </w:r>
          </w:p>
        </w:tc>
        <w:tc>
          <w:tcPr>
            <w:tcW w:w="160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394,746,349</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line="254" w:lineRule="auto"/>
        <w:tabs>
          <w:tab w:leader="none" w:pos="267"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February 7, 2020, the Board of Directors amended its stock repurchase authorization to $500 million of the Company’s outstanding shares. This new stock repurchase authorization supersedes the previous authorization of $350 million, of which $137.8 million remained. No time limit was set for the completion of the program which conforms to the requirements under the Senior Credit Facility, the 364 Day Facility and the Senior Notes currently outstanding. Subsequent to the end of the first quarter of fiscal 2020, to enhance our liquidity position in response to COVID-19, management elected to temporarily suspend share repurchases under our existing stock repurchase program. The existing program remains authorized by the Board of Directors and we may resume share repurchases in the future at any time, depending upon market conditions, our capital needs and other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report: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22.1</w:t>
            </w:r>
          </w:p>
        </w:tc>
        <w:tc>
          <w:tcPr>
            <w:tcW w:w="6320" w:type="dxa"/>
            <w:vAlign w:val="bottom"/>
          </w:tcPr>
          <w:p>
            <w:pPr>
              <w:ind w:left="400"/>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List of Subsidiary Guarantors</w:t>
              </w:r>
            </w:hyperlink>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6320" w:type="dxa"/>
            <w:vAlign w:val="bottom"/>
          </w:tcPr>
          <w:p>
            <w:pPr>
              <w:ind w:left="400"/>
              <w:spacing w:after="0"/>
              <w:rPr>
                <w:rFonts w:ascii="Arial" w:cs="Arial" w:eastAsia="Arial" w:hAnsi="Arial"/>
                <w:sz w:val="18"/>
                <w:szCs w:val="18"/>
                <w:color w:val="0000FF"/>
              </w:rPr>
            </w:pPr>
            <w:hyperlink w:anchor="page54">
              <w:r>
                <w:rPr>
                  <w:rFonts w:ascii="Arial" w:cs="Arial" w:eastAsia="Arial" w:hAnsi="Arial"/>
                  <w:sz w:val="18"/>
                  <w:szCs w:val="18"/>
                  <w:u w:val="single" w:color="auto"/>
                  <w:color w:val="0000FF"/>
                </w:rPr>
                <w:t>Rule 13a-14(a) Certification of Chief Executive Officer</w:t>
              </w:r>
              <w:r>
                <w:rPr>
                  <w:rFonts w:ascii="Arial" w:cs="Arial" w:eastAsia="Arial" w:hAnsi="Arial"/>
                  <w:sz w:val="18"/>
                  <w:szCs w:val="18"/>
                  <w:color w:val="0000FF"/>
                </w:rPr>
                <w:t>.</w:t>
              </w:r>
            </w:hyperlink>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6320" w:type="dxa"/>
            <w:vAlign w:val="bottom"/>
          </w:tcPr>
          <w:p>
            <w:pPr>
              <w:ind w:left="40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Rule 13a-14(a) Certification of Chief Financial Officer.</w:t>
              </w:r>
            </w:hyperlink>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6320" w:type="dxa"/>
            <w:vAlign w:val="bottom"/>
          </w:tcPr>
          <w:p>
            <w:pPr>
              <w:ind w:left="400"/>
              <w:spacing w:after="0"/>
              <w:rPr>
                <w:rFonts w:ascii="Arial" w:cs="Arial" w:eastAsia="Arial" w:hAnsi="Arial"/>
                <w:sz w:val="18"/>
                <w:szCs w:val="18"/>
                <w:u w:val="single" w:color="auto"/>
                <w:color w:val="0000FF"/>
                <w:w w:val="92"/>
              </w:rPr>
            </w:pPr>
            <w:hyperlink w:anchor="page56">
              <w:r>
                <w:rPr>
                  <w:rFonts w:ascii="Arial" w:cs="Arial" w:eastAsia="Arial" w:hAnsi="Arial"/>
                  <w:sz w:val="18"/>
                  <w:szCs w:val="18"/>
                  <w:u w:val="single" w:color="auto"/>
                  <w:color w:val="0000FF"/>
                  <w:w w:val="92"/>
                </w:rPr>
                <w:t>Section 1350 Certification of Chief Executive Officer and Chief Financial Officer.</w:t>
              </w:r>
            </w:hyperlink>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632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94" w:lineRule="exact"/>
        <w:rPr>
          <w:sz w:val="20"/>
          <w:szCs w:val="20"/>
          <w:color w:val="auto"/>
        </w:rPr>
      </w:pPr>
    </w:p>
    <w:p>
      <w:pPr>
        <w:ind w:left="1480" w:hanging="1454"/>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51" w:name="page52"/>
    <w:bookmarkEnd w:id="51"/>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WESTINGHOUSE AIR BRAKE TECHNOLOGIES CORPORATION</w:t>
      </w:r>
    </w:p>
    <w:p>
      <w:pPr>
        <w:spacing w:after="0" w:line="129" w:lineRule="exact"/>
        <w:rPr>
          <w:sz w:val="20"/>
          <w:szCs w:val="20"/>
          <w:color w:val="auto"/>
        </w:rPr>
      </w:pPr>
    </w:p>
    <w:p>
      <w:pPr>
        <w:ind w:left="598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31750</wp:posOffset>
            </wp:positionV>
            <wp:extent cx="2854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8"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Patrick D. Dugan,</w:t>
      </w:r>
    </w:p>
    <w:p>
      <w:pPr>
        <w:spacing w:after="0" w:line="42"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Executive Vice President and</w:t>
      </w:r>
    </w:p>
    <w:p>
      <w:pPr>
        <w:spacing w:after="0" w:line="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Chief Financial Officer</w:t>
      </w:r>
    </w:p>
    <w:p>
      <w:pPr>
        <w:spacing w:after="0" w:line="29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20" w:lineRule="exact"/>
        <w:rPr>
          <w:sz w:val="20"/>
          <w:szCs w:val="20"/>
          <w:color w:val="auto"/>
        </w:rPr>
      </w:pPr>
    </w:p>
    <w:p>
      <w:pPr>
        <w:ind w:left="598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931" w:right="459" w:bottom="1440" w:gutter="0" w:footer="0" w:header="0"/>
        </w:sectPr>
      </w:pPr>
    </w:p>
    <w:bookmarkStart w:id="52" w:name="page53"/>
    <w:bookmarkEnd w:id="52"/>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22.1</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Guarantor Subsidiaries of Westinghouse Air Brake Technologies Corporation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2020</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subsidiaries of Westinghouse Air Brake Technologies Corporation (the "Company") were guarantors of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Company's Senior Notes, Senior Credit Facility, 364 Day Facility and 2025 Notes as of June 30, 2020:</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Guarantor Subsidiary Jurisdiction of Formation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280" w:type="dxa"/>
            <w:vAlign w:val="bottom"/>
            <w:tcBorders>
              <w:top w:val="single" w:sz="8" w:color="auto"/>
            </w:tcBorders>
            <w:shd w:val="clear" w:color="auto" w:fill="C6D9F1"/>
          </w:tcPr>
          <w:p>
            <w:pPr>
              <w:ind w:left="20"/>
              <w:spacing w:after="0"/>
              <w:rPr>
                <w:sz w:val="20"/>
                <w:szCs w:val="20"/>
                <w:color w:val="auto"/>
              </w:rPr>
            </w:pPr>
            <w:r>
              <w:rPr>
                <w:rFonts w:ascii="Arial" w:cs="Arial" w:eastAsia="Arial" w:hAnsi="Arial"/>
                <w:sz w:val="20"/>
                <w:szCs w:val="20"/>
                <w:color w:val="auto"/>
              </w:rPr>
              <w:t>GE Transportation, a Wabtec Company</w:t>
            </w:r>
          </w:p>
        </w:tc>
        <w:tc>
          <w:tcPr>
            <w:tcW w:w="620" w:type="dxa"/>
            <w:vAlign w:val="bottom"/>
            <w:tcBorders>
              <w:top w:val="single" w:sz="8" w:color="C6D9F1"/>
            </w:tcBorders>
            <w:shd w:val="clear" w:color="auto" w:fill="C6D9F1"/>
          </w:tcPr>
          <w:p>
            <w:pPr>
              <w:spacing w:after="0"/>
              <w:rPr>
                <w:sz w:val="24"/>
                <w:szCs w:val="24"/>
                <w:color w:val="auto"/>
              </w:rPr>
            </w:pPr>
          </w:p>
        </w:tc>
        <w:tc>
          <w:tcPr>
            <w:tcW w:w="4140" w:type="dxa"/>
            <w:vAlign w:val="bottom"/>
            <w:tcBorders>
              <w:top w:val="single" w:sz="8" w:color="auto"/>
            </w:tcBorders>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65"/>
        </w:trPr>
        <w:tc>
          <w:tcPr>
            <w:tcW w:w="6900" w:type="dxa"/>
            <w:vAlign w:val="bottom"/>
            <w:gridSpan w:val="2"/>
          </w:tcPr>
          <w:p>
            <w:pPr>
              <w:ind w:left="20"/>
              <w:spacing w:after="0"/>
              <w:rPr>
                <w:sz w:val="20"/>
                <w:szCs w:val="20"/>
                <w:color w:val="auto"/>
              </w:rPr>
            </w:pPr>
            <w:r>
              <w:rPr>
                <w:rFonts w:ascii="Arial" w:cs="Arial" w:eastAsia="Arial" w:hAnsi="Arial"/>
                <w:sz w:val="20"/>
                <w:szCs w:val="20"/>
                <w:color w:val="auto"/>
              </w:rPr>
              <w:t>RFPC Holding Corp.</w:t>
            </w:r>
          </w:p>
        </w:tc>
        <w:tc>
          <w:tcPr>
            <w:tcW w:w="414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75"/>
        </w:trPr>
        <w:tc>
          <w:tcPr>
            <w:tcW w:w="6900" w:type="dxa"/>
            <w:vAlign w:val="bottom"/>
            <w:gridSpan w:val="2"/>
            <w:shd w:val="clear" w:color="auto" w:fill="C6D9F1"/>
          </w:tcPr>
          <w:p>
            <w:pPr>
              <w:ind w:left="20"/>
              <w:spacing w:after="0"/>
              <w:rPr>
                <w:sz w:val="20"/>
                <w:szCs w:val="20"/>
                <w:color w:val="auto"/>
              </w:rPr>
            </w:pPr>
            <w:r>
              <w:rPr>
                <w:rFonts w:ascii="Arial" w:cs="Arial" w:eastAsia="Arial" w:hAnsi="Arial"/>
                <w:sz w:val="20"/>
                <w:szCs w:val="20"/>
                <w:color w:val="auto"/>
              </w:rPr>
              <w:t>Schaefer Equipment, Inc.</w:t>
            </w:r>
          </w:p>
        </w:tc>
        <w:tc>
          <w:tcPr>
            <w:tcW w:w="414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Ohio</w:t>
            </w:r>
          </w:p>
        </w:tc>
      </w:tr>
      <w:tr>
        <w:trPr>
          <w:trHeight w:val="265"/>
        </w:trPr>
        <w:tc>
          <w:tcPr>
            <w:tcW w:w="6900" w:type="dxa"/>
            <w:vAlign w:val="bottom"/>
            <w:gridSpan w:val="2"/>
          </w:tcPr>
          <w:p>
            <w:pPr>
              <w:ind w:left="20"/>
              <w:spacing w:after="0"/>
              <w:rPr>
                <w:sz w:val="20"/>
                <w:szCs w:val="20"/>
                <w:color w:val="auto"/>
              </w:rPr>
            </w:pPr>
            <w:r>
              <w:rPr>
                <w:rFonts w:ascii="Arial" w:cs="Arial" w:eastAsia="Arial" w:hAnsi="Arial"/>
                <w:sz w:val="20"/>
                <w:szCs w:val="20"/>
                <w:color w:val="auto"/>
              </w:rPr>
              <w:t>Standard Car Truck Company</w:t>
            </w:r>
          </w:p>
        </w:tc>
        <w:tc>
          <w:tcPr>
            <w:tcW w:w="414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75"/>
        </w:trPr>
        <w:tc>
          <w:tcPr>
            <w:tcW w:w="6900" w:type="dxa"/>
            <w:vAlign w:val="bottom"/>
            <w:gridSpan w:val="2"/>
            <w:shd w:val="clear" w:color="auto" w:fill="C6D9F1"/>
          </w:tcPr>
          <w:p>
            <w:pPr>
              <w:ind w:left="20"/>
              <w:spacing w:after="0"/>
              <w:rPr>
                <w:sz w:val="20"/>
                <w:szCs w:val="20"/>
                <w:color w:val="auto"/>
              </w:rPr>
            </w:pPr>
            <w:r>
              <w:rPr>
                <w:rFonts w:ascii="Arial" w:cs="Arial" w:eastAsia="Arial" w:hAnsi="Arial"/>
                <w:sz w:val="20"/>
                <w:szCs w:val="20"/>
                <w:color w:val="auto"/>
              </w:rPr>
              <w:t>Transportation IP Holdings, LLC</w:t>
            </w:r>
          </w:p>
        </w:tc>
        <w:tc>
          <w:tcPr>
            <w:tcW w:w="414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65"/>
        </w:trPr>
        <w:tc>
          <w:tcPr>
            <w:tcW w:w="6900" w:type="dxa"/>
            <w:vAlign w:val="bottom"/>
            <w:gridSpan w:val="2"/>
          </w:tcPr>
          <w:p>
            <w:pPr>
              <w:ind w:left="20"/>
              <w:spacing w:after="0"/>
              <w:rPr>
                <w:sz w:val="20"/>
                <w:szCs w:val="20"/>
                <w:color w:val="auto"/>
              </w:rPr>
            </w:pPr>
            <w:r>
              <w:rPr>
                <w:rFonts w:ascii="Arial" w:cs="Arial" w:eastAsia="Arial" w:hAnsi="Arial"/>
                <w:sz w:val="20"/>
                <w:szCs w:val="20"/>
                <w:color w:val="auto"/>
              </w:rPr>
              <w:t>Transportation Systems Services Operations Inc.</w:t>
            </w:r>
          </w:p>
        </w:tc>
        <w:tc>
          <w:tcPr>
            <w:tcW w:w="4140" w:type="dxa"/>
            <w:vAlign w:val="bottom"/>
          </w:tcPr>
          <w:p>
            <w:pPr>
              <w:jc w:val="center"/>
              <w:spacing w:after="0"/>
              <w:rPr>
                <w:sz w:val="20"/>
                <w:szCs w:val="20"/>
                <w:color w:val="auto"/>
              </w:rPr>
            </w:pPr>
            <w:r>
              <w:rPr>
                <w:rFonts w:ascii="Arial" w:cs="Arial" w:eastAsia="Arial" w:hAnsi="Arial"/>
                <w:sz w:val="20"/>
                <w:szCs w:val="20"/>
                <w:color w:val="auto"/>
                <w:w w:val="98"/>
              </w:rPr>
              <w:t>Nevada</w:t>
            </w:r>
          </w:p>
        </w:tc>
      </w:tr>
      <w:tr>
        <w:trPr>
          <w:trHeight w:val="275"/>
        </w:trPr>
        <w:tc>
          <w:tcPr>
            <w:tcW w:w="6900" w:type="dxa"/>
            <w:vAlign w:val="bottom"/>
            <w:gridSpan w:val="2"/>
            <w:shd w:val="clear" w:color="auto" w:fill="C6D9F1"/>
          </w:tcPr>
          <w:p>
            <w:pPr>
              <w:ind w:left="20"/>
              <w:spacing w:after="0"/>
              <w:rPr>
                <w:sz w:val="20"/>
                <w:szCs w:val="20"/>
                <w:color w:val="auto"/>
              </w:rPr>
            </w:pPr>
            <w:r>
              <w:rPr>
                <w:rFonts w:ascii="Arial" w:cs="Arial" w:eastAsia="Arial" w:hAnsi="Arial"/>
                <w:sz w:val="20"/>
                <w:szCs w:val="20"/>
                <w:color w:val="auto"/>
              </w:rPr>
              <w:t>Wabtec Holding Corp.</w:t>
            </w:r>
          </w:p>
        </w:tc>
        <w:tc>
          <w:tcPr>
            <w:tcW w:w="414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65"/>
        </w:trPr>
        <w:tc>
          <w:tcPr>
            <w:tcW w:w="6900" w:type="dxa"/>
            <w:vAlign w:val="bottom"/>
            <w:gridSpan w:val="2"/>
          </w:tcPr>
          <w:p>
            <w:pPr>
              <w:ind w:left="20"/>
              <w:spacing w:after="0"/>
              <w:rPr>
                <w:sz w:val="20"/>
                <w:szCs w:val="20"/>
                <w:color w:val="auto"/>
              </w:rPr>
            </w:pPr>
            <w:r>
              <w:rPr>
                <w:rFonts w:ascii="Arial" w:cs="Arial" w:eastAsia="Arial" w:hAnsi="Arial"/>
                <w:sz w:val="20"/>
                <w:szCs w:val="20"/>
                <w:color w:val="auto"/>
              </w:rPr>
              <w:t>Wabtec Railway Electronics Holdings, LLC</w:t>
            </w:r>
          </w:p>
        </w:tc>
        <w:tc>
          <w:tcPr>
            <w:tcW w:w="4140" w:type="dxa"/>
            <w:vAlign w:val="bottom"/>
          </w:tcPr>
          <w:p>
            <w:pPr>
              <w:jc w:val="center"/>
              <w:spacing w:after="0"/>
              <w:rPr>
                <w:sz w:val="20"/>
                <w:szCs w:val="20"/>
                <w:color w:val="auto"/>
              </w:rPr>
            </w:pPr>
            <w:r>
              <w:rPr>
                <w:rFonts w:ascii="Arial" w:cs="Arial" w:eastAsia="Arial" w:hAnsi="Arial"/>
                <w:sz w:val="20"/>
                <w:szCs w:val="20"/>
                <w:color w:val="auto"/>
                <w:w w:val="99"/>
              </w:rPr>
              <w:t>Delaware</w:t>
            </w:r>
          </w:p>
        </w:tc>
      </w:tr>
      <w:tr>
        <w:trPr>
          <w:trHeight w:val="275"/>
        </w:trPr>
        <w:tc>
          <w:tcPr>
            <w:tcW w:w="6900" w:type="dxa"/>
            <w:vAlign w:val="bottom"/>
            <w:gridSpan w:val="2"/>
            <w:shd w:val="clear" w:color="auto" w:fill="C6D9F1"/>
          </w:tcPr>
          <w:p>
            <w:pPr>
              <w:ind w:left="20"/>
              <w:spacing w:after="0"/>
              <w:rPr>
                <w:sz w:val="20"/>
                <w:szCs w:val="20"/>
                <w:color w:val="auto"/>
              </w:rPr>
            </w:pPr>
            <w:r>
              <w:rPr>
                <w:rFonts w:ascii="Arial" w:cs="Arial" w:eastAsia="Arial" w:hAnsi="Arial"/>
                <w:sz w:val="20"/>
                <w:szCs w:val="20"/>
                <w:color w:val="auto"/>
              </w:rPr>
              <w:t>Wabtec Transportation Systems, LLC</w:t>
            </w:r>
          </w:p>
        </w:tc>
        <w:tc>
          <w:tcPr>
            <w:tcW w:w="4140" w:type="dxa"/>
            <w:vAlign w:val="bottom"/>
            <w:shd w:val="clear" w:color="auto" w:fill="C6D9F1"/>
          </w:tcPr>
          <w:p>
            <w:pPr>
              <w:jc w:val="center"/>
              <w:spacing w:after="0"/>
              <w:rPr>
                <w:sz w:val="20"/>
                <w:szCs w:val="20"/>
                <w:color w:val="auto"/>
              </w:rPr>
            </w:pPr>
            <w:r>
              <w:rPr>
                <w:rFonts w:ascii="Arial" w:cs="Arial" w:eastAsia="Arial" w:hAnsi="Arial"/>
                <w:sz w:val="20"/>
                <w:szCs w:val="20"/>
                <w:color w:val="auto"/>
                <w:w w:val="99"/>
              </w:rPr>
              <w:t>Delaware</w:t>
            </w:r>
          </w:p>
        </w:tc>
      </w:tr>
      <w:tr>
        <w:trPr>
          <w:trHeight w:val="261"/>
        </w:trPr>
        <w:tc>
          <w:tcPr>
            <w:tcW w:w="6900" w:type="dxa"/>
            <w:vAlign w:val="bottom"/>
            <w:gridSpan w:val="2"/>
          </w:tcPr>
          <w:p>
            <w:pPr>
              <w:ind w:left="20"/>
              <w:spacing w:after="0"/>
              <w:rPr>
                <w:sz w:val="20"/>
                <w:szCs w:val="20"/>
                <w:color w:val="auto"/>
              </w:rPr>
            </w:pPr>
            <w:r>
              <w:rPr>
                <w:rFonts w:ascii="Arial" w:cs="Arial" w:eastAsia="Arial" w:hAnsi="Arial"/>
                <w:sz w:val="20"/>
                <w:szCs w:val="20"/>
                <w:color w:val="auto"/>
              </w:rPr>
              <w:t>Workhorse Rail, LLC</w:t>
            </w:r>
          </w:p>
        </w:tc>
        <w:tc>
          <w:tcPr>
            <w:tcW w:w="4140" w:type="dxa"/>
            <w:vAlign w:val="bottom"/>
          </w:tcPr>
          <w:p>
            <w:pPr>
              <w:jc w:val="center"/>
              <w:spacing w:after="0"/>
              <w:rPr>
                <w:sz w:val="20"/>
                <w:szCs w:val="20"/>
                <w:color w:val="auto"/>
              </w:rPr>
            </w:pPr>
            <w:r>
              <w:rPr>
                <w:rFonts w:ascii="Arial" w:cs="Arial" w:eastAsia="Arial" w:hAnsi="Arial"/>
                <w:sz w:val="20"/>
                <w:szCs w:val="20"/>
                <w:color w:val="auto"/>
                <w:w w:val="99"/>
              </w:rPr>
              <w:t>Pennsylvania</w:t>
            </w:r>
          </w:p>
        </w:tc>
      </w:tr>
    </w:tbl>
    <w:p>
      <w:pPr>
        <w:sectPr>
          <w:pgSz w:w="11900" w:h="16838" w:orient="portrait"/>
          <w:cols w:equalWidth="0" w:num="1">
            <w:col w:w="11240"/>
          </w:cols>
          <w:pgMar w:left="320" w:top="144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29,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RAFAEL SANTANA</w:t>
            </w:r>
          </w:p>
        </w:tc>
      </w:tr>
      <w:tr>
        <w:trPr>
          <w:trHeight w:val="258"/>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70"/>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8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July 29,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58"/>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June 30, 2020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146"/>
        </w:trPr>
        <w:tc>
          <w:tcPr>
            <w:tcW w:w="1440" w:type="dxa"/>
            <w:vAlign w:val="bottom"/>
          </w:tcPr>
          <w:p>
            <w:pPr>
              <w:spacing w:after="0"/>
              <w:rPr>
                <w:sz w:val="12"/>
                <w:szCs w:val="12"/>
                <w:color w:val="auto"/>
              </w:rPr>
            </w:pPr>
          </w:p>
        </w:tc>
        <w:tc>
          <w:tcPr>
            <w:tcW w:w="9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Rafael Santana</w:t>
            </w:r>
          </w:p>
        </w:tc>
      </w:tr>
      <w:tr>
        <w:trPr>
          <w:trHeight w:val="186"/>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55"/>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July 29, 2020</w:t>
            </w:r>
          </w:p>
        </w:tc>
      </w:tr>
      <w:tr>
        <w:trPr>
          <w:trHeight w:val="580"/>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146"/>
        </w:trPr>
        <w:tc>
          <w:tcPr>
            <w:tcW w:w="1440" w:type="dxa"/>
            <w:vAlign w:val="bottom"/>
          </w:tcPr>
          <w:p>
            <w:pPr>
              <w:spacing w:after="0"/>
              <w:rPr>
                <w:sz w:val="12"/>
                <w:szCs w:val="12"/>
                <w:color w:val="auto"/>
              </w:rPr>
            </w:pPr>
          </w:p>
        </w:tc>
        <w:tc>
          <w:tcPr>
            <w:tcW w:w="9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55"/>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July 29, 2020</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2020-07-29T10:42:39Z</dcterms:created>
  <dcterms:modified xsi:type="dcterms:W3CDTF">2020-07-29T10:42:39Z</dcterms:modified>
</cp:coreProperties>
</file>