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1"/>
          <w:szCs w:val="31"/>
          <w:b w:val="1"/>
          <w:bCs w:val="1"/>
          <w:color w:val="auto"/>
        </w:rPr>
        <w:drawing>
          <wp:anchor simplePos="0" relativeHeight="251657728" behindDoc="1" locked="0" layoutInCell="0" allowOverlap="1">
            <wp:simplePos x="0" y="0"/>
            <wp:positionH relativeFrom="page">
              <wp:posOffset>598170</wp:posOffset>
            </wp:positionH>
            <wp:positionV relativeFrom="page">
              <wp:posOffset>645795</wp:posOffset>
            </wp:positionV>
            <wp:extent cx="68059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05930" cy="8255"/>
                    </a:xfrm>
                    <a:prstGeom prst="rect">
                      <a:avLst/>
                    </a:prstGeom>
                    <a:noFill/>
                  </pic:spPr>
                </pic:pic>
              </a:graphicData>
            </a:graphic>
          </wp:anchor>
        </w:drawing>
        <w:drawing>
          <wp:anchor simplePos="0" relativeHeight="251657728" behindDoc="1" locked="0" layoutInCell="0" allowOverlap="1">
            <wp:simplePos x="0" y="0"/>
            <wp:positionH relativeFrom="page">
              <wp:posOffset>598170</wp:posOffset>
            </wp:positionH>
            <wp:positionV relativeFrom="page">
              <wp:posOffset>612775</wp:posOffset>
            </wp:positionV>
            <wp:extent cx="68059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05930" cy="8255"/>
                    </a:xfrm>
                    <a:prstGeom prst="rect">
                      <a:avLst/>
                    </a:prstGeom>
                    <a:noFill/>
                  </pic:spPr>
                </pic:pic>
              </a:graphicData>
            </a:graphic>
          </wp:anchor>
        </w:drawing>
        <w:t>UNITED STATES</w:t>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31"/>
          <w:szCs w:val="31"/>
          <w:b w:val="1"/>
          <w:bCs w:val="1"/>
          <w:color w:val="auto"/>
        </w:rPr>
        <w:t>SECURITIES AND EXCHANGE COMMISSION</w:t>
      </w:r>
    </w:p>
    <w:p>
      <w:pPr>
        <w:spacing w:after="0" w:line="11" w:lineRule="exact"/>
        <w:rPr>
          <w:sz w:val="24"/>
          <w:szCs w:val="24"/>
          <w:color w:val="auto"/>
        </w:rPr>
      </w:pPr>
    </w:p>
    <w:p>
      <w:pPr>
        <w:jc w:val="center"/>
        <w:ind w:right="-59"/>
        <w:spacing w:after="0"/>
        <w:rPr>
          <w:sz w:val="20"/>
          <w:szCs w:val="20"/>
          <w:color w:val="auto"/>
        </w:rPr>
      </w:pPr>
      <w:r>
        <w:rPr>
          <w:rFonts w:ascii="Arial" w:cs="Arial" w:eastAsia="Arial" w:hAnsi="Arial"/>
          <w:sz w:val="21"/>
          <w:szCs w:val="21"/>
          <w:b w:val="1"/>
          <w:bCs w:val="1"/>
          <w:color w:val="auto"/>
        </w:rPr>
        <w:t>WASHINGTON, D.C. 20549</w:t>
      </w:r>
    </w:p>
    <w:p>
      <w:pPr>
        <w:spacing w:after="0" w:line="3" w:lineRule="exact"/>
        <w:rPr>
          <w:sz w:val="24"/>
          <w:szCs w:val="24"/>
          <w:color w:val="auto"/>
        </w:rPr>
      </w:pPr>
    </w:p>
    <w:p>
      <w:pPr>
        <w:ind w:left="4080"/>
        <w:spacing w:after="0"/>
        <w:rPr>
          <w:sz w:val="20"/>
          <w:szCs w:val="20"/>
          <w:color w:val="auto"/>
        </w:rPr>
      </w:pPr>
      <w:r>
        <w:rPr>
          <w:rFonts w:ascii="Arial" w:cs="Arial" w:eastAsia="Arial" w:hAnsi="Arial"/>
          <w:sz w:val="17"/>
          <w:szCs w:val="17"/>
          <w:color w:val="auto"/>
        </w:rPr>
        <w:t>____________________________________</w:t>
      </w:r>
    </w:p>
    <w:p>
      <w:pPr>
        <w:spacing w:after="0" w:line="33" w:lineRule="exact"/>
        <w:rPr>
          <w:sz w:val="24"/>
          <w:szCs w:val="24"/>
          <w:color w:val="auto"/>
        </w:rPr>
      </w:pPr>
    </w:p>
    <w:p>
      <w:pPr>
        <w:jc w:val="center"/>
        <w:ind w:right="-59"/>
        <w:spacing w:after="0"/>
        <w:rPr>
          <w:sz w:val="20"/>
          <w:szCs w:val="20"/>
          <w:color w:val="auto"/>
        </w:rPr>
      </w:pPr>
      <w:r>
        <w:rPr>
          <w:rFonts w:ascii="Arial" w:cs="Arial" w:eastAsia="Arial" w:hAnsi="Arial"/>
          <w:sz w:val="31"/>
          <w:szCs w:val="31"/>
          <w:b w:val="1"/>
          <w:bCs w:val="1"/>
          <w:color w:val="auto"/>
        </w:rPr>
        <w:t>FORM 10-Q</w:t>
      </w:r>
    </w:p>
    <w:p>
      <w:pPr>
        <w:spacing w:after="0" w:line="47" w:lineRule="exact"/>
        <w:rPr>
          <w:sz w:val="24"/>
          <w:szCs w:val="24"/>
          <w:color w:val="auto"/>
        </w:rPr>
      </w:pPr>
    </w:p>
    <w:p>
      <w:pPr>
        <w:ind w:left="4080"/>
        <w:spacing w:after="0"/>
        <w:rPr>
          <w:sz w:val="20"/>
          <w:szCs w:val="20"/>
          <w:color w:val="auto"/>
        </w:rPr>
      </w:pPr>
      <w:r>
        <w:rPr>
          <w:rFonts w:ascii="Arial" w:cs="Arial" w:eastAsia="Arial" w:hAnsi="Arial"/>
          <w:sz w:val="17"/>
          <w:szCs w:val="17"/>
          <w:color w:val="auto"/>
        </w:rPr>
        <w:t>____________________________________</w:t>
      </w:r>
    </w:p>
    <w:p>
      <w:pPr>
        <w:spacing w:after="0" w:line="23" w:lineRule="exact"/>
        <w:rPr>
          <w:sz w:val="24"/>
          <w:szCs w:val="24"/>
          <w:color w:val="auto"/>
        </w:rPr>
      </w:pPr>
    </w:p>
    <w:p>
      <w:pPr>
        <w:ind w:left="480" w:hanging="460"/>
        <w:spacing w:after="0"/>
        <w:tabs>
          <w:tab w:leader="none" w:pos="480" w:val="left"/>
        </w:tabs>
        <w:numPr>
          <w:ilvl w:val="0"/>
          <w:numId w:val="1"/>
        </w:numPr>
        <w:rPr>
          <w:rFonts w:ascii="MS PGothic" w:cs="MS PGothic" w:eastAsia="MS PGothic" w:hAnsi="MS PGothic"/>
          <w:sz w:val="21"/>
          <w:szCs w:val="21"/>
          <w:color w:val="auto"/>
        </w:rPr>
      </w:pPr>
      <w:r>
        <w:rPr>
          <w:rFonts w:ascii="Arial" w:cs="Arial" w:eastAsia="Arial" w:hAnsi="Arial"/>
          <w:sz w:val="15"/>
          <w:szCs w:val="15"/>
          <w:b w:val="1"/>
          <w:bCs w:val="1"/>
          <w:color w:val="auto"/>
        </w:rPr>
        <w:t>QUARTERLY REPORT PURSUANT TO SECTION 13 OR 15(d) OF THE SECURITIES EXCHANGE ACT OF 1934</w:t>
      </w:r>
    </w:p>
    <w:p>
      <w:pPr>
        <w:spacing w:after="0" w:line="181" w:lineRule="exact"/>
        <w:rPr>
          <w:sz w:val="24"/>
          <w:szCs w:val="24"/>
          <w:color w:val="auto"/>
        </w:rPr>
      </w:pPr>
    </w:p>
    <w:p>
      <w:pPr>
        <w:ind w:left="420"/>
        <w:spacing w:after="0"/>
        <w:rPr>
          <w:sz w:val="20"/>
          <w:szCs w:val="20"/>
          <w:color w:val="auto"/>
        </w:rPr>
      </w:pPr>
      <w:r>
        <w:rPr>
          <w:rFonts w:ascii="Arial" w:cs="Arial" w:eastAsia="Arial" w:hAnsi="Arial"/>
          <w:sz w:val="17"/>
          <w:szCs w:val="17"/>
          <w:b w:val="1"/>
          <w:bCs w:val="1"/>
          <w:color w:val="auto"/>
        </w:rPr>
        <w:t>For the quarterly period ended September 30, 2023</w:t>
      </w:r>
    </w:p>
    <w:p>
      <w:pPr>
        <w:spacing w:after="0" w:line="62" w:lineRule="exact"/>
        <w:rPr>
          <w:sz w:val="24"/>
          <w:szCs w:val="24"/>
          <w:color w:val="auto"/>
        </w:rPr>
      </w:pPr>
    </w:p>
    <w:p>
      <w:pPr>
        <w:jc w:val="center"/>
        <w:ind w:right="-59"/>
        <w:spacing w:after="0"/>
        <w:rPr>
          <w:sz w:val="20"/>
          <w:szCs w:val="20"/>
          <w:color w:val="auto"/>
        </w:rPr>
      </w:pPr>
      <w:r>
        <w:rPr>
          <w:rFonts w:ascii="Arial" w:cs="Arial" w:eastAsia="Arial" w:hAnsi="Arial"/>
          <w:sz w:val="17"/>
          <w:szCs w:val="17"/>
          <w:b w:val="1"/>
          <w:bCs w:val="1"/>
          <w:color w:val="auto"/>
        </w:rPr>
        <w:t>OR</w:t>
      </w:r>
    </w:p>
    <w:p>
      <w:pPr>
        <w:spacing w:after="0" w:line="43" w:lineRule="exact"/>
        <w:rPr>
          <w:sz w:val="24"/>
          <w:szCs w:val="24"/>
          <w:color w:val="auto"/>
        </w:rPr>
      </w:pPr>
    </w:p>
    <w:p>
      <w:pPr>
        <w:ind w:left="480" w:hanging="460"/>
        <w:spacing w:after="0"/>
        <w:tabs>
          <w:tab w:leader="none" w:pos="480" w:val="left"/>
        </w:tabs>
        <w:numPr>
          <w:ilvl w:val="0"/>
          <w:numId w:val="2"/>
        </w:numPr>
        <w:rPr>
          <w:rFonts w:ascii="MS PGothic" w:cs="MS PGothic" w:eastAsia="MS PGothic" w:hAnsi="MS PGothic"/>
          <w:sz w:val="21"/>
          <w:szCs w:val="21"/>
          <w:color w:val="auto"/>
        </w:rPr>
      </w:pPr>
      <w:r>
        <w:rPr>
          <w:rFonts w:ascii="Arial" w:cs="Arial" w:eastAsia="Arial" w:hAnsi="Arial"/>
          <w:sz w:val="15"/>
          <w:szCs w:val="15"/>
          <w:b w:val="1"/>
          <w:bCs w:val="1"/>
          <w:color w:val="auto"/>
        </w:rPr>
        <w:t>TRANSITION REPORT PURSUANT TO SECTION 13 OR 15(d) OF THE SECURITIES EXCHANGE ACT OF 1934</w:t>
      </w:r>
    </w:p>
    <w:p>
      <w:pPr>
        <w:sectPr>
          <w:pgSz w:w="11900" w:h="16838" w:orient="portrait"/>
          <w:cols w:equalWidth="0" w:num="1">
            <w:col w:w="11200"/>
          </w:cols>
          <w:pgMar w:left="320" w:top="1091" w:right="379" w:bottom="1440" w:gutter="0" w:footer="0" w:header="0"/>
        </w:sectPr>
      </w:pPr>
    </w:p>
    <w:p>
      <w:pPr>
        <w:spacing w:after="0" w:line="181" w:lineRule="exact"/>
        <w:rPr>
          <w:sz w:val="24"/>
          <w:szCs w:val="24"/>
          <w:color w:val="auto"/>
        </w:rPr>
      </w:pPr>
    </w:p>
    <w:p>
      <w:pPr>
        <w:ind w:left="420"/>
        <w:spacing w:after="0"/>
        <w:rPr>
          <w:sz w:val="20"/>
          <w:szCs w:val="20"/>
          <w:color w:val="auto"/>
        </w:rPr>
      </w:pPr>
      <w:r>
        <w:rPr>
          <w:rFonts w:ascii="Arial" w:cs="Arial" w:eastAsia="Arial" w:hAnsi="Arial"/>
          <w:sz w:val="15"/>
          <w:szCs w:val="15"/>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161"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to</w:t>
      </w:r>
    </w:p>
    <w:p>
      <w:pPr>
        <w:spacing w:after="0" w:line="96" w:lineRule="exact"/>
        <w:rPr>
          <w:sz w:val="24"/>
          <w:szCs w:val="24"/>
          <w:color w:val="auto"/>
        </w:rPr>
      </w:pPr>
    </w:p>
    <w:p>
      <w:pPr>
        <w:sectPr>
          <w:pgSz w:w="11900" w:h="16838" w:orient="portrait"/>
          <w:cols w:equalWidth="0" w:num="2">
            <w:col w:w="2880" w:space="720"/>
            <w:col w:w="7600"/>
          </w:cols>
          <w:pgMar w:left="320" w:top="1091" w:right="379" w:bottom="1440" w:gutter="0" w:footer="0" w:header="0"/>
          <w:type w:val="continuous"/>
        </w:sectPr>
      </w:pPr>
    </w:p>
    <w:p>
      <w:pPr>
        <w:jc w:val="center"/>
        <w:ind w:right="-39"/>
        <w:spacing w:after="0"/>
        <w:rPr>
          <w:sz w:val="20"/>
          <w:szCs w:val="20"/>
          <w:color w:val="auto"/>
        </w:rPr>
      </w:pPr>
      <w:r>
        <w:rPr>
          <w:rFonts w:ascii="Arial" w:cs="Arial" w:eastAsia="Arial" w:hAnsi="Arial"/>
          <w:sz w:val="17"/>
          <w:szCs w:val="17"/>
          <w:b w:val="1"/>
          <w:bCs w:val="1"/>
          <w:color w:val="auto"/>
        </w:rPr>
        <w:t>Commission file number: 033-90866</w:t>
      </w:r>
    </w:p>
    <w:p>
      <w:pPr>
        <w:spacing w:after="0" w:line="68" w:lineRule="exact"/>
        <w:rPr>
          <w:sz w:val="24"/>
          <w:szCs w:val="24"/>
          <w:color w:val="auto"/>
        </w:rPr>
      </w:pPr>
    </w:p>
    <w:p>
      <w:pPr>
        <w:ind w:left="4080"/>
        <w:spacing w:after="0"/>
        <w:rPr>
          <w:sz w:val="20"/>
          <w:szCs w:val="20"/>
          <w:color w:val="auto"/>
        </w:rPr>
      </w:pPr>
      <w:r>
        <w:rPr>
          <w:rFonts w:ascii="Arial" w:cs="Arial" w:eastAsia="Arial" w:hAnsi="Arial"/>
          <w:sz w:val="17"/>
          <w:szCs w:val="17"/>
          <w:color w:val="auto"/>
        </w:rPr>
        <w:t>____________________________________</w:t>
      </w:r>
    </w:p>
    <w:p>
      <w:pPr>
        <w:spacing w:after="0" w:line="22" w:lineRule="exact"/>
        <w:rPr>
          <w:sz w:val="24"/>
          <w:szCs w:val="24"/>
          <w:color w:val="auto"/>
        </w:rPr>
      </w:pPr>
    </w:p>
    <w:p>
      <w:pPr>
        <w:jc w:val="center"/>
        <w:ind w:right="-39"/>
        <w:spacing w:after="0"/>
        <w:rPr>
          <w:sz w:val="20"/>
          <w:szCs w:val="20"/>
          <w:color w:val="auto"/>
        </w:rPr>
      </w:pPr>
      <w:r>
        <w:rPr>
          <w:rFonts w:ascii="Arial" w:cs="Arial" w:eastAsia="Arial" w:hAnsi="Arial"/>
          <w:sz w:val="36"/>
          <w:szCs w:val="36"/>
          <w:b w:val="1"/>
          <w:bCs w:val="1"/>
          <w:color w:val="auto"/>
        </w:rPr>
        <w:t>WESTINGHOUSE AIR BRAKE TECHNOLOGIES</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36"/>
          <w:szCs w:val="36"/>
          <w:b w:val="1"/>
          <w:bCs w:val="1"/>
          <w:color w:val="auto"/>
        </w:rPr>
        <w:t>CORPORATION</w:t>
      </w:r>
    </w:p>
    <w:p>
      <w:pPr>
        <w:spacing w:after="0" w:line="12" w:lineRule="exact"/>
        <w:rPr>
          <w:sz w:val="24"/>
          <w:szCs w:val="24"/>
          <w:color w:val="auto"/>
        </w:rPr>
      </w:pPr>
    </w:p>
    <w:p>
      <w:pPr>
        <w:jc w:val="center"/>
        <w:ind w:right="-39"/>
        <w:spacing w:after="0"/>
        <w:rPr>
          <w:sz w:val="20"/>
          <w:szCs w:val="20"/>
          <w:color w:val="auto"/>
        </w:rPr>
      </w:pPr>
      <w:r>
        <w:rPr>
          <w:rFonts w:ascii="Arial" w:cs="Arial" w:eastAsia="Arial" w:hAnsi="Arial"/>
          <w:sz w:val="17"/>
          <w:szCs w:val="17"/>
          <w:b w:val="1"/>
          <w:bCs w:val="1"/>
          <w:color w:val="auto"/>
        </w:rPr>
        <w:t>(Exact name of registrant as specified in its charter)</w:t>
      </w:r>
    </w:p>
    <w:p>
      <w:pPr>
        <w:spacing w:after="0" w:line="8" w:lineRule="exact"/>
        <w:rPr>
          <w:sz w:val="24"/>
          <w:szCs w:val="24"/>
          <w:color w:val="auto"/>
        </w:rPr>
      </w:pPr>
    </w:p>
    <w:p>
      <w:pPr>
        <w:ind w:left="4080"/>
        <w:spacing w:after="0"/>
        <w:rPr>
          <w:sz w:val="20"/>
          <w:szCs w:val="20"/>
          <w:color w:val="auto"/>
        </w:rPr>
      </w:pPr>
      <w:r>
        <w:rPr>
          <w:rFonts w:ascii="Arial" w:cs="Arial" w:eastAsia="Arial" w:hAnsi="Arial"/>
          <w:sz w:val="17"/>
          <w:szCs w:val="17"/>
          <w:color w:val="auto"/>
        </w:rPr>
        <w:t>____________________________________</w:t>
      </w:r>
    </w:p>
    <w:p>
      <w:pPr>
        <w:sectPr>
          <w:pgSz w:w="11900" w:h="16838" w:orient="portrait"/>
          <w:cols w:equalWidth="0" w:num="1">
            <w:col w:w="11200"/>
          </w:cols>
          <w:pgMar w:left="320" w:top="1091" w:right="379" w:bottom="1440" w:gutter="0" w:footer="0" w:header="0"/>
          <w:type w:val="continuous"/>
        </w:sectPr>
      </w:pPr>
    </w:p>
    <w:p>
      <w:pPr>
        <w:spacing w:after="0" w:line="29" w:lineRule="exact"/>
        <w:rPr>
          <w:sz w:val="24"/>
          <w:szCs w:val="24"/>
          <w:color w:val="auto"/>
        </w:rPr>
      </w:pPr>
    </w:p>
    <w:p>
      <w:pPr>
        <w:ind w:left="248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25-1615902</w:t>
      </w:r>
    </w:p>
    <w:p>
      <w:pPr>
        <w:spacing w:after="0" w:line="66" w:lineRule="exact"/>
        <w:rPr>
          <w:sz w:val="24"/>
          <w:szCs w:val="24"/>
          <w:color w:val="auto"/>
        </w:rPr>
      </w:pPr>
    </w:p>
    <w:p>
      <w:pPr>
        <w:sectPr>
          <w:pgSz w:w="11900" w:h="16838" w:orient="portrait"/>
          <w:cols w:equalWidth="0" w:num="2">
            <w:col w:w="7320" w:space="720"/>
            <w:col w:w="3160"/>
          </w:cols>
          <w:pgMar w:left="320" w:top="1091" w:right="379" w:bottom="1440" w:gutter="0" w:footer="0" w:header="0"/>
          <w:type w:val="continuous"/>
        </w:sectPr>
      </w:pPr>
    </w:p>
    <w:p>
      <w:pPr>
        <w:ind w:left="1140"/>
        <w:spacing w:after="0"/>
        <w:rPr>
          <w:sz w:val="20"/>
          <w:szCs w:val="20"/>
          <w:color w:val="auto"/>
        </w:rPr>
      </w:pPr>
      <w:r>
        <w:rPr>
          <w:rFonts w:ascii="Arial" w:cs="Arial" w:eastAsia="Arial" w:hAnsi="Arial"/>
          <w:sz w:val="11"/>
          <w:szCs w:val="11"/>
          <w:b w:val="1"/>
          <w:b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(I.R.S. Employer Identification No.)</w:t>
      </w:r>
    </w:p>
    <w:p>
      <w:pPr>
        <w:spacing w:after="0" w:line="85" w:lineRule="exact"/>
        <w:rPr>
          <w:sz w:val="24"/>
          <w:szCs w:val="24"/>
          <w:color w:val="auto"/>
        </w:rPr>
      </w:pPr>
    </w:p>
    <w:p>
      <w:pPr>
        <w:sectPr>
          <w:pgSz w:w="11900" w:h="16838" w:orient="portrait"/>
          <w:cols w:equalWidth="0" w:num="2">
            <w:col w:w="6720" w:space="720"/>
            <w:col w:w="3760"/>
          </w:cols>
          <w:pgMar w:left="320" w:top="1091" w:right="379" w:bottom="1440" w:gutter="0" w:footer="0" w:header="0"/>
          <w:type w:val="continuous"/>
        </w:sectPr>
      </w:pPr>
    </w:p>
    <w:p>
      <w:pPr>
        <w:ind w:left="1320"/>
        <w:spacing w:after="0"/>
        <w:rPr>
          <w:sz w:val="20"/>
          <w:szCs w:val="20"/>
          <w:color w:val="auto"/>
        </w:rPr>
      </w:pPr>
      <w:r>
        <w:rPr>
          <w:rFonts w:ascii="Arial" w:cs="Arial" w:eastAsia="Arial" w:hAnsi="Arial"/>
          <w:sz w:val="14"/>
          <w:szCs w:val="14"/>
          <w:b w:val="1"/>
          <w:bCs w:val="1"/>
          <w:color w:val="auto"/>
        </w:rPr>
        <w:t>30 Isabella Street Pittsburgh, Pennsylvania</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15212</w:t>
      </w:r>
    </w:p>
    <w:p>
      <w:pPr>
        <w:spacing w:after="0" w:line="55" w:lineRule="exact"/>
        <w:rPr>
          <w:sz w:val="24"/>
          <w:szCs w:val="24"/>
          <w:color w:val="auto"/>
        </w:rPr>
      </w:pPr>
    </w:p>
    <w:p>
      <w:pPr>
        <w:sectPr>
          <w:pgSz w:w="11900" w:h="16838" w:orient="portrait"/>
          <w:cols w:equalWidth="0" w:num="2">
            <w:col w:w="7500" w:space="720"/>
            <w:col w:w="2980"/>
          </w:cols>
          <w:pgMar w:left="320" w:top="1091" w:right="379" w:bottom="1440" w:gutter="0" w:footer="0" w:header="0"/>
          <w:type w:val="continuous"/>
        </w:sectPr>
      </w:pPr>
    </w:p>
    <w:p>
      <w:pPr>
        <w:ind w:left="1740"/>
        <w:spacing w:after="0"/>
        <w:rPr>
          <w:sz w:val="20"/>
          <w:szCs w:val="20"/>
          <w:color w:val="auto"/>
        </w:rPr>
      </w:pPr>
      <w:r>
        <w:rPr>
          <w:rFonts w:ascii="Arial" w:cs="Arial" w:eastAsia="Arial" w:hAnsi="Arial"/>
          <w:sz w:val="11"/>
          <w:szCs w:val="11"/>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1"/>
          <w:szCs w:val="11"/>
          <w:b w:val="1"/>
          <w:bCs w:val="1"/>
          <w:color w:val="auto"/>
        </w:rPr>
        <w:t>(Zip code)</w:t>
      </w:r>
    </w:p>
    <w:p>
      <w:pPr>
        <w:spacing w:after="0" w:line="113" w:lineRule="exact"/>
        <w:rPr>
          <w:sz w:val="24"/>
          <w:szCs w:val="24"/>
          <w:color w:val="auto"/>
        </w:rPr>
      </w:pPr>
    </w:p>
    <w:p>
      <w:pPr>
        <w:sectPr>
          <w:pgSz w:w="11900" w:h="16838" w:orient="portrait"/>
          <w:cols w:equalWidth="0" w:num="2">
            <w:col w:w="7420" w:space="720"/>
            <w:col w:w="3060"/>
          </w:cols>
          <w:pgMar w:left="320" w:top="1091" w:right="379" w:bottom="1440" w:gutter="0" w:footer="0" w:header="0"/>
          <w:type w:val="continuous"/>
        </w:sectPr>
      </w:pPr>
    </w:p>
    <w:p>
      <w:pPr>
        <w:jc w:val="center"/>
        <w:ind w:right="-59"/>
        <w:spacing w:after="0"/>
        <w:rPr>
          <w:sz w:val="20"/>
          <w:szCs w:val="20"/>
          <w:color w:val="auto"/>
        </w:rPr>
      </w:pPr>
      <w:r>
        <w:rPr>
          <w:rFonts w:ascii="Arial" w:cs="Arial" w:eastAsia="Arial" w:hAnsi="Arial"/>
          <w:sz w:val="17"/>
          <w:szCs w:val="17"/>
          <w:b w:val="1"/>
          <w:bCs w:val="1"/>
          <w:color w:val="auto"/>
        </w:rPr>
        <w:t>412-825-1000</w:t>
      </w:r>
    </w:p>
    <w:p>
      <w:pPr>
        <w:spacing w:after="0" w:line="23" w:lineRule="exact"/>
        <w:rPr>
          <w:sz w:val="24"/>
          <w:szCs w:val="24"/>
          <w:color w:val="auto"/>
        </w:rPr>
      </w:pPr>
    </w:p>
    <w:p>
      <w:pPr>
        <w:jc w:val="center"/>
        <w:ind w:right="-59"/>
        <w:spacing w:after="0"/>
        <w:rPr>
          <w:sz w:val="20"/>
          <w:szCs w:val="20"/>
          <w:color w:val="auto"/>
        </w:rPr>
      </w:pPr>
      <w:r>
        <w:rPr>
          <w:rFonts w:ascii="Arial" w:cs="Arial" w:eastAsia="Arial" w:hAnsi="Arial"/>
          <w:sz w:val="11"/>
          <w:szCs w:val="11"/>
          <w:b w:val="1"/>
          <w:bCs w:val="1"/>
          <w:color w:val="auto"/>
        </w:rPr>
        <w:t>(Registrant’s telephone number, including area code)</w:t>
      </w:r>
    </w:p>
    <w:p>
      <w:pPr>
        <w:sectPr>
          <w:pgSz w:w="11900" w:h="16838" w:orient="portrait"/>
          <w:cols w:equalWidth="0" w:num="1">
            <w:col w:w="11200"/>
          </w:cols>
          <w:pgMar w:left="320" w:top="1091" w:right="379" w:bottom="1440" w:gutter="0" w:footer="0" w:header="0"/>
          <w:type w:val="continuous"/>
        </w:sectPr>
      </w:pPr>
    </w:p>
    <w:p>
      <w:pPr>
        <w:spacing w:after="0" w:line="81" w:lineRule="exact"/>
        <w:rPr>
          <w:sz w:val="24"/>
          <w:szCs w:val="24"/>
          <w:color w:val="auto"/>
        </w:rPr>
      </w:pPr>
    </w:p>
    <w:p>
      <w:pPr>
        <w:jc w:val="center"/>
        <w:ind w:right="-39"/>
        <w:spacing w:after="0"/>
        <w:rPr>
          <w:sz w:val="20"/>
          <w:szCs w:val="20"/>
          <w:color w:val="auto"/>
        </w:rPr>
      </w:pPr>
      <w:r>
        <w:rPr>
          <w:rFonts w:ascii="Arial" w:cs="Arial" w:eastAsia="Arial" w:hAnsi="Arial"/>
          <w:sz w:val="17"/>
          <w:szCs w:val="17"/>
          <w:b w:val="1"/>
          <w:bCs w:val="1"/>
          <w:color w:val="auto"/>
        </w:rPr>
        <w:t>Not applicable</w:t>
      </w:r>
    </w:p>
    <w:p>
      <w:pPr>
        <w:spacing w:after="0" w:line="23"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1" w:lineRule="exact"/>
        <w:rPr>
          <w:sz w:val="24"/>
          <w:szCs w:val="24"/>
          <w:color w:val="auto"/>
        </w:rPr>
      </w:pPr>
    </w:p>
    <w:p>
      <w:pPr>
        <w:ind w:left="4080"/>
        <w:spacing w:after="0"/>
        <w:rPr>
          <w:sz w:val="20"/>
          <w:szCs w:val="20"/>
          <w:color w:val="auto"/>
        </w:rPr>
      </w:pPr>
      <w:r>
        <w:rPr>
          <w:rFonts w:ascii="Arial" w:cs="Arial" w:eastAsia="Arial" w:hAnsi="Arial"/>
          <w:sz w:val="17"/>
          <w:szCs w:val="17"/>
          <w:color w:val="auto"/>
        </w:rPr>
        <w:t>____________________________________</w:t>
      </w:r>
    </w:p>
    <w:p>
      <w:pPr>
        <w:spacing w:after="0" w:line="112" w:lineRule="exact"/>
        <w:rPr>
          <w:sz w:val="24"/>
          <w:szCs w:val="24"/>
          <w:color w:val="auto"/>
        </w:rPr>
      </w:pPr>
    </w:p>
    <w:p>
      <w:pPr>
        <w:ind w:left="460"/>
        <w:spacing w:after="0"/>
        <w:rPr>
          <w:sz w:val="20"/>
          <w:szCs w:val="20"/>
          <w:color w:val="auto"/>
        </w:rPr>
      </w:pPr>
      <w:r>
        <w:rPr>
          <w:rFonts w:ascii="Arial" w:cs="Arial" w:eastAsia="Arial" w:hAnsi="Arial"/>
          <w:sz w:val="15"/>
          <w:szCs w:val="15"/>
          <w:color w:val="auto"/>
        </w:rPr>
        <w:t>Securities registered pursuant to Section 12(b) of the Act:</w:t>
      </w:r>
    </w:p>
    <w:p>
      <w:pPr>
        <w:spacing w:after="0" w:line="27" w:lineRule="exact"/>
        <w:rPr>
          <w:sz w:val="24"/>
          <w:szCs w:val="24"/>
          <w:color w:val="auto"/>
        </w:rPr>
      </w:pPr>
    </w:p>
    <w:tbl>
      <w:tblPr>
        <w:tblLayout w:type="fixed"/>
        <w:tblInd w:w="10" w:type="dxa"/>
        <w:tblCellMar>
          <w:top w:w="0" w:type="dxa"/>
          <w:left w:w="0" w:type="dxa"/>
          <w:bottom w:w="0" w:type="dxa"/>
          <w:right w:w="0" w:type="dxa"/>
        </w:tblCellMar>
      </w:tblPr>
      <w:tr>
        <w:trPr>
          <w:trHeight w:val="195"/>
        </w:trPr>
        <w:tc>
          <w:tcPr>
            <w:tcW w:w="4260" w:type="dxa"/>
            <w:vAlign w:val="bottom"/>
            <w:tcBorders>
              <w:top w:val="single" w:sz="8" w:color="auto"/>
              <w:left w:val="single" w:sz="8" w:color="auto"/>
            </w:tcBorders>
          </w:tcPr>
          <w:p>
            <w:pPr>
              <w:ind w:left="2260"/>
              <w:spacing w:after="0"/>
              <w:rPr>
                <w:sz w:val="20"/>
                <w:szCs w:val="20"/>
                <w:color w:val="auto"/>
              </w:rPr>
            </w:pPr>
            <w:r>
              <w:rPr>
                <w:rFonts w:ascii="Arial" w:cs="Arial" w:eastAsia="Arial" w:hAnsi="Arial"/>
                <w:sz w:val="14"/>
                <w:szCs w:val="14"/>
                <w:b w:val="1"/>
                <w:bCs w:val="1"/>
                <w:color w:val="auto"/>
              </w:rPr>
              <w:t>Class</w:t>
            </w:r>
          </w:p>
        </w:tc>
        <w:tc>
          <w:tcPr>
            <w:tcW w:w="2520" w:type="dxa"/>
            <w:vAlign w:val="bottom"/>
            <w:tcBorders>
              <w:top w:val="single" w:sz="8" w:color="auto"/>
            </w:tcBorders>
          </w:tcPr>
          <w:p>
            <w:pPr>
              <w:ind w:left="760"/>
              <w:spacing w:after="0"/>
              <w:rPr>
                <w:sz w:val="20"/>
                <w:szCs w:val="20"/>
                <w:color w:val="auto"/>
              </w:rPr>
            </w:pPr>
            <w:r>
              <w:rPr>
                <w:rFonts w:ascii="Arial" w:cs="Arial" w:eastAsia="Arial" w:hAnsi="Arial"/>
                <w:sz w:val="14"/>
                <w:szCs w:val="14"/>
                <w:b w:val="1"/>
                <w:bCs w:val="1"/>
                <w:color w:val="auto"/>
              </w:rPr>
              <w:t>Trading Symbol(s)</w:t>
            </w:r>
          </w:p>
        </w:tc>
        <w:tc>
          <w:tcPr>
            <w:tcW w:w="4400" w:type="dxa"/>
            <w:vAlign w:val="bottom"/>
            <w:tcBorders>
              <w:top w:val="single" w:sz="8" w:color="auto"/>
              <w:right w:val="single" w:sz="8" w:color="auto"/>
            </w:tcBorders>
          </w:tcPr>
          <w:p>
            <w:pPr>
              <w:jc w:val="center"/>
              <w:ind w:right="409"/>
              <w:spacing w:after="0"/>
              <w:rPr>
                <w:sz w:val="20"/>
                <w:szCs w:val="20"/>
                <w:color w:val="auto"/>
              </w:rPr>
            </w:pPr>
            <w:r>
              <w:rPr>
                <w:rFonts w:ascii="Arial" w:cs="Arial" w:eastAsia="Arial" w:hAnsi="Arial"/>
                <w:sz w:val="14"/>
                <w:szCs w:val="14"/>
                <w:b w:val="1"/>
                <w:bCs w:val="1"/>
                <w:color w:val="auto"/>
                <w:w w:val="86"/>
              </w:rPr>
              <w:t>Name of each exchange on which registered</w:t>
            </w:r>
          </w:p>
        </w:tc>
      </w:tr>
      <w:tr>
        <w:trPr>
          <w:trHeight w:val="24"/>
        </w:trPr>
        <w:tc>
          <w:tcPr>
            <w:tcW w:w="4260" w:type="dxa"/>
            <w:vAlign w:val="bottom"/>
            <w:tcBorders>
              <w:left w:val="single" w:sz="8" w:color="auto"/>
              <w:bottom w:val="single" w:sz="8" w:color="auto"/>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4400" w:type="dxa"/>
            <w:vAlign w:val="bottom"/>
            <w:tcBorders>
              <w:bottom w:val="single" w:sz="8" w:color="auto"/>
              <w:right w:val="single" w:sz="8" w:color="auto"/>
            </w:tcBorders>
          </w:tcPr>
          <w:p>
            <w:pPr>
              <w:spacing w:after="0"/>
              <w:rPr>
                <w:sz w:val="2"/>
                <w:szCs w:val="2"/>
                <w:color w:val="auto"/>
              </w:rPr>
            </w:pPr>
          </w:p>
        </w:tc>
      </w:tr>
      <w:tr>
        <w:trPr>
          <w:trHeight w:val="183"/>
        </w:trPr>
        <w:tc>
          <w:tcPr>
            <w:tcW w:w="4260" w:type="dxa"/>
            <w:vAlign w:val="bottom"/>
            <w:tcBorders>
              <w:left w:val="single" w:sz="8" w:color="auto"/>
              <w:bottom w:val="single" w:sz="8" w:color="auto"/>
            </w:tcBorders>
          </w:tcPr>
          <w:p>
            <w:pPr>
              <w:ind w:left="1140"/>
              <w:spacing w:after="0"/>
              <w:rPr>
                <w:sz w:val="20"/>
                <w:szCs w:val="20"/>
                <w:color w:val="auto"/>
              </w:rPr>
            </w:pPr>
            <w:r>
              <w:rPr>
                <w:rFonts w:ascii="Arial" w:cs="Arial" w:eastAsia="Arial" w:hAnsi="Arial"/>
                <w:sz w:val="15"/>
                <w:szCs w:val="15"/>
                <w:color w:val="auto"/>
              </w:rPr>
              <w:t>Common Stock, $.01 par value per share</w:t>
            </w:r>
          </w:p>
        </w:tc>
        <w:tc>
          <w:tcPr>
            <w:tcW w:w="2520" w:type="dxa"/>
            <w:vAlign w:val="bottom"/>
            <w:tcBorders>
              <w:bottom w:val="single" w:sz="8" w:color="auto"/>
            </w:tcBorders>
          </w:tcPr>
          <w:p>
            <w:pPr>
              <w:ind w:left="1060"/>
              <w:spacing w:after="0"/>
              <w:rPr>
                <w:sz w:val="20"/>
                <w:szCs w:val="20"/>
                <w:color w:val="auto"/>
              </w:rPr>
            </w:pPr>
            <w:r>
              <w:rPr>
                <w:rFonts w:ascii="Arial" w:cs="Arial" w:eastAsia="Arial" w:hAnsi="Arial"/>
                <w:sz w:val="15"/>
                <w:szCs w:val="15"/>
                <w:color w:val="auto"/>
              </w:rPr>
              <w:t>WAB</w:t>
            </w:r>
          </w:p>
        </w:tc>
        <w:tc>
          <w:tcPr>
            <w:tcW w:w="4400" w:type="dxa"/>
            <w:vAlign w:val="bottom"/>
            <w:tcBorders>
              <w:bottom w:val="single" w:sz="8" w:color="auto"/>
              <w:right w:val="single" w:sz="8" w:color="auto"/>
            </w:tcBorders>
          </w:tcPr>
          <w:p>
            <w:pPr>
              <w:jc w:val="center"/>
              <w:ind w:right="389"/>
              <w:spacing w:after="0"/>
              <w:rPr>
                <w:sz w:val="20"/>
                <w:szCs w:val="20"/>
                <w:color w:val="auto"/>
              </w:rPr>
            </w:pPr>
            <w:r>
              <w:rPr>
                <w:rFonts w:ascii="Arial" w:cs="Arial" w:eastAsia="Arial" w:hAnsi="Arial"/>
                <w:sz w:val="15"/>
                <w:szCs w:val="15"/>
                <w:color w:val="auto"/>
                <w:w w:val="88"/>
              </w:rPr>
              <w:t>New York Stock Exchange</w:t>
            </w:r>
          </w:p>
        </w:tc>
      </w:tr>
    </w:tbl>
    <w:p>
      <w:pPr>
        <w:spacing w:after="0" w:line="85" w:lineRule="exact"/>
        <w:rPr>
          <w:sz w:val="24"/>
          <w:szCs w:val="24"/>
          <w:color w:val="auto"/>
        </w:rPr>
      </w:pPr>
    </w:p>
    <w:p>
      <w:pPr>
        <w:ind w:right="220" w:firstLine="464"/>
        <w:spacing w:after="0" w:line="181"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ind w:right="100" w:firstLine="464"/>
        <w:spacing w:after="0" w:line="181"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ind w:right="420" w:firstLine="464"/>
        <w:spacing w:after="0" w:line="264"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00"/>
          </w:cols>
          <w:pgMar w:left="320" w:top="1091" w:right="379" w:bottom="1440" w:gutter="0" w:footer="0" w:header="0"/>
          <w:type w:val="continuous"/>
        </w:sectPr>
      </w:pPr>
    </w:p>
    <w:p>
      <w:pPr>
        <w:spacing w:after="0" w:line="38" w:lineRule="exact"/>
        <w:rPr>
          <w:sz w:val="24"/>
          <w:szCs w:val="24"/>
          <w:color w:val="auto"/>
        </w:rPr>
      </w:pPr>
    </w:p>
    <w:p>
      <w:pPr>
        <w:ind w:left="20" w:right="120"/>
        <w:spacing w:after="0" w:line="369" w:lineRule="auto"/>
        <w:rPr>
          <w:sz w:val="20"/>
          <w:szCs w:val="20"/>
          <w:color w:val="auto"/>
        </w:rPr>
      </w:pPr>
      <w:r>
        <w:rPr>
          <w:rFonts w:ascii="Arial" w:cs="Arial" w:eastAsia="Arial" w:hAnsi="Arial"/>
          <w:sz w:val="13"/>
          <w:szCs w:val="13"/>
          <w:color w:val="auto"/>
        </w:rPr>
        <w:t>Large accelerated filer Emerging growth company</w:t>
      </w:r>
    </w:p>
    <w:p>
      <w:pPr>
        <w:spacing w:after="0" w:line="20" w:lineRule="exact"/>
        <w:rPr>
          <w:sz w:val="24"/>
          <w:szCs w:val="24"/>
          <w:color w:val="auto"/>
        </w:rPr>
      </w:pPr>
      <w:r>
        <w:rPr>
          <w:sz w:val="24"/>
          <w:szCs w:val="24"/>
          <w:color w:val="auto"/>
        </w:rPr>
        <w:br w:type="column"/>
      </w:r>
    </w:p>
    <w:p>
      <w:pPr>
        <w:spacing w:after="0" w:line="122" w:lineRule="exact"/>
        <w:rPr>
          <w:sz w:val="20"/>
          <w:szCs w:val="20"/>
          <w:color w:val="auto"/>
        </w:rPr>
      </w:pPr>
      <w:r>
        <w:rPr>
          <w:rFonts w:ascii="MS PGothic" w:cs="MS PGothic" w:eastAsia="MS PGothic" w:hAnsi="MS PGothic"/>
          <w:sz w:val="14"/>
          <w:szCs w:val="14"/>
          <w:color w:val="auto"/>
        </w:rPr>
        <w:t>☒</w:t>
      </w:r>
    </w:p>
    <w:p>
      <w:pPr>
        <w:spacing w:after="0" w:line="97"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8" w:lineRule="exact"/>
        <w:rPr>
          <w:sz w:val="24"/>
          <w:szCs w:val="24"/>
          <w:color w:val="auto"/>
        </w:rPr>
      </w:pPr>
    </w:p>
    <w:p>
      <w:pPr>
        <w:spacing w:after="0"/>
        <w:rPr>
          <w:sz w:val="20"/>
          <w:szCs w:val="20"/>
          <w:color w:val="auto"/>
        </w:rPr>
      </w:pPr>
      <w:r>
        <w:rPr>
          <w:rFonts w:ascii="Arial" w:cs="Arial" w:eastAsia="Arial" w:hAnsi="Arial"/>
          <w:sz w:val="15"/>
          <w:szCs w:val="15"/>
          <w:color w:val="auto"/>
        </w:rPr>
        <w:t>Accelerated filer</w:t>
      </w:r>
    </w:p>
    <w:p>
      <w:pPr>
        <w:spacing w:after="0" w:line="21" w:lineRule="exact"/>
        <w:rPr>
          <w:sz w:val="24"/>
          <w:szCs w:val="24"/>
          <w:color w:val="auto"/>
        </w:rPr>
      </w:pPr>
    </w:p>
    <w:p>
      <w:pPr>
        <w:spacing w:after="0"/>
        <w:rPr>
          <w:sz w:val="20"/>
          <w:szCs w:val="20"/>
          <w:color w:val="auto"/>
        </w:rPr>
      </w:pPr>
      <w:r>
        <w:rPr>
          <w:rFonts w:ascii="Arial" w:cs="Arial" w:eastAsia="Arial" w:hAnsi="Arial"/>
          <w:sz w:val="13"/>
          <w:szCs w:val="13"/>
          <w:color w:val="auto"/>
        </w:rPr>
        <w:t>Smaller reporting company</w:t>
      </w:r>
    </w:p>
    <w:p>
      <w:pPr>
        <w:spacing w:after="0" w:line="20" w:lineRule="exact"/>
        <w:rPr>
          <w:sz w:val="24"/>
          <w:szCs w:val="24"/>
          <w:color w:val="auto"/>
        </w:rPr>
      </w:pPr>
      <w:r>
        <w:rPr>
          <w:sz w:val="24"/>
          <w:szCs w:val="24"/>
          <w:color w:val="auto"/>
        </w:rPr>
        <w:br w:type="column"/>
      </w:r>
    </w:p>
    <w:p>
      <w:pPr>
        <w:spacing w:after="0" w:line="201" w:lineRule="exact"/>
        <w:rPr>
          <w:sz w:val="20"/>
          <w:szCs w:val="20"/>
          <w:color w:val="auto"/>
        </w:rPr>
      </w:pPr>
      <w:r>
        <w:rPr>
          <w:rFonts w:ascii="MS PGothic" w:cs="MS PGothic" w:eastAsia="MS PGothic" w:hAnsi="MS PGothic"/>
          <w:sz w:val="15"/>
          <w:szCs w:val="15"/>
          <w:color w:val="auto"/>
        </w:rPr>
        <w:t>☐</w:t>
      </w:r>
      <w:r>
        <w:rPr>
          <w:rFonts w:ascii="Arial" w:cs="Arial" w:eastAsia="Arial" w:hAnsi="Arial"/>
          <w:sz w:val="15"/>
          <w:szCs w:val="15"/>
          <w:color w:val="auto"/>
        </w:rPr>
        <w:t xml:space="preserve"> Non-accelerated filer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br w:type="column"/>
      </w:r>
    </w:p>
    <w:p>
      <w:pPr>
        <w:spacing w:after="0" w:line="122" w:lineRule="exact"/>
        <w:rPr>
          <w:sz w:val="20"/>
          <w:szCs w:val="20"/>
          <w:color w:val="auto"/>
        </w:rPr>
      </w:pPr>
      <w:r>
        <w:rPr>
          <w:rFonts w:ascii="MS PGothic" w:cs="MS PGothic" w:eastAsia="MS PGothic" w:hAnsi="MS PGothic"/>
          <w:sz w:val="14"/>
          <w:szCs w:val="14"/>
          <w:color w:val="auto"/>
        </w:rPr>
        <w:t>☐</w:t>
      </w:r>
    </w:p>
    <w:p>
      <w:pPr>
        <w:spacing w:after="0" w:line="368" w:lineRule="exact"/>
        <w:rPr>
          <w:sz w:val="24"/>
          <w:szCs w:val="24"/>
          <w:color w:val="auto"/>
        </w:rPr>
      </w:pPr>
    </w:p>
    <w:p>
      <w:pPr>
        <w:sectPr>
          <w:pgSz w:w="11900" w:h="16838" w:orient="portrait"/>
          <w:cols w:equalWidth="0" w:num="5">
            <w:col w:w="1740" w:space="720"/>
            <w:col w:w="140" w:space="320"/>
            <w:col w:w="1700" w:space="720"/>
            <w:col w:w="1700" w:space="660"/>
            <w:col w:w="3500"/>
          </w:cols>
          <w:pgMar w:left="320" w:top="1091" w:right="379" w:bottom="1440" w:gutter="0" w:footer="0" w:header="0"/>
          <w:type w:val="continuous"/>
        </w:sectPr>
      </w:pPr>
    </w:p>
    <w:p>
      <w:pPr>
        <w:ind w:firstLine="464"/>
        <w:spacing w:after="0" w:line="188"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 w:lineRule="exact"/>
        <w:rPr>
          <w:sz w:val="24"/>
          <w:szCs w:val="24"/>
          <w:color w:val="auto"/>
        </w:rPr>
      </w:pPr>
    </w:p>
    <w:p>
      <w:pPr>
        <w:ind w:left="460" w:right="3420"/>
        <w:spacing w:after="0" w:line="176" w:lineRule="exact"/>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r>
        <w:rPr>
          <w:rFonts w:ascii="Arial" w:cs="Arial" w:eastAsia="Arial" w:hAnsi="Arial"/>
          <w:sz w:val="13"/>
          <w:szCs w:val="13"/>
          <w:color w:val="auto"/>
        </w:rPr>
        <w:t xml:space="preserve"> Indicate the number of shares outstanding of each of the issuer’s classes of common stock, as of the latest practicable date.</w:t>
      </w:r>
    </w:p>
    <w:p>
      <w:pPr>
        <w:spacing w:after="0" w:line="7" w:lineRule="exact"/>
        <w:rPr>
          <w:sz w:val="24"/>
          <w:szCs w:val="24"/>
          <w:color w:val="auto"/>
        </w:rPr>
      </w:pPr>
    </w:p>
    <w:p>
      <w:pPr>
        <w:spacing w:after="0"/>
        <w:rPr>
          <w:sz w:val="20"/>
          <w:szCs w:val="20"/>
          <w:color w:val="auto"/>
        </w:rPr>
      </w:pPr>
      <w:r>
        <w:rPr>
          <w:rFonts w:ascii="Arial" w:cs="Arial" w:eastAsia="Arial" w:hAnsi="Arial"/>
          <w:sz w:val="14"/>
          <w:szCs w:val="14"/>
          <w:color w:val="auto"/>
        </w:rPr>
        <w:t>As of October 20, 2023, there were 179,159,160 shares of common stock, par value $.01 per share, of the registrant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772795</wp:posOffset>
            </wp:positionV>
            <wp:extent cx="7164070"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64770</wp:posOffset>
            </wp:positionV>
            <wp:extent cx="71386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867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32385</wp:posOffset>
            </wp:positionV>
            <wp:extent cx="71386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00"/>
          </w:cols>
          <w:pgMar w:left="320" w:top="1091" w:right="379" w:bottom="1440" w:gutter="0" w:footer="0" w:header="0"/>
          <w:type w:val="continuous"/>
        </w:sectPr>
      </w:pPr>
    </w:p>
    <w:bookmarkStart w:id="1" w:name="page2"/>
    <w:bookmarkEnd w:id="1"/>
    <w:p>
      <w:pPr>
        <w:jc w:val="center"/>
        <w:ind w:right="20"/>
        <w:spacing w:after="0"/>
        <w:rPr>
          <w:sz w:val="20"/>
          <w:szCs w:val="20"/>
          <w:color w:val="auto"/>
        </w:rPr>
      </w:pPr>
      <w:r>
        <w:rPr>
          <w:rFonts w:ascii="Arial" w:cs="Arial" w:eastAsia="Arial" w:hAnsi="Arial"/>
          <w:sz w:val="17"/>
          <w:szCs w:val="17"/>
          <w:b w:val="1"/>
          <w:bCs w:val="1"/>
          <w:color w:val="auto"/>
        </w:rPr>
        <w:t>WESTINGHOUSE AIR BRAKE</w:t>
      </w:r>
    </w:p>
    <w:p>
      <w:pPr>
        <w:spacing w:after="0" w:line="28"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TECHNOLOGIES CORPORATION</w:t>
      </w:r>
    </w:p>
    <w:p>
      <w:pPr>
        <w:spacing w:after="0" w:line="97"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September 30, 2023</w:t>
      </w:r>
    </w:p>
    <w:p>
      <w:pPr>
        <w:spacing w:after="0" w:line="7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FORM 10-Q</w:t>
      </w:r>
    </w:p>
    <w:p>
      <w:pPr>
        <w:spacing w:after="0" w:line="1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OF CONTENTS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9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jc w:val="right"/>
              <w:ind w:right="75"/>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4"/>
        </w:trPr>
        <w:tc>
          <w:tcPr>
            <w:tcW w:w="980" w:type="dxa"/>
            <w:vAlign w:val="bottom"/>
          </w:tcPr>
          <w:p>
            <w:pPr>
              <w:spacing w:after="0"/>
              <w:rPr>
                <w:sz w:val="2"/>
                <w:szCs w:val="2"/>
                <w:color w:val="auto"/>
              </w:rPr>
            </w:pPr>
          </w:p>
        </w:tc>
        <w:tc>
          <w:tcPr>
            <w:tcW w:w="9560" w:type="dxa"/>
            <w:vAlign w:val="bottom"/>
            <w:gridSpan w:val="17"/>
            <w:vMerge w:val="restart"/>
          </w:tcPr>
          <w:p>
            <w:pPr>
              <w:ind w:left="40"/>
              <w:spacing w:after="0"/>
              <w:rPr>
                <w:sz w:val="20"/>
                <w:szCs w:val="20"/>
                <w:color w:val="auto"/>
              </w:rPr>
            </w:pPr>
            <w:r>
              <w:rPr>
                <w:rFonts w:ascii="Arial" w:cs="Arial" w:eastAsia="Arial" w:hAnsi="Arial"/>
                <w:sz w:val="17"/>
                <w:szCs w:val="17"/>
                <w:b w:val="1"/>
                <w:bCs w:val="1"/>
                <w:color w:val="auto"/>
              </w:rPr>
              <w:t>PART I—FINANCIAL INFORMATION</w:t>
            </w: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980" w:type="dxa"/>
            <w:vAlign w:val="bottom"/>
          </w:tcPr>
          <w:p>
            <w:pPr>
              <w:spacing w:after="0"/>
              <w:rPr>
                <w:sz w:val="17"/>
                <w:szCs w:val="17"/>
                <w:color w:val="auto"/>
              </w:rPr>
            </w:pPr>
          </w:p>
        </w:tc>
        <w:tc>
          <w:tcPr>
            <w:tcW w:w="9560" w:type="dxa"/>
            <w:vAlign w:val="bottom"/>
            <w:gridSpan w:val="17"/>
            <w:vMerge w:val="continue"/>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
        </w:trPr>
        <w:tc>
          <w:tcPr>
            <w:tcW w:w="980" w:type="dxa"/>
            <w:vAlign w:val="bottom"/>
          </w:tcPr>
          <w:p>
            <w:pPr>
              <w:spacing w:after="0"/>
              <w:rPr>
                <w:sz w:val="4"/>
                <w:szCs w:val="4"/>
                <w:color w:val="auto"/>
              </w:rPr>
            </w:pPr>
          </w:p>
        </w:tc>
        <w:tc>
          <w:tcPr>
            <w:tcW w:w="5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40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tcPr>
          <w:p>
            <w:pPr>
              <w:spacing w:after="0"/>
              <w:rPr>
                <w:sz w:val="4"/>
                <w:szCs w:val="4"/>
                <w:color w:val="auto"/>
              </w:rPr>
            </w:pPr>
          </w:p>
        </w:tc>
        <w:tc>
          <w:tcPr>
            <w:tcW w:w="700" w:type="dxa"/>
            <w:vAlign w:val="bottom"/>
          </w:tcPr>
          <w:p>
            <w:pPr>
              <w:spacing w:after="0"/>
              <w:rPr>
                <w:sz w:val="4"/>
                <w:szCs w:val="4"/>
                <w:color w:val="auto"/>
              </w:rPr>
            </w:pPr>
          </w:p>
        </w:tc>
        <w:tc>
          <w:tcPr>
            <w:tcW w:w="380" w:type="dxa"/>
            <w:vAlign w:val="bottom"/>
          </w:tcPr>
          <w:p>
            <w:pPr>
              <w:spacing w:after="0"/>
              <w:rPr>
                <w:sz w:val="4"/>
                <w:szCs w:val="4"/>
                <w:color w:val="auto"/>
              </w:rPr>
            </w:pPr>
          </w:p>
        </w:tc>
        <w:tc>
          <w:tcPr>
            <w:tcW w:w="920" w:type="dxa"/>
            <w:vAlign w:val="bottom"/>
          </w:tcPr>
          <w:p>
            <w:pPr>
              <w:spacing w:after="0"/>
              <w:rPr>
                <w:sz w:val="4"/>
                <w:szCs w:val="4"/>
                <w:color w:val="auto"/>
              </w:rPr>
            </w:pPr>
          </w:p>
        </w:tc>
        <w:tc>
          <w:tcPr>
            <w:tcW w:w="20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980" w:type="dxa"/>
            <w:vAlign w:val="bottom"/>
            <w:shd w:val="clear" w:color="auto" w:fill="CCEEFF"/>
          </w:tcPr>
          <w:p>
            <w:pPr>
              <w:ind w:left="40"/>
              <w:spacing w:after="0" w:line="180" w:lineRule="exact"/>
              <w:rPr>
                <w:sz w:val="20"/>
                <w:szCs w:val="20"/>
                <w:color w:val="auto"/>
              </w:rPr>
            </w:pPr>
            <w:r>
              <w:rPr>
                <w:rFonts w:ascii="Arial" w:cs="Arial" w:eastAsia="Arial" w:hAnsi="Arial"/>
                <w:sz w:val="17"/>
                <w:szCs w:val="17"/>
                <w:color w:val="auto"/>
              </w:rPr>
              <w:t>Item 1.</w:t>
            </w:r>
          </w:p>
        </w:tc>
        <w:tc>
          <w:tcPr>
            <w:tcW w:w="9560" w:type="dxa"/>
            <w:vAlign w:val="bottom"/>
            <w:gridSpan w:val="17"/>
            <w:shd w:val="clear" w:color="auto" w:fill="CCEEFF"/>
          </w:tcPr>
          <w:p>
            <w:pPr>
              <w:spacing w:after="0" w:line="180" w:lineRule="exact"/>
              <w:rPr>
                <w:sz w:val="20"/>
                <w:szCs w:val="20"/>
                <w:color w:val="auto"/>
              </w:rPr>
            </w:pPr>
            <w:r>
              <w:rPr>
                <w:rFonts w:ascii="Arial" w:cs="Arial" w:eastAsia="Arial" w:hAnsi="Arial"/>
                <w:sz w:val="17"/>
                <w:szCs w:val="17"/>
                <w:color w:val="0000FF"/>
              </w:rPr>
              <w:t>Financial Statements - (Unaudited)</w:t>
            </w:r>
          </w:p>
        </w:tc>
        <w:tc>
          <w:tcPr>
            <w:tcW w:w="600" w:type="dxa"/>
            <w:vAlign w:val="bottom"/>
            <w:shd w:val="clear" w:color="auto" w:fill="CCEEFF"/>
          </w:tcPr>
          <w:p>
            <w:pPr>
              <w:jc w:val="right"/>
              <w:spacing w:after="0" w:line="180" w:lineRule="exact"/>
              <w:rPr>
                <w:sz w:val="20"/>
                <w:szCs w:val="20"/>
                <w:color w:val="auto"/>
              </w:rPr>
            </w:pPr>
            <w:r>
              <w:rPr>
                <w:rFonts w:ascii="Arial" w:cs="Arial" w:eastAsia="Arial" w:hAnsi="Arial"/>
                <w:sz w:val="17"/>
                <w:szCs w:val="17"/>
                <w:color w:val="0000FF"/>
              </w:rPr>
              <w:t>3</w:t>
            </w:r>
          </w:p>
        </w:tc>
        <w:tc>
          <w:tcPr>
            <w:tcW w:w="0" w:type="dxa"/>
            <w:vAlign w:val="bottom"/>
          </w:tcPr>
          <w:p>
            <w:pPr>
              <w:spacing w:after="0"/>
              <w:rPr>
                <w:sz w:val="1"/>
                <w:szCs w:val="1"/>
                <w:color w:val="auto"/>
              </w:rPr>
            </w:pPr>
          </w:p>
        </w:tc>
      </w:tr>
      <w:tr>
        <w:trPr>
          <w:trHeight w:val="39"/>
        </w:trPr>
        <w:tc>
          <w:tcPr>
            <w:tcW w:w="980" w:type="dxa"/>
            <w:vAlign w:val="bottom"/>
            <w:shd w:val="clear" w:color="auto" w:fill="CCEEFF"/>
          </w:tcPr>
          <w:p>
            <w:pPr>
              <w:spacing w:after="0"/>
              <w:rPr>
                <w:sz w:val="3"/>
                <w:szCs w:val="3"/>
                <w:color w:val="auto"/>
              </w:rPr>
            </w:pPr>
          </w:p>
        </w:tc>
        <w:tc>
          <w:tcPr>
            <w:tcW w:w="56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380" w:type="dxa"/>
            <w:vAlign w:val="bottom"/>
            <w:shd w:val="clear" w:color="auto" w:fill="0000FF"/>
          </w:tcPr>
          <w:p>
            <w:pPr>
              <w:spacing w:after="0"/>
              <w:rPr>
                <w:sz w:val="3"/>
                <w:szCs w:val="3"/>
                <w:color w:val="auto"/>
              </w:rPr>
            </w:pPr>
          </w:p>
        </w:tc>
        <w:tc>
          <w:tcPr>
            <w:tcW w:w="20" w:type="dxa"/>
            <w:vAlign w:val="bottom"/>
            <w:shd w:val="clear" w:color="auto" w:fill="0000FF"/>
          </w:tcPr>
          <w:p>
            <w:pPr>
              <w:spacing w:after="0"/>
              <w:rPr>
                <w:sz w:val="3"/>
                <w:szCs w:val="3"/>
                <w:color w:val="auto"/>
              </w:rPr>
            </w:pPr>
          </w:p>
        </w:tc>
        <w:tc>
          <w:tcPr>
            <w:tcW w:w="420" w:type="dxa"/>
            <w:vAlign w:val="bottom"/>
            <w:shd w:val="clear" w:color="auto" w:fill="0000FF"/>
          </w:tcPr>
          <w:p>
            <w:pPr>
              <w:spacing w:after="0"/>
              <w:rPr>
                <w:sz w:val="3"/>
                <w:szCs w:val="3"/>
                <w:color w:val="auto"/>
              </w:rPr>
            </w:pPr>
          </w:p>
        </w:tc>
        <w:tc>
          <w:tcPr>
            <w:tcW w:w="720" w:type="dxa"/>
            <w:vAlign w:val="bottom"/>
            <w:shd w:val="clear" w:color="auto" w:fill="0000FF"/>
          </w:tcPr>
          <w:p>
            <w:pPr>
              <w:spacing w:after="0"/>
              <w:rPr>
                <w:sz w:val="3"/>
                <w:szCs w:val="3"/>
                <w:color w:val="auto"/>
              </w:rPr>
            </w:pPr>
          </w:p>
        </w:tc>
        <w:tc>
          <w:tcPr>
            <w:tcW w:w="140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20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0"/>
        </w:trPr>
        <w:tc>
          <w:tcPr>
            <w:tcW w:w="980" w:type="dxa"/>
            <w:vAlign w:val="bottom"/>
          </w:tcPr>
          <w:p>
            <w:pPr>
              <w:spacing w:after="0"/>
              <w:rPr>
                <w:sz w:val="16"/>
                <w:szCs w:val="16"/>
                <w:color w:val="auto"/>
              </w:rPr>
            </w:pPr>
          </w:p>
        </w:tc>
        <w:tc>
          <w:tcPr>
            <w:tcW w:w="6280" w:type="dxa"/>
            <w:vAlign w:val="bottom"/>
            <w:tcBorders>
              <w:bottom w:val="single" w:sz="8" w:color="0000FF"/>
            </w:tcBorders>
            <w:gridSpan w:val="11"/>
          </w:tcPr>
          <w:p>
            <w:pPr>
              <w:spacing w:after="0" w:line="180" w:lineRule="exact"/>
              <w:rPr>
                <w:sz w:val="20"/>
                <w:szCs w:val="20"/>
                <w:color w:val="auto"/>
              </w:rPr>
            </w:pPr>
            <w:r>
              <w:rPr>
                <w:rFonts w:ascii="Arial" w:cs="Arial" w:eastAsia="Arial" w:hAnsi="Arial"/>
                <w:sz w:val="17"/>
                <w:szCs w:val="17"/>
                <w:color w:val="0000FF"/>
                <w:w w:val="89"/>
              </w:rPr>
              <w:t>Condensed Consolidated Balance Sheets as of September 30, 2023 and December 31, 2022</w:t>
            </w:r>
          </w:p>
        </w:tc>
        <w:tc>
          <w:tcPr>
            <w:tcW w:w="3280" w:type="dxa"/>
            <w:vAlign w:val="bottom"/>
            <w:gridSpan w:val="6"/>
          </w:tcPr>
          <w:p>
            <w:pPr>
              <w:spacing w:after="0"/>
              <w:rPr>
                <w:sz w:val="16"/>
                <w:szCs w:val="16"/>
                <w:color w:val="auto"/>
              </w:rPr>
            </w:pPr>
          </w:p>
        </w:tc>
        <w:tc>
          <w:tcPr>
            <w:tcW w:w="600" w:type="dxa"/>
            <w:vAlign w:val="bottom"/>
          </w:tcPr>
          <w:p>
            <w:pPr>
              <w:jc w:val="right"/>
              <w:spacing w:after="0" w:line="180" w:lineRule="exact"/>
              <w:rPr>
                <w:sz w:val="20"/>
                <w:szCs w:val="20"/>
                <w:color w:val="auto"/>
              </w:rPr>
            </w:pPr>
            <w:r>
              <w:rPr>
                <w:rFonts w:ascii="Arial" w:cs="Arial" w:eastAsia="Arial" w:hAnsi="Arial"/>
                <w:sz w:val="17"/>
                <w:szCs w:val="17"/>
                <w:color w:val="0000FF"/>
              </w:rPr>
              <w:t>3</w:t>
            </w:r>
          </w:p>
        </w:tc>
        <w:tc>
          <w:tcPr>
            <w:tcW w:w="0" w:type="dxa"/>
            <w:vAlign w:val="bottom"/>
          </w:tcPr>
          <w:p>
            <w:pPr>
              <w:spacing w:after="0"/>
              <w:rPr>
                <w:sz w:val="1"/>
                <w:szCs w:val="1"/>
                <w:color w:val="auto"/>
              </w:rPr>
            </w:pPr>
          </w:p>
        </w:tc>
      </w:tr>
      <w:tr>
        <w:trPr>
          <w:trHeight w:val="190"/>
        </w:trPr>
        <w:tc>
          <w:tcPr>
            <w:tcW w:w="980" w:type="dxa"/>
            <w:vAlign w:val="bottom"/>
            <w:shd w:val="clear" w:color="auto" w:fill="CCEEFF"/>
          </w:tcPr>
          <w:p>
            <w:pPr>
              <w:spacing w:after="0"/>
              <w:rPr>
                <w:sz w:val="16"/>
                <w:szCs w:val="16"/>
                <w:color w:val="auto"/>
              </w:rPr>
            </w:pPr>
          </w:p>
        </w:tc>
        <w:tc>
          <w:tcPr>
            <w:tcW w:w="9560" w:type="dxa"/>
            <w:vAlign w:val="bottom"/>
            <w:gridSpan w:val="17"/>
            <w:shd w:val="clear" w:color="auto" w:fill="CCEEFF"/>
          </w:tcPr>
          <w:p>
            <w:pPr>
              <w:spacing w:after="0" w:line="190" w:lineRule="exact"/>
              <w:rPr>
                <w:sz w:val="20"/>
                <w:szCs w:val="20"/>
                <w:color w:val="auto"/>
              </w:rPr>
            </w:pPr>
            <w:r>
              <w:rPr>
                <w:rFonts w:ascii="Arial" w:cs="Arial" w:eastAsia="Arial" w:hAnsi="Arial"/>
                <w:sz w:val="17"/>
                <w:szCs w:val="17"/>
                <w:color w:val="0000FF"/>
              </w:rPr>
              <w:t>Condensed Consolidated Statements of Income for the three and nine months ended September 30, 2023 and 2022</w:t>
            </w:r>
          </w:p>
        </w:tc>
        <w:tc>
          <w:tcPr>
            <w:tcW w:w="600" w:type="dxa"/>
            <w:vAlign w:val="bottom"/>
            <w:shd w:val="clear" w:color="auto" w:fill="CCEEFF"/>
          </w:tcPr>
          <w:p>
            <w:pPr>
              <w:jc w:val="right"/>
              <w:spacing w:after="0" w:line="190" w:lineRule="exact"/>
              <w:rPr>
                <w:sz w:val="20"/>
                <w:szCs w:val="20"/>
                <w:color w:val="auto"/>
              </w:rPr>
            </w:pPr>
            <w:r>
              <w:rPr>
                <w:rFonts w:ascii="Arial" w:cs="Arial" w:eastAsia="Arial" w:hAnsi="Arial"/>
                <w:sz w:val="17"/>
                <w:szCs w:val="17"/>
                <w:color w:val="0000FF"/>
              </w:rPr>
              <w:t>4</w:t>
            </w:r>
          </w:p>
        </w:tc>
        <w:tc>
          <w:tcPr>
            <w:tcW w:w="0" w:type="dxa"/>
            <w:vAlign w:val="bottom"/>
          </w:tcPr>
          <w:p>
            <w:pPr>
              <w:spacing w:after="0"/>
              <w:rPr>
                <w:sz w:val="1"/>
                <w:szCs w:val="1"/>
                <w:color w:val="auto"/>
              </w:rPr>
            </w:pPr>
          </w:p>
        </w:tc>
      </w:tr>
      <w:tr>
        <w:trPr>
          <w:trHeight w:val="39"/>
        </w:trPr>
        <w:tc>
          <w:tcPr>
            <w:tcW w:w="980" w:type="dxa"/>
            <w:vAlign w:val="bottom"/>
            <w:shd w:val="clear" w:color="auto" w:fill="CCEEFF"/>
          </w:tcPr>
          <w:p>
            <w:pPr>
              <w:spacing w:after="0"/>
              <w:rPr>
                <w:sz w:val="3"/>
                <w:szCs w:val="3"/>
                <w:color w:val="auto"/>
              </w:rPr>
            </w:pPr>
          </w:p>
        </w:tc>
        <w:tc>
          <w:tcPr>
            <w:tcW w:w="56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380" w:type="dxa"/>
            <w:vAlign w:val="bottom"/>
            <w:shd w:val="clear" w:color="auto" w:fill="0000FF"/>
          </w:tcPr>
          <w:p>
            <w:pPr>
              <w:spacing w:after="0"/>
              <w:rPr>
                <w:sz w:val="3"/>
                <w:szCs w:val="3"/>
                <w:color w:val="auto"/>
              </w:rPr>
            </w:pPr>
          </w:p>
        </w:tc>
        <w:tc>
          <w:tcPr>
            <w:tcW w:w="20" w:type="dxa"/>
            <w:vAlign w:val="bottom"/>
            <w:shd w:val="clear" w:color="auto" w:fill="0000FF"/>
          </w:tcPr>
          <w:p>
            <w:pPr>
              <w:spacing w:after="0"/>
              <w:rPr>
                <w:sz w:val="3"/>
                <w:szCs w:val="3"/>
                <w:color w:val="auto"/>
              </w:rPr>
            </w:pPr>
          </w:p>
        </w:tc>
        <w:tc>
          <w:tcPr>
            <w:tcW w:w="420" w:type="dxa"/>
            <w:vAlign w:val="bottom"/>
            <w:shd w:val="clear" w:color="auto" w:fill="0000FF"/>
          </w:tcPr>
          <w:p>
            <w:pPr>
              <w:spacing w:after="0"/>
              <w:rPr>
                <w:sz w:val="3"/>
                <w:szCs w:val="3"/>
                <w:color w:val="auto"/>
              </w:rPr>
            </w:pPr>
          </w:p>
        </w:tc>
        <w:tc>
          <w:tcPr>
            <w:tcW w:w="720" w:type="dxa"/>
            <w:vAlign w:val="bottom"/>
            <w:shd w:val="clear" w:color="auto" w:fill="0000FF"/>
          </w:tcPr>
          <w:p>
            <w:pPr>
              <w:spacing w:after="0"/>
              <w:rPr>
                <w:sz w:val="3"/>
                <w:szCs w:val="3"/>
                <w:color w:val="auto"/>
              </w:rPr>
            </w:pPr>
          </w:p>
        </w:tc>
        <w:tc>
          <w:tcPr>
            <w:tcW w:w="140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2060" w:type="dxa"/>
            <w:vAlign w:val="bottom"/>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500" w:type="dxa"/>
            <w:vAlign w:val="bottom"/>
            <w:shd w:val="clear" w:color="auto" w:fill="0000FF"/>
          </w:tcPr>
          <w:p>
            <w:pPr>
              <w:spacing w:after="0"/>
              <w:rPr>
                <w:sz w:val="3"/>
                <w:szCs w:val="3"/>
                <w:color w:val="auto"/>
              </w:rPr>
            </w:pPr>
          </w:p>
        </w:tc>
        <w:tc>
          <w:tcPr>
            <w:tcW w:w="700" w:type="dxa"/>
            <w:vAlign w:val="bottom"/>
            <w:shd w:val="clear" w:color="auto" w:fill="0000FF"/>
          </w:tcPr>
          <w:p>
            <w:pPr>
              <w:spacing w:after="0"/>
              <w:rPr>
                <w:sz w:val="3"/>
                <w:szCs w:val="3"/>
                <w:color w:val="auto"/>
              </w:rPr>
            </w:pPr>
          </w:p>
        </w:tc>
        <w:tc>
          <w:tcPr>
            <w:tcW w:w="380" w:type="dxa"/>
            <w:vAlign w:val="bottom"/>
            <w:shd w:val="clear" w:color="auto" w:fill="0000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0"/>
        </w:trPr>
        <w:tc>
          <w:tcPr>
            <w:tcW w:w="980" w:type="dxa"/>
            <w:vAlign w:val="bottom"/>
          </w:tcPr>
          <w:p>
            <w:pPr>
              <w:spacing w:after="0"/>
              <w:rPr>
                <w:sz w:val="16"/>
                <w:szCs w:val="16"/>
                <w:color w:val="auto"/>
              </w:rPr>
            </w:pPr>
          </w:p>
        </w:tc>
        <w:tc>
          <w:tcPr>
            <w:tcW w:w="9560" w:type="dxa"/>
            <w:vAlign w:val="bottom"/>
            <w:gridSpan w:val="17"/>
          </w:tcPr>
          <w:p>
            <w:pPr>
              <w:spacing w:after="0" w:line="180" w:lineRule="exact"/>
              <w:rPr>
                <w:sz w:val="20"/>
                <w:szCs w:val="20"/>
                <w:color w:val="auto"/>
              </w:rPr>
            </w:pPr>
            <w:r>
              <w:rPr>
                <w:rFonts w:ascii="Arial" w:cs="Arial" w:eastAsia="Arial" w:hAnsi="Arial"/>
                <w:sz w:val="17"/>
                <w:szCs w:val="17"/>
                <w:color w:val="0000FF"/>
                <w:w w:val="95"/>
              </w:rPr>
              <w:t>Condensed Consolidated Statements of Comprehensive Income for the three and nine months ended September 30, 2023 and 2022</w:t>
            </w:r>
          </w:p>
        </w:tc>
        <w:tc>
          <w:tcPr>
            <w:tcW w:w="600" w:type="dxa"/>
            <w:vAlign w:val="bottom"/>
          </w:tcPr>
          <w:p>
            <w:pPr>
              <w:jc w:val="right"/>
              <w:spacing w:after="0" w:line="180" w:lineRule="exact"/>
              <w:rPr>
                <w:sz w:val="20"/>
                <w:szCs w:val="20"/>
                <w:color w:val="auto"/>
              </w:rPr>
            </w:pPr>
            <w:r>
              <w:rPr>
                <w:rFonts w:ascii="Arial" w:cs="Arial" w:eastAsia="Arial" w:hAnsi="Arial"/>
                <w:sz w:val="17"/>
                <w:szCs w:val="17"/>
                <w:color w:val="0000FF"/>
              </w:rPr>
              <w:t>5</w:t>
            </w:r>
          </w:p>
        </w:tc>
        <w:tc>
          <w:tcPr>
            <w:tcW w:w="0" w:type="dxa"/>
            <w:vAlign w:val="bottom"/>
          </w:tcPr>
          <w:p>
            <w:pPr>
              <w:spacing w:after="0"/>
              <w:rPr>
                <w:sz w:val="1"/>
                <w:szCs w:val="1"/>
                <w:color w:val="auto"/>
              </w:rPr>
            </w:pPr>
          </w:p>
        </w:tc>
      </w:tr>
      <w:tr>
        <w:trPr>
          <w:trHeight w:val="208"/>
        </w:trPr>
        <w:tc>
          <w:tcPr>
            <w:tcW w:w="980" w:type="dxa"/>
            <w:vAlign w:val="bottom"/>
            <w:tcBorders>
              <w:bottom w:val="single" w:sz="8" w:color="CCEEFF"/>
            </w:tcBorders>
            <w:shd w:val="clear" w:color="auto" w:fill="CCEEFF"/>
          </w:tcPr>
          <w:p>
            <w:pPr>
              <w:spacing w:after="0"/>
              <w:rPr>
                <w:sz w:val="18"/>
                <w:szCs w:val="18"/>
                <w:color w:val="auto"/>
              </w:rPr>
            </w:pPr>
          </w:p>
        </w:tc>
        <w:tc>
          <w:tcPr>
            <w:tcW w:w="7480" w:type="dxa"/>
            <w:vAlign w:val="bottom"/>
            <w:tcBorders>
              <w:top w:val="single" w:sz="8" w:color="0000FF"/>
              <w:bottom w:val="single" w:sz="8" w:color="0000FF"/>
            </w:tcBorders>
            <w:gridSpan w:val="13"/>
            <w:shd w:val="clear" w:color="auto" w:fill="CCEEFF"/>
          </w:tcPr>
          <w:p>
            <w:pPr>
              <w:spacing w:after="0" w:line="190" w:lineRule="exact"/>
              <w:rPr>
                <w:sz w:val="20"/>
                <w:szCs w:val="20"/>
                <w:color w:val="auto"/>
              </w:rPr>
            </w:pPr>
            <w:r>
              <w:rPr>
                <w:rFonts w:ascii="Arial" w:cs="Arial" w:eastAsia="Arial" w:hAnsi="Arial"/>
                <w:sz w:val="17"/>
                <w:szCs w:val="17"/>
                <w:color w:val="0000FF"/>
                <w:w w:val="89"/>
              </w:rPr>
              <w:t>Condensed Consolidated Statements of Cash Flows for the nine months ended September 30, 2023 and 2022</w:t>
            </w:r>
          </w:p>
        </w:tc>
        <w:tc>
          <w:tcPr>
            <w:tcW w:w="1500" w:type="dxa"/>
            <w:vAlign w:val="bottom"/>
            <w:tcBorders>
              <w:top w:val="single" w:sz="8" w:color="0000FF"/>
              <w:bottom w:val="single" w:sz="8" w:color="CCEEFF"/>
            </w:tcBorders>
            <w:gridSpan w:val="3"/>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line="190" w:lineRule="exact"/>
              <w:rPr>
                <w:sz w:val="20"/>
                <w:szCs w:val="20"/>
                <w:color w:val="auto"/>
              </w:rPr>
            </w:pPr>
            <w:r>
              <w:rPr>
                <w:rFonts w:ascii="Arial" w:cs="Arial" w:eastAsia="Arial" w:hAnsi="Arial"/>
                <w:sz w:val="17"/>
                <w:szCs w:val="17"/>
                <w:color w:val="0000FF"/>
              </w:rPr>
              <w:t>6</w:t>
            </w:r>
          </w:p>
        </w:tc>
        <w:tc>
          <w:tcPr>
            <w:tcW w:w="0" w:type="dxa"/>
            <w:vAlign w:val="bottom"/>
          </w:tcPr>
          <w:p>
            <w:pPr>
              <w:spacing w:after="0"/>
              <w:rPr>
                <w:sz w:val="1"/>
                <w:szCs w:val="1"/>
                <w:color w:val="auto"/>
              </w:rPr>
            </w:pPr>
          </w:p>
        </w:tc>
      </w:tr>
      <w:tr>
        <w:trPr>
          <w:trHeight w:val="190"/>
        </w:trPr>
        <w:tc>
          <w:tcPr>
            <w:tcW w:w="980" w:type="dxa"/>
            <w:vAlign w:val="bottom"/>
          </w:tcPr>
          <w:p>
            <w:pPr>
              <w:spacing w:after="0"/>
              <w:rPr>
                <w:sz w:val="16"/>
                <w:szCs w:val="16"/>
                <w:color w:val="auto"/>
              </w:rPr>
            </w:pPr>
          </w:p>
        </w:tc>
        <w:tc>
          <w:tcPr>
            <w:tcW w:w="8780" w:type="dxa"/>
            <w:vAlign w:val="bottom"/>
            <w:tcBorders>
              <w:bottom w:val="single" w:sz="8" w:color="0000FF"/>
            </w:tcBorders>
            <w:gridSpan w:val="15"/>
          </w:tcPr>
          <w:p>
            <w:pPr>
              <w:spacing w:after="0" w:line="180" w:lineRule="exact"/>
              <w:rPr>
                <w:sz w:val="20"/>
                <w:szCs w:val="20"/>
                <w:color w:val="auto"/>
              </w:rPr>
            </w:pPr>
            <w:r>
              <w:rPr>
                <w:rFonts w:ascii="Arial" w:cs="Arial" w:eastAsia="Arial" w:hAnsi="Arial"/>
                <w:sz w:val="17"/>
                <w:szCs w:val="17"/>
                <w:color w:val="0000FF"/>
                <w:w w:val="89"/>
              </w:rPr>
              <w:t>Condensed Consolidated Statements of Shareholders' Equity for the three and nine months ended September 30, 2023 and 2022</w:t>
            </w:r>
          </w:p>
        </w:tc>
        <w:tc>
          <w:tcPr>
            <w:tcW w:w="780" w:type="dxa"/>
            <w:vAlign w:val="bottom"/>
            <w:gridSpan w:val="2"/>
          </w:tcPr>
          <w:p>
            <w:pPr>
              <w:spacing w:after="0"/>
              <w:rPr>
                <w:sz w:val="16"/>
                <w:szCs w:val="16"/>
                <w:color w:val="auto"/>
              </w:rPr>
            </w:pPr>
          </w:p>
        </w:tc>
        <w:tc>
          <w:tcPr>
            <w:tcW w:w="600" w:type="dxa"/>
            <w:vAlign w:val="bottom"/>
          </w:tcPr>
          <w:p>
            <w:pPr>
              <w:jc w:val="right"/>
              <w:spacing w:after="0" w:line="180" w:lineRule="exact"/>
              <w:rPr>
                <w:sz w:val="20"/>
                <w:szCs w:val="20"/>
                <w:color w:val="auto"/>
              </w:rPr>
            </w:pPr>
            <w:r>
              <w:rPr>
                <w:rFonts w:ascii="Arial" w:cs="Arial" w:eastAsia="Arial" w:hAnsi="Arial"/>
                <w:sz w:val="17"/>
                <w:szCs w:val="17"/>
                <w:color w:val="0000FF"/>
              </w:rPr>
              <w:t>7</w:t>
            </w:r>
          </w:p>
        </w:tc>
        <w:tc>
          <w:tcPr>
            <w:tcW w:w="0" w:type="dxa"/>
            <w:vAlign w:val="bottom"/>
          </w:tcPr>
          <w:p>
            <w:pPr>
              <w:spacing w:after="0"/>
              <w:rPr>
                <w:sz w:val="1"/>
                <w:szCs w:val="1"/>
                <w:color w:val="auto"/>
              </w:rPr>
            </w:pPr>
          </w:p>
        </w:tc>
      </w:tr>
      <w:tr>
        <w:trPr>
          <w:trHeight w:val="190"/>
        </w:trPr>
        <w:tc>
          <w:tcPr>
            <w:tcW w:w="980" w:type="dxa"/>
            <w:vAlign w:val="bottom"/>
            <w:shd w:val="clear" w:color="auto" w:fill="CCEEFF"/>
          </w:tcPr>
          <w:p>
            <w:pPr>
              <w:spacing w:after="0"/>
              <w:rPr>
                <w:sz w:val="16"/>
                <w:szCs w:val="16"/>
                <w:color w:val="auto"/>
              </w:rPr>
            </w:pPr>
          </w:p>
        </w:tc>
        <w:tc>
          <w:tcPr>
            <w:tcW w:w="9560" w:type="dxa"/>
            <w:vAlign w:val="bottom"/>
            <w:gridSpan w:val="17"/>
            <w:shd w:val="clear" w:color="auto" w:fill="CCEEFF"/>
          </w:tcPr>
          <w:p>
            <w:pPr>
              <w:spacing w:after="0" w:line="190" w:lineRule="exact"/>
              <w:rPr>
                <w:sz w:val="20"/>
                <w:szCs w:val="20"/>
                <w:color w:val="auto"/>
              </w:rPr>
            </w:pPr>
            <w:r>
              <w:rPr>
                <w:rFonts w:ascii="Arial" w:cs="Arial" w:eastAsia="Arial" w:hAnsi="Arial"/>
                <w:sz w:val="17"/>
                <w:szCs w:val="17"/>
                <w:color w:val="0000FF"/>
              </w:rPr>
              <w:t>Notes to Condensed Consolidated Financial Statements</w:t>
            </w:r>
          </w:p>
        </w:tc>
        <w:tc>
          <w:tcPr>
            <w:tcW w:w="600" w:type="dxa"/>
            <w:vAlign w:val="bottom"/>
            <w:shd w:val="clear" w:color="auto" w:fill="CCEEFF"/>
          </w:tcPr>
          <w:p>
            <w:pPr>
              <w:jc w:val="right"/>
              <w:spacing w:after="0" w:line="190" w:lineRule="exact"/>
              <w:rPr>
                <w:sz w:val="20"/>
                <w:szCs w:val="20"/>
                <w:color w:val="auto"/>
              </w:rPr>
            </w:pPr>
            <w:r>
              <w:rPr>
                <w:rFonts w:ascii="Arial" w:cs="Arial" w:eastAsia="Arial" w:hAnsi="Arial"/>
                <w:sz w:val="17"/>
                <w:szCs w:val="17"/>
                <w:color w:val="0000FF"/>
              </w:rPr>
              <w:t>9</w:t>
            </w:r>
          </w:p>
        </w:tc>
        <w:tc>
          <w:tcPr>
            <w:tcW w:w="0" w:type="dxa"/>
            <w:vAlign w:val="bottom"/>
          </w:tcPr>
          <w:p>
            <w:pPr>
              <w:spacing w:after="0"/>
              <w:rPr>
                <w:sz w:val="1"/>
                <w:szCs w:val="1"/>
                <w:color w:val="auto"/>
              </w:rPr>
            </w:pPr>
          </w:p>
        </w:tc>
      </w:tr>
      <w:tr>
        <w:trPr>
          <w:trHeight w:val="39"/>
        </w:trPr>
        <w:tc>
          <w:tcPr>
            <w:tcW w:w="980" w:type="dxa"/>
            <w:vAlign w:val="bottom"/>
            <w:shd w:val="clear" w:color="auto" w:fill="CCEEFF"/>
          </w:tcPr>
          <w:p>
            <w:pPr>
              <w:spacing w:after="0"/>
              <w:rPr>
                <w:sz w:val="3"/>
                <w:szCs w:val="3"/>
                <w:color w:val="auto"/>
              </w:rPr>
            </w:pPr>
          </w:p>
        </w:tc>
        <w:tc>
          <w:tcPr>
            <w:tcW w:w="56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380" w:type="dxa"/>
            <w:vAlign w:val="bottom"/>
            <w:shd w:val="clear" w:color="auto" w:fill="0000FF"/>
          </w:tcPr>
          <w:p>
            <w:pPr>
              <w:spacing w:after="0"/>
              <w:rPr>
                <w:sz w:val="3"/>
                <w:szCs w:val="3"/>
                <w:color w:val="auto"/>
              </w:rPr>
            </w:pPr>
          </w:p>
        </w:tc>
        <w:tc>
          <w:tcPr>
            <w:tcW w:w="20" w:type="dxa"/>
            <w:vAlign w:val="bottom"/>
            <w:shd w:val="clear" w:color="auto" w:fill="0000FF"/>
          </w:tcPr>
          <w:p>
            <w:pPr>
              <w:spacing w:after="0"/>
              <w:rPr>
                <w:sz w:val="3"/>
                <w:szCs w:val="3"/>
                <w:color w:val="auto"/>
              </w:rPr>
            </w:pPr>
          </w:p>
        </w:tc>
        <w:tc>
          <w:tcPr>
            <w:tcW w:w="420" w:type="dxa"/>
            <w:vAlign w:val="bottom"/>
            <w:shd w:val="clear" w:color="auto" w:fill="0000FF"/>
          </w:tcPr>
          <w:p>
            <w:pPr>
              <w:spacing w:after="0"/>
              <w:rPr>
                <w:sz w:val="3"/>
                <w:szCs w:val="3"/>
                <w:color w:val="auto"/>
              </w:rPr>
            </w:pPr>
          </w:p>
        </w:tc>
        <w:tc>
          <w:tcPr>
            <w:tcW w:w="720" w:type="dxa"/>
            <w:vAlign w:val="bottom"/>
            <w:shd w:val="clear" w:color="auto" w:fill="0000FF"/>
          </w:tcPr>
          <w:p>
            <w:pPr>
              <w:spacing w:after="0"/>
              <w:rPr>
                <w:sz w:val="3"/>
                <w:szCs w:val="3"/>
                <w:color w:val="auto"/>
              </w:rPr>
            </w:pPr>
          </w:p>
        </w:tc>
        <w:tc>
          <w:tcPr>
            <w:tcW w:w="1400" w:type="dxa"/>
            <w:vAlign w:val="bottom"/>
            <w:shd w:val="clear" w:color="auto" w:fill="0000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20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0"/>
        </w:trPr>
        <w:tc>
          <w:tcPr>
            <w:tcW w:w="980" w:type="dxa"/>
            <w:vAlign w:val="bottom"/>
          </w:tcPr>
          <w:p>
            <w:pPr>
              <w:ind w:left="40"/>
              <w:spacing w:after="0" w:line="180" w:lineRule="exact"/>
              <w:rPr>
                <w:sz w:val="20"/>
                <w:szCs w:val="20"/>
                <w:color w:val="auto"/>
              </w:rPr>
            </w:pPr>
            <w:r>
              <w:rPr>
                <w:rFonts w:ascii="Arial" w:cs="Arial" w:eastAsia="Arial" w:hAnsi="Arial"/>
                <w:sz w:val="17"/>
                <w:szCs w:val="17"/>
                <w:color w:val="auto"/>
              </w:rPr>
              <w:t>Item 2.</w:t>
            </w:r>
          </w:p>
        </w:tc>
        <w:tc>
          <w:tcPr>
            <w:tcW w:w="6160" w:type="dxa"/>
            <w:vAlign w:val="bottom"/>
            <w:tcBorders>
              <w:bottom w:val="single" w:sz="8" w:color="0000FF"/>
            </w:tcBorders>
            <w:gridSpan w:val="10"/>
          </w:tcPr>
          <w:p>
            <w:pPr>
              <w:spacing w:after="0" w:line="180" w:lineRule="exact"/>
              <w:rPr>
                <w:sz w:val="20"/>
                <w:szCs w:val="20"/>
                <w:color w:val="auto"/>
              </w:rPr>
            </w:pPr>
            <w:r>
              <w:rPr>
                <w:rFonts w:ascii="Arial" w:cs="Arial" w:eastAsia="Arial" w:hAnsi="Arial"/>
                <w:sz w:val="17"/>
                <w:szCs w:val="17"/>
                <w:color w:val="0000FF"/>
                <w:w w:val="91"/>
              </w:rPr>
              <w:t>Management’s Discussion and Analysis of Financial Condition and Results of Operations</w:t>
            </w:r>
          </w:p>
        </w:tc>
        <w:tc>
          <w:tcPr>
            <w:tcW w:w="3400" w:type="dxa"/>
            <w:vAlign w:val="bottom"/>
            <w:gridSpan w:val="7"/>
          </w:tcPr>
          <w:p>
            <w:pPr>
              <w:spacing w:after="0"/>
              <w:rPr>
                <w:sz w:val="16"/>
                <w:szCs w:val="16"/>
                <w:color w:val="auto"/>
              </w:rPr>
            </w:pPr>
          </w:p>
        </w:tc>
        <w:tc>
          <w:tcPr>
            <w:tcW w:w="600" w:type="dxa"/>
            <w:vAlign w:val="bottom"/>
          </w:tcPr>
          <w:p>
            <w:pPr>
              <w:jc w:val="right"/>
              <w:spacing w:after="0" w:line="180" w:lineRule="exact"/>
              <w:rPr>
                <w:sz w:val="20"/>
                <w:szCs w:val="20"/>
                <w:color w:val="auto"/>
              </w:rPr>
            </w:pPr>
            <w:r>
              <w:rPr>
                <w:rFonts w:ascii="Arial" w:cs="Arial" w:eastAsia="Arial" w:hAnsi="Arial"/>
                <w:sz w:val="17"/>
                <w:szCs w:val="17"/>
                <w:color w:val="0000FF"/>
              </w:rPr>
              <w:t>26</w:t>
            </w:r>
          </w:p>
        </w:tc>
        <w:tc>
          <w:tcPr>
            <w:tcW w:w="0" w:type="dxa"/>
            <w:vAlign w:val="bottom"/>
          </w:tcPr>
          <w:p>
            <w:pPr>
              <w:spacing w:after="0"/>
              <w:rPr>
                <w:sz w:val="1"/>
                <w:szCs w:val="1"/>
                <w:color w:val="auto"/>
              </w:rPr>
            </w:pPr>
          </w:p>
        </w:tc>
      </w:tr>
      <w:tr>
        <w:trPr>
          <w:trHeight w:val="208"/>
        </w:trPr>
        <w:tc>
          <w:tcPr>
            <w:tcW w:w="980" w:type="dxa"/>
            <w:vAlign w:val="bottom"/>
            <w:shd w:val="clear" w:color="auto" w:fill="CCEEFF"/>
          </w:tcPr>
          <w:p>
            <w:pPr>
              <w:ind w:left="40"/>
              <w:spacing w:after="0" w:line="190" w:lineRule="exact"/>
              <w:rPr>
                <w:sz w:val="20"/>
                <w:szCs w:val="20"/>
                <w:color w:val="auto"/>
              </w:rPr>
            </w:pPr>
            <w:r>
              <w:rPr>
                <w:rFonts w:ascii="Arial" w:cs="Arial" w:eastAsia="Arial" w:hAnsi="Arial"/>
                <w:sz w:val="17"/>
                <w:szCs w:val="17"/>
                <w:color w:val="auto"/>
              </w:rPr>
              <w:t>Item 3.</w:t>
            </w:r>
          </w:p>
        </w:tc>
        <w:tc>
          <w:tcPr>
            <w:tcW w:w="9560" w:type="dxa"/>
            <w:vAlign w:val="bottom"/>
            <w:gridSpan w:val="17"/>
            <w:shd w:val="clear" w:color="auto" w:fill="CCEEFF"/>
          </w:tcPr>
          <w:p>
            <w:pPr>
              <w:spacing w:after="0" w:line="190" w:lineRule="exact"/>
              <w:rPr>
                <w:sz w:val="20"/>
                <w:szCs w:val="20"/>
                <w:color w:val="auto"/>
              </w:rPr>
            </w:pPr>
            <w:r>
              <w:rPr>
                <w:rFonts w:ascii="Arial" w:cs="Arial" w:eastAsia="Arial" w:hAnsi="Arial"/>
                <w:sz w:val="17"/>
                <w:szCs w:val="17"/>
                <w:color w:val="0000FF"/>
              </w:rPr>
              <w:t>Quantitative and Qualitative Disclosures about Market Risk</w:t>
            </w:r>
          </w:p>
        </w:tc>
        <w:tc>
          <w:tcPr>
            <w:tcW w:w="600" w:type="dxa"/>
            <w:vAlign w:val="bottom"/>
            <w:shd w:val="clear" w:color="auto" w:fill="CCEEFF"/>
          </w:tcPr>
          <w:p>
            <w:pPr>
              <w:jc w:val="right"/>
              <w:spacing w:after="0" w:line="190" w:lineRule="exact"/>
              <w:rPr>
                <w:sz w:val="20"/>
                <w:szCs w:val="20"/>
                <w:color w:val="auto"/>
              </w:rPr>
            </w:pPr>
            <w:r>
              <w:rPr>
                <w:rFonts w:ascii="Arial" w:cs="Arial" w:eastAsia="Arial" w:hAnsi="Arial"/>
                <w:sz w:val="17"/>
                <w:szCs w:val="17"/>
                <w:color w:val="0000FF"/>
              </w:rPr>
              <w:t>46</w:t>
            </w:r>
          </w:p>
        </w:tc>
        <w:tc>
          <w:tcPr>
            <w:tcW w:w="0" w:type="dxa"/>
            <w:vAlign w:val="bottom"/>
          </w:tcPr>
          <w:p>
            <w:pPr>
              <w:spacing w:after="0"/>
              <w:rPr>
                <w:sz w:val="1"/>
                <w:szCs w:val="1"/>
                <w:color w:val="auto"/>
              </w:rPr>
            </w:pPr>
          </w:p>
        </w:tc>
      </w:tr>
      <w:tr>
        <w:trPr>
          <w:trHeight w:val="180"/>
        </w:trPr>
        <w:tc>
          <w:tcPr>
            <w:tcW w:w="980" w:type="dxa"/>
            <w:vAlign w:val="bottom"/>
            <w:tcBorders>
              <w:top w:val="single" w:sz="8" w:color="CCEEFF"/>
            </w:tcBorders>
          </w:tcPr>
          <w:p>
            <w:pPr>
              <w:ind w:left="40"/>
              <w:spacing w:after="0" w:line="180" w:lineRule="exact"/>
              <w:rPr>
                <w:sz w:val="20"/>
                <w:szCs w:val="20"/>
                <w:color w:val="auto"/>
              </w:rPr>
            </w:pPr>
            <w:r>
              <w:rPr>
                <w:rFonts w:ascii="Arial" w:cs="Arial" w:eastAsia="Arial" w:hAnsi="Arial"/>
                <w:sz w:val="17"/>
                <w:szCs w:val="17"/>
                <w:color w:val="auto"/>
              </w:rPr>
              <w:t>Item 4.</w:t>
            </w:r>
          </w:p>
        </w:tc>
        <w:tc>
          <w:tcPr>
            <w:tcW w:w="4100" w:type="dxa"/>
            <w:vAlign w:val="bottom"/>
            <w:tcBorders>
              <w:top w:val="single" w:sz="8" w:color="0000FF"/>
            </w:tcBorders>
            <w:gridSpan w:val="9"/>
          </w:tcPr>
          <w:p>
            <w:pPr>
              <w:spacing w:after="0" w:line="180" w:lineRule="exact"/>
              <w:rPr>
                <w:sz w:val="20"/>
                <w:szCs w:val="20"/>
                <w:color w:val="auto"/>
              </w:rPr>
            </w:pPr>
            <w:r>
              <w:rPr>
                <w:rFonts w:ascii="Arial" w:cs="Arial" w:eastAsia="Arial" w:hAnsi="Arial"/>
                <w:sz w:val="17"/>
                <w:szCs w:val="17"/>
                <w:color w:val="0000FF"/>
              </w:rPr>
              <w:t>Controls and Procedures</w:t>
            </w:r>
          </w:p>
        </w:tc>
        <w:tc>
          <w:tcPr>
            <w:tcW w:w="5460" w:type="dxa"/>
            <w:vAlign w:val="bottom"/>
            <w:tcBorders>
              <w:top w:val="single" w:sz="8" w:color="CCEEFF"/>
            </w:tcBorders>
            <w:gridSpan w:val="8"/>
          </w:tcPr>
          <w:p>
            <w:pPr>
              <w:spacing w:after="0"/>
              <w:rPr>
                <w:sz w:val="15"/>
                <w:szCs w:val="15"/>
                <w:color w:val="auto"/>
              </w:rPr>
            </w:pPr>
          </w:p>
        </w:tc>
        <w:tc>
          <w:tcPr>
            <w:tcW w:w="600" w:type="dxa"/>
            <w:vAlign w:val="bottom"/>
            <w:tcBorders>
              <w:top w:val="single" w:sz="8" w:color="CCEEFF"/>
            </w:tcBorders>
          </w:tcPr>
          <w:p>
            <w:pPr>
              <w:jc w:val="right"/>
              <w:spacing w:after="0" w:line="180" w:lineRule="exact"/>
              <w:rPr>
                <w:sz w:val="20"/>
                <w:szCs w:val="20"/>
                <w:color w:val="auto"/>
              </w:rPr>
            </w:pPr>
            <w:r>
              <w:rPr>
                <w:rFonts w:ascii="Arial" w:cs="Arial" w:eastAsia="Arial" w:hAnsi="Arial"/>
                <w:sz w:val="17"/>
                <w:szCs w:val="17"/>
                <w:color w:val="0000FF"/>
              </w:rPr>
              <w:t>46</w:t>
            </w:r>
          </w:p>
        </w:tc>
        <w:tc>
          <w:tcPr>
            <w:tcW w:w="0" w:type="dxa"/>
            <w:vAlign w:val="bottom"/>
          </w:tcPr>
          <w:p>
            <w:pPr>
              <w:spacing w:after="0"/>
              <w:rPr>
                <w:sz w:val="1"/>
                <w:szCs w:val="1"/>
                <w:color w:val="auto"/>
              </w:rPr>
            </w:pPr>
          </w:p>
        </w:tc>
      </w:tr>
      <w:tr>
        <w:trPr>
          <w:trHeight w:val="29"/>
        </w:trPr>
        <w:tc>
          <w:tcPr>
            <w:tcW w:w="980" w:type="dxa"/>
            <w:vAlign w:val="bottom"/>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7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980" w:type="dxa"/>
            <w:vAlign w:val="bottom"/>
            <w:shd w:val="clear" w:color="auto" w:fill="CCEEFF"/>
          </w:tcPr>
          <w:p>
            <w:pPr>
              <w:spacing w:after="0"/>
              <w:rPr>
                <w:sz w:val="19"/>
                <w:szCs w:val="19"/>
                <w:color w:val="auto"/>
              </w:rPr>
            </w:pPr>
          </w:p>
        </w:tc>
        <w:tc>
          <w:tcPr>
            <w:tcW w:w="9560" w:type="dxa"/>
            <w:vAlign w:val="bottom"/>
            <w:gridSpan w:val="17"/>
            <w:shd w:val="clear" w:color="auto" w:fill="CCEEFF"/>
          </w:tcPr>
          <w:p>
            <w:pPr>
              <w:spacing w:after="0"/>
              <w:rPr>
                <w:sz w:val="20"/>
                <w:szCs w:val="20"/>
                <w:color w:val="auto"/>
              </w:rPr>
            </w:pPr>
            <w:r>
              <w:rPr>
                <w:rFonts w:ascii="Arial" w:cs="Arial" w:eastAsia="Arial" w:hAnsi="Arial"/>
                <w:sz w:val="17"/>
                <w:szCs w:val="17"/>
                <w:b w:val="1"/>
                <w:bCs w:val="1"/>
                <w:color w:val="auto"/>
              </w:rPr>
              <w:t>PART II—OTHER INFORMATION</w:t>
            </w:r>
          </w:p>
        </w:tc>
        <w:tc>
          <w:tcPr>
            <w:tcW w:w="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980" w:type="dxa"/>
            <w:vAlign w:val="bottom"/>
          </w:tcPr>
          <w:p>
            <w:pPr>
              <w:ind w:left="40"/>
              <w:spacing w:after="0" w:line="180" w:lineRule="exact"/>
              <w:rPr>
                <w:sz w:val="20"/>
                <w:szCs w:val="20"/>
                <w:color w:val="auto"/>
              </w:rPr>
            </w:pPr>
            <w:r>
              <w:rPr>
                <w:rFonts w:ascii="Arial" w:cs="Arial" w:eastAsia="Arial" w:hAnsi="Arial"/>
                <w:sz w:val="17"/>
                <w:szCs w:val="17"/>
                <w:color w:val="auto"/>
              </w:rPr>
              <w:t>Item 1.</w:t>
            </w:r>
          </w:p>
        </w:tc>
        <w:tc>
          <w:tcPr>
            <w:tcW w:w="9560" w:type="dxa"/>
            <w:vAlign w:val="bottom"/>
            <w:gridSpan w:val="17"/>
          </w:tcPr>
          <w:p>
            <w:pPr>
              <w:spacing w:after="0" w:line="180" w:lineRule="exact"/>
              <w:rPr>
                <w:sz w:val="20"/>
                <w:szCs w:val="20"/>
                <w:color w:val="auto"/>
              </w:rPr>
            </w:pPr>
            <w:r>
              <w:rPr>
                <w:rFonts w:ascii="Arial" w:cs="Arial" w:eastAsia="Arial" w:hAnsi="Arial"/>
                <w:sz w:val="17"/>
                <w:szCs w:val="17"/>
                <w:color w:val="0000FF"/>
              </w:rPr>
              <w:t>Legal Proceedings</w:t>
            </w:r>
          </w:p>
        </w:tc>
        <w:tc>
          <w:tcPr>
            <w:tcW w:w="600" w:type="dxa"/>
            <w:vAlign w:val="bottom"/>
          </w:tcPr>
          <w:p>
            <w:pPr>
              <w:jc w:val="right"/>
              <w:spacing w:after="0" w:line="180" w:lineRule="exact"/>
              <w:rPr>
                <w:sz w:val="20"/>
                <w:szCs w:val="20"/>
                <w:color w:val="auto"/>
              </w:rPr>
            </w:pPr>
            <w:r>
              <w:rPr>
                <w:rFonts w:ascii="Arial" w:cs="Arial" w:eastAsia="Arial" w:hAnsi="Arial"/>
                <w:sz w:val="17"/>
                <w:szCs w:val="17"/>
                <w:color w:val="0000FF"/>
              </w:rPr>
              <w:t>47</w:t>
            </w:r>
          </w:p>
        </w:tc>
        <w:tc>
          <w:tcPr>
            <w:tcW w:w="0" w:type="dxa"/>
            <w:vAlign w:val="bottom"/>
          </w:tcPr>
          <w:p>
            <w:pPr>
              <w:spacing w:after="0"/>
              <w:rPr>
                <w:sz w:val="1"/>
                <w:szCs w:val="1"/>
                <w:color w:val="auto"/>
              </w:rPr>
            </w:pPr>
          </w:p>
        </w:tc>
      </w:tr>
      <w:tr>
        <w:trPr>
          <w:trHeight w:val="208"/>
        </w:trPr>
        <w:tc>
          <w:tcPr>
            <w:tcW w:w="980" w:type="dxa"/>
            <w:vAlign w:val="bottom"/>
            <w:tcBorders>
              <w:bottom w:val="single" w:sz="8" w:color="CCEEFF"/>
            </w:tcBorders>
            <w:shd w:val="clear" w:color="auto" w:fill="CCEEFF"/>
          </w:tcPr>
          <w:p>
            <w:pPr>
              <w:ind w:left="40"/>
              <w:spacing w:after="0" w:line="190" w:lineRule="exact"/>
              <w:rPr>
                <w:sz w:val="20"/>
                <w:szCs w:val="20"/>
                <w:color w:val="auto"/>
              </w:rPr>
            </w:pPr>
            <w:r>
              <w:rPr>
                <w:rFonts w:ascii="Arial" w:cs="Arial" w:eastAsia="Arial" w:hAnsi="Arial"/>
                <w:sz w:val="17"/>
                <w:szCs w:val="17"/>
                <w:color w:val="auto"/>
              </w:rPr>
              <w:t>Item 1A.</w:t>
            </w:r>
          </w:p>
        </w:tc>
        <w:tc>
          <w:tcPr>
            <w:tcW w:w="860" w:type="dxa"/>
            <w:vAlign w:val="bottom"/>
            <w:tcBorders>
              <w:top w:val="single" w:sz="8" w:color="0000FF"/>
              <w:bottom w:val="single" w:sz="8" w:color="0000FF"/>
            </w:tcBorders>
            <w:gridSpan w:val="3"/>
            <w:shd w:val="clear" w:color="auto" w:fill="CCEEFF"/>
          </w:tcPr>
          <w:p>
            <w:pPr>
              <w:spacing w:after="0" w:line="190" w:lineRule="exact"/>
              <w:rPr>
                <w:sz w:val="20"/>
                <w:szCs w:val="20"/>
                <w:color w:val="auto"/>
              </w:rPr>
            </w:pPr>
            <w:r>
              <w:rPr>
                <w:rFonts w:ascii="Arial" w:cs="Arial" w:eastAsia="Arial" w:hAnsi="Arial"/>
                <w:sz w:val="17"/>
                <w:szCs w:val="17"/>
                <w:color w:val="0000FF"/>
                <w:w w:val="88"/>
              </w:rPr>
              <w:t>Risk Factors</w:t>
            </w:r>
          </w:p>
        </w:tc>
        <w:tc>
          <w:tcPr>
            <w:tcW w:w="400" w:type="dxa"/>
            <w:vAlign w:val="bottom"/>
            <w:tcBorders>
              <w:top w:val="single" w:sz="8" w:color="0000FF"/>
              <w:bottom w:val="single" w:sz="8" w:color="CCEEFF"/>
            </w:tcBorders>
            <w:gridSpan w:val="2"/>
            <w:shd w:val="clear" w:color="auto" w:fill="CCEEFF"/>
          </w:tcPr>
          <w:p>
            <w:pPr>
              <w:spacing w:after="0"/>
              <w:rPr>
                <w:sz w:val="18"/>
                <w:szCs w:val="18"/>
                <w:color w:val="auto"/>
              </w:rPr>
            </w:pPr>
          </w:p>
        </w:tc>
        <w:tc>
          <w:tcPr>
            <w:tcW w:w="8300" w:type="dxa"/>
            <w:vAlign w:val="bottom"/>
            <w:tcBorders>
              <w:bottom w:val="single" w:sz="8" w:color="CCEEFF"/>
            </w:tcBorders>
            <w:gridSpan w:val="12"/>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line="190" w:lineRule="exact"/>
              <w:rPr>
                <w:sz w:val="20"/>
                <w:szCs w:val="20"/>
                <w:color w:val="auto"/>
              </w:rPr>
            </w:pPr>
            <w:r>
              <w:rPr>
                <w:rFonts w:ascii="Arial" w:cs="Arial" w:eastAsia="Arial" w:hAnsi="Arial"/>
                <w:sz w:val="17"/>
                <w:szCs w:val="17"/>
                <w:color w:val="0000FF"/>
              </w:rPr>
              <w:t>47</w:t>
            </w:r>
          </w:p>
        </w:tc>
        <w:tc>
          <w:tcPr>
            <w:tcW w:w="0" w:type="dxa"/>
            <w:vAlign w:val="bottom"/>
          </w:tcPr>
          <w:p>
            <w:pPr>
              <w:spacing w:after="0"/>
              <w:rPr>
                <w:sz w:val="1"/>
                <w:szCs w:val="1"/>
                <w:color w:val="auto"/>
              </w:rPr>
            </w:pPr>
          </w:p>
        </w:tc>
      </w:tr>
      <w:tr>
        <w:trPr>
          <w:trHeight w:val="190"/>
        </w:trPr>
        <w:tc>
          <w:tcPr>
            <w:tcW w:w="980" w:type="dxa"/>
            <w:vAlign w:val="bottom"/>
          </w:tcPr>
          <w:p>
            <w:pPr>
              <w:ind w:left="40"/>
              <w:spacing w:after="0" w:line="180" w:lineRule="exact"/>
              <w:rPr>
                <w:sz w:val="20"/>
                <w:szCs w:val="20"/>
                <w:color w:val="auto"/>
              </w:rPr>
            </w:pPr>
            <w:r>
              <w:rPr>
                <w:rFonts w:ascii="Arial" w:cs="Arial" w:eastAsia="Arial" w:hAnsi="Arial"/>
                <w:sz w:val="17"/>
                <w:szCs w:val="17"/>
                <w:color w:val="auto"/>
              </w:rPr>
              <w:t>Item 2.</w:t>
            </w:r>
          </w:p>
        </w:tc>
        <w:tc>
          <w:tcPr>
            <w:tcW w:w="6780" w:type="dxa"/>
            <w:vAlign w:val="bottom"/>
            <w:tcBorders>
              <w:bottom w:val="single" w:sz="8" w:color="0000FF"/>
            </w:tcBorders>
            <w:gridSpan w:val="12"/>
          </w:tcPr>
          <w:p>
            <w:pPr>
              <w:spacing w:after="0" w:line="180" w:lineRule="exact"/>
              <w:rPr>
                <w:sz w:val="20"/>
                <w:szCs w:val="20"/>
                <w:color w:val="auto"/>
              </w:rPr>
            </w:pPr>
            <w:r>
              <w:rPr>
                <w:rFonts w:ascii="Arial" w:cs="Arial" w:eastAsia="Arial" w:hAnsi="Arial"/>
                <w:sz w:val="17"/>
                <w:szCs w:val="17"/>
                <w:color w:val="0000FF"/>
                <w:w w:val="90"/>
              </w:rPr>
              <w:t>Unregistered Sales of Equity Securities, Use of Proceeds and Issuer Purchases of Equity Securities</w:t>
            </w:r>
          </w:p>
        </w:tc>
        <w:tc>
          <w:tcPr>
            <w:tcW w:w="2780" w:type="dxa"/>
            <w:vAlign w:val="bottom"/>
            <w:gridSpan w:val="5"/>
          </w:tcPr>
          <w:p>
            <w:pPr>
              <w:spacing w:after="0"/>
              <w:rPr>
                <w:sz w:val="16"/>
                <w:szCs w:val="16"/>
                <w:color w:val="auto"/>
              </w:rPr>
            </w:pPr>
          </w:p>
        </w:tc>
        <w:tc>
          <w:tcPr>
            <w:tcW w:w="600" w:type="dxa"/>
            <w:vAlign w:val="bottom"/>
          </w:tcPr>
          <w:p>
            <w:pPr>
              <w:jc w:val="right"/>
              <w:spacing w:after="0" w:line="180" w:lineRule="exact"/>
              <w:rPr>
                <w:sz w:val="20"/>
                <w:szCs w:val="20"/>
                <w:color w:val="auto"/>
              </w:rPr>
            </w:pPr>
            <w:r>
              <w:rPr>
                <w:rFonts w:ascii="Arial" w:cs="Arial" w:eastAsia="Arial" w:hAnsi="Arial"/>
                <w:sz w:val="17"/>
                <w:szCs w:val="17"/>
                <w:color w:val="0000FF"/>
              </w:rPr>
              <w:t>47</w:t>
            </w:r>
          </w:p>
        </w:tc>
        <w:tc>
          <w:tcPr>
            <w:tcW w:w="0" w:type="dxa"/>
            <w:vAlign w:val="bottom"/>
          </w:tcPr>
          <w:p>
            <w:pPr>
              <w:spacing w:after="0"/>
              <w:rPr>
                <w:sz w:val="1"/>
                <w:szCs w:val="1"/>
                <w:color w:val="auto"/>
              </w:rPr>
            </w:pPr>
          </w:p>
        </w:tc>
      </w:tr>
      <w:tr>
        <w:trPr>
          <w:trHeight w:val="209"/>
        </w:trPr>
        <w:tc>
          <w:tcPr>
            <w:tcW w:w="980" w:type="dxa"/>
            <w:vAlign w:val="bottom"/>
            <w:shd w:val="clear" w:color="auto" w:fill="CCEEFF"/>
          </w:tcPr>
          <w:p>
            <w:pPr>
              <w:ind w:left="40"/>
              <w:spacing w:after="0" w:line="190" w:lineRule="exact"/>
              <w:rPr>
                <w:sz w:val="20"/>
                <w:szCs w:val="20"/>
                <w:color w:val="auto"/>
              </w:rPr>
            </w:pPr>
            <w:r>
              <w:rPr>
                <w:rFonts w:ascii="Arial" w:cs="Arial" w:eastAsia="Arial" w:hAnsi="Arial"/>
                <w:sz w:val="17"/>
                <w:szCs w:val="17"/>
                <w:color w:val="auto"/>
              </w:rPr>
              <w:t>Item 4.</w:t>
            </w:r>
          </w:p>
        </w:tc>
        <w:tc>
          <w:tcPr>
            <w:tcW w:w="9560" w:type="dxa"/>
            <w:vAlign w:val="bottom"/>
            <w:gridSpan w:val="17"/>
            <w:shd w:val="clear" w:color="auto" w:fill="CCEEFF"/>
          </w:tcPr>
          <w:p>
            <w:pPr>
              <w:spacing w:after="0" w:line="190" w:lineRule="exact"/>
              <w:rPr>
                <w:sz w:val="20"/>
                <w:szCs w:val="20"/>
                <w:color w:val="auto"/>
              </w:rPr>
            </w:pPr>
            <w:r>
              <w:rPr>
                <w:rFonts w:ascii="Arial" w:cs="Arial" w:eastAsia="Arial" w:hAnsi="Arial"/>
                <w:sz w:val="17"/>
                <w:szCs w:val="17"/>
                <w:color w:val="0000FF"/>
              </w:rPr>
              <w:t>Mine Safety Disclosures</w:t>
            </w:r>
          </w:p>
        </w:tc>
        <w:tc>
          <w:tcPr>
            <w:tcW w:w="600" w:type="dxa"/>
            <w:vAlign w:val="bottom"/>
            <w:shd w:val="clear" w:color="auto" w:fill="CCEEFF"/>
          </w:tcPr>
          <w:p>
            <w:pPr>
              <w:jc w:val="right"/>
              <w:spacing w:after="0" w:line="190" w:lineRule="exact"/>
              <w:rPr>
                <w:sz w:val="20"/>
                <w:szCs w:val="20"/>
                <w:color w:val="auto"/>
              </w:rPr>
            </w:pPr>
            <w:r>
              <w:rPr>
                <w:rFonts w:ascii="Arial" w:cs="Arial" w:eastAsia="Arial" w:hAnsi="Arial"/>
                <w:sz w:val="17"/>
                <w:szCs w:val="17"/>
                <w:color w:val="0000FF"/>
              </w:rPr>
              <w:t>47</w:t>
            </w:r>
          </w:p>
        </w:tc>
        <w:tc>
          <w:tcPr>
            <w:tcW w:w="0" w:type="dxa"/>
            <w:vAlign w:val="bottom"/>
          </w:tcPr>
          <w:p>
            <w:pPr>
              <w:spacing w:after="0"/>
              <w:rPr>
                <w:sz w:val="1"/>
                <w:szCs w:val="1"/>
                <w:color w:val="auto"/>
              </w:rPr>
            </w:pPr>
          </w:p>
        </w:tc>
      </w:tr>
      <w:tr>
        <w:trPr>
          <w:trHeight w:val="190"/>
        </w:trPr>
        <w:tc>
          <w:tcPr>
            <w:tcW w:w="980" w:type="dxa"/>
            <w:vAlign w:val="bottom"/>
            <w:tcBorders>
              <w:top w:val="single" w:sz="8" w:color="CCEEFF"/>
            </w:tcBorders>
          </w:tcPr>
          <w:p>
            <w:pPr>
              <w:ind w:left="40"/>
              <w:spacing w:after="0" w:line="180" w:lineRule="exact"/>
              <w:rPr>
                <w:sz w:val="20"/>
                <w:szCs w:val="20"/>
                <w:color w:val="auto"/>
              </w:rPr>
            </w:pPr>
            <w:r>
              <w:rPr>
                <w:rFonts w:ascii="Arial" w:cs="Arial" w:eastAsia="Arial" w:hAnsi="Arial"/>
                <w:sz w:val="17"/>
                <w:szCs w:val="17"/>
                <w:color w:val="auto"/>
              </w:rPr>
              <w:t>Item 5.</w:t>
            </w:r>
          </w:p>
        </w:tc>
        <w:tc>
          <w:tcPr>
            <w:tcW w:w="1680" w:type="dxa"/>
            <w:vAlign w:val="bottom"/>
            <w:tcBorders>
              <w:top w:val="single" w:sz="8" w:color="0000FF"/>
            </w:tcBorders>
            <w:gridSpan w:val="6"/>
          </w:tcPr>
          <w:p>
            <w:pPr>
              <w:spacing w:after="0" w:line="180" w:lineRule="exact"/>
              <w:rPr>
                <w:sz w:val="20"/>
                <w:szCs w:val="20"/>
                <w:color w:val="auto"/>
              </w:rPr>
            </w:pPr>
            <w:r>
              <w:rPr>
                <w:rFonts w:ascii="Arial" w:cs="Arial" w:eastAsia="Arial" w:hAnsi="Arial"/>
                <w:sz w:val="17"/>
                <w:szCs w:val="17"/>
                <w:color w:val="0000FF"/>
              </w:rPr>
              <w:t>Other Information</w:t>
            </w:r>
          </w:p>
        </w:tc>
        <w:tc>
          <w:tcPr>
            <w:tcW w:w="7880" w:type="dxa"/>
            <w:vAlign w:val="bottom"/>
            <w:tcBorders>
              <w:top w:val="single" w:sz="8" w:color="CCEEFF"/>
            </w:tcBorders>
            <w:gridSpan w:val="11"/>
          </w:tcPr>
          <w:p>
            <w:pPr>
              <w:spacing w:after="0"/>
              <w:rPr>
                <w:sz w:val="16"/>
                <w:szCs w:val="16"/>
                <w:color w:val="auto"/>
              </w:rPr>
            </w:pPr>
          </w:p>
        </w:tc>
        <w:tc>
          <w:tcPr>
            <w:tcW w:w="600" w:type="dxa"/>
            <w:vAlign w:val="bottom"/>
            <w:tcBorders>
              <w:top w:val="single" w:sz="8" w:color="CCEEFF"/>
            </w:tcBorders>
          </w:tcPr>
          <w:p>
            <w:pPr>
              <w:jc w:val="right"/>
              <w:spacing w:after="0" w:line="180" w:lineRule="exact"/>
              <w:rPr>
                <w:sz w:val="20"/>
                <w:szCs w:val="20"/>
                <w:color w:val="auto"/>
              </w:rPr>
            </w:pPr>
            <w:r>
              <w:rPr>
                <w:rFonts w:ascii="Arial" w:cs="Arial" w:eastAsia="Arial" w:hAnsi="Arial"/>
                <w:sz w:val="17"/>
                <w:szCs w:val="17"/>
                <w:color w:val="0000FF"/>
              </w:rPr>
              <w:t>47</w:t>
            </w:r>
          </w:p>
        </w:tc>
        <w:tc>
          <w:tcPr>
            <w:tcW w:w="0" w:type="dxa"/>
            <w:vAlign w:val="bottom"/>
          </w:tcPr>
          <w:p>
            <w:pPr>
              <w:spacing w:after="0"/>
              <w:rPr>
                <w:sz w:val="1"/>
                <w:szCs w:val="1"/>
                <w:color w:val="auto"/>
              </w:rPr>
            </w:pPr>
          </w:p>
        </w:tc>
      </w:tr>
      <w:tr>
        <w:trPr>
          <w:trHeight w:val="190"/>
        </w:trPr>
        <w:tc>
          <w:tcPr>
            <w:tcW w:w="980" w:type="dxa"/>
            <w:vAlign w:val="bottom"/>
            <w:shd w:val="clear" w:color="auto" w:fill="CCEEFF"/>
          </w:tcPr>
          <w:p>
            <w:pPr>
              <w:ind w:left="40"/>
              <w:spacing w:after="0" w:line="190" w:lineRule="exact"/>
              <w:rPr>
                <w:sz w:val="20"/>
                <w:szCs w:val="20"/>
                <w:color w:val="auto"/>
              </w:rPr>
            </w:pPr>
            <w:r>
              <w:rPr>
                <w:rFonts w:ascii="Arial" w:cs="Arial" w:eastAsia="Arial" w:hAnsi="Arial"/>
                <w:sz w:val="17"/>
                <w:szCs w:val="17"/>
                <w:color w:val="auto"/>
              </w:rPr>
              <w:t>Item 6.</w:t>
            </w:r>
          </w:p>
        </w:tc>
        <w:tc>
          <w:tcPr>
            <w:tcW w:w="1240" w:type="dxa"/>
            <w:vAlign w:val="bottom"/>
            <w:tcBorders>
              <w:top w:val="single" w:sz="8" w:color="0000FF"/>
            </w:tcBorders>
            <w:gridSpan w:val="4"/>
            <w:shd w:val="clear" w:color="auto" w:fill="CCEEFF"/>
          </w:tcPr>
          <w:p>
            <w:pPr>
              <w:spacing w:after="0" w:line="190" w:lineRule="exact"/>
              <w:rPr>
                <w:sz w:val="20"/>
                <w:szCs w:val="20"/>
                <w:color w:val="auto"/>
              </w:rPr>
            </w:pPr>
            <w:r>
              <w:rPr>
                <w:rFonts w:ascii="Arial" w:cs="Arial" w:eastAsia="Arial" w:hAnsi="Arial"/>
                <w:sz w:val="17"/>
                <w:szCs w:val="17"/>
                <w:color w:val="0000FF"/>
              </w:rPr>
              <w:t>Exhibits</w:t>
            </w:r>
          </w:p>
        </w:tc>
        <w:tc>
          <w:tcPr>
            <w:tcW w:w="8320" w:type="dxa"/>
            <w:vAlign w:val="bottom"/>
            <w:gridSpan w:val="13"/>
            <w:shd w:val="clear" w:color="auto" w:fill="CCEEFF"/>
          </w:tcPr>
          <w:p>
            <w:pPr>
              <w:spacing w:after="0"/>
              <w:rPr>
                <w:sz w:val="16"/>
                <w:szCs w:val="16"/>
                <w:color w:val="auto"/>
              </w:rPr>
            </w:pPr>
          </w:p>
        </w:tc>
        <w:tc>
          <w:tcPr>
            <w:tcW w:w="600" w:type="dxa"/>
            <w:vAlign w:val="bottom"/>
            <w:shd w:val="clear" w:color="auto" w:fill="CCEEFF"/>
          </w:tcPr>
          <w:p>
            <w:pPr>
              <w:jc w:val="right"/>
              <w:spacing w:after="0" w:line="190" w:lineRule="exact"/>
              <w:rPr>
                <w:sz w:val="20"/>
                <w:szCs w:val="20"/>
                <w:color w:val="auto"/>
              </w:rPr>
            </w:pPr>
            <w:r>
              <w:rPr>
                <w:rFonts w:ascii="Arial" w:cs="Arial" w:eastAsia="Arial" w:hAnsi="Arial"/>
                <w:sz w:val="17"/>
                <w:szCs w:val="17"/>
                <w:color w:val="0000FF"/>
              </w:rPr>
              <w:t>48</w:t>
            </w:r>
          </w:p>
        </w:tc>
        <w:tc>
          <w:tcPr>
            <w:tcW w:w="0" w:type="dxa"/>
            <w:vAlign w:val="bottom"/>
          </w:tcPr>
          <w:p>
            <w:pPr>
              <w:spacing w:after="0"/>
              <w:rPr>
                <w:sz w:val="1"/>
                <w:szCs w:val="1"/>
                <w:color w:val="auto"/>
              </w:rPr>
            </w:pPr>
          </w:p>
        </w:tc>
      </w:tr>
      <w:tr>
        <w:trPr>
          <w:trHeight w:val="39"/>
        </w:trPr>
        <w:tc>
          <w:tcPr>
            <w:tcW w:w="980" w:type="dxa"/>
            <w:vAlign w:val="bottom"/>
            <w:shd w:val="clear" w:color="auto" w:fill="CCEEFF"/>
          </w:tcPr>
          <w:p>
            <w:pPr>
              <w:spacing w:after="0"/>
              <w:rPr>
                <w:sz w:val="3"/>
                <w:szCs w:val="3"/>
                <w:color w:val="auto"/>
              </w:rPr>
            </w:pPr>
          </w:p>
        </w:tc>
        <w:tc>
          <w:tcPr>
            <w:tcW w:w="560" w:type="dxa"/>
            <w:vAlign w:val="bottom"/>
            <w:shd w:val="clear" w:color="auto" w:fill="0000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140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20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0"/>
        </w:trPr>
        <w:tc>
          <w:tcPr>
            <w:tcW w:w="980" w:type="dxa"/>
            <w:vAlign w:val="bottom"/>
          </w:tcPr>
          <w:p>
            <w:pPr>
              <w:spacing w:after="0"/>
              <w:rPr>
                <w:sz w:val="15"/>
                <w:szCs w:val="15"/>
                <w:color w:val="auto"/>
              </w:rPr>
            </w:pPr>
          </w:p>
        </w:tc>
        <w:tc>
          <w:tcPr>
            <w:tcW w:w="720" w:type="dxa"/>
            <w:vAlign w:val="bottom"/>
            <w:tcBorders>
              <w:bottom w:val="single" w:sz="8" w:color="0000FF"/>
            </w:tcBorders>
            <w:gridSpan w:val="2"/>
          </w:tcPr>
          <w:p>
            <w:pPr>
              <w:spacing w:after="0" w:line="180" w:lineRule="exact"/>
              <w:rPr>
                <w:sz w:val="20"/>
                <w:szCs w:val="20"/>
                <w:color w:val="auto"/>
              </w:rPr>
            </w:pPr>
            <w:r>
              <w:rPr>
                <w:rFonts w:ascii="Arial" w:cs="Arial" w:eastAsia="Arial" w:hAnsi="Arial"/>
                <w:sz w:val="17"/>
                <w:szCs w:val="17"/>
                <w:color w:val="0000FF"/>
                <w:w w:val="86"/>
              </w:rPr>
              <w:t>Signatures</w:t>
            </w:r>
          </w:p>
        </w:tc>
        <w:tc>
          <w:tcPr>
            <w:tcW w:w="8840" w:type="dxa"/>
            <w:vAlign w:val="bottom"/>
            <w:gridSpan w:val="15"/>
          </w:tcPr>
          <w:p>
            <w:pPr>
              <w:spacing w:after="0"/>
              <w:rPr>
                <w:sz w:val="15"/>
                <w:szCs w:val="15"/>
                <w:color w:val="auto"/>
              </w:rPr>
            </w:pPr>
          </w:p>
        </w:tc>
        <w:tc>
          <w:tcPr>
            <w:tcW w:w="600" w:type="dxa"/>
            <w:vAlign w:val="bottom"/>
          </w:tcPr>
          <w:p>
            <w:pPr>
              <w:jc w:val="right"/>
              <w:spacing w:after="0" w:line="180" w:lineRule="exact"/>
              <w:rPr>
                <w:sz w:val="20"/>
                <w:szCs w:val="20"/>
                <w:color w:val="auto"/>
              </w:rPr>
            </w:pPr>
            <w:r>
              <w:rPr>
                <w:rFonts w:ascii="Arial" w:cs="Arial" w:eastAsia="Arial" w:hAnsi="Arial"/>
                <w:sz w:val="17"/>
                <w:szCs w:val="17"/>
                <w:color w:val="0000FF"/>
              </w:rPr>
              <w:t>49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67310</wp:posOffset>
            </wp:positionV>
            <wp:extent cx="716407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40"/>
          </w:cols>
          <w:pgMar w:left="380" w:top="895" w:right="37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7"/>
          <w:szCs w:val="17"/>
          <w:b w:val="1"/>
          <w:bCs w:val="1"/>
          <w:color w:val="auto"/>
        </w:rPr>
        <w:t>PART I—FINANCIAL INFORMATION</w:t>
      </w:r>
    </w:p>
    <w:p>
      <w:pPr>
        <w:spacing w:after="0" w:line="217" w:lineRule="exact"/>
        <w:rPr>
          <w:sz w:val="20"/>
          <w:szCs w:val="20"/>
          <w:color w:val="auto"/>
        </w:rPr>
      </w:pPr>
    </w:p>
    <w:p>
      <w:pPr>
        <w:spacing w:after="0"/>
        <w:tabs>
          <w:tab w:leader="none" w:pos="680" w:val="left"/>
        </w:tabs>
        <w:rPr>
          <w:sz w:val="20"/>
          <w:szCs w:val="20"/>
          <w:color w:val="auto"/>
        </w:rPr>
      </w:pPr>
      <w:r>
        <w:rPr>
          <w:rFonts w:ascii="Arial" w:cs="Arial" w:eastAsia="Arial" w:hAnsi="Arial"/>
          <w:sz w:val="17"/>
          <w:szCs w:val="17"/>
          <w:b w:val="1"/>
          <w:bCs w:val="1"/>
          <w:color w:val="auto"/>
        </w:rPr>
        <w:t>Item 1.</w:t>
        <w:tab/>
        <w:t>FINANCIAL STATEMENTS</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WESTINGHOUSE AIR BRAKE TECHNOLOGIES CORPORATION</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CONDENSED CONSOLIDATED BALANCE SHEETS</w:t>
      </w:r>
    </w:p>
    <w:p>
      <w:pPr>
        <w:spacing w:after="0" w:line="29" w:lineRule="exact"/>
        <w:rPr>
          <w:sz w:val="20"/>
          <w:szCs w:val="20"/>
          <w:color w:val="auto"/>
        </w:rPr>
      </w:pPr>
    </w:p>
    <w:tbl>
      <w:tblPr>
        <w:tblLayout w:type="fixed"/>
        <w:tblInd w:w="2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6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Unaudited</w:t>
            </w:r>
          </w:p>
        </w:tc>
        <w:tc>
          <w:tcPr>
            <w:tcW w:w="2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6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5"/>
        </w:trPr>
        <w:tc>
          <w:tcPr>
            <w:tcW w:w="8060" w:type="dxa"/>
            <w:vAlign w:val="bottom"/>
            <w:gridSpan w:val="3"/>
            <w:vMerge w:val="restart"/>
          </w:tcPr>
          <w:p>
            <w:pPr>
              <w:ind w:left="20"/>
              <w:spacing w:after="0"/>
              <w:rPr>
                <w:sz w:val="20"/>
                <w:szCs w:val="20"/>
                <w:color w:val="auto"/>
              </w:rPr>
            </w:pPr>
            <w:r>
              <w:rPr>
                <w:rFonts w:ascii="Arial" w:cs="Arial" w:eastAsia="Arial" w:hAnsi="Arial"/>
                <w:sz w:val="14"/>
                <w:szCs w:val="14"/>
                <w:b w:val="1"/>
                <w:bCs w:val="1"/>
                <w:i w:val="1"/>
                <w:iCs w:val="1"/>
                <w:color w:val="auto"/>
              </w:rPr>
              <w:t>In millions, except par value</w:t>
            </w:r>
          </w:p>
        </w:tc>
        <w:tc>
          <w:tcPr>
            <w:tcW w:w="220" w:type="dxa"/>
            <w:vAlign w:val="bottom"/>
            <w:tcBorders>
              <w:top w:val="single" w:sz="8" w:color="auto"/>
            </w:tcBorders>
          </w:tcPr>
          <w:p>
            <w:pPr>
              <w:spacing w:after="0"/>
              <w:rPr>
                <w:sz w:val="10"/>
                <w:szCs w:val="10"/>
                <w:color w:val="auto"/>
              </w:rPr>
            </w:pPr>
          </w:p>
        </w:tc>
        <w:tc>
          <w:tcPr>
            <w:tcW w:w="1300" w:type="dxa"/>
            <w:vAlign w:val="bottom"/>
            <w:tcBorders>
              <w:top w:val="single" w:sz="8" w:color="auto"/>
            </w:tcBorders>
          </w:tcPr>
          <w:p>
            <w:pPr>
              <w:jc w:val="center"/>
              <w:ind w:right="144"/>
              <w:spacing w:after="0" w:line="125" w:lineRule="exact"/>
              <w:rPr>
                <w:sz w:val="20"/>
                <w:szCs w:val="20"/>
                <w:color w:val="auto"/>
              </w:rPr>
            </w:pPr>
            <w:r>
              <w:rPr>
                <w:rFonts w:ascii="Arial" w:cs="Arial" w:eastAsia="Arial" w:hAnsi="Arial"/>
                <w:sz w:val="14"/>
                <w:szCs w:val="14"/>
                <w:b w:val="1"/>
                <w:bCs w:val="1"/>
                <w:color w:val="auto"/>
                <w:w w:val="87"/>
              </w:rPr>
              <w:t>September 30,</w:t>
            </w:r>
          </w:p>
        </w:tc>
        <w:tc>
          <w:tcPr>
            <w:tcW w:w="10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300" w:type="dxa"/>
            <w:vAlign w:val="bottom"/>
            <w:tcBorders>
              <w:top w:val="single" w:sz="8" w:color="auto"/>
            </w:tcBorders>
          </w:tcPr>
          <w:p>
            <w:pPr>
              <w:jc w:val="right"/>
              <w:ind w:right="283"/>
              <w:spacing w:after="0" w:line="125"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38"/>
        </w:trPr>
        <w:tc>
          <w:tcPr>
            <w:tcW w:w="806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tcPr>
          <w:p>
            <w:pPr>
              <w:jc w:val="center"/>
              <w:ind w:right="144"/>
              <w:spacing w:after="0" w:line="119" w:lineRule="exact"/>
              <w:rPr>
                <w:sz w:val="20"/>
                <w:szCs w:val="20"/>
                <w:color w:val="auto"/>
              </w:rPr>
            </w:pPr>
            <w:r>
              <w:rPr>
                <w:rFonts w:ascii="Arial" w:cs="Arial" w:eastAsia="Arial" w:hAnsi="Arial"/>
                <w:sz w:val="13"/>
                <w:szCs w:val="13"/>
                <w:b w:val="1"/>
                <w:bCs w:val="1"/>
                <w:color w:val="auto"/>
                <w:w w:val="96"/>
              </w:rPr>
              <w:t>2023</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tcPr>
          <w:p>
            <w:pPr>
              <w:jc w:val="right"/>
              <w:ind w:right="543"/>
              <w:spacing w:after="0" w:line="119" w:lineRule="exact"/>
              <w:rPr>
                <w:sz w:val="20"/>
                <w:szCs w:val="20"/>
                <w:color w:val="auto"/>
              </w:rPr>
            </w:pPr>
            <w:r>
              <w:rPr>
                <w:rFonts w:ascii="Arial" w:cs="Arial" w:eastAsia="Arial" w:hAnsi="Arial"/>
                <w:sz w:val="13"/>
                <w:szCs w:val="13"/>
                <w:b w:val="1"/>
                <w:bCs w:val="1"/>
                <w:color w:val="auto"/>
              </w:rPr>
              <w:t>2022</w:t>
            </w:r>
          </w:p>
        </w:tc>
        <w:tc>
          <w:tcPr>
            <w:tcW w:w="0" w:type="dxa"/>
            <w:vAlign w:val="bottom"/>
          </w:tcPr>
          <w:p>
            <w:pPr>
              <w:spacing w:after="0"/>
              <w:rPr>
                <w:sz w:val="1"/>
                <w:szCs w:val="1"/>
                <w:color w:val="auto"/>
              </w:rPr>
            </w:pPr>
          </w:p>
        </w:tc>
      </w:tr>
      <w:tr>
        <w:trPr>
          <w:trHeight w:val="32"/>
        </w:trPr>
        <w:tc>
          <w:tcPr>
            <w:tcW w:w="20" w:type="dxa"/>
            <w:vAlign w:val="bottom"/>
            <w:tcBorders>
              <w:bottom w:val="single" w:sz="8" w:color="CCEEFF"/>
            </w:tcBorders>
          </w:tcPr>
          <w:p>
            <w:pPr>
              <w:spacing w:after="0"/>
              <w:rPr>
                <w:sz w:val="2"/>
                <w:szCs w:val="2"/>
                <w:color w:val="auto"/>
              </w:rPr>
            </w:pPr>
          </w:p>
        </w:tc>
        <w:tc>
          <w:tcPr>
            <w:tcW w:w="1620" w:type="dxa"/>
            <w:vAlign w:val="bottom"/>
            <w:tcBorders>
              <w:top w:val="single" w:sz="8" w:color="auto"/>
              <w:bottom w:val="single" w:sz="8" w:color="CCEEFF"/>
            </w:tcBorders>
          </w:tcPr>
          <w:p>
            <w:pPr>
              <w:spacing w:after="0"/>
              <w:rPr>
                <w:sz w:val="2"/>
                <w:szCs w:val="2"/>
                <w:color w:val="auto"/>
              </w:rPr>
            </w:pPr>
          </w:p>
        </w:tc>
        <w:tc>
          <w:tcPr>
            <w:tcW w:w="64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2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6420" w:type="dxa"/>
            <w:vAlign w:val="bottom"/>
            <w:shd w:val="clear" w:color="auto" w:fill="CCEEFF"/>
          </w:tcPr>
          <w:p>
            <w:pPr>
              <w:jc w:val="center"/>
              <w:ind w:right="1571"/>
              <w:spacing w:after="0" w:line="159" w:lineRule="exact"/>
              <w:rPr>
                <w:sz w:val="20"/>
                <w:szCs w:val="20"/>
                <w:color w:val="auto"/>
              </w:rPr>
            </w:pPr>
            <w:r>
              <w:rPr>
                <w:rFonts w:ascii="Arial" w:cs="Arial" w:eastAsia="Arial" w:hAnsi="Arial"/>
                <w:sz w:val="14"/>
                <w:szCs w:val="14"/>
                <w:b w:val="1"/>
                <w:bCs w:val="1"/>
                <w:color w:val="auto"/>
                <w:w w:val="82"/>
              </w:rPr>
              <w:t>Assets</w:t>
            </w:r>
          </w:p>
        </w:tc>
        <w:tc>
          <w:tcPr>
            <w:tcW w:w="22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8060" w:type="dxa"/>
            <w:vAlign w:val="bottom"/>
            <w:gridSpan w:val="3"/>
          </w:tcPr>
          <w:p>
            <w:pPr>
              <w:ind w:left="20"/>
              <w:spacing w:after="0"/>
              <w:rPr>
                <w:sz w:val="20"/>
                <w:szCs w:val="20"/>
                <w:color w:val="auto"/>
              </w:rPr>
            </w:pPr>
            <w:r>
              <w:rPr>
                <w:rFonts w:ascii="Arial" w:cs="Arial" w:eastAsia="Arial" w:hAnsi="Arial"/>
                <w:sz w:val="14"/>
                <w:szCs w:val="14"/>
                <w:b w:val="1"/>
                <w:bCs w:val="1"/>
                <w:color w:val="auto"/>
              </w:rPr>
              <w:t>Assets</w:t>
            </w:r>
          </w:p>
        </w:tc>
        <w:tc>
          <w:tcPr>
            <w:tcW w:w="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8060" w:type="dxa"/>
            <w:vAlign w:val="bottom"/>
            <w:gridSpan w:val="3"/>
            <w:shd w:val="clear" w:color="auto" w:fill="CCEEFF"/>
          </w:tcPr>
          <w:p>
            <w:pPr>
              <w:ind w:left="20"/>
              <w:spacing w:after="0"/>
              <w:rPr>
                <w:sz w:val="20"/>
                <w:szCs w:val="20"/>
                <w:color w:val="auto"/>
              </w:rPr>
            </w:pPr>
            <w:r>
              <w:rPr>
                <w:rFonts w:ascii="Arial" w:cs="Arial" w:eastAsia="Arial" w:hAnsi="Arial"/>
                <w:sz w:val="15"/>
                <w:szCs w:val="15"/>
                <w:color w:val="auto"/>
              </w:rPr>
              <w:t>Cash, cash equivalents and restricted cash</w:t>
            </w: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95"/>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541</w:t>
            </w:r>
          </w:p>
        </w:tc>
        <w:tc>
          <w:tcPr>
            <w:tcW w:w="0" w:type="dxa"/>
            <w:vAlign w:val="bottom"/>
          </w:tcPr>
          <w:p>
            <w:pPr>
              <w:spacing w:after="0"/>
              <w:rPr>
                <w:sz w:val="1"/>
                <w:szCs w:val="1"/>
                <w:color w:val="auto"/>
              </w:rPr>
            </w:pPr>
          </w:p>
        </w:tc>
      </w:tr>
      <w:tr>
        <w:trPr>
          <w:trHeight w:val="203"/>
        </w:trPr>
        <w:tc>
          <w:tcPr>
            <w:tcW w:w="8060" w:type="dxa"/>
            <w:vAlign w:val="bottom"/>
            <w:gridSpan w:val="3"/>
          </w:tcPr>
          <w:p>
            <w:pPr>
              <w:ind w:left="20"/>
              <w:spacing w:after="0"/>
              <w:rPr>
                <w:sz w:val="20"/>
                <w:szCs w:val="20"/>
                <w:color w:val="auto"/>
              </w:rPr>
            </w:pPr>
            <w:r>
              <w:rPr>
                <w:rFonts w:ascii="Arial" w:cs="Arial" w:eastAsia="Arial" w:hAnsi="Arial"/>
                <w:sz w:val="15"/>
                <w:szCs w:val="15"/>
                <w:color w:val="auto"/>
              </w:rPr>
              <w:t>Accounts receivable</w:t>
            </w:r>
          </w:p>
        </w:tc>
        <w:tc>
          <w:tcPr>
            <w:tcW w:w="2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1,104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975</w:t>
            </w:r>
          </w:p>
        </w:tc>
        <w:tc>
          <w:tcPr>
            <w:tcW w:w="0" w:type="dxa"/>
            <w:vAlign w:val="bottom"/>
          </w:tcPr>
          <w:p>
            <w:pPr>
              <w:spacing w:after="0"/>
              <w:rPr>
                <w:sz w:val="1"/>
                <w:szCs w:val="1"/>
                <w:color w:val="auto"/>
              </w:rPr>
            </w:pPr>
          </w:p>
        </w:tc>
      </w:tr>
      <w:tr>
        <w:trPr>
          <w:trHeight w:val="209"/>
        </w:trPr>
        <w:tc>
          <w:tcPr>
            <w:tcW w:w="8060" w:type="dxa"/>
            <w:vAlign w:val="bottom"/>
            <w:gridSpan w:val="3"/>
            <w:shd w:val="clear" w:color="auto" w:fill="CCEEFF"/>
          </w:tcPr>
          <w:p>
            <w:pPr>
              <w:ind w:left="20"/>
              <w:spacing w:after="0"/>
              <w:rPr>
                <w:sz w:val="20"/>
                <w:szCs w:val="20"/>
                <w:color w:val="auto"/>
              </w:rPr>
            </w:pPr>
            <w:r>
              <w:rPr>
                <w:rFonts w:ascii="Arial" w:cs="Arial" w:eastAsia="Arial" w:hAnsi="Arial"/>
                <w:sz w:val="15"/>
                <w:szCs w:val="15"/>
                <w:color w:val="auto"/>
              </w:rPr>
              <w:t>Unbilled accounts receivable</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610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544</w:t>
            </w:r>
          </w:p>
        </w:tc>
        <w:tc>
          <w:tcPr>
            <w:tcW w:w="0" w:type="dxa"/>
            <w:vAlign w:val="bottom"/>
          </w:tcPr>
          <w:p>
            <w:pPr>
              <w:spacing w:after="0"/>
              <w:rPr>
                <w:sz w:val="1"/>
                <w:szCs w:val="1"/>
                <w:color w:val="auto"/>
              </w:rPr>
            </w:pPr>
          </w:p>
        </w:tc>
      </w:tr>
      <w:tr>
        <w:trPr>
          <w:trHeight w:val="203"/>
        </w:trPr>
        <w:tc>
          <w:tcPr>
            <w:tcW w:w="8060" w:type="dxa"/>
            <w:vAlign w:val="bottom"/>
            <w:gridSpan w:val="3"/>
          </w:tcPr>
          <w:p>
            <w:pPr>
              <w:ind w:left="20"/>
              <w:spacing w:after="0"/>
              <w:rPr>
                <w:sz w:val="20"/>
                <w:szCs w:val="20"/>
                <w:color w:val="auto"/>
              </w:rPr>
            </w:pPr>
            <w:r>
              <w:rPr>
                <w:rFonts w:ascii="Arial" w:cs="Arial" w:eastAsia="Arial" w:hAnsi="Arial"/>
                <w:sz w:val="15"/>
                <w:szCs w:val="15"/>
                <w:color w:val="auto"/>
              </w:rPr>
              <w:t>Inventories, net</w:t>
            </w:r>
          </w:p>
        </w:tc>
        <w:tc>
          <w:tcPr>
            <w:tcW w:w="2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2,246</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2,034</w:t>
            </w:r>
          </w:p>
        </w:tc>
        <w:tc>
          <w:tcPr>
            <w:tcW w:w="0" w:type="dxa"/>
            <w:vAlign w:val="bottom"/>
          </w:tcPr>
          <w:p>
            <w:pPr>
              <w:spacing w:after="0"/>
              <w:rPr>
                <w:sz w:val="1"/>
                <w:szCs w:val="1"/>
                <w:color w:val="auto"/>
              </w:rPr>
            </w:pPr>
          </w:p>
        </w:tc>
      </w:tr>
      <w:tr>
        <w:trPr>
          <w:trHeight w:val="209"/>
        </w:trPr>
        <w:tc>
          <w:tcPr>
            <w:tcW w:w="8060" w:type="dxa"/>
            <w:vAlign w:val="bottom"/>
            <w:gridSpan w:val="3"/>
            <w:shd w:val="clear" w:color="auto" w:fill="CCEEFF"/>
          </w:tcPr>
          <w:p>
            <w:pPr>
              <w:ind w:left="20"/>
              <w:spacing w:after="0"/>
              <w:rPr>
                <w:sz w:val="20"/>
                <w:szCs w:val="20"/>
                <w:color w:val="auto"/>
              </w:rPr>
            </w:pPr>
            <w:r>
              <w:rPr>
                <w:rFonts w:ascii="Arial" w:cs="Arial" w:eastAsia="Arial" w:hAnsi="Arial"/>
                <w:sz w:val="15"/>
                <w:szCs w:val="15"/>
                <w:color w:val="auto"/>
              </w:rPr>
              <w:t>Other current assets</w:t>
            </w:r>
          </w:p>
        </w:tc>
        <w:tc>
          <w:tcPr>
            <w:tcW w:w="2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282</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233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40" w:type="dxa"/>
            <w:vAlign w:val="bottom"/>
            <w:gridSpan w:val="2"/>
          </w:tcPr>
          <w:p>
            <w:pPr>
              <w:ind w:left="220"/>
              <w:spacing w:after="0"/>
              <w:rPr>
                <w:sz w:val="20"/>
                <w:szCs w:val="20"/>
                <w:color w:val="auto"/>
              </w:rPr>
            </w:pPr>
            <w:r>
              <w:rPr>
                <w:rFonts w:ascii="Arial" w:cs="Arial" w:eastAsia="Arial" w:hAnsi="Arial"/>
                <w:sz w:val="15"/>
                <w:szCs w:val="15"/>
                <w:color w:val="auto"/>
              </w:rPr>
              <w:t>Total current assets</w:t>
            </w:r>
          </w:p>
        </w:tc>
        <w:tc>
          <w:tcPr>
            <w:tcW w:w="2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4,634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4,327</w:t>
            </w:r>
          </w:p>
        </w:tc>
        <w:tc>
          <w:tcPr>
            <w:tcW w:w="0" w:type="dxa"/>
            <w:vAlign w:val="bottom"/>
          </w:tcPr>
          <w:p>
            <w:pPr>
              <w:spacing w:after="0"/>
              <w:rPr>
                <w:sz w:val="1"/>
                <w:szCs w:val="1"/>
                <w:color w:val="auto"/>
              </w:rPr>
            </w:pPr>
          </w:p>
        </w:tc>
      </w:tr>
      <w:tr>
        <w:trPr>
          <w:trHeight w:val="209"/>
        </w:trPr>
        <w:tc>
          <w:tcPr>
            <w:tcW w:w="8060" w:type="dxa"/>
            <w:vAlign w:val="bottom"/>
            <w:gridSpan w:val="3"/>
            <w:shd w:val="clear" w:color="auto" w:fill="CCEEFF"/>
          </w:tcPr>
          <w:p>
            <w:pPr>
              <w:ind w:left="20"/>
              <w:spacing w:after="0"/>
              <w:rPr>
                <w:sz w:val="20"/>
                <w:szCs w:val="20"/>
                <w:color w:val="auto"/>
              </w:rPr>
            </w:pPr>
            <w:r>
              <w:rPr>
                <w:rFonts w:ascii="Arial" w:cs="Arial" w:eastAsia="Arial" w:hAnsi="Arial"/>
                <w:sz w:val="15"/>
                <w:szCs w:val="15"/>
                <w:color w:val="auto"/>
              </w:rPr>
              <w:t>Property, plant and equipment, net</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1,419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1,429</w:t>
            </w:r>
          </w:p>
        </w:tc>
        <w:tc>
          <w:tcPr>
            <w:tcW w:w="0" w:type="dxa"/>
            <w:vAlign w:val="bottom"/>
          </w:tcPr>
          <w:p>
            <w:pPr>
              <w:spacing w:after="0"/>
              <w:rPr>
                <w:sz w:val="1"/>
                <w:szCs w:val="1"/>
                <w:color w:val="auto"/>
              </w:rPr>
            </w:pPr>
          </w:p>
        </w:tc>
      </w:tr>
      <w:tr>
        <w:trPr>
          <w:trHeight w:val="203"/>
        </w:trPr>
        <w:tc>
          <w:tcPr>
            <w:tcW w:w="8060" w:type="dxa"/>
            <w:vAlign w:val="bottom"/>
            <w:gridSpan w:val="3"/>
          </w:tcPr>
          <w:p>
            <w:pPr>
              <w:ind w:left="20"/>
              <w:spacing w:after="0"/>
              <w:rPr>
                <w:sz w:val="20"/>
                <w:szCs w:val="20"/>
                <w:color w:val="auto"/>
              </w:rPr>
            </w:pPr>
            <w:r>
              <w:rPr>
                <w:rFonts w:ascii="Arial" w:cs="Arial" w:eastAsia="Arial" w:hAnsi="Arial"/>
                <w:sz w:val="15"/>
                <w:szCs w:val="15"/>
                <w:color w:val="auto"/>
              </w:rPr>
              <w:t>Goodwill</w:t>
            </w:r>
          </w:p>
        </w:tc>
        <w:tc>
          <w:tcPr>
            <w:tcW w:w="2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8,590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8,508</w:t>
            </w:r>
          </w:p>
        </w:tc>
        <w:tc>
          <w:tcPr>
            <w:tcW w:w="0" w:type="dxa"/>
            <w:vAlign w:val="bottom"/>
          </w:tcPr>
          <w:p>
            <w:pPr>
              <w:spacing w:after="0"/>
              <w:rPr>
                <w:sz w:val="1"/>
                <w:szCs w:val="1"/>
                <w:color w:val="auto"/>
              </w:rPr>
            </w:pPr>
          </w:p>
        </w:tc>
      </w:tr>
      <w:tr>
        <w:trPr>
          <w:trHeight w:val="209"/>
        </w:trPr>
        <w:tc>
          <w:tcPr>
            <w:tcW w:w="8060" w:type="dxa"/>
            <w:vAlign w:val="bottom"/>
            <w:gridSpan w:val="3"/>
            <w:shd w:val="clear" w:color="auto" w:fill="CCEEFF"/>
          </w:tcPr>
          <w:p>
            <w:pPr>
              <w:ind w:left="20"/>
              <w:spacing w:after="0"/>
              <w:rPr>
                <w:sz w:val="20"/>
                <w:szCs w:val="20"/>
                <w:color w:val="auto"/>
              </w:rPr>
            </w:pPr>
            <w:r>
              <w:rPr>
                <w:rFonts w:ascii="Arial" w:cs="Arial" w:eastAsia="Arial" w:hAnsi="Arial"/>
                <w:sz w:val="15"/>
                <w:szCs w:val="15"/>
                <w:color w:val="auto"/>
              </w:rPr>
              <w:t>Other intangible assets, net</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3,267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3,402</w:t>
            </w:r>
          </w:p>
        </w:tc>
        <w:tc>
          <w:tcPr>
            <w:tcW w:w="0" w:type="dxa"/>
            <w:vAlign w:val="bottom"/>
          </w:tcPr>
          <w:p>
            <w:pPr>
              <w:spacing w:after="0"/>
              <w:rPr>
                <w:sz w:val="1"/>
                <w:szCs w:val="1"/>
                <w:color w:val="auto"/>
              </w:rPr>
            </w:pPr>
          </w:p>
        </w:tc>
      </w:tr>
      <w:tr>
        <w:trPr>
          <w:trHeight w:val="203"/>
        </w:trPr>
        <w:tc>
          <w:tcPr>
            <w:tcW w:w="8060" w:type="dxa"/>
            <w:vAlign w:val="bottom"/>
            <w:tcBorders>
              <w:bottom w:val="single" w:sz="8" w:color="CCEEFF"/>
            </w:tcBorders>
            <w:gridSpan w:val="3"/>
          </w:tcPr>
          <w:p>
            <w:pPr>
              <w:ind w:left="20"/>
              <w:spacing w:after="0"/>
              <w:rPr>
                <w:sz w:val="20"/>
                <w:szCs w:val="20"/>
                <w:color w:val="auto"/>
              </w:rPr>
            </w:pPr>
            <w:r>
              <w:rPr>
                <w:rFonts w:ascii="Arial" w:cs="Arial" w:eastAsia="Arial" w:hAnsi="Arial"/>
                <w:sz w:val="15"/>
                <w:szCs w:val="15"/>
                <w:color w:val="auto"/>
              </w:rPr>
              <w:t>Other noncurrent assets</w:t>
            </w:r>
          </w:p>
        </w:tc>
        <w:tc>
          <w:tcPr>
            <w:tcW w:w="2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890</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850</w:t>
            </w:r>
          </w:p>
        </w:tc>
        <w:tc>
          <w:tcPr>
            <w:tcW w:w="0" w:type="dxa"/>
            <w:vAlign w:val="bottom"/>
          </w:tcPr>
          <w:p>
            <w:pPr>
              <w:spacing w:after="0"/>
              <w:rPr>
                <w:sz w:val="1"/>
                <w:szCs w:val="1"/>
                <w:color w:val="auto"/>
              </w:rPr>
            </w:pPr>
          </w:p>
        </w:tc>
      </w:tr>
      <w:tr>
        <w:trPr>
          <w:trHeight w:val="199"/>
        </w:trPr>
        <w:tc>
          <w:tcPr>
            <w:tcW w:w="20" w:type="dxa"/>
            <w:vAlign w:val="bottom"/>
            <w:shd w:val="clear" w:color="auto" w:fill="CCEEFF"/>
          </w:tcPr>
          <w:p>
            <w:pPr>
              <w:spacing w:after="0"/>
              <w:rPr>
                <w:sz w:val="17"/>
                <w:szCs w:val="17"/>
                <w:color w:val="auto"/>
              </w:rPr>
            </w:pPr>
          </w:p>
        </w:tc>
        <w:tc>
          <w:tcPr>
            <w:tcW w:w="8040" w:type="dxa"/>
            <w:vAlign w:val="bottom"/>
            <w:gridSpan w:val="2"/>
            <w:shd w:val="clear" w:color="auto" w:fill="CCEEFF"/>
          </w:tcPr>
          <w:p>
            <w:pPr>
              <w:ind w:left="220"/>
              <w:spacing w:after="0"/>
              <w:rPr>
                <w:sz w:val="20"/>
                <w:szCs w:val="20"/>
                <w:color w:val="auto"/>
              </w:rPr>
            </w:pPr>
            <w:r>
              <w:rPr>
                <w:rFonts w:ascii="Arial" w:cs="Arial" w:eastAsia="Arial" w:hAnsi="Arial"/>
                <w:sz w:val="15"/>
                <w:szCs w:val="15"/>
                <w:color w:val="auto"/>
              </w:rPr>
              <w:t>Total noncurrent assets</w:t>
            </w:r>
          </w:p>
        </w:tc>
        <w:tc>
          <w:tcPr>
            <w:tcW w:w="22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14,166</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14,189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40" w:type="dxa"/>
            <w:vAlign w:val="bottom"/>
            <w:gridSpan w:val="2"/>
          </w:tcPr>
          <w:p>
            <w:pPr>
              <w:ind w:left="340"/>
              <w:spacing w:after="0"/>
              <w:rPr>
                <w:sz w:val="20"/>
                <w:szCs w:val="20"/>
                <w:color w:val="auto"/>
              </w:rPr>
            </w:pPr>
            <w:r>
              <w:rPr>
                <w:rFonts w:ascii="Arial" w:cs="Arial" w:eastAsia="Arial" w:hAnsi="Arial"/>
                <w:sz w:val="15"/>
                <w:szCs w:val="15"/>
                <w:color w:val="auto"/>
              </w:rPr>
              <w:t>Total Assets</w:t>
            </w:r>
          </w:p>
        </w:tc>
        <w:tc>
          <w:tcPr>
            <w:tcW w:w="22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18,800</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w w:val="95"/>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18,516</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620" w:type="dxa"/>
            <w:vAlign w:val="bottom"/>
            <w:tcBorders>
              <w:bottom w:val="single" w:sz="8" w:color="CCEEFF"/>
            </w:tcBorders>
          </w:tcPr>
          <w:p>
            <w:pPr>
              <w:spacing w:after="0" w:line="20" w:lineRule="exact"/>
              <w:rPr>
                <w:sz w:val="1"/>
                <w:szCs w:val="1"/>
                <w:color w:val="auto"/>
              </w:rPr>
            </w:pPr>
          </w:p>
        </w:tc>
        <w:tc>
          <w:tcPr>
            <w:tcW w:w="64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20" w:type="dxa"/>
            <w:vAlign w:val="bottom"/>
            <w:shd w:val="clear" w:color="auto" w:fill="CCEEFF"/>
          </w:tcPr>
          <w:p>
            <w:pPr>
              <w:spacing w:after="0"/>
              <w:rPr>
                <w:sz w:val="13"/>
                <w:szCs w:val="13"/>
                <w:color w:val="auto"/>
              </w:rPr>
            </w:pPr>
          </w:p>
        </w:tc>
        <w:tc>
          <w:tcPr>
            <w:tcW w:w="1620" w:type="dxa"/>
            <w:vAlign w:val="bottom"/>
            <w:shd w:val="clear" w:color="auto" w:fill="CCEEFF"/>
          </w:tcPr>
          <w:p>
            <w:pPr>
              <w:spacing w:after="0"/>
              <w:rPr>
                <w:sz w:val="13"/>
                <w:szCs w:val="13"/>
                <w:color w:val="auto"/>
              </w:rPr>
            </w:pPr>
          </w:p>
        </w:tc>
        <w:tc>
          <w:tcPr>
            <w:tcW w:w="6420" w:type="dxa"/>
            <w:vAlign w:val="bottom"/>
            <w:shd w:val="clear" w:color="auto" w:fill="CCEEFF"/>
          </w:tcPr>
          <w:p>
            <w:pPr>
              <w:jc w:val="center"/>
              <w:ind w:right="1571"/>
              <w:spacing w:after="0" w:line="159" w:lineRule="exact"/>
              <w:rPr>
                <w:sz w:val="20"/>
                <w:szCs w:val="20"/>
                <w:color w:val="auto"/>
              </w:rPr>
            </w:pPr>
            <w:r>
              <w:rPr>
                <w:rFonts w:ascii="Arial" w:cs="Arial" w:eastAsia="Arial" w:hAnsi="Arial"/>
                <w:sz w:val="14"/>
                <w:szCs w:val="14"/>
                <w:b w:val="1"/>
                <w:bCs w:val="1"/>
                <w:color w:val="auto"/>
                <w:w w:val="90"/>
              </w:rPr>
              <w:t>Liabilities and Shareholders’ Equity</w:t>
            </w:r>
          </w:p>
        </w:tc>
        <w:tc>
          <w:tcPr>
            <w:tcW w:w="22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8060" w:type="dxa"/>
            <w:vAlign w:val="bottom"/>
            <w:gridSpan w:val="3"/>
          </w:tcPr>
          <w:p>
            <w:pPr>
              <w:ind w:left="20"/>
              <w:spacing w:after="0"/>
              <w:rPr>
                <w:sz w:val="20"/>
                <w:szCs w:val="20"/>
                <w:color w:val="auto"/>
              </w:rPr>
            </w:pPr>
            <w:r>
              <w:rPr>
                <w:rFonts w:ascii="Arial" w:cs="Arial" w:eastAsia="Arial" w:hAnsi="Arial"/>
                <w:sz w:val="14"/>
                <w:szCs w:val="14"/>
                <w:b w:val="1"/>
                <w:bCs w:val="1"/>
                <w:color w:val="auto"/>
              </w:rPr>
              <w:t>Liabilities</w:t>
            </w:r>
          </w:p>
        </w:tc>
        <w:tc>
          <w:tcPr>
            <w:tcW w:w="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8060" w:type="dxa"/>
            <w:vAlign w:val="bottom"/>
            <w:gridSpan w:val="3"/>
            <w:shd w:val="clear" w:color="auto" w:fill="CCEEFF"/>
          </w:tcPr>
          <w:p>
            <w:pPr>
              <w:ind w:left="20"/>
              <w:spacing w:after="0"/>
              <w:rPr>
                <w:sz w:val="20"/>
                <w:szCs w:val="20"/>
                <w:color w:val="auto"/>
              </w:rPr>
            </w:pPr>
            <w:r>
              <w:rPr>
                <w:rFonts w:ascii="Arial" w:cs="Arial" w:eastAsia="Arial" w:hAnsi="Arial"/>
                <w:sz w:val="15"/>
                <w:szCs w:val="15"/>
                <w:color w:val="auto"/>
              </w:rPr>
              <w:t>Accounts payable</w:t>
            </w: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1,243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95"/>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1,301</w:t>
            </w:r>
          </w:p>
        </w:tc>
        <w:tc>
          <w:tcPr>
            <w:tcW w:w="0" w:type="dxa"/>
            <w:vAlign w:val="bottom"/>
          </w:tcPr>
          <w:p>
            <w:pPr>
              <w:spacing w:after="0"/>
              <w:rPr>
                <w:sz w:val="1"/>
                <w:szCs w:val="1"/>
                <w:color w:val="auto"/>
              </w:rPr>
            </w:pPr>
          </w:p>
        </w:tc>
      </w:tr>
      <w:tr>
        <w:trPr>
          <w:trHeight w:val="203"/>
        </w:trPr>
        <w:tc>
          <w:tcPr>
            <w:tcW w:w="8060" w:type="dxa"/>
            <w:vAlign w:val="bottom"/>
            <w:gridSpan w:val="3"/>
          </w:tcPr>
          <w:p>
            <w:pPr>
              <w:ind w:left="20"/>
              <w:spacing w:after="0"/>
              <w:rPr>
                <w:sz w:val="20"/>
                <w:szCs w:val="20"/>
                <w:color w:val="auto"/>
              </w:rPr>
            </w:pPr>
            <w:r>
              <w:rPr>
                <w:rFonts w:ascii="Arial" w:cs="Arial" w:eastAsia="Arial" w:hAnsi="Arial"/>
                <w:sz w:val="15"/>
                <w:szCs w:val="15"/>
                <w:color w:val="auto"/>
              </w:rPr>
              <w:t>Customer deposits</w:t>
            </w:r>
          </w:p>
        </w:tc>
        <w:tc>
          <w:tcPr>
            <w:tcW w:w="2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679</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772</w:t>
            </w:r>
          </w:p>
        </w:tc>
        <w:tc>
          <w:tcPr>
            <w:tcW w:w="0" w:type="dxa"/>
            <w:vAlign w:val="bottom"/>
          </w:tcPr>
          <w:p>
            <w:pPr>
              <w:spacing w:after="0"/>
              <w:rPr>
                <w:sz w:val="1"/>
                <w:szCs w:val="1"/>
                <w:color w:val="auto"/>
              </w:rPr>
            </w:pPr>
          </w:p>
        </w:tc>
      </w:tr>
      <w:tr>
        <w:trPr>
          <w:trHeight w:val="209"/>
        </w:trPr>
        <w:tc>
          <w:tcPr>
            <w:tcW w:w="8060" w:type="dxa"/>
            <w:vAlign w:val="bottom"/>
            <w:gridSpan w:val="3"/>
            <w:shd w:val="clear" w:color="auto" w:fill="CCEEFF"/>
          </w:tcPr>
          <w:p>
            <w:pPr>
              <w:ind w:left="20"/>
              <w:spacing w:after="0"/>
              <w:rPr>
                <w:sz w:val="20"/>
                <w:szCs w:val="20"/>
                <w:color w:val="auto"/>
              </w:rPr>
            </w:pPr>
            <w:r>
              <w:rPr>
                <w:rFonts w:ascii="Arial" w:cs="Arial" w:eastAsia="Arial" w:hAnsi="Arial"/>
                <w:sz w:val="15"/>
                <w:szCs w:val="15"/>
                <w:color w:val="auto"/>
              </w:rPr>
              <w:t>Accrued compensation</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300</w:t>
            </w:r>
          </w:p>
        </w:tc>
        <w:tc>
          <w:tcPr>
            <w:tcW w:w="0" w:type="dxa"/>
            <w:vAlign w:val="bottom"/>
          </w:tcPr>
          <w:p>
            <w:pPr>
              <w:spacing w:after="0"/>
              <w:rPr>
                <w:sz w:val="1"/>
                <w:szCs w:val="1"/>
                <w:color w:val="auto"/>
              </w:rPr>
            </w:pPr>
          </w:p>
        </w:tc>
      </w:tr>
      <w:tr>
        <w:trPr>
          <w:trHeight w:val="203"/>
        </w:trPr>
        <w:tc>
          <w:tcPr>
            <w:tcW w:w="8060" w:type="dxa"/>
            <w:vAlign w:val="bottom"/>
            <w:gridSpan w:val="3"/>
          </w:tcPr>
          <w:p>
            <w:pPr>
              <w:ind w:left="20"/>
              <w:spacing w:after="0"/>
              <w:rPr>
                <w:sz w:val="20"/>
                <w:szCs w:val="20"/>
                <w:color w:val="auto"/>
              </w:rPr>
            </w:pPr>
            <w:r>
              <w:rPr>
                <w:rFonts w:ascii="Arial" w:cs="Arial" w:eastAsia="Arial" w:hAnsi="Arial"/>
                <w:sz w:val="15"/>
                <w:szCs w:val="15"/>
                <w:color w:val="auto"/>
              </w:rPr>
              <w:t>Accrued warranty</w:t>
            </w:r>
          </w:p>
        </w:tc>
        <w:tc>
          <w:tcPr>
            <w:tcW w:w="2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220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215</w:t>
            </w:r>
          </w:p>
        </w:tc>
        <w:tc>
          <w:tcPr>
            <w:tcW w:w="0" w:type="dxa"/>
            <w:vAlign w:val="bottom"/>
          </w:tcPr>
          <w:p>
            <w:pPr>
              <w:spacing w:after="0"/>
              <w:rPr>
                <w:sz w:val="1"/>
                <w:szCs w:val="1"/>
                <w:color w:val="auto"/>
              </w:rPr>
            </w:pPr>
          </w:p>
        </w:tc>
      </w:tr>
      <w:tr>
        <w:trPr>
          <w:trHeight w:val="209"/>
        </w:trPr>
        <w:tc>
          <w:tcPr>
            <w:tcW w:w="8060" w:type="dxa"/>
            <w:vAlign w:val="bottom"/>
            <w:gridSpan w:val="3"/>
            <w:shd w:val="clear" w:color="auto" w:fill="CCEEFF"/>
          </w:tcPr>
          <w:p>
            <w:pPr>
              <w:ind w:left="20"/>
              <w:spacing w:after="0"/>
              <w:rPr>
                <w:sz w:val="20"/>
                <w:szCs w:val="20"/>
                <w:color w:val="auto"/>
              </w:rPr>
            </w:pPr>
            <w:r>
              <w:rPr>
                <w:rFonts w:ascii="Arial" w:cs="Arial" w:eastAsia="Arial" w:hAnsi="Arial"/>
                <w:sz w:val="15"/>
                <w:szCs w:val="15"/>
                <w:color w:val="auto"/>
              </w:rPr>
              <w:t>Current portion of long-term debt</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759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251</w:t>
            </w:r>
          </w:p>
        </w:tc>
        <w:tc>
          <w:tcPr>
            <w:tcW w:w="0" w:type="dxa"/>
            <w:vAlign w:val="bottom"/>
          </w:tcPr>
          <w:p>
            <w:pPr>
              <w:spacing w:after="0"/>
              <w:rPr>
                <w:sz w:val="1"/>
                <w:szCs w:val="1"/>
                <w:color w:val="auto"/>
              </w:rPr>
            </w:pPr>
          </w:p>
        </w:tc>
      </w:tr>
      <w:tr>
        <w:trPr>
          <w:trHeight w:val="203"/>
        </w:trPr>
        <w:tc>
          <w:tcPr>
            <w:tcW w:w="8060" w:type="dxa"/>
            <w:vAlign w:val="bottom"/>
            <w:tcBorders>
              <w:bottom w:val="single" w:sz="8" w:color="CCEEFF"/>
            </w:tcBorders>
            <w:gridSpan w:val="3"/>
          </w:tcPr>
          <w:p>
            <w:pPr>
              <w:ind w:left="20"/>
              <w:spacing w:after="0"/>
              <w:rPr>
                <w:sz w:val="20"/>
                <w:szCs w:val="20"/>
                <w:color w:val="auto"/>
              </w:rPr>
            </w:pPr>
            <w:r>
              <w:rPr>
                <w:rFonts w:ascii="Arial" w:cs="Arial" w:eastAsia="Arial" w:hAnsi="Arial"/>
                <w:sz w:val="15"/>
                <w:szCs w:val="15"/>
                <w:color w:val="auto"/>
              </w:rPr>
              <w:t>Other accrued liabilities</w:t>
            </w:r>
          </w:p>
        </w:tc>
        <w:tc>
          <w:tcPr>
            <w:tcW w:w="2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682</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628</w:t>
            </w:r>
          </w:p>
        </w:tc>
        <w:tc>
          <w:tcPr>
            <w:tcW w:w="0" w:type="dxa"/>
            <w:vAlign w:val="bottom"/>
          </w:tcPr>
          <w:p>
            <w:pPr>
              <w:spacing w:after="0"/>
              <w:rPr>
                <w:sz w:val="1"/>
                <w:szCs w:val="1"/>
                <w:color w:val="auto"/>
              </w:rPr>
            </w:pPr>
          </w:p>
        </w:tc>
      </w:tr>
      <w:tr>
        <w:trPr>
          <w:trHeight w:val="202"/>
        </w:trPr>
        <w:tc>
          <w:tcPr>
            <w:tcW w:w="20" w:type="dxa"/>
            <w:vAlign w:val="bottom"/>
            <w:shd w:val="clear" w:color="auto" w:fill="CCEEFF"/>
          </w:tcPr>
          <w:p>
            <w:pPr>
              <w:spacing w:after="0"/>
              <w:rPr>
                <w:sz w:val="17"/>
                <w:szCs w:val="17"/>
                <w:color w:val="auto"/>
              </w:rPr>
            </w:pPr>
          </w:p>
        </w:tc>
        <w:tc>
          <w:tcPr>
            <w:tcW w:w="8040" w:type="dxa"/>
            <w:vAlign w:val="bottom"/>
            <w:gridSpan w:val="2"/>
            <w:shd w:val="clear" w:color="auto" w:fill="CCEEFF"/>
          </w:tcPr>
          <w:p>
            <w:pPr>
              <w:ind w:left="220"/>
              <w:spacing w:after="0"/>
              <w:rPr>
                <w:sz w:val="20"/>
                <w:szCs w:val="20"/>
                <w:color w:val="auto"/>
              </w:rPr>
            </w:pPr>
            <w:r>
              <w:rPr>
                <w:rFonts w:ascii="Arial" w:cs="Arial" w:eastAsia="Arial" w:hAnsi="Arial"/>
                <w:sz w:val="15"/>
                <w:szCs w:val="15"/>
                <w:color w:val="auto"/>
              </w:rPr>
              <w:t>Total current liabilities</w:t>
            </w:r>
          </w:p>
        </w:tc>
        <w:tc>
          <w:tcPr>
            <w:tcW w:w="22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3,891</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3,467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40" w:type="dxa"/>
            <w:vAlign w:val="bottom"/>
            <w:gridSpan w:val="2"/>
          </w:tcPr>
          <w:p>
            <w:pPr>
              <w:ind w:left="40"/>
              <w:spacing w:after="0"/>
              <w:rPr>
                <w:sz w:val="20"/>
                <w:szCs w:val="20"/>
                <w:color w:val="auto"/>
              </w:rPr>
            </w:pPr>
            <w:r>
              <w:rPr>
                <w:rFonts w:ascii="Arial" w:cs="Arial" w:eastAsia="Arial" w:hAnsi="Arial"/>
                <w:sz w:val="15"/>
                <w:szCs w:val="15"/>
                <w:color w:val="auto"/>
              </w:rPr>
              <w:t>Long-term debt</w:t>
            </w:r>
          </w:p>
        </w:tc>
        <w:tc>
          <w:tcPr>
            <w:tcW w:w="2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3,288</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3,751</w:t>
            </w:r>
          </w:p>
        </w:tc>
        <w:tc>
          <w:tcPr>
            <w:tcW w:w="0" w:type="dxa"/>
            <w:vAlign w:val="bottom"/>
          </w:tcPr>
          <w:p>
            <w:pPr>
              <w:spacing w:after="0"/>
              <w:rPr>
                <w:sz w:val="1"/>
                <w:szCs w:val="1"/>
                <w:color w:val="auto"/>
              </w:rPr>
            </w:pPr>
          </w:p>
        </w:tc>
      </w:tr>
      <w:tr>
        <w:trPr>
          <w:trHeight w:val="209"/>
        </w:trPr>
        <w:tc>
          <w:tcPr>
            <w:tcW w:w="8060" w:type="dxa"/>
            <w:vAlign w:val="bottom"/>
            <w:gridSpan w:val="3"/>
            <w:shd w:val="clear" w:color="auto" w:fill="CCEEFF"/>
          </w:tcPr>
          <w:p>
            <w:pPr>
              <w:ind w:left="20"/>
              <w:spacing w:after="0"/>
              <w:rPr>
                <w:sz w:val="20"/>
                <w:szCs w:val="20"/>
                <w:color w:val="auto"/>
              </w:rPr>
            </w:pPr>
            <w:r>
              <w:rPr>
                <w:rFonts w:ascii="Arial" w:cs="Arial" w:eastAsia="Arial" w:hAnsi="Arial"/>
                <w:sz w:val="15"/>
                <w:szCs w:val="15"/>
                <w:color w:val="auto"/>
              </w:rPr>
              <w:t>Accrued postretirement and pension benefits</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57</w:t>
            </w:r>
          </w:p>
        </w:tc>
        <w:tc>
          <w:tcPr>
            <w:tcW w:w="0" w:type="dxa"/>
            <w:vAlign w:val="bottom"/>
          </w:tcPr>
          <w:p>
            <w:pPr>
              <w:spacing w:after="0"/>
              <w:rPr>
                <w:sz w:val="1"/>
                <w:szCs w:val="1"/>
                <w:color w:val="auto"/>
              </w:rPr>
            </w:pPr>
          </w:p>
        </w:tc>
      </w:tr>
      <w:tr>
        <w:trPr>
          <w:trHeight w:val="203"/>
        </w:trPr>
        <w:tc>
          <w:tcPr>
            <w:tcW w:w="8060" w:type="dxa"/>
            <w:vAlign w:val="bottom"/>
            <w:gridSpan w:val="3"/>
          </w:tcPr>
          <w:p>
            <w:pPr>
              <w:ind w:left="20"/>
              <w:spacing w:after="0"/>
              <w:rPr>
                <w:sz w:val="20"/>
                <w:szCs w:val="20"/>
                <w:color w:val="auto"/>
              </w:rPr>
            </w:pPr>
            <w:r>
              <w:rPr>
                <w:rFonts w:ascii="Arial" w:cs="Arial" w:eastAsia="Arial" w:hAnsi="Arial"/>
                <w:sz w:val="15"/>
                <w:szCs w:val="15"/>
                <w:color w:val="auto"/>
              </w:rPr>
              <w:t>Deferred income taxes</w:t>
            </w:r>
          </w:p>
        </w:tc>
        <w:tc>
          <w:tcPr>
            <w:tcW w:w="2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355</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326</w:t>
            </w:r>
          </w:p>
        </w:tc>
        <w:tc>
          <w:tcPr>
            <w:tcW w:w="0" w:type="dxa"/>
            <w:vAlign w:val="bottom"/>
          </w:tcPr>
          <w:p>
            <w:pPr>
              <w:spacing w:after="0"/>
              <w:rPr>
                <w:sz w:val="1"/>
                <w:szCs w:val="1"/>
                <w:color w:val="auto"/>
              </w:rPr>
            </w:pPr>
          </w:p>
        </w:tc>
      </w:tr>
      <w:tr>
        <w:trPr>
          <w:trHeight w:val="209"/>
        </w:trPr>
        <w:tc>
          <w:tcPr>
            <w:tcW w:w="8060" w:type="dxa"/>
            <w:vAlign w:val="bottom"/>
            <w:gridSpan w:val="3"/>
            <w:shd w:val="clear" w:color="auto" w:fill="CCEEFF"/>
          </w:tcPr>
          <w:p>
            <w:pPr>
              <w:ind w:left="20"/>
              <w:spacing w:after="0"/>
              <w:rPr>
                <w:sz w:val="20"/>
                <w:szCs w:val="20"/>
                <w:color w:val="auto"/>
              </w:rPr>
            </w:pPr>
            <w:r>
              <w:rPr>
                <w:rFonts w:ascii="Arial" w:cs="Arial" w:eastAsia="Arial" w:hAnsi="Arial"/>
                <w:sz w:val="15"/>
                <w:szCs w:val="15"/>
                <w:color w:val="auto"/>
              </w:rPr>
              <w:t>Contingent consideration</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47</w:t>
            </w:r>
          </w:p>
        </w:tc>
        <w:tc>
          <w:tcPr>
            <w:tcW w:w="0" w:type="dxa"/>
            <w:vAlign w:val="bottom"/>
          </w:tcPr>
          <w:p>
            <w:pPr>
              <w:spacing w:after="0"/>
              <w:rPr>
                <w:sz w:val="1"/>
                <w:szCs w:val="1"/>
                <w:color w:val="auto"/>
              </w:rPr>
            </w:pPr>
          </w:p>
        </w:tc>
      </w:tr>
      <w:tr>
        <w:trPr>
          <w:trHeight w:val="203"/>
        </w:trPr>
        <w:tc>
          <w:tcPr>
            <w:tcW w:w="8060" w:type="dxa"/>
            <w:vAlign w:val="bottom"/>
            <w:tcBorders>
              <w:bottom w:val="single" w:sz="8" w:color="CCEEFF"/>
            </w:tcBorders>
            <w:gridSpan w:val="3"/>
          </w:tcPr>
          <w:p>
            <w:pPr>
              <w:ind w:left="20"/>
              <w:spacing w:after="0"/>
              <w:rPr>
                <w:sz w:val="20"/>
                <w:szCs w:val="20"/>
                <w:color w:val="auto"/>
              </w:rPr>
            </w:pPr>
            <w:r>
              <w:rPr>
                <w:rFonts w:ascii="Arial" w:cs="Arial" w:eastAsia="Arial" w:hAnsi="Arial"/>
                <w:sz w:val="15"/>
                <w:szCs w:val="15"/>
                <w:color w:val="auto"/>
              </w:rPr>
              <w:t>Other long-term liabilities</w:t>
            </w:r>
          </w:p>
        </w:tc>
        <w:tc>
          <w:tcPr>
            <w:tcW w:w="2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787</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721</w:t>
            </w:r>
          </w:p>
        </w:tc>
        <w:tc>
          <w:tcPr>
            <w:tcW w:w="0" w:type="dxa"/>
            <w:vAlign w:val="bottom"/>
          </w:tcPr>
          <w:p>
            <w:pPr>
              <w:spacing w:after="0"/>
              <w:rPr>
                <w:sz w:val="1"/>
                <w:szCs w:val="1"/>
                <w:color w:val="auto"/>
              </w:rPr>
            </w:pPr>
          </w:p>
        </w:tc>
      </w:tr>
      <w:tr>
        <w:trPr>
          <w:trHeight w:val="202"/>
        </w:trPr>
        <w:tc>
          <w:tcPr>
            <w:tcW w:w="20" w:type="dxa"/>
            <w:vAlign w:val="bottom"/>
            <w:shd w:val="clear" w:color="auto" w:fill="CCEEFF"/>
          </w:tcPr>
          <w:p>
            <w:pPr>
              <w:spacing w:after="0"/>
              <w:rPr>
                <w:sz w:val="17"/>
                <w:szCs w:val="17"/>
                <w:color w:val="auto"/>
              </w:rPr>
            </w:pPr>
          </w:p>
        </w:tc>
        <w:tc>
          <w:tcPr>
            <w:tcW w:w="8040" w:type="dxa"/>
            <w:vAlign w:val="bottom"/>
            <w:gridSpan w:val="2"/>
            <w:shd w:val="clear" w:color="auto" w:fill="CCEEFF"/>
          </w:tcPr>
          <w:p>
            <w:pPr>
              <w:ind w:left="320"/>
              <w:spacing w:after="0"/>
              <w:rPr>
                <w:sz w:val="20"/>
                <w:szCs w:val="20"/>
                <w:color w:val="auto"/>
              </w:rPr>
            </w:pPr>
            <w:r>
              <w:rPr>
                <w:rFonts w:ascii="Arial" w:cs="Arial" w:eastAsia="Arial" w:hAnsi="Arial"/>
                <w:sz w:val="15"/>
                <w:szCs w:val="15"/>
                <w:color w:val="auto"/>
              </w:rPr>
              <w:t>Total Liabilities</w:t>
            </w:r>
          </w:p>
        </w:tc>
        <w:tc>
          <w:tcPr>
            <w:tcW w:w="22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8,433</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8,369</w:t>
            </w:r>
          </w:p>
        </w:tc>
        <w:tc>
          <w:tcPr>
            <w:tcW w:w="0" w:type="dxa"/>
            <w:vAlign w:val="bottom"/>
          </w:tcPr>
          <w:p>
            <w:pPr>
              <w:spacing w:after="0"/>
              <w:rPr>
                <w:sz w:val="1"/>
                <w:szCs w:val="1"/>
                <w:color w:val="auto"/>
              </w:rPr>
            </w:pPr>
          </w:p>
        </w:tc>
      </w:tr>
      <w:tr>
        <w:trPr>
          <w:trHeight w:val="203"/>
        </w:trPr>
        <w:tc>
          <w:tcPr>
            <w:tcW w:w="8060" w:type="dxa"/>
            <w:vAlign w:val="bottom"/>
            <w:gridSpan w:val="3"/>
          </w:tcPr>
          <w:p>
            <w:pPr>
              <w:ind w:left="20"/>
              <w:spacing w:after="0"/>
              <w:rPr>
                <w:sz w:val="20"/>
                <w:szCs w:val="20"/>
                <w:color w:val="auto"/>
              </w:rPr>
            </w:pPr>
            <w:r>
              <w:rPr>
                <w:rFonts w:ascii="Arial" w:cs="Arial" w:eastAsia="Arial" w:hAnsi="Arial"/>
                <w:sz w:val="15"/>
                <w:szCs w:val="15"/>
                <w:color w:val="auto"/>
              </w:rPr>
              <w:t>Commitments and contingencies (Note 14)</w:t>
            </w: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60" w:type="dxa"/>
            <w:vAlign w:val="bottom"/>
            <w:gridSpan w:val="3"/>
            <w:shd w:val="clear" w:color="auto" w:fill="CCEEFF"/>
          </w:tcPr>
          <w:p>
            <w:pPr>
              <w:ind w:left="20"/>
              <w:spacing w:after="0"/>
              <w:rPr>
                <w:sz w:val="20"/>
                <w:szCs w:val="20"/>
                <w:color w:val="auto"/>
              </w:rPr>
            </w:pPr>
            <w:r>
              <w:rPr>
                <w:rFonts w:ascii="Arial" w:cs="Arial" w:eastAsia="Arial" w:hAnsi="Arial"/>
                <w:sz w:val="14"/>
                <w:szCs w:val="14"/>
                <w:b w:val="1"/>
                <w:bCs w:val="1"/>
                <w:color w:val="auto"/>
              </w:rPr>
              <w:t>Equity</w:t>
            </w:r>
          </w:p>
        </w:tc>
        <w:tc>
          <w:tcPr>
            <w:tcW w:w="2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8060" w:type="dxa"/>
            <w:vAlign w:val="bottom"/>
            <w:gridSpan w:val="3"/>
          </w:tcPr>
          <w:p>
            <w:pPr>
              <w:ind w:left="20"/>
              <w:spacing w:after="0" w:line="160" w:lineRule="exact"/>
              <w:rPr>
                <w:sz w:val="20"/>
                <w:szCs w:val="20"/>
                <w:color w:val="auto"/>
              </w:rPr>
            </w:pPr>
            <w:r>
              <w:rPr>
                <w:rFonts w:ascii="Arial" w:cs="Arial" w:eastAsia="Arial" w:hAnsi="Arial"/>
                <w:sz w:val="15"/>
                <w:szCs w:val="15"/>
                <w:color w:val="auto"/>
                <w:w w:val="93"/>
              </w:rPr>
              <w:t>Common stock, $.01 par value; 500.0 shares authorized and 226.9 shares issued: 179.1 and 181.2 outstanding at September 30,</w:t>
            </w:r>
          </w:p>
        </w:tc>
        <w:tc>
          <w:tcPr>
            <w:tcW w:w="220" w:type="dxa"/>
            <w:vAlign w:val="bottom"/>
          </w:tcPr>
          <w:p>
            <w:pPr>
              <w:spacing w:after="0"/>
              <w:rPr>
                <w:sz w:val="13"/>
                <w:szCs w:val="13"/>
                <w:color w:val="auto"/>
              </w:rPr>
            </w:pPr>
          </w:p>
        </w:tc>
        <w:tc>
          <w:tcPr>
            <w:tcW w:w="1300" w:type="dxa"/>
            <w:vAlign w:val="bottom"/>
            <w:vMerge w:val="restart"/>
          </w:tcPr>
          <w:p>
            <w:pPr>
              <w:jc w:val="right"/>
              <w:spacing w:after="0"/>
              <w:rPr>
                <w:sz w:val="20"/>
                <w:szCs w:val="20"/>
                <w:color w:val="auto"/>
              </w:rPr>
            </w:pPr>
            <w:r>
              <w:rPr>
                <w:rFonts w:ascii="Arial" w:cs="Arial" w:eastAsia="Arial" w:hAnsi="Arial"/>
                <w:sz w:val="15"/>
                <w:szCs w:val="15"/>
                <w:color w:val="auto"/>
              </w:rPr>
              <w:t>2</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vMerge w:val="restart"/>
          </w:tcPr>
          <w:p>
            <w:pPr>
              <w:jc w:val="right"/>
              <w:spacing w:after="0"/>
              <w:rPr>
                <w:sz w:val="20"/>
                <w:szCs w:val="20"/>
                <w:color w:val="auto"/>
              </w:rPr>
            </w:pP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199"/>
        </w:trPr>
        <w:tc>
          <w:tcPr>
            <w:tcW w:w="8060" w:type="dxa"/>
            <w:vAlign w:val="bottom"/>
            <w:gridSpan w:val="3"/>
          </w:tcPr>
          <w:p>
            <w:pPr>
              <w:ind w:left="20"/>
              <w:spacing w:after="0"/>
              <w:rPr>
                <w:sz w:val="20"/>
                <w:szCs w:val="20"/>
                <w:color w:val="auto"/>
              </w:rPr>
            </w:pPr>
            <w:r>
              <w:rPr>
                <w:rFonts w:ascii="Arial" w:cs="Arial" w:eastAsia="Arial" w:hAnsi="Arial"/>
                <w:sz w:val="15"/>
                <w:szCs w:val="15"/>
                <w:color w:val="auto"/>
              </w:rPr>
              <w:t>2023 and December 31, 2022, respectively</w:t>
            </w:r>
          </w:p>
        </w:tc>
        <w:tc>
          <w:tcPr>
            <w:tcW w:w="220" w:type="dxa"/>
            <w:vAlign w:val="bottom"/>
          </w:tcPr>
          <w:p>
            <w:pPr>
              <w:spacing w:after="0"/>
              <w:rPr>
                <w:sz w:val="17"/>
                <w:szCs w:val="17"/>
                <w:color w:val="auto"/>
              </w:rPr>
            </w:pPr>
          </w:p>
        </w:tc>
        <w:tc>
          <w:tcPr>
            <w:tcW w:w="13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060" w:type="dxa"/>
            <w:vAlign w:val="bottom"/>
            <w:gridSpan w:val="3"/>
            <w:shd w:val="clear" w:color="auto" w:fill="CCEEFF"/>
          </w:tcPr>
          <w:p>
            <w:pPr>
              <w:ind w:left="20"/>
              <w:spacing w:after="0"/>
              <w:rPr>
                <w:sz w:val="20"/>
                <w:szCs w:val="20"/>
                <w:color w:val="auto"/>
              </w:rPr>
            </w:pPr>
            <w:r>
              <w:rPr>
                <w:rFonts w:ascii="Arial" w:cs="Arial" w:eastAsia="Arial" w:hAnsi="Arial"/>
                <w:sz w:val="15"/>
                <w:szCs w:val="15"/>
                <w:color w:val="auto"/>
              </w:rPr>
              <w:t>Additional paid-in capital</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7,965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7,953</w:t>
            </w:r>
          </w:p>
        </w:tc>
        <w:tc>
          <w:tcPr>
            <w:tcW w:w="0" w:type="dxa"/>
            <w:vAlign w:val="bottom"/>
          </w:tcPr>
          <w:p>
            <w:pPr>
              <w:spacing w:after="0"/>
              <w:rPr>
                <w:sz w:val="1"/>
                <w:szCs w:val="1"/>
                <w:color w:val="auto"/>
              </w:rPr>
            </w:pPr>
          </w:p>
        </w:tc>
      </w:tr>
      <w:tr>
        <w:trPr>
          <w:trHeight w:val="203"/>
        </w:trPr>
        <w:tc>
          <w:tcPr>
            <w:tcW w:w="8060" w:type="dxa"/>
            <w:vAlign w:val="bottom"/>
            <w:gridSpan w:val="3"/>
          </w:tcPr>
          <w:p>
            <w:pPr>
              <w:ind w:left="20"/>
              <w:spacing w:after="0"/>
              <w:rPr>
                <w:sz w:val="20"/>
                <w:szCs w:val="20"/>
                <w:color w:val="auto"/>
              </w:rPr>
            </w:pPr>
            <w:r>
              <w:rPr>
                <w:rFonts w:ascii="Arial" w:cs="Arial" w:eastAsia="Arial" w:hAnsi="Arial"/>
                <w:sz w:val="15"/>
                <w:szCs w:val="15"/>
                <w:color w:val="auto"/>
              </w:rPr>
              <w:t>Treasury stock, at cost, 47.8 and 45.7 shares, at September 30, 2023 and December 31, 2022, respectively</w:t>
            </w:r>
          </w:p>
        </w:tc>
        <w:tc>
          <w:tcPr>
            <w:tcW w:w="2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(2,013)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(1,769)</w:t>
            </w:r>
          </w:p>
        </w:tc>
        <w:tc>
          <w:tcPr>
            <w:tcW w:w="0" w:type="dxa"/>
            <w:vAlign w:val="bottom"/>
          </w:tcPr>
          <w:p>
            <w:pPr>
              <w:spacing w:after="0"/>
              <w:rPr>
                <w:sz w:val="1"/>
                <w:szCs w:val="1"/>
                <w:color w:val="auto"/>
              </w:rPr>
            </w:pPr>
          </w:p>
        </w:tc>
      </w:tr>
      <w:tr>
        <w:trPr>
          <w:trHeight w:val="209"/>
        </w:trPr>
        <w:tc>
          <w:tcPr>
            <w:tcW w:w="8060" w:type="dxa"/>
            <w:vAlign w:val="bottom"/>
            <w:gridSpan w:val="3"/>
            <w:shd w:val="clear" w:color="auto" w:fill="CCEEFF"/>
          </w:tcPr>
          <w:p>
            <w:pPr>
              <w:ind w:left="20"/>
              <w:spacing w:after="0"/>
              <w:rPr>
                <w:sz w:val="20"/>
                <w:szCs w:val="20"/>
                <w:color w:val="auto"/>
              </w:rPr>
            </w:pPr>
            <w:r>
              <w:rPr>
                <w:rFonts w:ascii="Arial" w:cs="Arial" w:eastAsia="Arial" w:hAnsi="Arial"/>
                <w:sz w:val="15"/>
                <w:szCs w:val="15"/>
                <w:color w:val="auto"/>
              </w:rPr>
              <w:t>Retained earnings</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5,085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4,577</w:t>
            </w:r>
          </w:p>
        </w:tc>
        <w:tc>
          <w:tcPr>
            <w:tcW w:w="0" w:type="dxa"/>
            <w:vAlign w:val="bottom"/>
          </w:tcPr>
          <w:p>
            <w:pPr>
              <w:spacing w:after="0"/>
              <w:rPr>
                <w:sz w:val="1"/>
                <w:szCs w:val="1"/>
                <w:color w:val="auto"/>
              </w:rPr>
            </w:pPr>
          </w:p>
        </w:tc>
      </w:tr>
      <w:tr>
        <w:trPr>
          <w:trHeight w:val="203"/>
        </w:trPr>
        <w:tc>
          <w:tcPr>
            <w:tcW w:w="8060" w:type="dxa"/>
            <w:vAlign w:val="bottom"/>
            <w:tcBorders>
              <w:bottom w:val="single" w:sz="8" w:color="CCEEFF"/>
            </w:tcBorders>
            <w:gridSpan w:val="3"/>
          </w:tcPr>
          <w:p>
            <w:pPr>
              <w:ind w:left="20"/>
              <w:spacing w:after="0"/>
              <w:rPr>
                <w:sz w:val="20"/>
                <w:szCs w:val="20"/>
                <w:color w:val="auto"/>
              </w:rPr>
            </w:pPr>
            <w:r>
              <w:rPr>
                <w:rFonts w:ascii="Arial" w:cs="Arial" w:eastAsia="Arial" w:hAnsi="Arial"/>
                <w:sz w:val="15"/>
                <w:szCs w:val="15"/>
                <w:color w:val="auto"/>
              </w:rPr>
              <w:t>Accumulated other comprehensive loss</w:t>
            </w:r>
          </w:p>
        </w:tc>
        <w:tc>
          <w:tcPr>
            <w:tcW w:w="2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(713)</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(661)</w:t>
            </w:r>
          </w:p>
        </w:tc>
        <w:tc>
          <w:tcPr>
            <w:tcW w:w="0" w:type="dxa"/>
            <w:vAlign w:val="bottom"/>
          </w:tcPr>
          <w:p>
            <w:pPr>
              <w:spacing w:after="0"/>
              <w:rPr>
                <w:sz w:val="1"/>
                <w:szCs w:val="1"/>
                <w:color w:val="auto"/>
              </w:rPr>
            </w:pPr>
          </w:p>
        </w:tc>
      </w:tr>
      <w:tr>
        <w:trPr>
          <w:trHeight w:val="202"/>
        </w:trPr>
        <w:tc>
          <w:tcPr>
            <w:tcW w:w="8060" w:type="dxa"/>
            <w:vAlign w:val="bottom"/>
            <w:gridSpan w:val="3"/>
            <w:shd w:val="clear" w:color="auto" w:fill="CCEEFF"/>
          </w:tcPr>
          <w:p>
            <w:pPr>
              <w:ind w:left="20"/>
              <w:spacing w:after="0"/>
              <w:rPr>
                <w:sz w:val="20"/>
                <w:szCs w:val="20"/>
                <w:color w:val="auto"/>
              </w:rPr>
            </w:pPr>
            <w:r>
              <w:rPr>
                <w:rFonts w:ascii="Arial" w:cs="Arial" w:eastAsia="Arial" w:hAnsi="Arial"/>
                <w:sz w:val="15"/>
                <w:szCs w:val="15"/>
                <w:color w:val="auto"/>
              </w:rPr>
              <w:t>Total Westinghouse Air Brake Technologies Corporation shareholders’ equity</w:t>
            </w:r>
          </w:p>
        </w:tc>
        <w:tc>
          <w:tcPr>
            <w:tcW w:w="22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10,326</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10,102</w:t>
            </w:r>
          </w:p>
        </w:tc>
        <w:tc>
          <w:tcPr>
            <w:tcW w:w="0" w:type="dxa"/>
            <w:vAlign w:val="bottom"/>
          </w:tcPr>
          <w:p>
            <w:pPr>
              <w:spacing w:after="0"/>
              <w:rPr>
                <w:sz w:val="1"/>
                <w:szCs w:val="1"/>
                <w:color w:val="auto"/>
              </w:rPr>
            </w:pPr>
          </w:p>
        </w:tc>
      </w:tr>
      <w:tr>
        <w:trPr>
          <w:trHeight w:val="203"/>
        </w:trPr>
        <w:tc>
          <w:tcPr>
            <w:tcW w:w="20" w:type="dxa"/>
            <w:vAlign w:val="bottom"/>
            <w:tcBorders>
              <w:bottom w:val="single" w:sz="8" w:color="CCEEFF"/>
            </w:tcBorders>
          </w:tcPr>
          <w:p>
            <w:pPr>
              <w:spacing w:after="0"/>
              <w:rPr>
                <w:sz w:val="17"/>
                <w:szCs w:val="17"/>
                <w:color w:val="auto"/>
              </w:rPr>
            </w:pPr>
          </w:p>
        </w:tc>
        <w:tc>
          <w:tcPr>
            <w:tcW w:w="8040" w:type="dxa"/>
            <w:vAlign w:val="bottom"/>
            <w:tcBorders>
              <w:bottom w:val="single" w:sz="8" w:color="CCEEFF"/>
            </w:tcBorders>
            <w:gridSpan w:val="2"/>
          </w:tcPr>
          <w:p>
            <w:pPr>
              <w:ind w:left="340"/>
              <w:spacing w:after="0"/>
              <w:rPr>
                <w:sz w:val="20"/>
                <w:szCs w:val="20"/>
                <w:color w:val="auto"/>
              </w:rPr>
            </w:pPr>
            <w:r>
              <w:rPr>
                <w:rFonts w:ascii="Arial" w:cs="Arial" w:eastAsia="Arial" w:hAnsi="Arial"/>
                <w:sz w:val="15"/>
                <w:szCs w:val="15"/>
                <w:color w:val="auto"/>
              </w:rPr>
              <w:t>Noncontrolling interest</w:t>
            </w:r>
          </w:p>
        </w:tc>
        <w:tc>
          <w:tcPr>
            <w:tcW w:w="2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41</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45</w:t>
            </w:r>
          </w:p>
        </w:tc>
        <w:tc>
          <w:tcPr>
            <w:tcW w:w="0" w:type="dxa"/>
            <w:vAlign w:val="bottom"/>
          </w:tcPr>
          <w:p>
            <w:pPr>
              <w:spacing w:after="0"/>
              <w:rPr>
                <w:sz w:val="1"/>
                <w:szCs w:val="1"/>
                <w:color w:val="auto"/>
              </w:rPr>
            </w:pPr>
          </w:p>
        </w:tc>
      </w:tr>
      <w:tr>
        <w:trPr>
          <w:trHeight w:val="199"/>
        </w:trPr>
        <w:tc>
          <w:tcPr>
            <w:tcW w:w="8060" w:type="dxa"/>
            <w:vAlign w:val="bottom"/>
            <w:gridSpan w:val="3"/>
            <w:shd w:val="clear" w:color="auto" w:fill="CCEEFF"/>
          </w:tcPr>
          <w:p>
            <w:pPr>
              <w:ind w:left="20"/>
              <w:spacing w:after="0"/>
              <w:rPr>
                <w:sz w:val="20"/>
                <w:szCs w:val="20"/>
                <w:color w:val="auto"/>
              </w:rPr>
            </w:pPr>
            <w:r>
              <w:rPr>
                <w:rFonts w:ascii="Arial" w:cs="Arial" w:eastAsia="Arial" w:hAnsi="Arial"/>
                <w:sz w:val="15"/>
                <w:szCs w:val="15"/>
                <w:color w:val="auto"/>
              </w:rPr>
              <w:t>Total Equity</w:t>
            </w:r>
          </w:p>
        </w:tc>
        <w:tc>
          <w:tcPr>
            <w:tcW w:w="22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10,367</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10,147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40" w:type="dxa"/>
            <w:vAlign w:val="bottom"/>
            <w:gridSpan w:val="2"/>
          </w:tcPr>
          <w:p>
            <w:pPr>
              <w:ind w:left="340"/>
              <w:spacing w:after="0"/>
              <w:rPr>
                <w:sz w:val="20"/>
                <w:szCs w:val="20"/>
                <w:color w:val="auto"/>
              </w:rPr>
            </w:pPr>
            <w:r>
              <w:rPr>
                <w:rFonts w:ascii="Arial" w:cs="Arial" w:eastAsia="Arial" w:hAnsi="Arial"/>
                <w:sz w:val="15"/>
                <w:szCs w:val="15"/>
                <w:color w:val="auto"/>
              </w:rPr>
              <w:t>Total Liabilities and Equity</w:t>
            </w:r>
          </w:p>
        </w:tc>
        <w:tc>
          <w:tcPr>
            <w:tcW w:w="22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18,800</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w w:val="95"/>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18,516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The accompanying notes are an integral part of these statements.</w:t>
      </w: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3" w:name="page4"/>
    <w:bookmarkEnd w:id="3"/>
    <w:p>
      <w:pPr>
        <w:jc w:val="center"/>
        <w:spacing w:after="0"/>
        <w:rPr>
          <w:sz w:val="20"/>
          <w:szCs w:val="20"/>
          <w:color w:val="auto"/>
        </w:rPr>
      </w:pPr>
      <w:r>
        <w:rPr>
          <w:rFonts w:ascii="Arial" w:cs="Arial" w:eastAsia="Arial" w:hAnsi="Arial"/>
          <w:sz w:val="17"/>
          <w:szCs w:val="17"/>
          <w:b w:val="1"/>
          <w:bCs w:val="1"/>
          <w:color w:val="auto"/>
        </w:rPr>
        <w:t>WESTINGHOUSE AIR BRAKE TECHNOLOGIES CORPORATION</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INCOME</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4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00" w:type="dxa"/>
            <w:vAlign w:val="bottom"/>
            <w:gridSpan w:val="3"/>
          </w:tcPr>
          <w:p>
            <w:pPr>
              <w:jc w:val="center"/>
              <w:ind w:left="437"/>
              <w:spacing w:after="0"/>
              <w:rPr>
                <w:sz w:val="20"/>
                <w:szCs w:val="20"/>
                <w:color w:val="auto"/>
              </w:rPr>
            </w:pPr>
            <w:r>
              <w:rPr>
                <w:rFonts w:ascii="Arial" w:cs="Arial" w:eastAsia="Arial" w:hAnsi="Arial"/>
                <w:sz w:val="14"/>
                <w:szCs w:val="14"/>
                <w:b w:val="1"/>
                <w:bCs w:val="1"/>
                <w:color w:val="auto"/>
                <w:w w:val="90"/>
              </w:rPr>
              <w:t>Unaudited</w:t>
            </w: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80" w:type="dxa"/>
            <w:vAlign w:val="bottom"/>
            <w:gridSpan w:val="3"/>
          </w:tcPr>
          <w:p>
            <w:pPr>
              <w:jc w:val="center"/>
              <w:ind w:left="457"/>
              <w:spacing w:after="0"/>
              <w:rPr>
                <w:sz w:val="20"/>
                <w:szCs w:val="20"/>
                <w:color w:val="auto"/>
              </w:rPr>
            </w:pPr>
            <w:r>
              <w:rPr>
                <w:rFonts w:ascii="Arial" w:cs="Arial" w:eastAsia="Arial" w:hAnsi="Arial"/>
                <w:sz w:val="14"/>
                <w:szCs w:val="14"/>
                <w:b w:val="1"/>
                <w:bCs w:val="1"/>
                <w:color w:val="auto"/>
                <w:w w:val="90"/>
              </w:rPr>
              <w:t>Unaudited</w:t>
            </w:r>
          </w:p>
        </w:tc>
        <w:tc>
          <w:tcPr>
            <w:tcW w:w="820" w:type="dxa"/>
            <w:vAlign w:val="bottom"/>
          </w:tcPr>
          <w:p>
            <w:pPr>
              <w:spacing w:after="0"/>
              <w:rPr>
                <w:sz w:val="15"/>
                <w:szCs w:val="15"/>
                <w:color w:val="auto"/>
              </w:rPr>
            </w:pPr>
          </w:p>
        </w:tc>
      </w:tr>
      <w:tr>
        <w:trPr>
          <w:trHeight w:val="157"/>
        </w:trPr>
        <w:tc>
          <w:tcPr>
            <w:tcW w:w="2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4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320" w:type="dxa"/>
            <w:vAlign w:val="bottom"/>
            <w:gridSpan w:val="4"/>
          </w:tcPr>
          <w:p>
            <w:pPr>
              <w:jc w:val="center"/>
              <w:ind w:right="215"/>
              <w:spacing w:after="0" w:line="157" w:lineRule="exact"/>
              <w:rPr>
                <w:sz w:val="20"/>
                <w:szCs w:val="20"/>
                <w:color w:val="auto"/>
              </w:rPr>
            </w:pPr>
            <w:r>
              <w:rPr>
                <w:rFonts w:ascii="Arial" w:cs="Arial" w:eastAsia="Arial" w:hAnsi="Arial"/>
                <w:sz w:val="14"/>
                <w:szCs w:val="14"/>
                <w:b w:val="1"/>
                <w:bCs w:val="1"/>
                <w:color w:val="auto"/>
                <w:w w:val="90"/>
              </w:rPr>
              <w:t>Three Months Ended</w:t>
            </w:r>
          </w:p>
        </w:tc>
        <w:tc>
          <w:tcPr>
            <w:tcW w:w="300" w:type="dxa"/>
            <w:vAlign w:val="bottom"/>
          </w:tcPr>
          <w:p>
            <w:pPr>
              <w:spacing w:after="0"/>
              <w:rPr>
                <w:sz w:val="13"/>
                <w:szCs w:val="13"/>
                <w:color w:val="auto"/>
              </w:rPr>
            </w:pPr>
          </w:p>
        </w:tc>
        <w:tc>
          <w:tcPr>
            <w:tcW w:w="2300" w:type="dxa"/>
            <w:vAlign w:val="bottom"/>
            <w:gridSpan w:val="4"/>
          </w:tcPr>
          <w:p>
            <w:pPr>
              <w:jc w:val="center"/>
              <w:ind w:right="195"/>
              <w:spacing w:after="0" w:line="157" w:lineRule="exact"/>
              <w:rPr>
                <w:sz w:val="20"/>
                <w:szCs w:val="20"/>
                <w:color w:val="auto"/>
              </w:rPr>
            </w:pPr>
            <w:r>
              <w:rPr>
                <w:rFonts w:ascii="Arial" w:cs="Arial" w:eastAsia="Arial" w:hAnsi="Arial"/>
                <w:sz w:val="14"/>
                <w:szCs w:val="14"/>
                <w:b w:val="1"/>
                <w:bCs w:val="1"/>
                <w:color w:val="auto"/>
                <w:w w:val="90"/>
              </w:rPr>
              <w:t>Nine Months Ended</w:t>
            </w:r>
          </w:p>
        </w:tc>
      </w:tr>
      <w:tr>
        <w:trPr>
          <w:trHeight w:val="178"/>
        </w:trPr>
        <w:tc>
          <w:tcPr>
            <w:tcW w:w="2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4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00" w:type="dxa"/>
            <w:vAlign w:val="bottom"/>
            <w:gridSpan w:val="3"/>
          </w:tcPr>
          <w:p>
            <w:pPr>
              <w:jc w:val="center"/>
              <w:ind w:left="457"/>
              <w:spacing w:after="0"/>
              <w:rPr>
                <w:sz w:val="20"/>
                <w:szCs w:val="20"/>
                <w:color w:val="auto"/>
              </w:rPr>
            </w:pPr>
            <w:r>
              <w:rPr>
                <w:rFonts w:ascii="Arial" w:cs="Arial" w:eastAsia="Arial" w:hAnsi="Arial"/>
                <w:sz w:val="14"/>
                <w:szCs w:val="14"/>
                <w:b w:val="1"/>
                <w:bCs w:val="1"/>
                <w:color w:val="auto"/>
                <w:w w:val="87"/>
              </w:rPr>
              <w:t>September 30,</w:t>
            </w: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80" w:type="dxa"/>
            <w:vAlign w:val="bottom"/>
            <w:gridSpan w:val="3"/>
          </w:tcPr>
          <w:p>
            <w:pPr>
              <w:jc w:val="center"/>
              <w:ind w:left="437"/>
              <w:spacing w:after="0"/>
              <w:rPr>
                <w:sz w:val="20"/>
                <w:szCs w:val="20"/>
                <w:color w:val="auto"/>
              </w:rPr>
            </w:pPr>
            <w:r>
              <w:rPr>
                <w:rFonts w:ascii="Arial" w:cs="Arial" w:eastAsia="Arial" w:hAnsi="Arial"/>
                <w:sz w:val="14"/>
                <w:szCs w:val="14"/>
                <w:b w:val="1"/>
                <w:bCs w:val="1"/>
                <w:color w:val="auto"/>
                <w:w w:val="87"/>
              </w:rPr>
              <w:t>September 30,</w:t>
            </w:r>
          </w:p>
        </w:tc>
        <w:tc>
          <w:tcPr>
            <w:tcW w:w="820" w:type="dxa"/>
            <w:vAlign w:val="bottom"/>
          </w:tcPr>
          <w:p>
            <w:pPr>
              <w:spacing w:after="0"/>
              <w:rPr>
                <w:sz w:val="15"/>
                <w:szCs w:val="15"/>
                <w:color w:val="auto"/>
              </w:rPr>
            </w:pPr>
          </w:p>
        </w:tc>
      </w:tr>
      <w:tr>
        <w:trPr>
          <w:trHeight w:val="153"/>
        </w:trPr>
        <w:tc>
          <w:tcPr>
            <w:tcW w:w="6020" w:type="dxa"/>
            <w:vAlign w:val="bottom"/>
            <w:gridSpan w:val="3"/>
          </w:tcPr>
          <w:p>
            <w:pPr>
              <w:ind w:left="20"/>
              <w:spacing w:after="0" w:line="153" w:lineRule="exact"/>
              <w:rPr>
                <w:sz w:val="20"/>
                <w:szCs w:val="20"/>
                <w:color w:val="auto"/>
              </w:rPr>
            </w:pPr>
            <w:r>
              <w:rPr>
                <w:rFonts w:ascii="Arial" w:cs="Arial" w:eastAsia="Arial" w:hAnsi="Arial"/>
                <w:sz w:val="14"/>
                <w:szCs w:val="14"/>
                <w:b w:val="1"/>
                <w:bCs w:val="1"/>
                <w:i w:val="1"/>
                <w:iCs w:val="1"/>
                <w:color w:val="auto"/>
              </w:rPr>
              <w:t>In millions, except per share data</w:t>
            </w:r>
          </w:p>
        </w:tc>
        <w:tc>
          <w:tcPr>
            <w:tcW w:w="300" w:type="dxa"/>
            <w:vAlign w:val="bottom"/>
          </w:tcPr>
          <w:p>
            <w:pPr>
              <w:spacing w:after="0"/>
              <w:rPr>
                <w:sz w:val="13"/>
                <w:szCs w:val="13"/>
                <w:color w:val="auto"/>
              </w:rPr>
            </w:pPr>
          </w:p>
        </w:tc>
        <w:tc>
          <w:tcPr>
            <w:tcW w:w="960" w:type="dxa"/>
            <w:vAlign w:val="bottom"/>
          </w:tcPr>
          <w:p>
            <w:pPr>
              <w:jc w:val="right"/>
              <w:ind w:right="397"/>
              <w:spacing w:after="0" w:line="153" w:lineRule="exact"/>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20" w:type="dxa"/>
            <w:vAlign w:val="bottom"/>
          </w:tcPr>
          <w:p>
            <w:pPr>
              <w:jc w:val="right"/>
              <w:ind w:right="415"/>
              <w:spacing w:after="0" w:line="153" w:lineRule="exact"/>
              <w:rPr>
                <w:sz w:val="20"/>
                <w:szCs w:val="20"/>
                <w:color w:val="auto"/>
              </w:rPr>
            </w:pPr>
            <w:r>
              <w:rPr>
                <w:rFonts w:ascii="Arial" w:cs="Arial" w:eastAsia="Arial" w:hAnsi="Arial"/>
                <w:sz w:val="14"/>
                <w:szCs w:val="14"/>
                <w:b w:val="1"/>
                <w:bCs w:val="1"/>
                <w:color w:val="auto"/>
                <w:w w:val="96"/>
              </w:rPr>
              <w:t>2022</w:t>
            </w:r>
          </w:p>
        </w:tc>
        <w:tc>
          <w:tcPr>
            <w:tcW w:w="300" w:type="dxa"/>
            <w:vAlign w:val="bottom"/>
          </w:tcPr>
          <w:p>
            <w:pPr>
              <w:spacing w:after="0"/>
              <w:rPr>
                <w:sz w:val="13"/>
                <w:szCs w:val="13"/>
                <w:color w:val="auto"/>
              </w:rPr>
            </w:pPr>
          </w:p>
        </w:tc>
        <w:tc>
          <w:tcPr>
            <w:tcW w:w="960" w:type="dxa"/>
            <w:vAlign w:val="bottom"/>
          </w:tcPr>
          <w:p>
            <w:pPr>
              <w:jc w:val="right"/>
              <w:ind w:right="417"/>
              <w:spacing w:after="0" w:line="153" w:lineRule="exact"/>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20" w:type="dxa"/>
            <w:vAlign w:val="bottom"/>
          </w:tcPr>
          <w:p>
            <w:pPr>
              <w:jc w:val="right"/>
              <w:ind w:right="395"/>
              <w:spacing w:after="0" w:line="153" w:lineRule="exact"/>
              <w:rPr>
                <w:sz w:val="20"/>
                <w:szCs w:val="20"/>
                <w:color w:val="auto"/>
              </w:rPr>
            </w:pPr>
            <w:r>
              <w:rPr>
                <w:rFonts w:ascii="Arial" w:cs="Arial" w:eastAsia="Arial" w:hAnsi="Arial"/>
                <w:sz w:val="14"/>
                <w:szCs w:val="14"/>
                <w:b w:val="1"/>
                <w:bCs w:val="1"/>
                <w:color w:val="auto"/>
              </w:rPr>
              <w:t>2022</w:t>
            </w:r>
          </w:p>
        </w:tc>
      </w:tr>
      <w:tr>
        <w:trPr>
          <w:trHeight w:val="32"/>
        </w:trPr>
        <w:tc>
          <w:tcPr>
            <w:tcW w:w="20" w:type="dxa"/>
            <w:vAlign w:val="bottom"/>
            <w:tcBorders>
              <w:bottom w:val="single" w:sz="8" w:color="CCEEFF"/>
            </w:tcBorders>
          </w:tcPr>
          <w:p>
            <w:pPr>
              <w:spacing w:after="0"/>
              <w:rPr>
                <w:sz w:val="2"/>
                <w:szCs w:val="2"/>
                <w:color w:val="auto"/>
              </w:rPr>
            </w:pPr>
          </w:p>
        </w:tc>
        <w:tc>
          <w:tcPr>
            <w:tcW w:w="1900" w:type="dxa"/>
            <w:vAlign w:val="bottom"/>
            <w:tcBorders>
              <w:top w:val="single" w:sz="8" w:color="auto"/>
              <w:bottom w:val="single" w:sz="8" w:color="CCEEFF"/>
            </w:tcBorders>
          </w:tcPr>
          <w:p>
            <w:pPr>
              <w:spacing w:after="0"/>
              <w:rPr>
                <w:sz w:val="2"/>
                <w:szCs w:val="2"/>
                <w:color w:val="auto"/>
              </w:rPr>
            </w:pPr>
          </w:p>
        </w:tc>
        <w:tc>
          <w:tcPr>
            <w:tcW w:w="4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8"/>
        </w:trPr>
        <w:tc>
          <w:tcPr>
            <w:tcW w:w="20" w:type="dxa"/>
            <w:vAlign w:val="bottom"/>
            <w:shd w:val="clear" w:color="auto" w:fill="CCEEFF"/>
          </w:tcPr>
          <w:p>
            <w:pPr>
              <w:spacing w:after="0"/>
              <w:rPr>
                <w:sz w:val="20"/>
                <w:szCs w:val="20"/>
                <w:color w:val="auto"/>
              </w:rPr>
            </w:pPr>
          </w:p>
        </w:tc>
        <w:tc>
          <w:tcPr>
            <w:tcW w:w="1900" w:type="dxa"/>
            <w:vAlign w:val="bottom"/>
            <w:shd w:val="clear" w:color="auto" w:fill="CCEEFF"/>
          </w:tcPr>
          <w:p>
            <w:pPr>
              <w:spacing w:after="0"/>
              <w:rPr>
                <w:sz w:val="20"/>
                <w:szCs w:val="20"/>
                <w:color w:val="auto"/>
              </w:rPr>
            </w:pPr>
          </w:p>
        </w:tc>
        <w:tc>
          <w:tcPr>
            <w:tcW w:w="4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r>
      <w:tr>
        <w:trPr>
          <w:trHeight w:val="218"/>
        </w:trPr>
        <w:tc>
          <w:tcPr>
            <w:tcW w:w="6020" w:type="dxa"/>
            <w:vAlign w:val="bottom"/>
            <w:gridSpan w:val="3"/>
          </w:tcPr>
          <w:p>
            <w:pPr>
              <w:ind w:left="20"/>
              <w:spacing w:after="0"/>
              <w:rPr>
                <w:sz w:val="20"/>
                <w:szCs w:val="20"/>
                <w:color w:val="auto"/>
              </w:rPr>
            </w:pPr>
            <w:r>
              <w:rPr>
                <w:rFonts w:ascii="Arial" w:cs="Arial" w:eastAsia="Arial" w:hAnsi="Arial"/>
                <w:sz w:val="17"/>
                <w:szCs w:val="17"/>
                <w:color w:val="auto"/>
              </w:rPr>
              <w:t>Net sales:</w:t>
            </w: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20"/>
        </w:trPr>
        <w:tc>
          <w:tcPr>
            <w:tcW w:w="20" w:type="dxa"/>
            <w:vAlign w:val="bottom"/>
            <w:shd w:val="clear" w:color="auto" w:fill="CCEEFF"/>
          </w:tcPr>
          <w:p>
            <w:pPr>
              <w:spacing w:after="0"/>
              <w:rPr>
                <w:sz w:val="19"/>
                <w:szCs w:val="19"/>
                <w:color w:val="auto"/>
              </w:rPr>
            </w:pPr>
          </w:p>
        </w:tc>
        <w:tc>
          <w:tcPr>
            <w:tcW w:w="6000" w:type="dxa"/>
            <w:vAlign w:val="bottom"/>
            <w:gridSpan w:val="2"/>
            <w:shd w:val="clear" w:color="auto" w:fill="CCEEFF"/>
          </w:tcPr>
          <w:p>
            <w:pPr>
              <w:ind w:left="300"/>
              <w:spacing w:after="0"/>
              <w:rPr>
                <w:sz w:val="20"/>
                <w:szCs w:val="20"/>
                <w:color w:val="auto"/>
              </w:rPr>
            </w:pPr>
            <w:r>
              <w:rPr>
                <w:rFonts w:ascii="Arial" w:cs="Arial" w:eastAsia="Arial" w:hAnsi="Arial"/>
                <w:sz w:val="17"/>
                <w:szCs w:val="17"/>
                <w:color w:val="auto"/>
              </w:rPr>
              <w:t>Sales of goods</w:t>
            </w: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2,048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4"/>
              <w:spacing w:after="0"/>
              <w:rPr>
                <w:sz w:val="20"/>
                <w:szCs w:val="20"/>
                <w:color w:val="auto"/>
              </w:rPr>
            </w:pPr>
            <w:r>
              <w:rPr>
                <w:rFonts w:ascii="Arial" w:cs="Arial" w:eastAsia="Arial" w:hAnsi="Arial"/>
                <w:sz w:val="17"/>
                <w:szCs w:val="17"/>
                <w:color w:val="auto"/>
                <w:w w:val="84"/>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1,625</w:t>
            </w: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5,631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4"/>
              <w:spacing w:after="0"/>
              <w:rPr>
                <w:sz w:val="20"/>
                <w:szCs w:val="20"/>
                <w:color w:val="auto"/>
              </w:rPr>
            </w:pPr>
            <w:r>
              <w:rPr>
                <w:rFonts w:ascii="Arial" w:cs="Arial" w:eastAsia="Arial" w:hAnsi="Arial"/>
                <w:sz w:val="17"/>
                <w:szCs w:val="17"/>
                <w:color w:val="auto"/>
                <w:w w:val="84"/>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4,714</w:t>
            </w:r>
          </w:p>
        </w:tc>
      </w:tr>
      <w:tr>
        <w:trPr>
          <w:trHeight w:val="218"/>
        </w:trPr>
        <w:tc>
          <w:tcPr>
            <w:tcW w:w="20" w:type="dxa"/>
            <w:vAlign w:val="bottom"/>
            <w:tcBorders>
              <w:bottom w:val="single" w:sz="8" w:color="CCEEFF"/>
            </w:tcBorders>
          </w:tcPr>
          <w:p>
            <w:pPr>
              <w:spacing w:after="0"/>
              <w:rPr>
                <w:sz w:val="18"/>
                <w:szCs w:val="18"/>
                <w:color w:val="auto"/>
              </w:rPr>
            </w:pPr>
          </w:p>
        </w:tc>
        <w:tc>
          <w:tcPr>
            <w:tcW w:w="6000" w:type="dxa"/>
            <w:vAlign w:val="bottom"/>
            <w:tcBorders>
              <w:bottom w:val="single" w:sz="8" w:color="CCEEFF"/>
            </w:tcBorders>
            <w:gridSpan w:val="2"/>
          </w:tcPr>
          <w:p>
            <w:pPr>
              <w:ind w:left="300"/>
              <w:spacing w:after="0"/>
              <w:rPr>
                <w:sz w:val="20"/>
                <w:szCs w:val="20"/>
                <w:color w:val="auto"/>
              </w:rPr>
            </w:pPr>
            <w:r>
              <w:rPr>
                <w:rFonts w:ascii="Arial" w:cs="Arial" w:eastAsia="Arial" w:hAnsi="Arial"/>
                <w:sz w:val="17"/>
                <w:szCs w:val="17"/>
                <w:color w:val="auto"/>
              </w:rPr>
              <w:t>Sales of services</w:t>
            </w: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502</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456</w:t>
            </w: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1,520</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1,342</w:t>
            </w:r>
          </w:p>
        </w:tc>
      </w:tr>
      <w:tr>
        <w:trPr>
          <w:trHeight w:val="213"/>
        </w:trPr>
        <w:tc>
          <w:tcPr>
            <w:tcW w:w="20" w:type="dxa"/>
            <w:vAlign w:val="bottom"/>
            <w:shd w:val="clear" w:color="auto" w:fill="CCEEFF"/>
          </w:tcPr>
          <w:p>
            <w:pPr>
              <w:spacing w:after="0"/>
              <w:rPr>
                <w:sz w:val="18"/>
                <w:szCs w:val="18"/>
                <w:color w:val="auto"/>
              </w:rPr>
            </w:pPr>
          </w:p>
        </w:tc>
        <w:tc>
          <w:tcPr>
            <w:tcW w:w="600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Total net sales</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2,550</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2,081</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7,151</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6,056</w:t>
            </w:r>
          </w:p>
        </w:tc>
      </w:tr>
      <w:tr>
        <w:trPr>
          <w:trHeight w:val="218"/>
        </w:trPr>
        <w:tc>
          <w:tcPr>
            <w:tcW w:w="6020" w:type="dxa"/>
            <w:vAlign w:val="bottom"/>
            <w:gridSpan w:val="3"/>
          </w:tcPr>
          <w:p>
            <w:pPr>
              <w:ind w:left="20"/>
              <w:spacing w:after="0"/>
              <w:rPr>
                <w:sz w:val="20"/>
                <w:szCs w:val="20"/>
                <w:color w:val="auto"/>
              </w:rPr>
            </w:pPr>
            <w:r>
              <w:rPr>
                <w:rFonts w:ascii="Arial" w:cs="Arial" w:eastAsia="Arial" w:hAnsi="Arial"/>
                <w:sz w:val="17"/>
                <w:szCs w:val="17"/>
                <w:color w:val="auto"/>
              </w:rPr>
              <w:t>Cost of sales:</w:t>
            </w: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20"/>
        </w:trPr>
        <w:tc>
          <w:tcPr>
            <w:tcW w:w="20" w:type="dxa"/>
            <w:vAlign w:val="bottom"/>
            <w:shd w:val="clear" w:color="auto" w:fill="CCEEFF"/>
          </w:tcPr>
          <w:p>
            <w:pPr>
              <w:spacing w:after="0"/>
              <w:rPr>
                <w:sz w:val="19"/>
                <w:szCs w:val="19"/>
                <w:color w:val="auto"/>
              </w:rPr>
            </w:pPr>
          </w:p>
        </w:tc>
        <w:tc>
          <w:tcPr>
            <w:tcW w:w="6000" w:type="dxa"/>
            <w:vAlign w:val="bottom"/>
            <w:gridSpan w:val="2"/>
            <w:shd w:val="clear" w:color="auto" w:fill="CCEEFF"/>
          </w:tcPr>
          <w:p>
            <w:pPr>
              <w:ind w:left="300"/>
              <w:spacing w:after="0"/>
              <w:rPr>
                <w:sz w:val="20"/>
                <w:szCs w:val="20"/>
                <w:color w:val="auto"/>
              </w:rPr>
            </w:pPr>
            <w:r>
              <w:rPr>
                <w:rFonts w:ascii="Arial" w:cs="Arial" w:eastAsia="Arial" w:hAnsi="Arial"/>
                <w:sz w:val="17"/>
                <w:szCs w:val="17"/>
                <w:color w:val="auto"/>
              </w:rPr>
              <w:t>Cost of goods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(1,475)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(1,200)</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(4,132)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(3,431)</w:t>
            </w:r>
          </w:p>
        </w:tc>
      </w:tr>
      <w:tr>
        <w:trPr>
          <w:trHeight w:val="218"/>
        </w:trPr>
        <w:tc>
          <w:tcPr>
            <w:tcW w:w="20" w:type="dxa"/>
            <w:vAlign w:val="bottom"/>
            <w:tcBorders>
              <w:bottom w:val="single" w:sz="8" w:color="CCEEFF"/>
            </w:tcBorders>
          </w:tcPr>
          <w:p>
            <w:pPr>
              <w:spacing w:after="0"/>
              <w:rPr>
                <w:sz w:val="18"/>
                <w:szCs w:val="18"/>
                <w:color w:val="auto"/>
              </w:rPr>
            </w:pPr>
          </w:p>
        </w:tc>
        <w:tc>
          <w:tcPr>
            <w:tcW w:w="6000" w:type="dxa"/>
            <w:vAlign w:val="bottom"/>
            <w:tcBorders>
              <w:bottom w:val="single" w:sz="8" w:color="CCEEFF"/>
            </w:tcBorders>
            <w:gridSpan w:val="2"/>
          </w:tcPr>
          <w:p>
            <w:pPr>
              <w:ind w:left="300"/>
              <w:spacing w:after="0"/>
              <w:rPr>
                <w:sz w:val="20"/>
                <w:szCs w:val="20"/>
                <w:color w:val="auto"/>
              </w:rPr>
            </w:pPr>
            <w:r>
              <w:rPr>
                <w:rFonts w:ascii="Arial" w:cs="Arial" w:eastAsia="Arial" w:hAnsi="Arial"/>
                <w:sz w:val="17"/>
                <w:szCs w:val="17"/>
                <w:color w:val="auto"/>
              </w:rPr>
              <w:t>Cost of services</w:t>
            </w: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(283)</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(233)</w:t>
            </w: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(839)</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(737)</w:t>
            </w:r>
          </w:p>
        </w:tc>
      </w:tr>
      <w:tr>
        <w:trPr>
          <w:trHeight w:val="213"/>
        </w:trPr>
        <w:tc>
          <w:tcPr>
            <w:tcW w:w="20" w:type="dxa"/>
            <w:vAlign w:val="bottom"/>
            <w:shd w:val="clear" w:color="auto" w:fill="CCEEFF"/>
          </w:tcPr>
          <w:p>
            <w:pPr>
              <w:spacing w:after="0"/>
              <w:rPr>
                <w:sz w:val="18"/>
                <w:szCs w:val="18"/>
                <w:color w:val="auto"/>
              </w:rPr>
            </w:pPr>
          </w:p>
        </w:tc>
        <w:tc>
          <w:tcPr>
            <w:tcW w:w="600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Total cost of sales</w:t>
            </w:r>
          </w:p>
        </w:tc>
        <w:tc>
          <w:tcPr>
            <w:tcW w:w="3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(1,758)</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(1,433)</w:t>
            </w:r>
          </w:p>
        </w:tc>
        <w:tc>
          <w:tcPr>
            <w:tcW w:w="3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(4,971)</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(4,168)</w:t>
            </w:r>
          </w:p>
        </w:tc>
      </w:tr>
      <w:tr>
        <w:trPr>
          <w:trHeight w:val="211"/>
        </w:trPr>
        <w:tc>
          <w:tcPr>
            <w:tcW w:w="20" w:type="dxa"/>
            <w:vAlign w:val="bottom"/>
          </w:tcPr>
          <w:p>
            <w:pPr>
              <w:spacing w:after="0"/>
              <w:rPr>
                <w:sz w:val="18"/>
                <w:szCs w:val="18"/>
                <w:color w:val="auto"/>
              </w:rPr>
            </w:pPr>
          </w:p>
        </w:tc>
        <w:tc>
          <w:tcPr>
            <w:tcW w:w="6000" w:type="dxa"/>
            <w:vAlign w:val="bottom"/>
            <w:gridSpan w:val="2"/>
          </w:tcPr>
          <w:p>
            <w:pPr>
              <w:ind w:left="120"/>
              <w:spacing w:after="0"/>
              <w:rPr>
                <w:sz w:val="20"/>
                <w:szCs w:val="20"/>
                <w:color w:val="auto"/>
              </w:rPr>
            </w:pPr>
            <w:r>
              <w:rPr>
                <w:rFonts w:ascii="Arial" w:cs="Arial" w:eastAsia="Arial" w:hAnsi="Arial"/>
                <w:sz w:val="17"/>
                <w:szCs w:val="17"/>
                <w:color w:val="auto"/>
              </w:rPr>
              <w:t>Gross profit</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792</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648</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2,180</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1,888</w:t>
            </w:r>
          </w:p>
        </w:tc>
      </w:tr>
      <w:tr>
        <w:trPr>
          <w:trHeight w:val="220"/>
        </w:trPr>
        <w:tc>
          <w:tcPr>
            <w:tcW w:w="602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Operating expenses: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6000" w:type="dxa"/>
            <w:vAlign w:val="bottom"/>
            <w:gridSpan w:val="2"/>
          </w:tcPr>
          <w:p>
            <w:pPr>
              <w:ind w:left="300"/>
              <w:spacing w:after="0"/>
              <w:rPr>
                <w:sz w:val="20"/>
                <w:szCs w:val="20"/>
                <w:color w:val="auto"/>
              </w:rPr>
            </w:pPr>
            <w:r>
              <w:rPr>
                <w:rFonts w:ascii="Arial" w:cs="Arial" w:eastAsia="Arial" w:hAnsi="Arial"/>
                <w:sz w:val="17"/>
                <w:szCs w:val="17"/>
                <w:color w:val="auto"/>
              </w:rPr>
              <w:t>Selling, general and administrative expenses</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(295)</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(260)</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(843)</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(757)</w:t>
            </w:r>
          </w:p>
        </w:tc>
      </w:tr>
      <w:tr>
        <w:trPr>
          <w:trHeight w:val="220"/>
        </w:trPr>
        <w:tc>
          <w:tcPr>
            <w:tcW w:w="20" w:type="dxa"/>
            <w:vAlign w:val="bottom"/>
            <w:shd w:val="clear" w:color="auto" w:fill="CCEEFF"/>
          </w:tcPr>
          <w:p>
            <w:pPr>
              <w:spacing w:after="0"/>
              <w:rPr>
                <w:sz w:val="19"/>
                <w:szCs w:val="19"/>
                <w:color w:val="auto"/>
              </w:rPr>
            </w:pPr>
          </w:p>
        </w:tc>
        <w:tc>
          <w:tcPr>
            <w:tcW w:w="6000" w:type="dxa"/>
            <w:vAlign w:val="bottom"/>
            <w:gridSpan w:val="2"/>
            <w:shd w:val="clear" w:color="auto" w:fill="CCEEFF"/>
          </w:tcPr>
          <w:p>
            <w:pPr>
              <w:ind w:left="300"/>
              <w:spacing w:after="0"/>
              <w:rPr>
                <w:sz w:val="20"/>
                <w:szCs w:val="20"/>
                <w:color w:val="auto"/>
              </w:rPr>
            </w:pPr>
            <w:r>
              <w:rPr>
                <w:rFonts w:ascii="Arial" w:cs="Arial" w:eastAsia="Arial" w:hAnsi="Arial"/>
                <w:sz w:val="17"/>
                <w:szCs w:val="17"/>
                <w:color w:val="auto"/>
              </w:rPr>
              <w:t>Engineering expenses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(149)</w:t>
            </w:r>
          </w:p>
        </w:tc>
      </w:tr>
      <w:tr>
        <w:trPr>
          <w:trHeight w:val="218"/>
        </w:trPr>
        <w:tc>
          <w:tcPr>
            <w:tcW w:w="20" w:type="dxa"/>
            <w:vAlign w:val="bottom"/>
            <w:tcBorders>
              <w:bottom w:val="single" w:sz="8" w:color="CCEEFF"/>
            </w:tcBorders>
          </w:tcPr>
          <w:p>
            <w:pPr>
              <w:spacing w:after="0"/>
              <w:rPr>
                <w:sz w:val="18"/>
                <w:szCs w:val="18"/>
                <w:color w:val="auto"/>
              </w:rPr>
            </w:pPr>
          </w:p>
        </w:tc>
        <w:tc>
          <w:tcPr>
            <w:tcW w:w="6000" w:type="dxa"/>
            <w:vAlign w:val="bottom"/>
            <w:tcBorders>
              <w:bottom w:val="single" w:sz="8" w:color="CCEEFF"/>
            </w:tcBorders>
            <w:gridSpan w:val="2"/>
          </w:tcPr>
          <w:p>
            <w:pPr>
              <w:ind w:left="300"/>
              <w:spacing w:after="0"/>
              <w:rPr>
                <w:sz w:val="20"/>
                <w:szCs w:val="20"/>
                <w:color w:val="auto"/>
              </w:rPr>
            </w:pPr>
            <w:r>
              <w:rPr>
                <w:rFonts w:ascii="Arial" w:cs="Arial" w:eastAsia="Arial" w:hAnsi="Arial"/>
                <w:sz w:val="17"/>
                <w:szCs w:val="17"/>
                <w:color w:val="auto"/>
              </w:rPr>
              <w:t>Amortization expense</w:t>
            </w: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(74)</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(73)</w:t>
            </w: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(222)</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(218)</w:t>
            </w:r>
          </w:p>
        </w:tc>
      </w:tr>
      <w:tr>
        <w:trPr>
          <w:trHeight w:val="213"/>
        </w:trPr>
        <w:tc>
          <w:tcPr>
            <w:tcW w:w="20" w:type="dxa"/>
            <w:vAlign w:val="bottom"/>
            <w:shd w:val="clear" w:color="auto" w:fill="CCEEFF"/>
          </w:tcPr>
          <w:p>
            <w:pPr>
              <w:spacing w:after="0"/>
              <w:rPr>
                <w:sz w:val="18"/>
                <w:szCs w:val="18"/>
                <w:color w:val="auto"/>
              </w:rPr>
            </w:pPr>
          </w:p>
        </w:tc>
        <w:tc>
          <w:tcPr>
            <w:tcW w:w="600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Total operating expenses</w:t>
            </w:r>
          </w:p>
        </w:tc>
        <w:tc>
          <w:tcPr>
            <w:tcW w:w="3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(422)</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(387)</w:t>
            </w:r>
          </w:p>
        </w:tc>
        <w:tc>
          <w:tcPr>
            <w:tcW w:w="3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(1,222)</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(1,124)</w:t>
            </w:r>
          </w:p>
        </w:tc>
      </w:tr>
      <w:tr>
        <w:trPr>
          <w:trHeight w:val="211"/>
        </w:trPr>
        <w:tc>
          <w:tcPr>
            <w:tcW w:w="20" w:type="dxa"/>
            <w:vAlign w:val="bottom"/>
          </w:tcPr>
          <w:p>
            <w:pPr>
              <w:spacing w:after="0"/>
              <w:rPr>
                <w:sz w:val="18"/>
                <w:szCs w:val="18"/>
                <w:color w:val="auto"/>
              </w:rPr>
            </w:pPr>
          </w:p>
        </w:tc>
        <w:tc>
          <w:tcPr>
            <w:tcW w:w="6000" w:type="dxa"/>
            <w:vAlign w:val="bottom"/>
            <w:gridSpan w:val="2"/>
          </w:tcPr>
          <w:p>
            <w:pPr>
              <w:ind w:left="120"/>
              <w:spacing w:after="0"/>
              <w:rPr>
                <w:sz w:val="20"/>
                <w:szCs w:val="20"/>
                <w:color w:val="auto"/>
              </w:rPr>
            </w:pPr>
            <w:r>
              <w:rPr>
                <w:rFonts w:ascii="Arial" w:cs="Arial" w:eastAsia="Arial" w:hAnsi="Arial"/>
                <w:sz w:val="17"/>
                <w:szCs w:val="17"/>
                <w:color w:val="auto"/>
              </w:rPr>
              <w:t>Income from operations</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370</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261</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958</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764</w:t>
            </w:r>
          </w:p>
        </w:tc>
      </w:tr>
      <w:tr>
        <w:trPr>
          <w:trHeight w:val="220"/>
        </w:trPr>
        <w:tc>
          <w:tcPr>
            <w:tcW w:w="602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Other income and expenses: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6000" w:type="dxa"/>
            <w:vAlign w:val="bottom"/>
            <w:gridSpan w:val="2"/>
          </w:tcPr>
          <w:p>
            <w:pPr>
              <w:ind w:left="300"/>
              <w:spacing w:after="0"/>
              <w:rPr>
                <w:sz w:val="20"/>
                <w:szCs w:val="20"/>
                <w:color w:val="auto"/>
              </w:rPr>
            </w:pPr>
            <w:r>
              <w:rPr>
                <w:rFonts w:ascii="Arial" w:cs="Arial" w:eastAsia="Arial" w:hAnsi="Arial"/>
                <w:sz w:val="17"/>
                <w:szCs w:val="17"/>
                <w:color w:val="auto"/>
              </w:rPr>
              <w:t>Interest expense, net</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(60)</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(48)</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(163)</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(135)</w:t>
            </w:r>
          </w:p>
        </w:tc>
      </w:tr>
      <w:tr>
        <w:trPr>
          <w:trHeight w:val="220"/>
        </w:trPr>
        <w:tc>
          <w:tcPr>
            <w:tcW w:w="20" w:type="dxa"/>
            <w:vAlign w:val="bottom"/>
            <w:shd w:val="clear" w:color="auto" w:fill="CCEEFF"/>
          </w:tcPr>
          <w:p>
            <w:pPr>
              <w:spacing w:after="0"/>
              <w:rPr>
                <w:sz w:val="19"/>
                <w:szCs w:val="19"/>
                <w:color w:val="auto"/>
              </w:rPr>
            </w:pPr>
          </w:p>
        </w:tc>
        <w:tc>
          <w:tcPr>
            <w:tcW w:w="6000" w:type="dxa"/>
            <w:vAlign w:val="bottom"/>
            <w:gridSpan w:val="2"/>
            <w:shd w:val="clear" w:color="auto" w:fill="CCEEFF"/>
          </w:tcPr>
          <w:p>
            <w:pPr>
              <w:ind w:left="300"/>
              <w:spacing w:after="0"/>
              <w:rPr>
                <w:sz w:val="20"/>
                <w:szCs w:val="20"/>
                <w:color w:val="auto"/>
              </w:rPr>
            </w:pPr>
            <w:r>
              <w:rPr>
                <w:rFonts w:ascii="Arial" w:cs="Arial" w:eastAsia="Arial" w:hAnsi="Arial"/>
                <w:sz w:val="17"/>
                <w:szCs w:val="17"/>
                <w:color w:val="auto"/>
              </w:rPr>
              <w:t>Other income, net</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w:t>
            </w:r>
          </w:p>
        </w:tc>
      </w:tr>
      <w:tr>
        <w:trPr>
          <w:trHeight w:val="211"/>
        </w:trPr>
        <w:tc>
          <w:tcPr>
            <w:tcW w:w="20" w:type="dxa"/>
            <w:vAlign w:val="bottom"/>
          </w:tcPr>
          <w:p>
            <w:pPr>
              <w:spacing w:after="0"/>
              <w:rPr>
                <w:sz w:val="18"/>
                <w:szCs w:val="18"/>
                <w:color w:val="auto"/>
              </w:rPr>
            </w:pPr>
          </w:p>
        </w:tc>
        <w:tc>
          <w:tcPr>
            <w:tcW w:w="6000" w:type="dxa"/>
            <w:vAlign w:val="bottom"/>
            <w:gridSpan w:val="2"/>
          </w:tcPr>
          <w:p>
            <w:pPr>
              <w:ind w:left="120"/>
              <w:spacing w:after="0"/>
              <w:rPr>
                <w:sz w:val="20"/>
                <w:szCs w:val="20"/>
                <w:color w:val="auto"/>
              </w:rPr>
            </w:pPr>
            <w:r>
              <w:rPr>
                <w:rFonts w:ascii="Arial" w:cs="Arial" w:eastAsia="Arial" w:hAnsi="Arial"/>
                <w:sz w:val="17"/>
                <w:szCs w:val="17"/>
                <w:color w:val="auto"/>
              </w:rPr>
              <w:t>Income before income taxes</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320</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217</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812</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644</w:t>
            </w:r>
          </w:p>
        </w:tc>
      </w:tr>
      <w:tr>
        <w:trPr>
          <w:trHeight w:val="220"/>
        </w:trPr>
        <w:tc>
          <w:tcPr>
            <w:tcW w:w="20" w:type="dxa"/>
            <w:vAlign w:val="bottom"/>
            <w:shd w:val="clear" w:color="auto" w:fill="CCEEFF"/>
          </w:tcPr>
          <w:p>
            <w:pPr>
              <w:spacing w:after="0"/>
              <w:rPr>
                <w:sz w:val="19"/>
                <w:szCs w:val="19"/>
                <w:color w:val="auto"/>
              </w:rPr>
            </w:pPr>
          </w:p>
        </w:tc>
        <w:tc>
          <w:tcPr>
            <w:tcW w:w="6000" w:type="dxa"/>
            <w:vAlign w:val="bottom"/>
            <w:gridSpan w:val="2"/>
            <w:shd w:val="clear" w:color="auto" w:fill="CCEEFF"/>
          </w:tcPr>
          <w:p>
            <w:pPr>
              <w:ind w:left="300"/>
              <w:spacing w:after="0"/>
              <w:rPr>
                <w:sz w:val="20"/>
                <w:szCs w:val="20"/>
                <w:color w:val="auto"/>
              </w:rPr>
            </w:pPr>
            <w:r>
              <w:rPr>
                <w:rFonts w:ascii="Arial" w:cs="Arial" w:eastAsia="Arial" w:hAnsi="Arial"/>
                <w:sz w:val="17"/>
                <w:szCs w:val="17"/>
                <w:color w:val="auto"/>
              </w:rPr>
              <w:t>Income tax expense</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(78)</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(54)</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(204)</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(162)</w:t>
            </w:r>
          </w:p>
        </w:tc>
      </w:tr>
      <w:tr>
        <w:trPr>
          <w:trHeight w:val="211"/>
        </w:trPr>
        <w:tc>
          <w:tcPr>
            <w:tcW w:w="20" w:type="dxa"/>
            <w:vAlign w:val="bottom"/>
          </w:tcPr>
          <w:p>
            <w:pPr>
              <w:spacing w:after="0"/>
              <w:rPr>
                <w:sz w:val="18"/>
                <w:szCs w:val="18"/>
                <w:color w:val="auto"/>
              </w:rPr>
            </w:pPr>
          </w:p>
        </w:tc>
        <w:tc>
          <w:tcPr>
            <w:tcW w:w="6000" w:type="dxa"/>
            <w:vAlign w:val="bottom"/>
            <w:gridSpan w:val="2"/>
          </w:tcPr>
          <w:p>
            <w:pPr>
              <w:ind w:left="120"/>
              <w:spacing w:after="0"/>
              <w:rPr>
                <w:sz w:val="20"/>
                <w:szCs w:val="20"/>
                <w:color w:val="auto"/>
              </w:rPr>
            </w:pPr>
            <w:r>
              <w:rPr>
                <w:rFonts w:ascii="Arial" w:cs="Arial" w:eastAsia="Arial" w:hAnsi="Arial"/>
                <w:sz w:val="17"/>
                <w:szCs w:val="17"/>
                <w:color w:val="auto"/>
              </w:rPr>
              <w:t>Net income</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242</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163</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608</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482</w:t>
            </w:r>
          </w:p>
        </w:tc>
      </w:tr>
      <w:tr>
        <w:trPr>
          <w:trHeight w:val="219"/>
        </w:trPr>
        <w:tc>
          <w:tcPr>
            <w:tcW w:w="20" w:type="dxa"/>
            <w:vAlign w:val="bottom"/>
            <w:shd w:val="clear" w:color="auto" w:fill="CCEEFF"/>
          </w:tcPr>
          <w:p>
            <w:pPr>
              <w:spacing w:after="0"/>
              <w:rPr>
                <w:sz w:val="19"/>
                <w:szCs w:val="19"/>
                <w:color w:val="auto"/>
              </w:rPr>
            </w:pPr>
          </w:p>
        </w:tc>
        <w:tc>
          <w:tcPr>
            <w:tcW w:w="6000" w:type="dxa"/>
            <w:vAlign w:val="bottom"/>
            <w:gridSpan w:val="2"/>
            <w:shd w:val="clear" w:color="auto" w:fill="CCEEFF"/>
          </w:tcPr>
          <w:p>
            <w:pPr>
              <w:ind w:left="300"/>
              <w:spacing w:after="0"/>
              <w:rPr>
                <w:sz w:val="20"/>
                <w:szCs w:val="20"/>
                <w:color w:val="auto"/>
              </w:rPr>
            </w:pPr>
            <w:r>
              <w:rPr>
                <w:rFonts w:ascii="Arial" w:cs="Arial" w:eastAsia="Arial" w:hAnsi="Arial"/>
                <w:sz w:val="17"/>
                <w:szCs w:val="17"/>
                <w:color w:val="auto"/>
              </w:rPr>
              <w:t>Less: Net income attributable to noncontrolling interest</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w:t>
            </w:r>
          </w:p>
        </w:tc>
      </w:tr>
      <w:tr>
        <w:trPr>
          <w:trHeight w:val="213"/>
        </w:trPr>
        <w:tc>
          <w:tcPr>
            <w:tcW w:w="20" w:type="dxa"/>
            <w:vAlign w:val="bottom"/>
          </w:tcPr>
          <w:p>
            <w:pPr>
              <w:spacing w:after="0"/>
              <w:rPr>
                <w:sz w:val="18"/>
                <w:szCs w:val="18"/>
                <w:color w:val="auto"/>
              </w:rPr>
            </w:pPr>
          </w:p>
        </w:tc>
        <w:tc>
          <w:tcPr>
            <w:tcW w:w="6000" w:type="dxa"/>
            <w:vAlign w:val="bottom"/>
            <w:gridSpan w:val="2"/>
          </w:tcPr>
          <w:p>
            <w:pPr>
              <w:ind w:left="120"/>
              <w:spacing w:after="0"/>
              <w:rPr>
                <w:sz w:val="20"/>
                <w:szCs w:val="20"/>
                <w:color w:val="auto"/>
              </w:rPr>
            </w:pPr>
            <w:r>
              <w:rPr>
                <w:rFonts w:ascii="Arial" w:cs="Arial" w:eastAsia="Arial" w:hAnsi="Arial"/>
                <w:sz w:val="17"/>
                <w:szCs w:val="17"/>
                <w:color w:val="auto"/>
              </w:rPr>
              <w:t>Net income attributable to Wabtec shareholders</w:t>
            </w:r>
          </w:p>
        </w:tc>
        <w:tc>
          <w:tcPr>
            <w:tcW w:w="30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240</w:t>
            </w:r>
          </w:p>
        </w:tc>
        <w:tc>
          <w:tcPr>
            <w:tcW w:w="100" w:type="dxa"/>
            <w:vAlign w:val="bottom"/>
          </w:tcPr>
          <w:p>
            <w:pPr>
              <w:spacing w:after="0"/>
              <w:rPr>
                <w:sz w:val="18"/>
                <w:szCs w:val="18"/>
                <w:color w:val="auto"/>
              </w:rPr>
            </w:pPr>
          </w:p>
        </w:tc>
        <w:tc>
          <w:tcPr>
            <w:tcW w:w="440" w:type="dxa"/>
            <w:vAlign w:val="bottom"/>
            <w:tcBorders>
              <w:bottom w:val="single" w:sz="8" w:color="auto"/>
            </w:tcBorders>
          </w:tcPr>
          <w:p>
            <w:pPr>
              <w:jc w:val="right"/>
              <w:ind w:right="254"/>
              <w:spacing w:after="0"/>
              <w:rPr>
                <w:sz w:val="20"/>
                <w:szCs w:val="20"/>
                <w:color w:val="auto"/>
              </w:rPr>
            </w:pPr>
            <w:r>
              <w:rPr>
                <w:rFonts w:ascii="Arial" w:cs="Arial" w:eastAsia="Arial" w:hAnsi="Arial"/>
                <w:sz w:val="17"/>
                <w:szCs w:val="17"/>
                <w:color w:val="auto"/>
                <w:w w:val="84"/>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160</w:t>
            </w:r>
          </w:p>
        </w:tc>
        <w:tc>
          <w:tcPr>
            <w:tcW w:w="30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600</w:t>
            </w:r>
          </w:p>
        </w:tc>
        <w:tc>
          <w:tcPr>
            <w:tcW w:w="100" w:type="dxa"/>
            <w:vAlign w:val="bottom"/>
          </w:tcPr>
          <w:p>
            <w:pPr>
              <w:spacing w:after="0"/>
              <w:rPr>
                <w:sz w:val="18"/>
                <w:szCs w:val="18"/>
                <w:color w:val="auto"/>
              </w:rPr>
            </w:pPr>
          </w:p>
        </w:tc>
        <w:tc>
          <w:tcPr>
            <w:tcW w:w="420" w:type="dxa"/>
            <w:vAlign w:val="bottom"/>
            <w:tcBorders>
              <w:bottom w:val="single" w:sz="8" w:color="auto"/>
            </w:tcBorders>
          </w:tcPr>
          <w:p>
            <w:pPr>
              <w:jc w:val="right"/>
              <w:ind w:right="234"/>
              <w:spacing w:after="0"/>
              <w:rPr>
                <w:sz w:val="20"/>
                <w:szCs w:val="20"/>
                <w:color w:val="auto"/>
              </w:rPr>
            </w:pPr>
            <w:r>
              <w:rPr>
                <w:rFonts w:ascii="Arial" w:cs="Arial" w:eastAsia="Arial" w:hAnsi="Arial"/>
                <w:sz w:val="17"/>
                <w:szCs w:val="17"/>
                <w:color w:val="auto"/>
                <w:w w:val="84"/>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475</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900" w:type="dxa"/>
            <w:vAlign w:val="bottom"/>
            <w:tcBorders>
              <w:bottom w:val="single" w:sz="8" w:color="CCEEFF"/>
            </w:tcBorders>
          </w:tcPr>
          <w:p>
            <w:pPr>
              <w:spacing w:after="0" w:line="20" w:lineRule="exact"/>
              <w:rPr>
                <w:sz w:val="1"/>
                <w:szCs w:val="1"/>
                <w:color w:val="auto"/>
              </w:rPr>
            </w:pPr>
          </w:p>
        </w:tc>
        <w:tc>
          <w:tcPr>
            <w:tcW w:w="4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4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19"/>
        </w:trPr>
        <w:tc>
          <w:tcPr>
            <w:tcW w:w="6020" w:type="dxa"/>
            <w:vAlign w:val="bottom"/>
            <w:gridSpan w:val="3"/>
          </w:tcPr>
          <w:p>
            <w:pPr>
              <w:ind w:left="20"/>
              <w:spacing w:after="0"/>
              <w:rPr>
                <w:sz w:val="20"/>
                <w:szCs w:val="20"/>
                <w:color w:val="auto"/>
              </w:rPr>
            </w:pPr>
            <w:r>
              <w:rPr>
                <w:rFonts w:ascii="Arial" w:cs="Arial" w:eastAsia="Arial" w:hAnsi="Arial"/>
                <w:sz w:val="17"/>
                <w:szCs w:val="17"/>
                <w:b w:val="1"/>
                <w:bCs w:val="1"/>
                <w:color w:val="auto"/>
              </w:rPr>
              <w:t>Earnings Per Common Share</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19"/>
        </w:trPr>
        <w:tc>
          <w:tcPr>
            <w:tcW w:w="602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Basic</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6000" w:type="dxa"/>
            <w:vAlign w:val="bottom"/>
            <w:gridSpan w:val="2"/>
          </w:tcPr>
          <w:p>
            <w:pPr>
              <w:ind w:left="120"/>
              <w:spacing w:after="0"/>
              <w:rPr>
                <w:sz w:val="20"/>
                <w:szCs w:val="20"/>
                <w:color w:val="auto"/>
              </w:rPr>
            </w:pPr>
            <w:r>
              <w:rPr>
                <w:rFonts w:ascii="Arial" w:cs="Arial" w:eastAsia="Arial" w:hAnsi="Arial"/>
                <w:sz w:val="17"/>
                <w:szCs w:val="17"/>
                <w:color w:val="auto"/>
              </w:rPr>
              <w:t>Net income attributable to Wabtec shareholders</w:t>
            </w:r>
          </w:p>
        </w:tc>
        <w:tc>
          <w:tcPr>
            <w:tcW w:w="30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1.34</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54"/>
              <w:spacing w:after="0"/>
              <w:rPr>
                <w:sz w:val="20"/>
                <w:szCs w:val="20"/>
                <w:color w:val="auto"/>
              </w:rPr>
            </w:pPr>
            <w:r>
              <w:rPr>
                <w:rFonts w:ascii="Arial" w:cs="Arial" w:eastAsia="Arial" w:hAnsi="Arial"/>
                <w:sz w:val="17"/>
                <w:szCs w:val="17"/>
                <w:color w:val="auto"/>
                <w:w w:val="84"/>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0.88</w:t>
            </w:r>
          </w:p>
        </w:tc>
        <w:tc>
          <w:tcPr>
            <w:tcW w:w="30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3.34</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34"/>
              <w:spacing w:after="0"/>
              <w:rPr>
                <w:sz w:val="20"/>
                <w:szCs w:val="20"/>
                <w:color w:val="auto"/>
              </w:rPr>
            </w:pPr>
            <w:r>
              <w:rPr>
                <w:rFonts w:ascii="Arial" w:cs="Arial" w:eastAsia="Arial" w:hAnsi="Arial"/>
                <w:sz w:val="17"/>
                <w:szCs w:val="17"/>
                <w:color w:val="auto"/>
                <w:w w:val="84"/>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900" w:type="dxa"/>
            <w:vAlign w:val="bottom"/>
            <w:tcBorders>
              <w:bottom w:val="single" w:sz="8" w:color="CCEEFF"/>
            </w:tcBorders>
          </w:tcPr>
          <w:p>
            <w:pPr>
              <w:spacing w:after="0" w:line="20" w:lineRule="exact"/>
              <w:rPr>
                <w:sz w:val="1"/>
                <w:szCs w:val="1"/>
                <w:color w:val="auto"/>
              </w:rPr>
            </w:pPr>
          </w:p>
        </w:tc>
        <w:tc>
          <w:tcPr>
            <w:tcW w:w="4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185"/>
        </w:trPr>
        <w:tc>
          <w:tcPr>
            <w:tcW w:w="6020" w:type="dxa"/>
            <w:vAlign w:val="bottom"/>
            <w:gridSpan w:val="3"/>
            <w:shd w:val="clear" w:color="auto" w:fill="CCEEFF"/>
          </w:tcPr>
          <w:p>
            <w:pPr>
              <w:ind w:left="20"/>
              <w:spacing w:after="0" w:line="185" w:lineRule="exact"/>
              <w:rPr>
                <w:sz w:val="20"/>
                <w:szCs w:val="20"/>
                <w:color w:val="auto"/>
              </w:rPr>
            </w:pPr>
            <w:r>
              <w:rPr>
                <w:rFonts w:ascii="Arial" w:cs="Arial" w:eastAsia="Arial" w:hAnsi="Arial"/>
                <w:sz w:val="17"/>
                <w:szCs w:val="17"/>
                <w:color w:val="auto"/>
              </w:rPr>
              <w:t>Diluted</w:t>
            </w: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r>
      <w:tr>
        <w:trPr>
          <w:trHeight w:val="219"/>
        </w:trPr>
        <w:tc>
          <w:tcPr>
            <w:tcW w:w="20" w:type="dxa"/>
            <w:vAlign w:val="bottom"/>
          </w:tcPr>
          <w:p>
            <w:pPr>
              <w:spacing w:after="0"/>
              <w:rPr>
                <w:sz w:val="19"/>
                <w:szCs w:val="19"/>
                <w:color w:val="auto"/>
              </w:rPr>
            </w:pPr>
          </w:p>
        </w:tc>
        <w:tc>
          <w:tcPr>
            <w:tcW w:w="6000" w:type="dxa"/>
            <w:vAlign w:val="bottom"/>
            <w:gridSpan w:val="2"/>
          </w:tcPr>
          <w:p>
            <w:pPr>
              <w:ind w:left="120"/>
              <w:spacing w:after="0"/>
              <w:rPr>
                <w:sz w:val="20"/>
                <w:szCs w:val="20"/>
                <w:color w:val="auto"/>
              </w:rPr>
            </w:pPr>
            <w:r>
              <w:rPr>
                <w:rFonts w:ascii="Arial" w:cs="Arial" w:eastAsia="Arial" w:hAnsi="Arial"/>
                <w:sz w:val="17"/>
                <w:szCs w:val="17"/>
                <w:color w:val="auto"/>
              </w:rPr>
              <w:t>Net income attributable to Wabtec shareholders</w:t>
            </w:r>
          </w:p>
        </w:tc>
        <w:tc>
          <w:tcPr>
            <w:tcW w:w="30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1.33</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54"/>
              <w:spacing w:after="0"/>
              <w:rPr>
                <w:sz w:val="20"/>
                <w:szCs w:val="20"/>
                <w:color w:val="auto"/>
              </w:rPr>
            </w:pPr>
            <w:r>
              <w:rPr>
                <w:rFonts w:ascii="Arial" w:cs="Arial" w:eastAsia="Arial" w:hAnsi="Arial"/>
                <w:sz w:val="17"/>
                <w:szCs w:val="17"/>
                <w:color w:val="auto"/>
                <w:w w:val="84"/>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0.88</w:t>
            </w:r>
          </w:p>
        </w:tc>
        <w:tc>
          <w:tcPr>
            <w:tcW w:w="30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3.33</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34"/>
              <w:spacing w:after="0"/>
              <w:rPr>
                <w:sz w:val="20"/>
                <w:szCs w:val="20"/>
                <w:color w:val="auto"/>
              </w:rPr>
            </w:pPr>
            <w:r>
              <w:rPr>
                <w:rFonts w:ascii="Arial" w:cs="Arial" w:eastAsia="Arial" w:hAnsi="Arial"/>
                <w:sz w:val="17"/>
                <w:szCs w:val="17"/>
                <w:color w:val="auto"/>
                <w:w w:val="84"/>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2.59</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900" w:type="dxa"/>
            <w:vAlign w:val="bottom"/>
            <w:tcBorders>
              <w:bottom w:val="single" w:sz="8" w:color="CCEEFF"/>
            </w:tcBorders>
          </w:tcPr>
          <w:p>
            <w:pPr>
              <w:spacing w:after="0" w:line="20" w:lineRule="exact"/>
              <w:rPr>
                <w:sz w:val="1"/>
                <w:szCs w:val="1"/>
                <w:color w:val="auto"/>
              </w:rPr>
            </w:pPr>
          </w:p>
        </w:tc>
        <w:tc>
          <w:tcPr>
            <w:tcW w:w="4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4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18"/>
        </w:trPr>
        <w:tc>
          <w:tcPr>
            <w:tcW w:w="6020" w:type="dxa"/>
            <w:vAlign w:val="bottom"/>
            <w:gridSpan w:val="3"/>
          </w:tcPr>
          <w:p>
            <w:pPr>
              <w:ind w:left="20"/>
              <w:spacing w:after="0"/>
              <w:rPr>
                <w:sz w:val="20"/>
                <w:szCs w:val="20"/>
                <w:color w:val="auto"/>
              </w:rPr>
            </w:pPr>
            <w:r>
              <w:rPr>
                <w:rFonts w:ascii="Arial" w:cs="Arial" w:eastAsia="Arial" w:hAnsi="Arial"/>
                <w:sz w:val="17"/>
                <w:szCs w:val="17"/>
                <w:color w:val="auto"/>
              </w:rPr>
              <w:t>Weighted average shares outstanding</w:t>
            </w: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20"/>
        </w:trPr>
        <w:tc>
          <w:tcPr>
            <w:tcW w:w="602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Basic</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178.6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181.3</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179.1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182.6</w:t>
            </w:r>
          </w:p>
        </w:tc>
      </w:tr>
      <w:tr>
        <w:trPr>
          <w:trHeight w:val="218"/>
        </w:trPr>
        <w:tc>
          <w:tcPr>
            <w:tcW w:w="6020" w:type="dxa"/>
            <w:vAlign w:val="bottom"/>
            <w:gridSpan w:val="3"/>
          </w:tcPr>
          <w:p>
            <w:pPr>
              <w:ind w:left="20"/>
              <w:spacing w:after="0"/>
              <w:rPr>
                <w:sz w:val="20"/>
                <w:szCs w:val="20"/>
                <w:color w:val="auto"/>
              </w:rPr>
            </w:pPr>
            <w:r>
              <w:rPr>
                <w:rFonts w:ascii="Arial" w:cs="Arial" w:eastAsia="Arial" w:hAnsi="Arial"/>
                <w:sz w:val="17"/>
                <w:szCs w:val="17"/>
                <w:color w:val="auto"/>
              </w:rPr>
              <w:t>Diluted</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179.2</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181.9</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179.7</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183.1</w:t>
            </w:r>
          </w:p>
        </w:tc>
      </w:tr>
    </w:tbl>
    <w:p>
      <w:pPr>
        <w:spacing w:after="0" w:line="2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statements.</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7"/>
          <w:szCs w:val="17"/>
          <w:b w:val="1"/>
          <w:bCs w:val="1"/>
          <w:color w:val="auto"/>
        </w:rPr>
        <w:t>WESTINGHOUSE AIR BRAKE TECHNOLOGIES CORPORATION</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COMPREHENSIVE INCOME</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9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80" w:type="dxa"/>
            <w:vAlign w:val="bottom"/>
            <w:gridSpan w:val="3"/>
          </w:tcPr>
          <w:p>
            <w:pPr>
              <w:jc w:val="center"/>
              <w:ind w:right="337"/>
              <w:spacing w:after="0"/>
              <w:rPr>
                <w:sz w:val="20"/>
                <w:szCs w:val="20"/>
                <w:color w:val="auto"/>
              </w:rPr>
            </w:pPr>
            <w:r>
              <w:rPr>
                <w:rFonts w:ascii="Arial" w:cs="Arial" w:eastAsia="Arial" w:hAnsi="Arial"/>
                <w:sz w:val="15"/>
                <w:szCs w:val="15"/>
                <w:b w:val="1"/>
                <w:bCs w:val="1"/>
                <w:color w:val="auto"/>
                <w:w w:val="95"/>
              </w:rPr>
              <w:t>Unaudited</w:t>
            </w:r>
          </w:p>
        </w:tc>
        <w:tc>
          <w:tcPr>
            <w:tcW w:w="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20" w:type="dxa"/>
            <w:vAlign w:val="bottom"/>
            <w:gridSpan w:val="3"/>
          </w:tcPr>
          <w:p>
            <w:pPr>
              <w:jc w:val="center"/>
              <w:ind w:left="477"/>
              <w:spacing w:after="0"/>
              <w:rPr>
                <w:sz w:val="20"/>
                <w:szCs w:val="20"/>
                <w:color w:val="auto"/>
              </w:rPr>
            </w:pPr>
            <w:r>
              <w:rPr>
                <w:rFonts w:ascii="Arial" w:cs="Arial" w:eastAsia="Arial" w:hAnsi="Arial"/>
                <w:sz w:val="15"/>
                <w:szCs w:val="15"/>
                <w:b w:val="1"/>
                <w:bCs w:val="1"/>
                <w:color w:val="auto"/>
                <w:w w:val="95"/>
              </w:rPr>
              <w:t>Unaudited</w:t>
            </w:r>
          </w:p>
        </w:tc>
        <w:tc>
          <w:tcPr>
            <w:tcW w:w="880" w:type="dxa"/>
            <w:vAlign w:val="bottom"/>
          </w:tcPr>
          <w:p>
            <w:pPr>
              <w:spacing w:after="0"/>
              <w:rPr>
                <w:sz w:val="17"/>
                <w:szCs w:val="17"/>
                <w:color w:val="auto"/>
              </w:rPr>
            </w:pPr>
          </w:p>
        </w:tc>
      </w:tr>
      <w:tr>
        <w:trPr>
          <w:trHeight w:val="160"/>
        </w:trPr>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940" w:type="dxa"/>
            <w:vAlign w:val="bottom"/>
          </w:tcPr>
          <w:p>
            <w:pPr>
              <w:spacing w:after="0"/>
              <w:rPr>
                <w:sz w:val="13"/>
                <w:szCs w:val="13"/>
                <w:color w:val="auto"/>
              </w:rPr>
            </w:pPr>
          </w:p>
        </w:tc>
        <w:tc>
          <w:tcPr>
            <w:tcW w:w="2380" w:type="dxa"/>
            <w:vAlign w:val="bottom"/>
            <w:gridSpan w:val="4"/>
          </w:tcPr>
          <w:p>
            <w:pPr>
              <w:jc w:val="center"/>
              <w:ind w:left="378"/>
              <w:spacing w:after="0" w:line="161" w:lineRule="exact"/>
              <w:rPr>
                <w:sz w:val="20"/>
                <w:szCs w:val="20"/>
                <w:color w:val="auto"/>
              </w:rPr>
            </w:pPr>
            <w:r>
              <w:rPr>
                <w:rFonts w:ascii="Arial" w:cs="Arial" w:eastAsia="Arial" w:hAnsi="Arial"/>
                <w:sz w:val="15"/>
                <w:szCs w:val="15"/>
                <w:b w:val="1"/>
                <w:bCs w:val="1"/>
                <w:color w:val="auto"/>
                <w:w w:val="94"/>
              </w:rPr>
              <w:t>Three Months Ended</w:t>
            </w:r>
          </w:p>
        </w:tc>
        <w:tc>
          <w:tcPr>
            <w:tcW w:w="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500" w:type="dxa"/>
            <w:vAlign w:val="bottom"/>
            <w:gridSpan w:val="4"/>
          </w:tcPr>
          <w:p>
            <w:pPr>
              <w:jc w:val="center"/>
              <w:ind w:right="215"/>
              <w:spacing w:after="0" w:line="161" w:lineRule="exact"/>
              <w:rPr>
                <w:sz w:val="20"/>
                <w:szCs w:val="20"/>
                <w:color w:val="auto"/>
              </w:rPr>
            </w:pPr>
            <w:r>
              <w:rPr>
                <w:rFonts w:ascii="Arial" w:cs="Arial" w:eastAsia="Arial" w:hAnsi="Arial"/>
                <w:sz w:val="15"/>
                <w:szCs w:val="15"/>
                <w:b w:val="1"/>
                <w:bCs w:val="1"/>
                <w:color w:val="auto"/>
                <w:w w:val="94"/>
              </w:rPr>
              <w:t>Nine Months Ended</w:t>
            </w:r>
          </w:p>
        </w:tc>
      </w:tr>
      <w:tr>
        <w:trPr>
          <w:trHeight w:val="202"/>
        </w:trPr>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9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80" w:type="dxa"/>
            <w:vAlign w:val="bottom"/>
            <w:gridSpan w:val="3"/>
          </w:tcPr>
          <w:p>
            <w:pPr>
              <w:jc w:val="center"/>
              <w:ind w:right="337"/>
              <w:spacing w:after="0"/>
              <w:rPr>
                <w:sz w:val="20"/>
                <w:szCs w:val="20"/>
                <w:color w:val="auto"/>
              </w:rPr>
            </w:pPr>
            <w:r>
              <w:rPr>
                <w:rFonts w:ascii="Arial" w:cs="Arial" w:eastAsia="Arial" w:hAnsi="Arial"/>
                <w:sz w:val="15"/>
                <w:szCs w:val="15"/>
                <w:b w:val="1"/>
                <w:bCs w:val="1"/>
                <w:color w:val="auto"/>
                <w:w w:val="91"/>
              </w:rPr>
              <w:t>September 30,</w:t>
            </w:r>
          </w:p>
        </w:tc>
        <w:tc>
          <w:tcPr>
            <w:tcW w:w="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20" w:type="dxa"/>
            <w:vAlign w:val="bottom"/>
            <w:gridSpan w:val="3"/>
          </w:tcPr>
          <w:p>
            <w:pPr>
              <w:jc w:val="center"/>
              <w:ind w:left="477"/>
              <w:spacing w:after="0"/>
              <w:rPr>
                <w:sz w:val="20"/>
                <w:szCs w:val="20"/>
                <w:color w:val="auto"/>
              </w:rPr>
            </w:pPr>
            <w:r>
              <w:rPr>
                <w:rFonts w:ascii="Arial" w:cs="Arial" w:eastAsia="Arial" w:hAnsi="Arial"/>
                <w:sz w:val="15"/>
                <w:szCs w:val="15"/>
                <w:b w:val="1"/>
                <w:bCs w:val="1"/>
                <w:color w:val="auto"/>
                <w:w w:val="91"/>
              </w:rPr>
              <w:t>September 30,</w:t>
            </w:r>
          </w:p>
        </w:tc>
        <w:tc>
          <w:tcPr>
            <w:tcW w:w="880" w:type="dxa"/>
            <w:vAlign w:val="bottom"/>
          </w:tcPr>
          <w:p>
            <w:pPr>
              <w:spacing w:after="0"/>
              <w:rPr>
                <w:sz w:val="17"/>
                <w:szCs w:val="17"/>
                <w:color w:val="auto"/>
              </w:rPr>
            </w:pPr>
          </w:p>
        </w:tc>
      </w:tr>
      <w:tr>
        <w:trPr>
          <w:trHeight w:val="159"/>
        </w:trPr>
        <w:tc>
          <w:tcPr>
            <w:tcW w:w="5580" w:type="dxa"/>
            <w:vAlign w:val="bottom"/>
            <w:gridSpan w:val="3"/>
          </w:tcPr>
          <w:p>
            <w:pPr>
              <w:ind w:left="20"/>
              <w:spacing w:after="0" w:line="139" w:lineRule="exact"/>
              <w:rPr>
                <w:sz w:val="20"/>
                <w:szCs w:val="20"/>
                <w:color w:val="auto"/>
              </w:rPr>
            </w:pPr>
            <w:r>
              <w:rPr>
                <w:rFonts w:ascii="Arial" w:cs="Arial" w:eastAsia="Arial" w:hAnsi="Arial"/>
                <w:sz w:val="14"/>
                <w:szCs w:val="14"/>
                <w:b w:val="1"/>
                <w:bCs w:val="1"/>
                <w:i w:val="1"/>
                <w:iCs w:val="1"/>
                <w:color w:val="auto"/>
              </w:rPr>
              <w:t>In millions</w:t>
            </w:r>
          </w:p>
        </w:tc>
        <w:tc>
          <w:tcPr>
            <w:tcW w:w="900" w:type="dxa"/>
            <w:vAlign w:val="bottom"/>
          </w:tcPr>
          <w:p>
            <w:pPr>
              <w:jc w:val="right"/>
              <w:spacing w:after="0" w:line="139" w:lineRule="exact"/>
              <w:rPr>
                <w:sz w:val="20"/>
                <w:szCs w:val="20"/>
                <w:color w:val="auto"/>
              </w:rPr>
            </w:pPr>
            <w:r>
              <w:rPr>
                <w:rFonts w:ascii="Arial" w:cs="Arial" w:eastAsia="Arial" w:hAnsi="Arial"/>
                <w:sz w:val="15"/>
                <w:szCs w:val="15"/>
                <w:b w:val="1"/>
                <w:bCs w:val="1"/>
                <w:color w:val="auto"/>
              </w:rPr>
              <w:t>2023</w:t>
            </w: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jc w:val="right"/>
              <w:spacing w:after="0" w:line="139" w:lineRule="exact"/>
              <w:rPr>
                <w:sz w:val="20"/>
                <w:szCs w:val="20"/>
                <w:color w:val="auto"/>
              </w:rPr>
            </w:pPr>
            <w:r>
              <w:rPr>
                <w:rFonts w:ascii="Arial" w:cs="Arial" w:eastAsia="Arial" w:hAnsi="Arial"/>
                <w:sz w:val="15"/>
                <w:szCs w:val="15"/>
                <w:b w:val="1"/>
                <w:bCs w:val="1"/>
                <w:color w:val="auto"/>
              </w:rPr>
              <w:t>2022</w:t>
            </w:r>
          </w:p>
        </w:tc>
        <w:tc>
          <w:tcPr>
            <w:tcW w:w="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jc w:val="right"/>
              <w:ind w:right="437"/>
              <w:spacing w:after="0" w:line="139" w:lineRule="exact"/>
              <w:rPr>
                <w:sz w:val="20"/>
                <w:szCs w:val="20"/>
                <w:color w:val="auto"/>
              </w:rPr>
            </w:pPr>
            <w:r>
              <w:rPr>
                <w:rFonts w:ascii="Arial" w:cs="Arial" w:eastAsia="Arial" w:hAnsi="Arial"/>
                <w:sz w:val="15"/>
                <w:szCs w:val="15"/>
                <w:b w:val="1"/>
                <w:bCs w:val="1"/>
                <w:color w:val="auto"/>
              </w:rPr>
              <w:t>2023</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80" w:type="dxa"/>
            <w:vAlign w:val="bottom"/>
          </w:tcPr>
          <w:p>
            <w:pPr>
              <w:jc w:val="right"/>
              <w:ind w:right="435"/>
              <w:spacing w:after="0" w:line="139" w:lineRule="exact"/>
              <w:rPr>
                <w:sz w:val="20"/>
                <w:szCs w:val="20"/>
                <w:color w:val="auto"/>
              </w:rPr>
            </w:pPr>
            <w:r>
              <w:rPr>
                <w:rFonts w:ascii="Arial" w:cs="Arial" w:eastAsia="Arial" w:hAnsi="Arial"/>
                <w:sz w:val="15"/>
                <w:szCs w:val="15"/>
                <w:b w:val="1"/>
                <w:bCs w:val="1"/>
                <w:color w:val="auto"/>
              </w:rPr>
              <w:t>2022</w:t>
            </w:r>
          </w:p>
        </w:tc>
      </w:tr>
      <w:tr>
        <w:trPr>
          <w:trHeight w:val="32"/>
        </w:trPr>
        <w:tc>
          <w:tcPr>
            <w:tcW w:w="20" w:type="dxa"/>
            <w:vAlign w:val="bottom"/>
            <w:tcBorders>
              <w:bottom w:val="single" w:sz="8" w:color="CCEEFF"/>
            </w:tcBorders>
          </w:tcPr>
          <w:p>
            <w:pPr>
              <w:spacing w:after="0"/>
              <w:rPr>
                <w:sz w:val="2"/>
                <w:szCs w:val="2"/>
                <w:color w:val="auto"/>
              </w:rPr>
            </w:pPr>
          </w:p>
        </w:tc>
        <w:tc>
          <w:tcPr>
            <w:tcW w:w="620" w:type="dxa"/>
            <w:vAlign w:val="bottom"/>
            <w:tcBorders>
              <w:top w:val="single" w:sz="8" w:color="auto"/>
              <w:bottom w:val="single" w:sz="8" w:color="CCEEFF"/>
            </w:tcBorders>
          </w:tcPr>
          <w:p>
            <w:pPr>
              <w:spacing w:after="0"/>
              <w:rPr>
                <w:sz w:val="2"/>
                <w:szCs w:val="2"/>
                <w:color w:val="auto"/>
              </w:rPr>
            </w:pPr>
          </w:p>
        </w:tc>
        <w:tc>
          <w:tcPr>
            <w:tcW w:w="49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8"/>
        </w:trPr>
        <w:tc>
          <w:tcPr>
            <w:tcW w:w="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49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r>
      <w:tr>
        <w:trPr>
          <w:trHeight w:val="218"/>
        </w:trPr>
        <w:tc>
          <w:tcPr>
            <w:tcW w:w="5580" w:type="dxa"/>
            <w:vAlign w:val="bottom"/>
            <w:tcBorders>
              <w:bottom w:val="single" w:sz="8" w:color="CCEEFF"/>
            </w:tcBorders>
            <w:gridSpan w:val="3"/>
          </w:tcPr>
          <w:p>
            <w:pPr>
              <w:ind w:left="20"/>
              <w:spacing w:after="0"/>
              <w:rPr>
                <w:sz w:val="20"/>
                <w:szCs w:val="20"/>
                <w:color w:val="auto"/>
              </w:rPr>
            </w:pPr>
            <w:r>
              <w:rPr>
                <w:rFonts w:ascii="Arial" w:cs="Arial" w:eastAsia="Arial" w:hAnsi="Arial"/>
                <w:sz w:val="17"/>
                <w:szCs w:val="17"/>
                <w:color w:val="auto"/>
              </w:rPr>
              <w:t>Net income attributable to Wabtec shareholders</w:t>
            </w:r>
          </w:p>
        </w:tc>
        <w:tc>
          <w:tcPr>
            <w:tcW w:w="900" w:type="dxa"/>
            <w:vAlign w:val="bottom"/>
            <w:tcBorders>
              <w:bottom w:val="single" w:sz="8" w:color="auto"/>
            </w:tcBorders>
          </w:tcPr>
          <w:p>
            <w:pPr>
              <w:jc w:val="right"/>
              <w:ind w:right="718"/>
              <w:spacing w:after="0"/>
              <w:rPr>
                <w:sz w:val="20"/>
                <w:szCs w:val="20"/>
                <w:color w:val="auto"/>
              </w:rPr>
            </w:pPr>
            <w:r>
              <w:rPr>
                <w:rFonts w:ascii="Arial" w:cs="Arial" w:eastAsia="Arial" w:hAnsi="Arial"/>
                <w:sz w:val="17"/>
                <w:szCs w:val="17"/>
                <w:color w:val="auto"/>
                <w:w w:val="84"/>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240</w:t>
            </w:r>
          </w:p>
        </w:tc>
        <w:tc>
          <w:tcPr>
            <w:tcW w:w="10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right"/>
              <w:ind w:right="717"/>
              <w:spacing w:after="0"/>
              <w:rPr>
                <w:sz w:val="20"/>
                <w:szCs w:val="20"/>
                <w:color w:val="auto"/>
              </w:rPr>
            </w:pPr>
            <w:r>
              <w:rPr>
                <w:rFonts w:ascii="Arial" w:cs="Arial" w:eastAsia="Arial" w:hAnsi="Arial"/>
                <w:sz w:val="17"/>
                <w:szCs w:val="17"/>
                <w:color w:val="auto"/>
                <w:w w:val="84"/>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160</w:t>
            </w:r>
          </w:p>
        </w:tc>
        <w:tc>
          <w:tcPr>
            <w:tcW w:w="32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600</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jc w:val="right"/>
              <w:ind w:right="294"/>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475</w:t>
            </w:r>
          </w:p>
        </w:tc>
      </w:tr>
      <w:tr>
        <w:trPr>
          <w:trHeight w:val="213"/>
        </w:trPr>
        <w:tc>
          <w:tcPr>
            <w:tcW w:w="558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Foreign currency translation loss</w:t>
            </w:r>
          </w:p>
        </w:tc>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(170)</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(352)</w:t>
            </w:r>
          </w:p>
        </w:tc>
      </w:tr>
      <w:tr>
        <w:trPr>
          <w:trHeight w:val="218"/>
        </w:trPr>
        <w:tc>
          <w:tcPr>
            <w:tcW w:w="5580" w:type="dxa"/>
            <w:vAlign w:val="bottom"/>
            <w:gridSpan w:val="3"/>
          </w:tcPr>
          <w:p>
            <w:pPr>
              <w:ind w:left="20"/>
              <w:spacing w:after="0"/>
              <w:rPr>
                <w:sz w:val="20"/>
                <w:szCs w:val="20"/>
                <w:color w:val="auto"/>
              </w:rPr>
            </w:pPr>
            <w:r>
              <w:rPr>
                <w:rFonts w:ascii="Arial" w:cs="Arial" w:eastAsia="Arial" w:hAnsi="Arial"/>
                <w:sz w:val="17"/>
                <w:szCs w:val="17"/>
                <w:color w:val="auto"/>
              </w:rPr>
              <w:t>Unrealized gain on derivative contracts</w:t>
            </w:r>
          </w:p>
        </w:tc>
        <w:tc>
          <w:tcPr>
            <w:tcW w:w="9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21</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39</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3</w:t>
            </w:r>
          </w:p>
        </w:tc>
      </w:tr>
      <w:tr>
        <w:trPr>
          <w:trHeight w:val="220"/>
        </w:trPr>
        <w:tc>
          <w:tcPr>
            <w:tcW w:w="558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w w:val="98"/>
              </w:rPr>
              <w:t>Unrealized gain on pension benefit plans and post-retirement benefit plans</w:t>
            </w:r>
          </w:p>
        </w:tc>
        <w:tc>
          <w:tcPr>
            <w:tcW w:w="90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0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w:t>
            </w:r>
          </w:p>
        </w:tc>
      </w:tr>
      <w:tr>
        <w:trPr>
          <w:trHeight w:val="211"/>
        </w:trPr>
        <w:tc>
          <w:tcPr>
            <w:tcW w:w="20" w:type="dxa"/>
            <w:vAlign w:val="bottom"/>
          </w:tcPr>
          <w:p>
            <w:pPr>
              <w:spacing w:after="0"/>
              <w:rPr>
                <w:sz w:val="18"/>
                <w:szCs w:val="18"/>
                <w:color w:val="auto"/>
              </w:rPr>
            </w:pPr>
          </w:p>
        </w:tc>
        <w:tc>
          <w:tcPr>
            <w:tcW w:w="5560" w:type="dxa"/>
            <w:vAlign w:val="bottom"/>
            <w:gridSpan w:val="2"/>
          </w:tcPr>
          <w:p>
            <w:pPr>
              <w:ind w:left="200"/>
              <w:spacing w:after="0"/>
              <w:rPr>
                <w:sz w:val="20"/>
                <w:szCs w:val="20"/>
                <w:color w:val="auto"/>
              </w:rPr>
            </w:pPr>
            <w:r>
              <w:rPr>
                <w:rFonts w:ascii="Arial" w:cs="Arial" w:eastAsia="Arial" w:hAnsi="Arial"/>
                <w:sz w:val="17"/>
                <w:szCs w:val="17"/>
                <w:color w:val="auto"/>
              </w:rPr>
              <w:t>Other comprehensive loss before tax</w:t>
            </w:r>
          </w:p>
        </w:tc>
        <w:tc>
          <w:tcPr>
            <w:tcW w:w="9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(82)</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(164)</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(42)</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(338)</w:t>
            </w:r>
          </w:p>
        </w:tc>
      </w:tr>
      <w:tr>
        <w:trPr>
          <w:trHeight w:val="220"/>
        </w:trPr>
        <w:tc>
          <w:tcPr>
            <w:tcW w:w="20" w:type="dxa"/>
            <w:vAlign w:val="bottom"/>
            <w:shd w:val="clear" w:color="auto" w:fill="CCEEFF"/>
          </w:tcPr>
          <w:p>
            <w:pPr>
              <w:spacing w:after="0"/>
              <w:rPr>
                <w:sz w:val="19"/>
                <w:szCs w:val="19"/>
                <w:color w:val="auto"/>
              </w:rPr>
            </w:pPr>
          </w:p>
        </w:tc>
        <w:tc>
          <w:tcPr>
            <w:tcW w:w="55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w w:val="97"/>
              </w:rPr>
              <w:t>Income tax expense related to components of other comprehensive income</w:t>
            </w:r>
          </w:p>
        </w:tc>
        <w:tc>
          <w:tcPr>
            <w:tcW w:w="90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10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w:t>
            </w:r>
          </w:p>
        </w:tc>
      </w:tr>
      <w:tr>
        <w:trPr>
          <w:trHeight w:val="211"/>
        </w:trPr>
        <w:tc>
          <w:tcPr>
            <w:tcW w:w="20" w:type="dxa"/>
            <w:vAlign w:val="bottom"/>
            <w:tcBorders>
              <w:bottom w:val="single" w:sz="8" w:color="CCEEFF"/>
            </w:tcBorders>
          </w:tcPr>
          <w:p>
            <w:pPr>
              <w:spacing w:after="0"/>
              <w:rPr>
                <w:sz w:val="18"/>
                <w:szCs w:val="18"/>
                <w:color w:val="auto"/>
              </w:rPr>
            </w:pPr>
          </w:p>
        </w:tc>
        <w:tc>
          <w:tcPr>
            <w:tcW w:w="5560" w:type="dxa"/>
            <w:vAlign w:val="bottom"/>
            <w:tcBorders>
              <w:bottom w:val="single" w:sz="8" w:color="CCEEFF"/>
            </w:tcBorders>
            <w:gridSpan w:val="2"/>
          </w:tcPr>
          <w:p>
            <w:pPr>
              <w:ind w:left="200"/>
              <w:spacing w:after="0"/>
              <w:rPr>
                <w:sz w:val="20"/>
                <w:szCs w:val="20"/>
                <w:color w:val="auto"/>
              </w:rPr>
            </w:pPr>
            <w:r>
              <w:rPr>
                <w:rFonts w:ascii="Arial" w:cs="Arial" w:eastAsia="Arial" w:hAnsi="Arial"/>
                <w:sz w:val="17"/>
                <w:szCs w:val="17"/>
                <w:color w:val="auto"/>
              </w:rPr>
              <w:t>Other comprehensive loss, net of tax</w:t>
            </w:r>
          </w:p>
        </w:tc>
        <w:tc>
          <w:tcPr>
            <w:tcW w:w="9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(89)</w:t>
            </w:r>
          </w:p>
        </w:tc>
        <w:tc>
          <w:tcPr>
            <w:tcW w:w="10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(167)</w:t>
            </w: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(52)</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(342)</w:t>
            </w:r>
          </w:p>
        </w:tc>
      </w:tr>
      <w:tr>
        <w:trPr>
          <w:trHeight w:val="238"/>
        </w:trPr>
        <w:tc>
          <w:tcPr>
            <w:tcW w:w="55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7"/>
                <w:szCs w:val="17"/>
                <w:color w:val="auto"/>
              </w:rPr>
              <w:t>Comprehensive income (loss) attributable to Wabtec shareholders</w:t>
            </w:r>
          </w:p>
        </w:tc>
        <w:tc>
          <w:tcPr>
            <w:tcW w:w="900" w:type="dxa"/>
            <w:vAlign w:val="bottom"/>
            <w:tcBorders>
              <w:bottom w:val="single" w:sz="8" w:color="auto"/>
            </w:tcBorders>
            <w:shd w:val="clear" w:color="auto" w:fill="CCEEFF"/>
          </w:tcPr>
          <w:p>
            <w:pPr>
              <w:jc w:val="right"/>
              <w:ind w:right="718"/>
              <w:spacing w:after="0"/>
              <w:rPr>
                <w:sz w:val="20"/>
                <w:szCs w:val="20"/>
                <w:color w:val="auto"/>
              </w:rPr>
            </w:pPr>
            <w:r>
              <w:rPr>
                <w:rFonts w:ascii="Arial" w:cs="Arial" w:eastAsia="Arial" w:hAnsi="Arial"/>
                <w:sz w:val="17"/>
                <w:szCs w:val="17"/>
                <w:color w:val="auto"/>
                <w:w w:val="84"/>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151</w:t>
            </w: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ind w:right="717"/>
              <w:spacing w:after="0"/>
              <w:rPr>
                <w:sz w:val="20"/>
                <w:szCs w:val="20"/>
                <w:color w:val="auto"/>
              </w:rPr>
            </w:pPr>
            <w:r>
              <w:rPr>
                <w:rFonts w:ascii="Arial" w:cs="Arial" w:eastAsia="Arial" w:hAnsi="Arial"/>
                <w:sz w:val="17"/>
                <w:szCs w:val="17"/>
                <w:color w:val="auto"/>
                <w:w w:val="84"/>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548</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94"/>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133</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49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5" w:name="page6"/>
    <w:bookmarkEnd w:id="5"/>
    <w:p>
      <w:pPr>
        <w:ind w:left="3320"/>
        <w:spacing w:after="0"/>
        <w:rPr>
          <w:sz w:val="20"/>
          <w:szCs w:val="20"/>
          <w:color w:val="auto"/>
        </w:rPr>
      </w:pPr>
      <w:r>
        <w:rPr>
          <w:rFonts w:ascii="Arial" w:cs="Arial" w:eastAsia="Arial" w:hAnsi="Arial"/>
          <w:sz w:val="17"/>
          <w:szCs w:val="17"/>
          <w:b w:val="1"/>
          <w:bCs w:val="1"/>
          <w:color w:val="auto"/>
        </w:rPr>
        <w:t>WESTINGHOUSE AIR BRAKE TECHNOLOGIES CORPORATION</w:t>
      </w:r>
    </w:p>
    <w:p>
      <w:pPr>
        <w:spacing w:after="0" w:line="28" w:lineRule="exact"/>
        <w:rPr>
          <w:sz w:val="20"/>
          <w:szCs w:val="20"/>
          <w:color w:val="auto"/>
        </w:rPr>
      </w:pPr>
    </w:p>
    <w:p>
      <w:pPr>
        <w:ind w:left="3040"/>
        <w:spacing w:after="0"/>
        <w:rPr>
          <w:sz w:val="20"/>
          <w:szCs w:val="20"/>
          <w:color w:val="auto"/>
        </w:rPr>
      </w:pPr>
      <w:r>
        <w:rPr>
          <w:rFonts w:ascii="Arial" w:cs="Arial" w:eastAsia="Arial" w:hAnsi="Arial"/>
          <w:sz w:val="17"/>
          <w:szCs w:val="17"/>
          <w:b w:val="1"/>
          <w:bCs w:val="1"/>
          <w:color w:val="auto"/>
        </w:rPr>
        <w:t>CONDENSED CONSOLIDATED STATEMENTS OF CASH FLOWS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780" w:type="dxa"/>
            <w:vAlign w:val="bottom"/>
            <w:gridSpan w:val="3"/>
          </w:tcPr>
          <w:p>
            <w:pPr>
              <w:jc w:val="center"/>
              <w:ind w:left="555"/>
              <w:spacing w:after="0"/>
              <w:rPr>
                <w:sz w:val="20"/>
                <w:szCs w:val="20"/>
                <w:color w:val="auto"/>
              </w:rPr>
            </w:pPr>
            <w:r>
              <w:rPr>
                <w:rFonts w:ascii="Arial" w:cs="Arial" w:eastAsia="Arial" w:hAnsi="Arial"/>
                <w:sz w:val="15"/>
                <w:szCs w:val="15"/>
                <w:b w:val="1"/>
                <w:bCs w:val="1"/>
                <w:color w:val="auto"/>
                <w:w w:val="95"/>
              </w:rPr>
              <w:t>Unaudited</w:t>
            </w:r>
          </w:p>
        </w:tc>
        <w:tc>
          <w:tcPr>
            <w:tcW w:w="1000" w:type="dxa"/>
            <w:vAlign w:val="bottom"/>
          </w:tcPr>
          <w:p>
            <w:pPr>
              <w:spacing w:after="0"/>
              <w:rPr>
                <w:sz w:val="17"/>
                <w:szCs w:val="17"/>
                <w:color w:val="auto"/>
              </w:rPr>
            </w:pPr>
          </w:p>
        </w:tc>
      </w:tr>
      <w:tr>
        <w:trPr>
          <w:trHeight w:val="160"/>
        </w:trPr>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780" w:type="dxa"/>
            <w:vAlign w:val="bottom"/>
            <w:gridSpan w:val="4"/>
          </w:tcPr>
          <w:p>
            <w:pPr>
              <w:jc w:val="center"/>
              <w:ind w:right="254"/>
              <w:spacing w:after="0" w:line="161" w:lineRule="exact"/>
              <w:rPr>
                <w:sz w:val="20"/>
                <w:szCs w:val="20"/>
                <w:color w:val="auto"/>
              </w:rPr>
            </w:pPr>
            <w:r>
              <w:rPr>
                <w:rFonts w:ascii="Arial" w:cs="Arial" w:eastAsia="Arial" w:hAnsi="Arial"/>
                <w:sz w:val="15"/>
                <w:szCs w:val="15"/>
                <w:b w:val="1"/>
                <w:bCs w:val="1"/>
                <w:color w:val="auto"/>
                <w:w w:val="94"/>
              </w:rPr>
              <w:t>Nine Months Ended</w:t>
            </w:r>
          </w:p>
        </w:tc>
      </w:tr>
      <w:tr>
        <w:trPr>
          <w:trHeight w:val="204"/>
        </w:trPr>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46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3"/>
          </w:tcPr>
          <w:p>
            <w:pPr>
              <w:jc w:val="center"/>
              <w:ind w:left="555"/>
              <w:spacing w:after="0"/>
              <w:rPr>
                <w:sz w:val="20"/>
                <w:szCs w:val="20"/>
                <w:color w:val="auto"/>
              </w:rPr>
            </w:pPr>
            <w:r>
              <w:rPr>
                <w:rFonts w:ascii="Arial" w:cs="Arial" w:eastAsia="Arial" w:hAnsi="Arial"/>
                <w:sz w:val="15"/>
                <w:szCs w:val="15"/>
                <w:b w:val="1"/>
                <w:bCs w:val="1"/>
                <w:color w:val="auto"/>
                <w:w w:val="91"/>
              </w:rPr>
              <w:t>September 30,</w:t>
            </w:r>
          </w:p>
        </w:tc>
        <w:tc>
          <w:tcPr>
            <w:tcW w:w="1000" w:type="dxa"/>
            <w:vAlign w:val="bottom"/>
            <w:tcBorders>
              <w:bottom w:val="single" w:sz="8" w:color="auto"/>
            </w:tcBorders>
          </w:tcPr>
          <w:p>
            <w:pPr>
              <w:spacing w:after="0"/>
              <w:rPr>
                <w:sz w:val="17"/>
                <w:szCs w:val="17"/>
                <w:color w:val="auto"/>
              </w:rPr>
            </w:pPr>
          </w:p>
        </w:tc>
      </w:tr>
      <w:tr>
        <w:trPr>
          <w:trHeight w:val="150"/>
        </w:trPr>
        <w:tc>
          <w:tcPr>
            <w:tcW w:w="8100" w:type="dxa"/>
            <w:vAlign w:val="bottom"/>
            <w:gridSpan w:val="3"/>
          </w:tcPr>
          <w:p>
            <w:pPr>
              <w:ind w:left="20"/>
              <w:spacing w:after="0" w:line="135" w:lineRule="exact"/>
              <w:rPr>
                <w:sz w:val="20"/>
                <w:szCs w:val="20"/>
                <w:color w:val="auto"/>
              </w:rPr>
            </w:pPr>
            <w:r>
              <w:rPr>
                <w:rFonts w:ascii="Arial" w:cs="Arial" w:eastAsia="Arial" w:hAnsi="Arial"/>
                <w:sz w:val="14"/>
                <w:szCs w:val="14"/>
                <w:b w:val="1"/>
                <w:bCs w:val="1"/>
                <w:i w:val="1"/>
                <w:iCs w:val="1"/>
                <w:color w:val="auto"/>
              </w:rPr>
              <w:t>In millions</w:t>
            </w:r>
          </w:p>
        </w:tc>
        <w:tc>
          <w:tcPr>
            <w:tcW w:w="360" w:type="dxa"/>
            <w:vAlign w:val="bottom"/>
          </w:tcPr>
          <w:p>
            <w:pPr>
              <w:spacing w:after="0"/>
              <w:rPr>
                <w:sz w:val="13"/>
                <w:szCs w:val="13"/>
                <w:color w:val="auto"/>
              </w:rPr>
            </w:pPr>
          </w:p>
        </w:tc>
        <w:tc>
          <w:tcPr>
            <w:tcW w:w="1160" w:type="dxa"/>
            <w:vAlign w:val="bottom"/>
          </w:tcPr>
          <w:p>
            <w:pPr>
              <w:jc w:val="right"/>
              <w:ind w:right="515"/>
              <w:spacing w:after="0" w:line="135" w:lineRule="exact"/>
              <w:rPr>
                <w:sz w:val="20"/>
                <w:szCs w:val="20"/>
                <w:color w:val="auto"/>
              </w:rPr>
            </w:pPr>
            <w:r>
              <w:rPr>
                <w:rFonts w:ascii="Arial" w:cs="Arial" w:eastAsia="Arial" w:hAnsi="Arial"/>
                <w:sz w:val="15"/>
                <w:szCs w:val="15"/>
                <w:b w:val="1"/>
                <w:bCs w:val="1"/>
                <w:color w:val="auto"/>
              </w:rPr>
              <w:t>2023</w:t>
            </w: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0" w:type="dxa"/>
            <w:vAlign w:val="bottom"/>
          </w:tcPr>
          <w:p>
            <w:pPr>
              <w:jc w:val="right"/>
              <w:ind w:right="514"/>
              <w:spacing w:after="0" w:line="135" w:lineRule="exact"/>
              <w:rPr>
                <w:sz w:val="20"/>
                <w:szCs w:val="20"/>
                <w:color w:val="auto"/>
              </w:rPr>
            </w:pPr>
            <w:r>
              <w:rPr>
                <w:rFonts w:ascii="Arial" w:cs="Arial" w:eastAsia="Arial" w:hAnsi="Arial"/>
                <w:sz w:val="15"/>
                <w:szCs w:val="15"/>
                <w:b w:val="1"/>
                <w:bCs w:val="1"/>
                <w:color w:val="auto"/>
              </w:rPr>
              <w:t>2022</w:t>
            </w:r>
          </w:p>
        </w:tc>
      </w:tr>
      <w:tr>
        <w:trPr>
          <w:trHeight w:val="32"/>
        </w:trPr>
        <w:tc>
          <w:tcPr>
            <w:tcW w:w="20" w:type="dxa"/>
            <w:vAlign w:val="bottom"/>
            <w:tcBorders>
              <w:bottom w:val="single" w:sz="8" w:color="CCEEFF"/>
            </w:tcBorders>
          </w:tcPr>
          <w:p>
            <w:pPr>
              <w:spacing w:after="0"/>
              <w:rPr>
                <w:sz w:val="2"/>
                <w:szCs w:val="2"/>
                <w:color w:val="auto"/>
              </w:rPr>
            </w:pPr>
          </w:p>
        </w:tc>
        <w:tc>
          <w:tcPr>
            <w:tcW w:w="620" w:type="dxa"/>
            <w:vAlign w:val="bottom"/>
            <w:tcBorders>
              <w:top w:val="single" w:sz="8" w:color="auto"/>
              <w:bottom w:val="single" w:sz="8" w:color="CCEEFF"/>
            </w:tcBorders>
          </w:tcPr>
          <w:p>
            <w:pPr>
              <w:spacing w:after="0"/>
              <w:rPr>
                <w:sz w:val="2"/>
                <w:szCs w:val="2"/>
                <w:color w:val="auto"/>
              </w:rPr>
            </w:pPr>
          </w:p>
        </w:tc>
        <w:tc>
          <w:tcPr>
            <w:tcW w:w="74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25"/>
        </w:trPr>
        <w:tc>
          <w:tcPr>
            <w:tcW w:w="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74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19"/>
        </w:trPr>
        <w:tc>
          <w:tcPr>
            <w:tcW w:w="8100" w:type="dxa"/>
            <w:vAlign w:val="bottom"/>
            <w:gridSpan w:val="3"/>
          </w:tcPr>
          <w:p>
            <w:pPr>
              <w:ind w:left="20"/>
              <w:spacing w:after="0"/>
              <w:rPr>
                <w:sz w:val="20"/>
                <w:szCs w:val="20"/>
                <w:color w:val="auto"/>
              </w:rPr>
            </w:pPr>
            <w:r>
              <w:rPr>
                <w:rFonts w:ascii="Arial" w:cs="Arial" w:eastAsia="Arial" w:hAnsi="Arial"/>
                <w:sz w:val="17"/>
                <w:szCs w:val="17"/>
                <w:b w:val="1"/>
                <w:bCs w:val="1"/>
                <w:color w:val="auto"/>
              </w:rPr>
              <w:t>Operating Activities</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19"/>
        </w:trPr>
        <w:tc>
          <w:tcPr>
            <w:tcW w:w="810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Net income</w:t>
            </w:r>
          </w:p>
        </w:tc>
        <w:tc>
          <w:tcPr>
            <w:tcW w:w="36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608</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4"/>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482</w:t>
            </w:r>
          </w:p>
        </w:tc>
      </w:tr>
      <w:tr>
        <w:trPr>
          <w:trHeight w:val="218"/>
        </w:trPr>
        <w:tc>
          <w:tcPr>
            <w:tcW w:w="20" w:type="dxa"/>
            <w:vAlign w:val="bottom"/>
          </w:tcPr>
          <w:p>
            <w:pPr>
              <w:spacing w:after="0"/>
              <w:rPr>
                <w:sz w:val="18"/>
                <w:szCs w:val="18"/>
                <w:color w:val="auto"/>
              </w:rPr>
            </w:pPr>
          </w:p>
        </w:tc>
        <w:tc>
          <w:tcPr>
            <w:tcW w:w="8080" w:type="dxa"/>
            <w:vAlign w:val="bottom"/>
            <w:gridSpan w:val="2"/>
          </w:tcPr>
          <w:p>
            <w:pPr>
              <w:ind w:left="100"/>
              <w:spacing w:after="0"/>
              <w:rPr>
                <w:sz w:val="20"/>
                <w:szCs w:val="20"/>
                <w:color w:val="auto"/>
              </w:rPr>
            </w:pPr>
            <w:r>
              <w:rPr>
                <w:rFonts w:ascii="Arial" w:cs="Arial" w:eastAsia="Arial" w:hAnsi="Arial"/>
                <w:sz w:val="17"/>
                <w:szCs w:val="17"/>
                <w:color w:val="auto"/>
              </w:rPr>
              <w:t>Adjustments to reconcile net income to net cash provided by operating activities:</w:t>
            </w: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20"/>
        </w:trPr>
        <w:tc>
          <w:tcPr>
            <w:tcW w:w="20" w:type="dxa"/>
            <w:vAlign w:val="bottom"/>
            <w:shd w:val="clear" w:color="auto" w:fill="CCEEFF"/>
          </w:tcPr>
          <w:p>
            <w:pPr>
              <w:spacing w:after="0"/>
              <w:rPr>
                <w:sz w:val="19"/>
                <w:szCs w:val="19"/>
                <w:color w:val="auto"/>
              </w:rPr>
            </w:pPr>
          </w:p>
        </w:tc>
        <w:tc>
          <w:tcPr>
            <w:tcW w:w="808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Depreciation and amortization</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371</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359</w:t>
            </w:r>
          </w:p>
        </w:tc>
      </w:tr>
      <w:tr>
        <w:trPr>
          <w:trHeight w:val="218"/>
        </w:trPr>
        <w:tc>
          <w:tcPr>
            <w:tcW w:w="20" w:type="dxa"/>
            <w:vAlign w:val="bottom"/>
          </w:tcPr>
          <w:p>
            <w:pPr>
              <w:spacing w:after="0"/>
              <w:rPr>
                <w:sz w:val="18"/>
                <w:szCs w:val="18"/>
                <w:color w:val="auto"/>
              </w:rPr>
            </w:pPr>
          </w:p>
        </w:tc>
        <w:tc>
          <w:tcPr>
            <w:tcW w:w="8080" w:type="dxa"/>
            <w:vAlign w:val="bottom"/>
            <w:gridSpan w:val="2"/>
          </w:tcPr>
          <w:p>
            <w:pPr>
              <w:ind w:left="340"/>
              <w:spacing w:after="0"/>
              <w:rPr>
                <w:sz w:val="20"/>
                <w:szCs w:val="20"/>
                <w:color w:val="auto"/>
              </w:rPr>
            </w:pPr>
            <w:r>
              <w:rPr>
                <w:rFonts w:ascii="Arial" w:cs="Arial" w:eastAsia="Arial" w:hAnsi="Arial"/>
                <w:sz w:val="17"/>
                <w:szCs w:val="17"/>
                <w:color w:val="auto"/>
              </w:rPr>
              <w:t>Stock-based compensation expense</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36</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30</w:t>
            </w:r>
          </w:p>
        </w:tc>
      </w:tr>
      <w:tr>
        <w:trPr>
          <w:trHeight w:val="220"/>
        </w:trPr>
        <w:tc>
          <w:tcPr>
            <w:tcW w:w="20" w:type="dxa"/>
            <w:vAlign w:val="bottom"/>
            <w:shd w:val="clear" w:color="auto" w:fill="CCEEFF"/>
          </w:tcPr>
          <w:p>
            <w:pPr>
              <w:spacing w:after="0"/>
              <w:rPr>
                <w:sz w:val="19"/>
                <w:szCs w:val="19"/>
                <w:color w:val="auto"/>
              </w:rPr>
            </w:pPr>
          </w:p>
        </w:tc>
        <w:tc>
          <w:tcPr>
            <w:tcW w:w="808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Below market intangible amortization</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w:t>
            </w:r>
          </w:p>
        </w:tc>
      </w:tr>
      <w:tr>
        <w:trPr>
          <w:trHeight w:val="218"/>
        </w:trPr>
        <w:tc>
          <w:tcPr>
            <w:tcW w:w="20" w:type="dxa"/>
            <w:vAlign w:val="bottom"/>
          </w:tcPr>
          <w:p>
            <w:pPr>
              <w:spacing w:after="0"/>
              <w:rPr>
                <w:sz w:val="18"/>
                <w:szCs w:val="18"/>
                <w:color w:val="auto"/>
              </w:rPr>
            </w:pPr>
          </w:p>
        </w:tc>
        <w:tc>
          <w:tcPr>
            <w:tcW w:w="8080" w:type="dxa"/>
            <w:vAlign w:val="bottom"/>
            <w:gridSpan w:val="2"/>
          </w:tcPr>
          <w:p>
            <w:pPr>
              <w:ind w:left="340"/>
              <w:spacing w:after="0"/>
              <w:rPr>
                <w:sz w:val="20"/>
                <w:szCs w:val="20"/>
                <w:color w:val="auto"/>
              </w:rPr>
            </w:pPr>
            <w:r>
              <w:rPr>
                <w:rFonts w:ascii="Arial" w:cs="Arial" w:eastAsia="Arial" w:hAnsi="Arial"/>
                <w:sz w:val="17"/>
                <w:szCs w:val="17"/>
                <w:color w:val="auto"/>
              </w:rPr>
              <w:t>Net loss on disposal of property, plant and equipment</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4</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5</w:t>
            </w:r>
          </w:p>
        </w:tc>
      </w:tr>
      <w:tr>
        <w:trPr>
          <w:trHeight w:val="220"/>
        </w:trPr>
        <w:tc>
          <w:tcPr>
            <w:tcW w:w="20" w:type="dxa"/>
            <w:vAlign w:val="bottom"/>
            <w:shd w:val="clear" w:color="auto" w:fill="CCEEFF"/>
          </w:tcPr>
          <w:p>
            <w:pPr>
              <w:spacing w:after="0"/>
              <w:rPr>
                <w:sz w:val="19"/>
                <w:szCs w:val="19"/>
                <w:color w:val="auto"/>
              </w:rPr>
            </w:pPr>
          </w:p>
        </w:tc>
        <w:tc>
          <w:tcPr>
            <w:tcW w:w="808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Changes in operating assets and liabilities, net of acquisitions: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8080" w:type="dxa"/>
            <w:vAlign w:val="bottom"/>
            <w:gridSpan w:val="2"/>
          </w:tcPr>
          <w:p>
            <w:pPr>
              <w:ind w:left="560"/>
              <w:spacing w:after="0"/>
              <w:rPr>
                <w:sz w:val="20"/>
                <w:szCs w:val="20"/>
                <w:color w:val="auto"/>
              </w:rPr>
            </w:pPr>
            <w:r>
              <w:rPr>
                <w:rFonts w:ascii="Arial" w:cs="Arial" w:eastAsia="Arial" w:hAnsi="Arial"/>
                <w:sz w:val="17"/>
                <w:szCs w:val="17"/>
                <w:color w:val="auto"/>
              </w:rPr>
              <w:t>Accounts receivable and unbilled accounts receivable</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(214)</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(39)</w:t>
            </w:r>
          </w:p>
        </w:tc>
      </w:tr>
      <w:tr>
        <w:trPr>
          <w:trHeight w:val="220"/>
        </w:trPr>
        <w:tc>
          <w:tcPr>
            <w:tcW w:w="20" w:type="dxa"/>
            <w:vAlign w:val="bottom"/>
            <w:shd w:val="clear" w:color="auto" w:fill="CCEEFF"/>
          </w:tcPr>
          <w:p>
            <w:pPr>
              <w:spacing w:after="0"/>
              <w:rPr>
                <w:sz w:val="19"/>
                <w:szCs w:val="19"/>
                <w:color w:val="auto"/>
              </w:rPr>
            </w:pPr>
          </w:p>
        </w:tc>
        <w:tc>
          <w:tcPr>
            <w:tcW w:w="8080" w:type="dxa"/>
            <w:vAlign w:val="bottom"/>
            <w:gridSpan w:val="2"/>
            <w:shd w:val="clear" w:color="auto" w:fill="CCEEFF"/>
          </w:tcPr>
          <w:p>
            <w:pPr>
              <w:ind w:left="560"/>
              <w:spacing w:after="0"/>
              <w:rPr>
                <w:sz w:val="20"/>
                <w:szCs w:val="20"/>
                <w:color w:val="auto"/>
              </w:rPr>
            </w:pPr>
            <w:r>
              <w:rPr>
                <w:rFonts w:ascii="Arial" w:cs="Arial" w:eastAsia="Arial" w:hAnsi="Arial"/>
                <w:sz w:val="17"/>
                <w:szCs w:val="17"/>
                <w:color w:val="auto"/>
              </w:rPr>
              <w:t>Inventories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(201)</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(401)</w:t>
            </w:r>
          </w:p>
        </w:tc>
      </w:tr>
      <w:tr>
        <w:trPr>
          <w:trHeight w:val="218"/>
        </w:trPr>
        <w:tc>
          <w:tcPr>
            <w:tcW w:w="20" w:type="dxa"/>
            <w:vAlign w:val="bottom"/>
          </w:tcPr>
          <w:p>
            <w:pPr>
              <w:spacing w:after="0"/>
              <w:rPr>
                <w:sz w:val="18"/>
                <w:szCs w:val="18"/>
                <w:color w:val="auto"/>
              </w:rPr>
            </w:pPr>
          </w:p>
        </w:tc>
        <w:tc>
          <w:tcPr>
            <w:tcW w:w="8080" w:type="dxa"/>
            <w:vAlign w:val="bottom"/>
            <w:gridSpan w:val="2"/>
          </w:tcPr>
          <w:p>
            <w:pPr>
              <w:ind w:left="560"/>
              <w:spacing w:after="0"/>
              <w:rPr>
                <w:sz w:val="20"/>
                <w:szCs w:val="20"/>
                <w:color w:val="auto"/>
              </w:rPr>
            </w:pPr>
            <w:r>
              <w:rPr>
                <w:rFonts w:ascii="Arial" w:cs="Arial" w:eastAsia="Arial" w:hAnsi="Arial"/>
                <w:sz w:val="17"/>
                <w:szCs w:val="17"/>
                <w:color w:val="auto"/>
              </w:rPr>
              <w:t>Accounts payable</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(50)</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232</w:t>
            </w:r>
          </w:p>
        </w:tc>
      </w:tr>
      <w:tr>
        <w:trPr>
          <w:trHeight w:val="220"/>
        </w:trPr>
        <w:tc>
          <w:tcPr>
            <w:tcW w:w="20" w:type="dxa"/>
            <w:vAlign w:val="bottom"/>
            <w:shd w:val="clear" w:color="auto" w:fill="CCEEFF"/>
          </w:tcPr>
          <w:p>
            <w:pPr>
              <w:spacing w:after="0"/>
              <w:rPr>
                <w:sz w:val="19"/>
                <w:szCs w:val="19"/>
                <w:color w:val="auto"/>
              </w:rPr>
            </w:pPr>
          </w:p>
        </w:tc>
        <w:tc>
          <w:tcPr>
            <w:tcW w:w="8080" w:type="dxa"/>
            <w:vAlign w:val="bottom"/>
            <w:gridSpan w:val="2"/>
            <w:shd w:val="clear" w:color="auto" w:fill="CCEEFF"/>
          </w:tcPr>
          <w:p>
            <w:pPr>
              <w:ind w:left="560"/>
              <w:spacing w:after="0"/>
              <w:rPr>
                <w:sz w:val="20"/>
                <w:szCs w:val="20"/>
                <w:color w:val="auto"/>
              </w:rPr>
            </w:pPr>
            <w:r>
              <w:rPr>
                <w:rFonts w:ascii="Arial" w:cs="Arial" w:eastAsia="Arial" w:hAnsi="Arial"/>
                <w:sz w:val="17"/>
                <w:szCs w:val="17"/>
                <w:color w:val="auto"/>
              </w:rPr>
              <w:t>Accrued income taxes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w:t>
            </w:r>
          </w:p>
        </w:tc>
      </w:tr>
      <w:tr>
        <w:trPr>
          <w:trHeight w:val="218"/>
        </w:trPr>
        <w:tc>
          <w:tcPr>
            <w:tcW w:w="20" w:type="dxa"/>
            <w:vAlign w:val="bottom"/>
          </w:tcPr>
          <w:p>
            <w:pPr>
              <w:spacing w:after="0"/>
              <w:rPr>
                <w:sz w:val="18"/>
                <w:szCs w:val="18"/>
                <w:color w:val="auto"/>
              </w:rPr>
            </w:pPr>
          </w:p>
        </w:tc>
        <w:tc>
          <w:tcPr>
            <w:tcW w:w="8080" w:type="dxa"/>
            <w:vAlign w:val="bottom"/>
            <w:gridSpan w:val="2"/>
          </w:tcPr>
          <w:p>
            <w:pPr>
              <w:ind w:left="560"/>
              <w:spacing w:after="0"/>
              <w:rPr>
                <w:sz w:val="20"/>
                <w:szCs w:val="20"/>
                <w:color w:val="auto"/>
              </w:rPr>
            </w:pPr>
            <w:r>
              <w:rPr>
                <w:rFonts w:ascii="Arial" w:cs="Arial" w:eastAsia="Arial" w:hAnsi="Arial"/>
                <w:sz w:val="17"/>
                <w:szCs w:val="17"/>
                <w:color w:val="auto"/>
              </w:rPr>
              <w:t>Accrued liabilities and customer deposits</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12</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37</w:t>
            </w:r>
          </w:p>
        </w:tc>
      </w:tr>
      <w:tr>
        <w:trPr>
          <w:trHeight w:val="220"/>
        </w:trPr>
        <w:tc>
          <w:tcPr>
            <w:tcW w:w="20" w:type="dxa"/>
            <w:vAlign w:val="bottom"/>
            <w:shd w:val="clear" w:color="auto" w:fill="CCEEFF"/>
          </w:tcPr>
          <w:p>
            <w:pPr>
              <w:spacing w:after="0"/>
              <w:rPr>
                <w:sz w:val="19"/>
                <w:szCs w:val="19"/>
                <w:color w:val="auto"/>
              </w:rPr>
            </w:pPr>
          </w:p>
        </w:tc>
        <w:tc>
          <w:tcPr>
            <w:tcW w:w="8080" w:type="dxa"/>
            <w:vAlign w:val="bottom"/>
            <w:gridSpan w:val="2"/>
            <w:shd w:val="clear" w:color="auto" w:fill="CCEEFF"/>
          </w:tcPr>
          <w:p>
            <w:pPr>
              <w:ind w:left="560"/>
              <w:spacing w:after="0"/>
              <w:rPr>
                <w:sz w:val="20"/>
                <w:szCs w:val="20"/>
                <w:color w:val="auto"/>
              </w:rPr>
            </w:pPr>
            <w:r>
              <w:rPr>
                <w:rFonts w:ascii="Arial" w:cs="Arial" w:eastAsia="Arial" w:hAnsi="Arial"/>
                <w:sz w:val="17"/>
                <w:szCs w:val="17"/>
                <w:color w:val="auto"/>
              </w:rPr>
              <w:t>Other assets and liabilities</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(81)</w:t>
            </w:r>
          </w:p>
        </w:tc>
      </w:tr>
      <w:tr>
        <w:trPr>
          <w:trHeight w:val="211"/>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460" w:type="dxa"/>
            <w:vAlign w:val="bottom"/>
          </w:tcPr>
          <w:p>
            <w:pPr>
              <w:ind w:left="80"/>
              <w:spacing w:after="0"/>
              <w:rPr>
                <w:sz w:val="20"/>
                <w:szCs w:val="20"/>
                <w:color w:val="auto"/>
              </w:rPr>
            </w:pPr>
            <w:r>
              <w:rPr>
                <w:rFonts w:ascii="Arial" w:cs="Arial" w:eastAsia="Arial" w:hAnsi="Arial"/>
                <w:sz w:val="17"/>
                <w:szCs w:val="17"/>
                <w:color w:val="auto"/>
              </w:rPr>
              <w:t>Net cash provided by operating activities</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515</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628</w:t>
            </w:r>
          </w:p>
        </w:tc>
      </w:tr>
      <w:tr>
        <w:trPr>
          <w:trHeight w:val="220"/>
        </w:trPr>
        <w:tc>
          <w:tcPr>
            <w:tcW w:w="8100" w:type="dxa"/>
            <w:vAlign w:val="bottom"/>
            <w:gridSpan w:val="3"/>
            <w:shd w:val="clear" w:color="auto" w:fill="CCEEFF"/>
          </w:tcPr>
          <w:p>
            <w:pPr>
              <w:ind w:left="20"/>
              <w:spacing w:after="0"/>
              <w:rPr>
                <w:sz w:val="20"/>
                <w:szCs w:val="20"/>
                <w:color w:val="auto"/>
              </w:rPr>
            </w:pPr>
            <w:r>
              <w:rPr>
                <w:rFonts w:ascii="Arial" w:cs="Arial" w:eastAsia="Arial" w:hAnsi="Arial"/>
                <w:sz w:val="17"/>
                <w:szCs w:val="17"/>
                <w:b w:val="1"/>
                <w:bCs w:val="1"/>
                <w:color w:val="auto"/>
              </w:rPr>
              <w:t>Investing Activities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8080" w:type="dxa"/>
            <w:vAlign w:val="bottom"/>
            <w:gridSpan w:val="2"/>
          </w:tcPr>
          <w:p>
            <w:pPr>
              <w:ind w:left="240"/>
              <w:spacing w:after="0"/>
              <w:rPr>
                <w:sz w:val="20"/>
                <w:szCs w:val="20"/>
                <w:color w:val="auto"/>
              </w:rPr>
            </w:pPr>
            <w:r>
              <w:rPr>
                <w:rFonts w:ascii="Arial" w:cs="Arial" w:eastAsia="Arial" w:hAnsi="Arial"/>
                <w:sz w:val="17"/>
                <w:szCs w:val="17"/>
                <w:color w:val="auto"/>
              </w:rPr>
              <w:t>Acquisitions of businesses, net of cash acquired</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(227)</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(69)</w:t>
            </w:r>
          </w:p>
        </w:tc>
      </w:tr>
      <w:tr>
        <w:trPr>
          <w:trHeight w:val="220"/>
        </w:trPr>
        <w:tc>
          <w:tcPr>
            <w:tcW w:w="20" w:type="dxa"/>
            <w:vAlign w:val="bottom"/>
            <w:shd w:val="clear" w:color="auto" w:fill="CCEEFF"/>
          </w:tcPr>
          <w:p>
            <w:pPr>
              <w:spacing w:after="0"/>
              <w:rPr>
                <w:sz w:val="19"/>
                <w:szCs w:val="19"/>
                <w:color w:val="auto"/>
              </w:rPr>
            </w:pPr>
          </w:p>
        </w:tc>
        <w:tc>
          <w:tcPr>
            <w:tcW w:w="8080" w:type="dxa"/>
            <w:vAlign w:val="bottom"/>
            <w:gridSpan w:val="2"/>
            <w:shd w:val="clear" w:color="auto" w:fill="CCEEFF"/>
          </w:tcPr>
          <w:p>
            <w:pPr>
              <w:ind w:left="240"/>
              <w:spacing w:after="0"/>
              <w:rPr>
                <w:sz w:val="20"/>
                <w:szCs w:val="20"/>
                <w:color w:val="auto"/>
              </w:rPr>
            </w:pPr>
            <w:r>
              <w:rPr>
                <w:rFonts w:ascii="Arial" w:cs="Arial" w:eastAsia="Arial" w:hAnsi="Arial"/>
                <w:sz w:val="17"/>
                <w:szCs w:val="17"/>
                <w:color w:val="auto"/>
              </w:rPr>
              <w:t>Purchase of property, plant and equipment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(109)</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w:t>
            </w:r>
          </w:p>
        </w:tc>
      </w:tr>
      <w:tr>
        <w:trPr>
          <w:trHeight w:val="218"/>
        </w:trPr>
        <w:tc>
          <w:tcPr>
            <w:tcW w:w="20" w:type="dxa"/>
            <w:vAlign w:val="bottom"/>
          </w:tcPr>
          <w:p>
            <w:pPr>
              <w:spacing w:after="0"/>
              <w:rPr>
                <w:sz w:val="18"/>
                <w:szCs w:val="18"/>
                <w:color w:val="auto"/>
              </w:rPr>
            </w:pPr>
          </w:p>
        </w:tc>
        <w:tc>
          <w:tcPr>
            <w:tcW w:w="8080" w:type="dxa"/>
            <w:vAlign w:val="bottom"/>
            <w:gridSpan w:val="2"/>
          </w:tcPr>
          <w:p>
            <w:pPr>
              <w:ind w:left="240"/>
              <w:spacing w:after="0"/>
              <w:rPr>
                <w:sz w:val="20"/>
                <w:szCs w:val="20"/>
                <w:color w:val="auto"/>
              </w:rPr>
            </w:pPr>
            <w:r>
              <w:rPr>
                <w:rFonts w:ascii="Arial" w:cs="Arial" w:eastAsia="Arial" w:hAnsi="Arial"/>
                <w:sz w:val="17"/>
                <w:szCs w:val="17"/>
                <w:color w:val="auto"/>
              </w:rPr>
              <w:t>Proceeds from disposal of property, plant and equipment</w:t>
            </w:r>
          </w:p>
        </w:tc>
        <w:tc>
          <w:tcPr>
            <w:tcW w:w="36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5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w:t>
            </w:r>
          </w:p>
        </w:tc>
      </w:tr>
      <w:tr>
        <w:trPr>
          <w:trHeight w:val="213"/>
        </w:trPr>
        <w:tc>
          <w:tcPr>
            <w:tcW w:w="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CCEEFF"/>
            </w:tcBorders>
            <w:shd w:val="clear" w:color="auto" w:fill="CCEEFF"/>
          </w:tcPr>
          <w:p>
            <w:pPr>
              <w:spacing w:after="0"/>
              <w:rPr>
                <w:sz w:val="18"/>
                <w:szCs w:val="18"/>
                <w:color w:val="auto"/>
              </w:rPr>
            </w:pPr>
          </w:p>
        </w:tc>
        <w:tc>
          <w:tcPr>
            <w:tcW w:w="7460" w:type="dxa"/>
            <w:vAlign w:val="bottom"/>
            <w:tcBorders>
              <w:top w:val="single" w:sz="8" w:color="CCEEFF"/>
            </w:tcBorders>
            <w:shd w:val="clear" w:color="auto" w:fill="CCEEFF"/>
          </w:tcPr>
          <w:p>
            <w:pPr>
              <w:ind w:left="80"/>
              <w:spacing w:after="0"/>
              <w:rPr>
                <w:sz w:val="20"/>
                <w:szCs w:val="20"/>
                <w:color w:val="auto"/>
              </w:rPr>
            </w:pPr>
            <w:r>
              <w:rPr>
                <w:rFonts w:ascii="Arial" w:cs="Arial" w:eastAsia="Arial" w:hAnsi="Arial"/>
                <w:sz w:val="17"/>
                <w:szCs w:val="17"/>
                <w:color w:val="auto"/>
              </w:rPr>
              <w:t>Net cash used for investing activities</w:t>
            </w:r>
          </w:p>
        </w:tc>
        <w:tc>
          <w:tcPr>
            <w:tcW w:w="36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(336)</w:t>
            </w:r>
          </w:p>
        </w:tc>
        <w:tc>
          <w:tcPr>
            <w:tcW w:w="1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(149)</w:t>
            </w:r>
          </w:p>
        </w:tc>
      </w:tr>
      <w:tr>
        <w:trPr>
          <w:trHeight w:val="219"/>
        </w:trPr>
        <w:tc>
          <w:tcPr>
            <w:tcW w:w="8100" w:type="dxa"/>
            <w:vAlign w:val="bottom"/>
            <w:gridSpan w:val="3"/>
          </w:tcPr>
          <w:p>
            <w:pPr>
              <w:ind w:left="20"/>
              <w:spacing w:after="0"/>
              <w:rPr>
                <w:sz w:val="20"/>
                <w:szCs w:val="20"/>
                <w:color w:val="auto"/>
              </w:rPr>
            </w:pPr>
            <w:r>
              <w:rPr>
                <w:rFonts w:ascii="Arial" w:cs="Arial" w:eastAsia="Arial" w:hAnsi="Arial"/>
                <w:sz w:val="17"/>
                <w:szCs w:val="17"/>
                <w:b w:val="1"/>
                <w:bCs w:val="1"/>
                <w:color w:val="auto"/>
              </w:rPr>
              <w:t>Financing Activities</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19"/>
        </w:trPr>
        <w:tc>
          <w:tcPr>
            <w:tcW w:w="20" w:type="dxa"/>
            <w:vAlign w:val="bottom"/>
            <w:shd w:val="clear" w:color="auto" w:fill="CCEEFF"/>
          </w:tcPr>
          <w:p>
            <w:pPr>
              <w:spacing w:after="0"/>
              <w:rPr>
                <w:sz w:val="19"/>
                <w:szCs w:val="19"/>
                <w:color w:val="auto"/>
              </w:rPr>
            </w:pPr>
          </w:p>
        </w:tc>
        <w:tc>
          <w:tcPr>
            <w:tcW w:w="8080" w:type="dxa"/>
            <w:vAlign w:val="bottom"/>
            <w:gridSpan w:val="2"/>
            <w:shd w:val="clear" w:color="auto" w:fill="CCEEFF"/>
          </w:tcPr>
          <w:p>
            <w:pPr>
              <w:ind w:left="240"/>
              <w:spacing w:after="0"/>
              <w:rPr>
                <w:sz w:val="20"/>
                <w:szCs w:val="20"/>
                <w:color w:val="auto"/>
              </w:rPr>
            </w:pPr>
            <w:r>
              <w:rPr>
                <w:rFonts w:ascii="Arial" w:cs="Arial" w:eastAsia="Arial" w:hAnsi="Arial"/>
                <w:sz w:val="17"/>
                <w:szCs w:val="17"/>
                <w:color w:val="auto"/>
              </w:rPr>
              <w:t>Proceeds from debt, net of issuance costs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4,351</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4,567</w:t>
            </w:r>
          </w:p>
        </w:tc>
      </w:tr>
      <w:tr>
        <w:trPr>
          <w:trHeight w:val="218"/>
        </w:trPr>
        <w:tc>
          <w:tcPr>
            <w:tcW w:w="20" w:type="dxa"/>
            <w:vAlign w:val="bottom"/>
          </w:tcPr>
          <w:p>
            <w:pPr>
              <w:spacing w:after="0"/>
              <w:rPr>
                <w:sz w:val="18"/>
                <w:szCs w:val="18"/>
                <w:color w:val="auto"/>
              </w:rPr>
            </w:pPr>
          </w:p>
        </w:tc>
        <w:tc>
          <w:tcPr>
            <w:tcW w:w="8080" w:type="dxa"/>
            <w:vAlign w:val="bottom"/>
            <w:gridSpan w:val="2"/>
          </w:tcPr>
          <w:p>
            <w:pPr>
              <w:ind w:left="240"/>
              <w:spacing w:after="0"/>
              <w:rPr>
                <w:sz w:val="20"/>
                <w:szCs w:val="20"/>
                <w:color w:val="auto"/>
              </w:rPr>
            </w:pPr>
            <w:r>
              <w:rPr>
                <w:rFonts w:ascii="Arial" w:cs="Arial" w:eastAsia="Arial" w:hAnsi="Arial"/>
                <w:sz w:val="17"/>
                <w:szCs w:val="17"/>
                <w:color w:val="auto"/>
              </w:rPr>
              <w:t>Payments of debt</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(4,302)</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(4,474)</w:t>
            </w:r>
          </w:p>
        </w:tc>
      </w:tr>
      <w:tr>
        <w:trPr>
          <w:trHeight w:val="220"/>
        </w:trPr>
        <w:tc>
          <w:tcPr>
            <w:tcW w:w="20" w:type="dxa"/>
            <w:vAlign w:val="bottom"/>
            <w:shd w:val="clear" w:color="auto" w:fill="CCEEFF"/>
          </w:tcPr>
          <w:p>
            <w:pPr>
              <w:spacing w:after="0"/>
              <w:rPr>
                <w:sz w:val="19"/>
                <w:szCs w:val="19"/>
                <w:color w:val="auto"/>
              </w:rPr>
            </w:pPr>
          </w:p>
        </w:tc>
        <w:tc>
          <w:tcPr>
            <w:tcW w:w="8080" w:type="dxa"/>
            <w:vAlign w:val="bottom"/>
            <w:gridSpan w:val="2"/>
            <w:shd w:val="clear" w:color="auto" w:fill="CCEEFF"/>
          </w:tcPr>
          <w:p>
            <w:pPr>
              <w:ind w:left="240"/>
              <w:spacing w:after="0"/>
              <w:rPr>
                <w:sz w:val="20"/>
                <w:szCs w:val="20"/>
                <w:color w:val="auto"/>
              </w:rPr>
            </w:pPr>
            <w:r>
              <w:rPr>
                <w:rFonts w:ascii="Arial" w:cs="Arial" w:eastAsia="Arial" w:hAnsi="Arial"/>
                <w:sz w:val="17"/>
                <w:szCs w:val="17"/>
                <w:color w:val="auto"/>
              </w:rPr>
              <w:t>Repurchase of stock</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(252)</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(400)</w:t>
            </w:r>
          </w:p>
        </w:tc>
      </w:tr>
      <w:tr>
        <w:trPr>
          <w:trHeight w:val="218"/>
        </w:trPr>
        <w:tc>
          <w:tcPr>
            <w:tcW w:w="20" w:type="dxa"/>
            <w:vAlign w:val="bottom"/>
          </w:tcPr>
          <w:p>
            <w:pPr>
              <w:spacing w:after="0"/>
              <w:rPr>
                <w:sz w:val="18"/>
                <w:szCs w:val="18"/>
                <w:color w:val="auto"/>
              </w:rPr>
            </w:pPr>
          </w:p>
        </w:tc>
        <w:tc>
          <w:tcPr>
            <w:tcW w:w="8080" w:type="dxa"/>
            <w:vAlign w:val="bottom"/>
            <w:gridSpan w:val="2"/>
          </w:tcPr>
          <w:p>
            <w:pPr>
              <w:ind w:left="240"/>
              <w:spacing w:after="0"/>
              <w:rPr>
                <w:sz w:val="20"/>
                <w:szCs w:val="20"/>
                <w:color w:val="auto"/>
              </w:rPr>
            </w:pPr>
            <w:r>
              <w:rPr>
                <w:rFonts w:ascii="Arial" w:cs="Arial" w:eastAsia="Arial" w:hAnsi="Arial"/>
                <w:sz w:val="17"/>
                <w:szCs w:val="17"/>
                <w:color w:val="auto"/>
              </w:rPr>
              <w:t>Cash dividends</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(92)</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(83)</w:t>
            </w:r>
          </w:p>
        </w:tc>
      </w:tr>
      <w:tr>
        <w:trPr>
          <w:trHeight w:val="220"/>
        </w:trPr>
        <w:tc>
          <w:tcPr>
            <w:tcW w:w="20" w:type="dxa"/>
            <w:vAlign w:val="bottom"/>
            <w:shd w:val="clear" w:color="auto" w:fill="CCEEFF"/>
          </w:tcPr>
          <w:p>
            <w:pPr>
              <w:spacing w:after="0"/>
              <w:rPr>
                <w:sz w:val="19"/>
                <w:szCs w:val="19"/>
                <w:color w:val="auto"/>
              </w:rPr>
            </w:pPr>
          </w:p>
        </w:tc>
        <w:tc>
          <w:tcPr>
            <w:tcW w:w="8080" w:type="dxa"/>
            <w:vAlign w:val="bottom"/>
            <w:gridSpan w:val="2"/>
            <w:shd w:val="clear" w:color="auto" w:fill="CCEEFF"/>
          </w:tcPr>
          <w:p>
            <w:pPr>
              <w:ind w:left="240"/>
              <w:spacing w:after="0"/>
              <w:rPr>
                <w:sz w:val="20"/>
                <w:szCs w:val="20"/>
                <w:color w:val="auto"/>
              </w:rPr>
            </w:pPr>
            <w:r>
              <w:rPr>
                <w:rFonts w:ascii="Arial" w:cs="Arial" w:eastAsia="Arial" w:hAnsi="Arial"/>
                <w:sz w:val="17"/>
                <w:szCs w:val="17"/>
                <w:color w:val="auto"/>
              </w:rPr>
              <w:t>Payment of income tax withholding on share-based compensation</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r>
      <w:tr>
        <w:trPr>
          <w:trHeight w:val="218"/>
        </w:trPr>
        <w:tc>
          <w:tcPr>
            <w:tcW w:w="20" w:type="dxa"/>
            <w:vAlign w:val="bottom"/>
          </w:tcPr>
          <w:p>
            <w:pPr>
              <w:spacing w:after="0"/>
              <w:rPr>
                <w:sz w:val="18"/>
                <w:szCs w:val="18"/>
                <w:color w:val="auto"/>
              </w:rPr>
            </w:pPr>
          </w:p>
        </w:tc>
        <w:tc>
          <w:tcPr>
            <w:tcW w:w="8080" w:type="dxa"/>
            <w:vAlign w:val="bottom"/>
            <w:gridSpan w:val="2"/>
          </w:tcPr>
          <w:p>
            <w:pPr>
              <w:ind w:left="240"/>
              <w:spacing w:after="0"/>
              <w:rPr>
                <w:sz w:val="20"/>
                <w:szCs w:val="20"/>
                <w:color w:val="auto"/>
              </w:rPr>
            </w:pPr>
            <w:r>
              <w:rPr>
                <w:rFonts w:ascii="Arial" w:cs="Arial" w:eastAsia="Arial" w:hAnsi="Arial"/>
                <w:sz w:val="17"/>
                <w:szCs w:val="17"/>
                <w:color w:val="auto"/>
              </w:rPr>
              <w:t>Distribution to noncontrolling interest</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(12)</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20" w:type="dxa"/>
            <w:vAlign w:val="bottom"/>
            <w:shd w:val="clear" w:color="auto" w:fill="CCEEFF"/>
          </w:tcPr>
          <w:p>
            <w:pPr>
              <w:spacing w:after="0"/>
              <w:rPr>
                <w:sz w:val="19"/>
                <w:szCs w:val="19"/>
                <w:color w:val="auto"/>
              </w:rPr>
            </w:pPr>
          </w:p>
        </w:tc>
        <w:tc>
          <w:tcPr>
            <w:tcW w:w="8080" w:type="dxa"/>
            <w:vAlign w:val="bottom"/>
            <w:gridSpan w:val="2"/>
            <w:shd w:val="clear" w:color="auto" w:fill="CCEEFF"/>
          </w:tcPr>
          <w:p>
            <w:pPr>
              <w:ind w:left="240"/>
              <w:spacing w:after="0"/>
              <w:rPr>
                <w:sz w:val="20"/>
                <w:szCs w:val="20"/>
                <w:color w:val="auto"/>
              </w:rPr>
            </w:pPr>
            <w:r>
              <w:rPr>
                <w:rFonts w:ascii="Arial" w:cs="Arial" w:eastAsia="Arial" w:hAnsi="Arial"/>
                <w:sz w:val="17"/>
                <w:szCs w:val="17"/>
                <w:color w:val="auto"/>
              </w:rPr>
              <w:t>Other financing activities</w:t>
            </w:r>
          </w:p>
        </w:tc>
        <w:tc>
          <w:tcPr>
            <w:tcW w:w="3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r>
      <w:tr>
        <w:trPr>
          <w:trHeight w:val="211"/>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460" w:type="dxa"/>
            <w:vAlign w:val="bottom"/>
          </w:tcPr>
          <w:p>
            <w:pPr>
              <w:ind w:left="80"/>
              <w:spacing w:after="0"/>
              <w:rPr>
                <w:sz w:val="20"/>
                <w:szCs w:val="20"/>
                <w:color w:val="auto"/>
              </w:rPr>
            </w:pPr>
            <w:r>
              <w:rPr>
                <w:rFonts w:ascii="Arial" w:cs="Arial" w:eastAsia="Arial" w:hAnsi="Arial"/>
                <w:sz w:val="17"/>
                <w:szCs w:val="17"/>
                <w:color w:val="auto"/>
              </w:rPr>
              <w:t>Net cash used for financing activities</w:t>
            </w:r>
          </w:p>
        </w:tc>
        <w:tc>
          <w:tcPr>
            <w:tcW w:w="3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(323)</w:t>
            </w:r>
          </w:p>
        </w:tc>
        <w:tc>
          <w:tcPr>
            <w:tcW w:w="10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(395)</w:t>
            </w:r>
          </w:p>
        </w:tc>
      </w:tr>
      <w:tr>
        <w:trPr>
          <w:trHeight w:val="220"/>
        </w:trPr>
        <w:tc>
          <w:tcPr>
            <w:tcW w:w="810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Effect of changes in currency exchange rates</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w:t>
            </w:r>
          </w:p>
        </w:tc>
      </w:tr>
      <w:tr>
        <w:trPr>
          <w:trHeight w:val="211"/>
        </w:trPr>
        <w:tc>
          <w:tcPr>
            <w:tcW w:w="20" w:type="dxa"/>
            <w:vAlign w:val="bottom"/>
          </w:tcPr>
          <w:p>
            <w:pPr>
              <w:spacing w:after="0"/>
              <w:rPr>
                <w:sz w:val="18"/>
                <w:szCs w:val="18"/>
                <w:color w:val="auto"/>
              </w:rPr>
            </w:pPr>
          </w:p>
        </w:tc>
        <w:tc>
          <w:tcPr>
            <w:tcW w:w="8080" w:type="dxa"/>
            <w:vAlign w:val="bottom"/>
            <w:gridSpan w:val="2"/>
          </w:tcPr>
          <w:p>
            <w:pPr>
              <w:ind w:left="240"/>
              <w:spacing w:after="0"/>
              <w:rPr>
                <w:sz w:val="20"/>
                <w:szCs w:val="20"/>
                <w:color w:val="auto"/>
              </w:rPr>
            </w:pPr>
            <w:r>
              <w:rPr>
                <w:rFonts w:ascii="Arial" w:cs="Arial" w:eastAsia="Arial" w:hAnsi="Arial"/>
                <w:sz w:val="17"/>
                <w:szCs w:val="17"/>
                <w:color w:val="auto"/>
              </w:rPr>
              <w:t>(Decrease) increase in cash</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(149)</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41</w:t>
            </w:r>
          </w:p>
        </w:tc>
      </w:tr>
      <w:tr>
        <w:trPr>
          <w:trHeight w:val="219"/>
        </w:trPr>
        <w:tc>
          <w:tcPr>
            <w:tcW w:w="20" w:type="dxa"/>
            <w:vAlign w:val="bottom"/>
            <w:shd w:val="clear" w:color="auto" w:fill="CCEEFF"/>
          </w:tcPr>
          <w:p>
            <w:pPr>
              <w:spacing w:after="0"/>
              <w:rPr>
                <w:sz w:val="19"/>
                <w:szCs w:val="19"/>
                <w:color w:val="auto"/>
              </w:rPr>
            </w:pPr>
          </w:p>
        </w:tc>
        <w:tc>
          <w:tcPr>
            <w:tcW w:w="8080" w:type="dxa"/>
            <w:vAlign w:val="bottom"/>
            <w:gridSpan w:val="2"/>
            <w:shd w:val="clear" w:color="auto" w:fill="CCEEFF"/>
          </w:tcPr>
          <w:p>
            <w:pPr>
              <w:ind w:left="460"/>
              <w:spacing w:after="0"/>
              <w:rPr>
                <w:sz w:val="20"/>
                <w:szCs w:val="20"/>
                <w:color w:val="auto"/>
              </w:rPr>
            </w:pPr>
            <w:r>
              <w:rPr>
                <w:rFonts w:ascii="Arial" w:cs="Arial" w:eastAsia="Arial" w:hAnsi="Arial"/>
                <w:sz w:val="17"/>
                <w:szCs w:val="17"/>
                <w:color w:val="auto"/>
              </w:rPr>
              <w:t>Cash, cash equivalents and restricted cash, beginning of period</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541</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473</w:t>
            </w:r>
          </w:p>
        </w:tc>
      </w:tr>
      <w:tr>
        <w:trPr>
          <w:trHeight w:val="213"/>
        </w:trPr>
        <w:tc>
          <w:tcPr>
            <w:tcW w:w="20" w:type="dxa"/>
            <w:vAlign w:val="bottom"/>
          </w:tcPr>
          <w:p>
            <w:pPr>
              <w:spacing w:after="0"/>
              <w:rPr>
                <w:sz w:val="18"/>
                <w:szCs w:val="18"/>
                <w:color w:val="auto"/>
              </w:rPr>
            </w:pPr>
          </w:p>
        </w:tc>
        <w:tc>
          <w:tcPr>
            <w:tcW w:w="8080" w:type="dxa"/>
            <w:vAlign w:val="bottom"/>
            <w:gridSpan w:val="2"/>
          </w:tcPr>
          <w:p>
            <w:pPr>
              <w:ind w:left="460"/>
              <w:spacing w:after="0"/>
              <w:rPr>
                <w:sz w:val="20"/>
                <w:szCs w:val="20"/>
                <w:color w:val="auto"/>
              </w:rPr>
            </w:pPr>
            <w:r>
              <w:rPr>
                <w:rFonts w:ascii="Arial" w:cs="Arial" w:eastAsia="Arial" w:hAnsi="Arial"/>
                <w:sz w:val="17"/>
                <w:szCs w:val="17"/>
                <w:color w:val="auto"/>
              </w:rPr>
              <w:t>Cash, cash equivalents and restricted cash, end of period</w:t>
            </w:r>
          </w:p>
        </w:tc>
        <w:tc>
          <w:tcPr>
            <w:tcW w:w="36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392</w:t>
            </w:r>
          </w:p>
        </w:tc>
        <w:tc>
          <w:tcPr>
            <w:tcW w:w="100" w:type="dxa"/>
            <w:vAlign w:val="bottom"/>
          </w:tcPr>
          <w:p>
            <w:pPr>
              <w:spacing w:after="0"/>
              <w:rPr>
                <w:sz w:val="18"/>
                <w:szCs w:val="18"/>
                <w:color w:val="auto"/>
              </w:rPr>
            </w:pPr>
          </w:p>
        </w:tc>
        <w:tc>
          <w:tcPr>
            <w:tcW w:w="520" w:type="dxa"/>
            <w:vAlign w:val="bottom"/>
            <w:tcBorders>
              <w:bottom w:val="single" w:sz="8" w:color="auto"/>
            </w:tcBorders>
          </w:tcPr>
          <w:p>
            <w:pPr>
              <w:jc w:val="right"/>
              <w:ind w:right="334"/>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514</w:t>
            </w:r>
          </w:p>
        </w:tc>
      </w:tr>
      <w:tr>
        <w:trPr>
          <w:trHeight w:val="20"/>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7"/>
          <w:szCs w:val="17"/>
          <w:b w:val="1"/>
          <w:bCs w:val="1"/>
          <w:color w:val="auto"/>
        </w:rPr>
        <w:t>WESTINGHOUSE AIR BRAKE TECHNOLOGIES CORPORATION</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SHAREHOLDERS’ EQUITY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88"/>
              </w:rPr>
              <w:t>Common Stock</w:t>
            </w:r>
          </w:p>
        </w:tc>
        <w:tc>
          <w:tcPr>
            <w:tcW w:w="120" w:type="dxa"/>
            <w:vAlign w:val="bottom"/>
          </w:tcPr>
          <w:p>
            <w:pPr>
              <w:spacing w:after="0"/>
              <w:rPr>
                <w:sz w:val="12"/>
                <w:szCs w:val="12"/>
                <w:color w:val="auto"/>
              </w:rPr>
            </w:pP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Common</w:t>
            </w:r>
          </w:p>
        </w:tc>
        <w:tc>
          <w:tcPr>
            <w:tcW w:w="1020" w:type="dxa"/>
            <w:vAlign w:val="bottom"/>
            <w:gridSpan w:val="3"/>
          </w:tcPr>
          <w:p>
            <w:pPr>
              <w:ind w:left="40"/>
              <w:spacing w:after="0"/>
              <w:rPr>
                <w:sz w:val="20"/>
                <w:szCs w:val="20"/>
                <w:color w:val="auto"/>
              </w:rPr>
            </w:pPr>
            <w:r>
              <w:rPr>
                <w:rFonts w:ascii="Arial" w:cs="Arial" w:eastAsia="Arial" w:hAnsi="Arial"/>
                <w:sz w:val="12"/>
                <w:szCs w:val="12"/>
                <w:b w:val="1"/>
                <w:bCs w:val="1"/>
                <w:color w:val="auto"/>
              </w:rPr>
              <w:t>Additional Paid-</w:t>
            </w:r>
          </w:p>
        </w:tc>
        <w:tc>
          <w:tcPr>
            <w:tcW w:w="94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89"/>
              </w:rPr>
              <w:t>Treasury Stock</w:t>
            </w:r>
          </w:p>
        </w:tc>
        <w:tc>
          <w:tcPr>
            <w:tcW w:w="980" w:type="dxa"/>
            <w:vAlign w:val="bottom"/>
            <w:gridSpan w:val="3"/>
          </w:tcPr>
          <w:p>
            <w:pPr>
              <w:jc w:val="center"/>
              <w:ind w:right="120"/>
              <w:spacing w:after="0"/>
              <w:rPr>
                <w:sz w:val="20"/>
                <w:szCs w:val="20"/>
                <w:color w:val="auto"/>
              </w:rPr>
            </w:pPr>
            <w:r>
              <w:rPr>
                <w:rFonts w:ascii="Arial" w:cs="Arial" w:eastAsia="Arial" w:hAnsi="Arial"/>
                <w:sz w:val="12"/>
                <w:szCs w:val="12"/>
                <w:b w:val="1"/>
                <w:bCs w:val="1"/>
                <w:color w:val="auto"/>
                <w:w w:val="89"/>
              </w:rPr>
              <w:t>Treasury Stock</w:t>
            </w:r>
          </w:p>
        </w:tc>
        <w:tc>
          <w:tcPr>
            <w:tcW w:w="120" w:type="dxa"/>
            <w:vAlign w:val="bottom"/>
          </w:tcPr>
          <w:p>
            <w:pPr>
              <w:spacing w:after="0"/>
              <w:rPr>
                <w:sz w:val="12"/>
                <w:szCs w:val="12"/>
                <w:color w:val="auto"/>
              </w:rPr>
            </w:pPr>
          </w:p>
        </w:tc>
        <w:tc>
          <w:tcPr>
            <w:tcW w:w="820" w:type="dxa"/>
            <w:vAlign w:val="bottom"/>
            <w:gridSpan w:val="2"/>
          </w:tcPr>
          <w:p>
            <w:pPr>
              <w:ind w:left="60"/>
              <w:spacing w:after="0"/>
              <w:rPr>
                <w:sz w:val="20"/>
                <w:szCs w:val="20"/>
                <w:color w:val="auto"/>
              </w:rPr>
            </w:pPr>
            <w:r>
              <w:rPr>
                <w:rFonts w:ascii="Arial" w:cs="Arial" w:eastAsia="Arial" w:hAnsi="Arial"/>
                <w:sz w:val="12"/>
                <w:szCs w:val="12"/>
                <w:b w:val="1"/>
                <w:bCs w:val="1"/>
                <w:color w:val="auto"/>
              </w:rPr>
              <w:t>Retained</w:t>
            </w:r>
          </w:p>
        </w:tc>
        <w:tc>
          <w:tcPr>
            <w:tcW w:w="1260" w:type="dxa"/>
            <w:vAlign w:val="bottom"/>
            <w:gridSpan w:val="3"/>
          </w:tcPr>
          <w:p>
            <w:pPr>
              <w:jc w:val="center"/>
              <w:ind w:right="120"/>
              <w:spacing w:after="0"/>
              <w:rPr>
                <w:sz w:val="20"/>
                <w:szCs w:val="20"/>
                <w:color w:val="auto"/>
              </w:rPr>
            </w:pPr>
            <w:r>
              <w:rPr>
                <w:rFonts w:ascii="Arial" w:cs="Arial" w:eastAsia="Arial" w:hAnsi="Arial"/>
                <w:sz w:val="12"/>
                <w:szCs w:val="12"/>
                <w:b w:val="1"/>
                <w:bCs w:val="1"/>
                <w:color w:val="auto"/>
                <w:w w:val="92"/>
              </w:rPr>
              <w:t>Accumulated Other</w:t>
            </w:r>
          </w:p>
        </w:tc>
        <w:tc>
          <w:tcPr>
            <w:tcW w:w="960" w:type="dxa"/>
            <w:vAlign w:val="bottom"/>
            <w:gridSpan w:val="3"/>
          </w:tcPr>
          <w:p>
            <w:pPr>
              <w:ind w:left="20"/>
              <w:spacing w:after="0"/>
              <w:rPr>
                <w:sz w:val="20"/>
                <w:szCs w:val="20"/>
                <w:color w:val="auto"/>
              </w:rPr>
            </w:pPr>
            <w:r>
              <w:rPr>
                <w:rFonts w:ascii="Arial" w:cs="Arial" w:eastAsia="Arial" w:hAnsi="Arial"/>
                <w:sz w:val="12"/>
                <w:szCs w:val="12"/>
                <w:b w:val="1"/>
                <w:bCs w:val="1"/>
                <w:color w:val="auto"/>
              </w:rPr>
              <w:t>Non-controlling</w:t>
            </w:r>
          </w:p>
        </w:tc>
        <w:tc>
          <w:tcPr>
            <w:tcW w:w="160" w:type="dxa"/>
            <w:vAlign w:val="bottom"/>
          </w:tcPr>
          <w:p>
            <w:pPr>
              <w:spacing w:after="0"/>
              <w:rPr>
                <w:sz w:val="12"/>
                <w:szCs w:val="12"/>
                <w:color w:val="auto"/>
              </w:rPr>
            </w:pPr>
          </w:p>
        </w:tc>
        <w:tc>
          <w:tcPr>
            <w:tcW w:w="600" w:type="dxa"/>
            <w:vAlign w:val="bottom"/>
            <w:vMerge w:val="restart"/>
          </w:tcPr>
          <w:p>
            <w:pPr>
              <w:jc w:val="right"/>
              <w:ind w:right="200"/>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00"/>
        </w:trPr>
        <w:tc>
          <w:tcPr>
            <w:tcW w:w="2460" w:type="dxa"/>
            <w:vAlign w:val="bottom"/>
            <w:gridSpan w:val="3"/>
            <w:vMerge w:val="restart"/>
          </w:tcPr>
          <w:p>
            <w:pPr>
              <w:ind w:left="20"/>
              <w:spacing w:after="0"/>
              <w:rPr>
                <w:sz w:val="20"/>
                <w:szCs w:val="20"/>
                <w:color w:val="auto"/>
              </w:rPr>
            </w:pPr>
            <w:r>
              <w:rPr>
                <w:rFonts w:ascii="Arial" w:cs="Arial" w:eastAsia="Arial" w:hAnsi="Arial"/>
                <w:sz w:val="10"/>
                <w:szCs w:val="10"/>
                <w:b w:val="1"/>
                <w:bCs w:val="1"/>
                <w:color w:val="auto"/>
              </w:rPr>
              <w:t>In millions</w:t>
            </w:r>
          </w:p>
        </w:tc>
        <w:tc>
          <w:tcPr>
            <w:tcW w:w="1040" w:type="dxa"/>
            <w:vAlign w:val="bottom"/>
            <w:gridSpan w:val="2"/>
            <w:vMerge w:val="restart"/>
          </w:tcPr>
          <w:p>
            <w:pPr>
              <w:jc w:val="center"/>
              <w:ind w:right="100"/>
              <w:spacing w:after="0"/>
              <w:rPr>
                <w:sz w:val="20"/>
                <w:szCs w:val="20"/>
                <w:color w:val="auto"/>
              </w:rPr>
            </w:pPr>
            <w:r>
              <w:rPr>
                <w:rFonts w:ascii="Arial" w:cs="Arial" w:eastAsia="Arial" w:hAnsi="Arial"/>
                <w:sz w:val="12"/>
                <w:szCs w:val="12"/>
                <w:b w:val="1"/>
                <w:bCs w:val="1"/>
                <w:color w:val="auto"/>
                <w:w w:val="84"/>
              </w:rPr>
              <w:t>Shares</w:t>
            </w:r>
          </w:p>
        </w:tc>
        <w:tc>
          <w:tcPr>
            <w:tcW w:w="88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Stock Amount</w:t>
            </w:r>
          </w:p>
        </w:tc>
        <w:tc>
          <w:tcPr>
            <w:tcW w:w="140" w:type="dxa"/>
            <w:vAlign w:val="bottom"/>
          </w:tcPr>
          <w:p>
            <w:pPr>
              <w:spacing w:after="0"/>
              <w:rPr>
                <w:sz w:val="8"/>
                <w:szCs w:val="8"/>
                <w:color w:val="auto"/>
              </w:rPr>
            </w:pPr>
          </w:p>
        </w:tc>
        <w:tc>
          <w:tcPr>
            <w:tcW w:w="8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 Capital</w:t>
            </w:r>
          </w:p>
        </w:tc>
        <w:tc>
          <w:tcPr>
            <w:tcW w:w="940" w:type="dxa"/>
            <w:vAlign w:val="bottom"/>
            <w:gridSpan w:val="2"/>
            <w:vMerge w:val="restart"/>
          </w:tcPr>
          <w:p>
            <w:pPr>
              <w:jc w:val="center"/>
              <w:ind w:right="120"/>
              <w:spacing w:after="0"/>
              <w:rPr>
                <w:sz w:val="20"/>
                <w:szCs w:val="20"/>
                <w:color w:val="auto"/>
              </w:rPr>
            </w:pPr>
            <w:r>
              <w:rPr>
                <w:rFonts w:ascii="Arial" w:cs="Arial" w:eastAsia="Arial" w:hAnsi="Arial"/>
                <w:sz w:val="12"/>
                <w:szCs w:val="12"/>
                <w:b w:val="1"/>
                <w:bCs w:val="1"/>
                <w:color w:val="auto"/>
                <w:w w:val="84"/>
              </w:rPr>
              <w:t>Shares</w:t>
            </w:r>
          </w:p>
        </w:tc>
        <w:tc>
          <w:tcPr>
            <w:tcW w:w="140" w:type="dxa"/>
            <w:vAlign w:val="bottom"/>
          </w:tcPr>
          <w:p>
            <w:pPr>
              <w:spacing w:after="0"/>
              <w:rPr>
                <w:sz w:val="8"/>
                <w:szCs w:val="8"/>
                <w:color w:val="auto"/>
              </w:rPr>
            </w:pPr>
          </w:p>
        </w:tc>
        <w:tc>
          <w:tcPr>
            <w:tcW w:w="840" w:type="dxa"/>
            <w:vAlign w:val="bottom"/>
            <w:gridSpan w:val="2"/>
            <w:vMerge w:val="restart"/>
          </w:tcPr>
          <w:p>
            <w:pPr>
              <w:jc w:val="center"/>
              <w:ind w:right="260"/>
              <w:spacing w:after="0"/>
              <w:rPr>
                <w:sz w:val="20"/>
                <w:szCs w:val="20"/>
                <w:color w:val="auto"/>
              </w:rPr>
            </w:pPr>
            <w:r>
              <w:rPr>
                <w:rFonts w:ascii="Arial" w:cs="Arial" w:eastAsia="Arial" w:hAnsi="Arial"/>
                <w:sz w:val="12"/>
                <w:szCs w:val="12"/>
                <w:b w:val="1"/>
                <w:bCs w:val="1"/>
                <w:color w:val="auto"/>
                <w:w w:val="92"/>
              </w:rPr>
              <w:t>Amount</w:t>
            </w:r>
          </w:p>
        </w:tc>
        <w:tc>
          <w:tcPr>
            <w:tcW w:w="120" w:type="dxa"/>
            <w:vAlign w:val="bottom"/>
          </w:tcPr>
          <w:p>
            <w:pPr>
              <w:spacing w:after="0"/>
              <w:rPr>
                <w:sz w:val="8"/>
                <w:szCs w:val="8"/>
                <w:color w:val="auto"/>
              </w:rPr>
            </w:pPr>
          </w:p>
        </w:tc>
        <w:tc>
          <w:tcPr>
            <w:tcW w:w="8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Earnings</w:t>
            </w:r>
          </w:p>
        </w:tc>
        <w:tc>
          <w:tcPr>
            <w:tcW w:w="1260" w:type="dxa"/>
            <w:vAlign w:val="bottom"/>
            <w:gridSpan w:val="3"/>
            <w:vMerge w:val="restart"/>
          </w:tcPr>
          <w:p>
            <w:pPr>
              <w:jc w:val="center"/>
              <w:ind w:right="120"/>
              <w:spacing w:after="0"/>
              <w:rPr>
                <w:sz w:val="20"/>
                <w:szCs w:val="20"/>
                <w:color w:val="auto"/>
              </w:rPr>
            </w:pPr>
            <w:r>
              <w:rPr>
                <w:rFonts w:ascii="Arial" w:cs="Arial" w:eastAsia="Arial" w:hAnsi="Arial"/>
                <w:sz w:val="12"/>
                <w:szCs w:val="12"/>
                <w:b w:val="1"/>
                <w:bCs w:val="1"/>
                <w:color w:val="auto"/>
                <w:w w:val="87"/>
              </w:rPr>
              <w:t>Comprehensive Loss</w:t>
            </w:r>
          </w:p>
        </w:tc>
        <w:tc>
          <w:tcPr>
            <w:tcW w:w="140" w:type="dxa"/>
            <w:vAlign w:val="bottom"/>
          </w:tcPr>
          <w:p>
            <w:pPr>
              <w:spacing w:after="0"/>
              <w:rPr>
                <w:sz w:val="8"/>
                <w:szCs w:val="8"/>
                <w:color w:val="auto"/>
              </w:rPr>
            </w:pPr>
          </w:p>
        </w:tc>
        <w:tc>
          <w:tcPr>
            <w:tcW w:w="8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Interest</w:t>
            </w:r>
          </w:p>
        </w:tc>
        <w:tc>
          <w:tcPr>
            <w:tcW w:w="16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1"/>
        </w:trPr>
        <w:tc>
          <w:tcPr>
            <w:tcW w:w="2460" w:type="dxa"/>
            <w:vAlign w:val="bottom"/>
            <w:gridSpan w:val="3"/>
            <w:vMerge w:val="continue"/>
          </w:tcPr>
          <w:p>
            <w:pPr>
              <w:spacing w:after="0"/>
              <w:rPr>
                <w:sz w:val="3"/>
                <w:szCs w:val="3"/>
                <w:color w:val="auto"/>
              </w:rPr>
            </w:pPr>
          </w:p>
        </w:tc>
        <w:tc>
          <w:tcPr>
            <w:tcW w:w="1040" w:type="dxa"/>
            <w:vAlign w:val="bottom"/>
            <w:gridSpan w:val="2"/>
            <w:vMerge w:val="continue"/>
          </w:tcPr>
          <w:p>
            <w:pPr>
              <w:spacing w:after="0"/>
              <w:rPr>
                <w:sz w:val="3"/>
                <w:szCs w:val="3"/>
                <w:color w:val="auto"/>
              </w:rPr>
            </w:pPr>
          </w:p>
        </w:tc>
        <w:tc>
          <w:tcPr>
            <w:tcW w:w="880" w:type="dxa"/>
            <w:vAlign w:val="bottom"/>
            <w:gridSpan w:val="3"/>
            <w:vMerge w:val="continue"/>
          </w:tcPr>
          <w:p>
            <w:pPr>
              <w:spacing w:after="0"/>
              <w:rPr>
                <w:sz w:val="3"/>
                <w:szCs w:val="3"/>
                <w:color w:val="auto"/>
              </w:rPr>
            </w:pPr>
          </w:p>
        </w:tc>
        <w:tc>
          <w:tcPr>
            <w:tcW w:w="14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94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1260" w:type="dxa"/>
            <w:vAlign w:val="bottom"/>
            <w:gridSpan w:val="3"/>
            <w:vMerge w:val="continue"/>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80" w:type="dxa"/>
            <w:vAlign w:val="bottom"/>
            <w:tcBorders>
              <w:top w:val="single" w:sz="8" w:color="auto"/>
              <w:bottom w:val="single" w:sz="8" w:color="CCEEFF"/>
            </w:tcBorders>
          </w:tcPr>
          <w:p>
            <w:pPr>
              <w:spacing w:after="0" w:line="20" w:lineRule="exact"/>
              <w:rPr>
                <w:sz w:val="1"/>
                <w:szCs w:val="1"/>
                <w:color w:val="auto"/>
              </w:rPr>
            </w:pPr>
          </w:p>
        </w:tc>
        <w:tc>
          <w:tcPr>
            <w:tcW w:w="196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2460" w:type="dxa"/>
            <w:vAlign w:val="bottom"/>
            <w:gridSpan w:val="3"/>
            <w:shd w:val="clear" w:color="auto" w:fill="CCEEFF"/>
          </w:tcPr>
          <w:p>
            <w:pPr>
              <w:ind w:left="20"/>
              <w:spacing w:after="0"/>
              <w:rPr>
                <w:sz w:val="20"/>
                <w:szCs w:val="20"/>
                <w:color w:val="auto"/>
              </w:rPr>
            </w:pPr>
            <w:r>
              <w:rPr>
                <w:rFonts w:ascii="Arial" w:cs="Arial" w:eastAsia="Arial" w:hAnsi="Arial"/>
                <w:sz w:val="12"/>
                <w:szCs w:val="12"/>
                <w:b w:val="1"/>
                <w:bCs w:val="1"/>
                <w:color w:val="auto"/>
              </w:rPr>
              <w:t>Balance, December 31, 2022</w:t>
            </w: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226.9</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2"/>
                <w:szCs w:val="12"/>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7,953</w:t>
            </w: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(45.7)</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(1,769)</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4,577</w:t>
            </w: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jc w:val="right"/>
              <w:ind w:right="320"/>
              <w:spacing w:after="0"/>
              <w:rPr>
                <w:sz w:val="20"/>
                <w:szCs w:val="20"/>
                <w:color w:val="auto"/>
              </w:rPr>
            </w:pPr>
            <w:r>
              <w:rPr>
                <w:rFonts w:ascii="Arial" w:cs="Arial" w:eastAsia="Arial" w:hAnsi="Arial"/>
                <w:sz w:val="12"/>
                <w:szCs w:val="12"/>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(661)</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2"/>
                <w:szCs w:val="12"/>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45</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10,147</w:t>
            </w:r>
          </w:p>
        </w:tc>
        <w:tc>
          <w:tcPr>
            <w:tcW w:w="0" w:type="dxa"/>
            <w:vAlign w:val="bottom"/>
          </w:tcPr>
          <w:p>
            <w:pPr>
              <w:spacing w:after="0"/>
              <w:rPr>
                <w:sz w:val="1"/>
                <w:szCs w:val="1"/>
                <w:color w:val="auto"/>
              </w:rPr>
            </w:pPr>
          </w:p>
        </w:tc>
      </w:tr>
      <w:tr>
        <w:trPr>
          <w:trHeight w:val="160"/>
        </w:trPr>
        <w:tc>
          <w:tcPr>
            <w:tcW w:w="2460" w:type="dxa"/>
            <w:vAlign w:val="bottom"/>
            <w:gridSpan w:val="3"/>
          </w:tcPr>
          <w:p>
            <w:pPr>
              <w:ind w:left="20"/>
              <w:spacing w:after="0"/>
              <w:rPr>
                <w:sz w:val="20"/>
                <w:szCs w:val="20"/>
                <w:color w:val="auto"/>
              </w:rPr>
            </w:pPr>
            <w:r>
              <w:rPr>
                <w:rFonts w:ascii="Arial" w:cs="Arial" w:eastAsia="Arial" w:hAnsi="Arial"/>
                <w:sz w:val="12"/>
                <w:szCs w:val="12"/>
                <w:color w:val="auto"/>
              </w:rPr>
              <w:t>Cash dividends ($0.17 dividend per share)</w:t>
            </w:r>
          </w:p>
        </w:tc>
        <w:tc>
          <w:tcPr>
            <w:tcW w:w="10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(31)</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(31)</w:t>
            </w:r>
          </w:p>
        </w:tc>
        <w:tc>
          <w:tcPr>
            <w:tcW w:w="0" w:type="dxa"/>
            <w:vAlign w:val="bottom"/>
          </w:tcPr>
          <w:p>
            <w:pPr>
              <w:spacing w:after="0"/>
              <w:rPr>
                <w:sz w:val="1"/>
                <w:szCs w:val="1"/>
                <w:color w:val="auto"/>
              </w:rPr>
            </w:pPr>
          </w:p>
        </w:tc>
      </w:tr>
      <w:tr>
        <w:trPr>
          <w:trHeight w:val="123"/>
        </w:trPr>
        <w:tc>
          <w:tcPr>
            <w:tcW w:w="2460" w:type="dxa"/>
            <w:vAlign w:val="bottom"/>
            <w:gridSpan w:val="3"/>
            <w:shd w:val="clear" w:color="auto" w:fill="CCEEFF"/>
          </w:tcPr>
          <w:p>
            <w:pPr>
              <w:ind w:left="20"/>
              <w:spacing w:after="0" w:line="124" w:lineRule="exact"/>
              <w:rPr>
                <w:sz w:val="20"/>
                <w:szCs w:val="20"/>
                <w:color w:val="auto"/>
              </w:rPr>
            </w:pPr>
            <w:r>
              <w:rPr>
                <w:rFonts w:ascii="Arial" w:cs="Arial" w:eastAsia="Arial" w:hAnsi="Arial"/>
                <w:sz w:val="12"/>
                <w:szCs w:val="12"/>
                <w:color w:val="auto"/>
              </w:rPr>
              <w:t>Proceeds from treasury stock issued from the</w:t>
            </w:r>
          </w:p>
        </w:tc>
        <w:tc>
          <w:tcPr>
            <w:tcW w:w="9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2460" w:type="dxa"/>
            <w:vAlign w:val="bottom"/>
            <w:gridSpan w:val="3"/>
            <w:shd w:val="clear" w:color="auto" w:fill="CCEEFF"/>
          </w:tcPr>
          <w:p>
            <w:pPr>
              <w:ind w:left="20"/>
              <w:spacing w:after="0" w:line="116" w:lineRule="exact"/>
              <w:rPr>
                <w:sz w:val="20"/>
                <w:szCs w:val="20"/>
                <w:color w:val="auto"/>
              </w:rPr>
            </w:pPr>
            <w:r>
              <w:rPr>
                <w:rFonts w:ascii="Arial" w:cs="Arial" w:eastAsia="Arial" w:hAnsi="Arial"/>
                <w:sz w:val="12"/>
                <w:szCs w:val="12"/>
                <w:color w:val="auto"/>
              </w:rPr>
              <w:t>exercise of stock options and other benefit</w:t>
            </w:r>
          </w:p>
        </w:tc>
        <w:tc>
          <w:tcPr>
            <w:tcW w:w="9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246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plans, net of tax</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w:t>
            </w: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0.3</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w:t>
            </w:r>
          </w:p>
        </w:tc>
        <w:tc>
          <w:tcPr>
            <w:tcW w:w="0" w:type="dxa"/>
            <w:vAlign w:val="bottom"/>
          </w:tcPr>
          <w:p>
            <w:pPr>
              <w:spacing w:after="0"/>
              <w:rPr>
                <w:sz w:val="1"/>
                <w:szCs w:val="1"/>
                <w:color w:val="auto"/>
              </w:rPr>
            </w:pPr>
          </w:p>
        </w:tc>
      </w:tr>
      <w:tr>
        <w:trPr>
          <w:trHeight w:val="160"/>
        </w:trPr>
        <w:tc>
          <w:tcPr>
            <w:tcW w:w="2460" w:type="dxa"/>
            <w:vAlign w:val="bottom"/>
            <w:gridSpan w:val="3"/>
          </w:tcPr>
          <w:p>
            <w:pPr>
              <w:ind w:left="20"/>
              <w:spacing w:after="0"/>
              <w:rPr>
                <w:sz w:val="20"/>
                <w:szCs w:val="20"/>
                <w:color w:val="auto"/>
              </w:rPr>
            </w:pPr>
            <w:r>
              <w:rPr>
                <w:rFonts w:ascii="Arial" w:cs="Arial" w:eastAsia="Arial" w:hAnsi="Arial"/>
                <w:sz w:val="12"/>
                <w:szCs w:val="12"/>
                <w:color w:val="auto"/>
              </w:rPr>
              <w:t>Stock based compensation</w:t>
            </w:r>
          </w:p>
        </w:tc>
        <w:tc>
          <w:tcPr>
            <w:tcW w:w="10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10</w:t>
            </w:r>
          </w:p>
        </w:tc>
        <w:tc>
          <w:tcPr>
            <w:tcW w:w="120" w:type="dxa"/>
            <w:vAlign w:val="bottom"/>
          </w:tcPr>
          <w:p>
            <w:pPr>
              <w:spacing w:after="0"/>
              <w:rPr>
                <w:sz w:val="13"/>
                <w:szCs w:val="13"/>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460" w:type="dxa"/>
            <w:vAlign w:val="bottom"/>
          </w:tcPr>
          <w:p>
            <w:pPr>
              <w:spacing w:after="0"/>
              <w:rPr>
                <w:sz w:val="13"/>
                <w:szCs w:val="13"/>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10</w:t>
            </w:r>
          </w:p>
        </w:tc>
        <w:tc>
          <w:tcPr>
            <w:tcW w:w="0" w:type="dxa"/>
            <w:vAlign w:val="bottom"/>
          </w:tcPr>
          <w:p>
            <w:pPr>
              <w:spacing w:after="0"/>
              <w:rPr>
                <w:sz w:val="1"/>
                <w:szCs w:val="1"/>
                <w:color w:val="auto"/>
              </w:rPr>
            </w:pPr>
          </w:p>
        </w:tc>
      </w:tr>
      <w:tr>
        <w:trPr>
          <w:trHeight w:val="175"/>
        </w:trPr>
        <w:tc>
          <w:tcPr>
            <w:tcW w:w="246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Net income</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169</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173</w:t>
            </w:r>
          </w:p>
        </w:tc>
        <w:tc>
          <w:tcPr>
            <w:tcW w:w="0" w:type="dxa"/>
            <w:vAlign w:val="bottom"/>
          </w:tcPr>
          <w:p>
            <w:pPr>
              <w:spacing w:after="0"/>
              <w:rPr>
                <w:sz w:val="1"/>
                <w:szCs w:val="1"/>
                <w:color w:val="auto"/>
              </w:rPr>
            </w:pPr>
          </w:p>
        </w:tc>
      </w:tr>
      <w:tr>
        <w:trPr>
          <w:trHeight w:val="160"/>
        </w:trPr>
        <w:tc>
          <w:tcPr>
            <w:tcW w:w="2460" w:type="dxa"/>
            <w:vAlign w:val="bottom"/>
            <w:gridSpan w:val="3"/>
          </w:tcPr>
          <w:p>
            <w:pPr>
              <w:ind w:left="20"/>
              <w:spacing w:after="0"/>
              <w:rPr>
                <w:sz w:val="20"/>
                <w:szCs w:val="20"/>
                <w:color w:val="auto"/>
              </w:rPr>
            </w:pPr>
            <w:r>
              <w:rPr>
                <w:rFonts w:ascii="Arial" w:cs="Arial" w:eastAsia="Arial" w:hAnsi="Arial"/>
                <w:sz w:val="12"/>
                <w:szCs w:val="12"/>
                <w:color w:val="auto"/>
              </w:rPr>
              <w:t>Other comprehensive income, net of tax</w:t>
            </w:r>
          </w:p>
        </w:tc>
        <w:tc>
          <w:tcPr>
            <w:tcW w:w="10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46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30</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30</w:t>
            </w:r>
          </w:p>
        </w:tc>
        <w:tc>
          <w:tcPr>
            <w:tcW w:w="0" w:type="dxa"/>
            <w:vAlign w:val="bottom"/>
          </w:tcPr>
          <w:p>
            <w:pPr>
              <w:spacing w:after="0"/>
              <w:rPr>
                <w:sz w:val="1"/>
                <w:szCs w:val="1"/>
                <w:color w:val="auto"/>
              </w:rPr>
            </w:pPr>
          </w:p>
        </w:tc>
      </w:tr>
      <w:tr>
        <w:trPr>
          <w:trHeight w:val="175"/>
        </w:trPr>
        <w:tc>
          <w:tcPr>
            <w:tcW w:w="246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Stock repurchase</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(178)</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(178)</w:t>
            </w:r>
          </w:p>
        </w:tc>
        <w:tc>
          <w:tcPr>
            <w:tcW w:w="0" w:type="dxa"/>
            <w:vAlign w:val="bottom"/>
          </w:tcPr>
          <w:p>
            <w:pPr>
              <w:spacing w:after="0"/>
              <w:rPr>
                <w:sz w:val="1"/>
                <w:szCs w:val="1"/>
                <w:color w:val="auto"/>
              </w:rPr>
            </w:pPr>
          </w:p>
        </w:tc>
      </w:tr>
      <w:tr>
        <w:trPr>
          <w:trHeight w:val="153"/>
        </w:trPr>
        <w:tc>
          <w:tcPr>
            <w:tcW w:w="2460" w:type="dxa"/>
            <w:vAlign w:val="bottom"/>
            <w:tcBorders>
              <w:bottom w:val="single" w:sz="8" w:color="CCEEFF"/>
            </w:tcBorders>
            <w:gridSpan w:val="3"/>
          </w:tcPr>
          <w:p>
            <w:pPr>
              <w:ind w:left="20"/>
              <w:spacing w:after="0"/>
              <w:rPr>
                <w:sz w:val="20"/>
                <w:szCs w:val="20"/>
                <w:color w:val="auto"/>
              </w:rPr>
            </w:pPr>
            <w:r>
              <w:rPr>
                <w:rFonts w:ascii="Arial" w:cs="Arial" w:eastAsia="Arial" w:hAnsi="Arial"/>
                <w:sz w:val="12"/>
                <w:szCs w:val="12"/>
                <w:b w:val="1"/>
                <w:bCs w:val="1"/>
                <w:color w:val="auto"/>
              </w:rPr>
              <w:t>Balance, March 31, 2023</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226.9</w:t>
            </w:r>
          </w:p>
        </w:tc>
        <w:tc>
          <w:tcPr>
            <w:tcW w:w="100" w:type="dxa"/>
            <w:vAlign w:val="bottom"/>
            <w:tcBorders>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2"/>
                <w:szCs w:val="12"/>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w:t>
            </w:r>
          </w:p>
        </w:tc>
        <w:tc>
          <w:tcPr>
            <w:tcW w:w="100" w:type="dxa"/>
            <w:vAlign w:val="bottom"/>
            <w:tcBorders>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2"/>
                <w:szCs w:val="12"/>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7,940</w:t>
            </w:r>
          </w:p>
        </w:tc>
        <w:tc>
          <w:tcPr>
            <w:tcW w:w="120" w:type="dxa"/>
            <w:vAlign w:val="bottom"/>
            <w:tcBorders>
              <w:bottom w:val="single" w:sz="8" w:color="CCEEFF"/>
            </w:tcBorders>
          </w:tcPr>
          <w:p>
            <w:pPr>
              <w:spacing w:after="0"/>
              <w:rPr>
                <w:sz w:val="13"/>
                <w:szCs w:val="13"/>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(47.1)</w:t>
            </w:r>
          </w:p>
        </w:tc>
        <w:tc>
          <w:tcPr>
            <w:tcW w:w="120" w:type="dxa"/>
            <w:vAlign w:val="bottom"/>
            <w:tcBorders>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(1,941)</w:t>
            </w:r>
          </w:p>
        </w:tc>
        <w:tc>
          <w:tcPr>
            <w:tcW w:w="120" w:type="dxa"/>
            <w:vAlign w:val="bottom"/>
            <w:tcBorders>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4,715</w:t>
            </w:r>
          </w:p>
        </w:tc>
        <w:tc>
          <w:tcPr>
            <w:tcW w:w="100" w:type="dxa"/>
            <w:vAlign w:val="bottom"/>
            <w:tcBorders>
              <w:bottom w:val="single" w:sz="8" w:color="CCEEFF"/>
            </w:tcBorders>
          </w:tcPr>
          <w:p>
            <w:pPr>
              <w:spacing w:after="0"/>
              <w:rPr>
                <w:sz w:val="13"/>
                <w:szCs w:val="13"/>
                <w:color w:val="auto"/>
              </w:rPr>
            </w:pPr>
          </w:p>
        </w:tc>
        <w:tc>
          <w:tcPr>
            <w:tcW w:w="460" w:type="dxa"/>
            <w:vAlign w:val="bottom"/>
            <w:tcBorders>
              <w:top w:val="single" w:sz="8" w:color="auto"/>
              <w:bottom w:val="single" w:sz="8" w:color="auto"/>
            </w:tcBorders>
          </w:tcPr>
          <w:p>
            <w:pPr>
              <w:jc w:val="right"/>
              <w:ind w:right="320"/>
              <w:spacing w:after="0"/>
              <w:rPr>
                <w:sz w:val="20"/>
                <w:szCs w:val="20"/>
                <w:color w:val="auto"/>
              </w:rPr>
            </w:pPr>
            <w:r>
              <w:rPr>
                <w:rFonts w:ascii="Arial" w:cs="Arial" w:eastAsia="Arial" w:hAnsi="Arial"/>
                <w:sz w:val="12"/>
                <w:szCs w:val="12"/>
                <w:color w:val="auto"/>
                <w:w w:val="8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(631)</w:t>
            </w:r>
          </w:p>
        </w:tc>
        <w:tc>
          <w:tcPr>
            <w:tcW w:w="100" w:type="dxa"/>
            <w:vAlign w:val="bottom"/>
            <w:tcBorders>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2"/>
                <w:szCs w:val="12"/>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49</w:t>
            </w:r>
          </w:p>
        </w:tc>
        <w:tc>
          <w:tcPr>
            <w:tcW w:w="120" w:type="dxa"/>
            <w:vAlign w:val="bottom"/>
            <w:tcBorders>
              <w:bottom w:val="single" w:sz="8" w:color="CCEEFF"/>
            </w:tcBorders>
          </w:tcPr>
          <w:p>
            <w:pPr>
              <w:spacing w:after="0"/>
              <w:rPr>
                <w:sz w:val="13"/>
                <w:szCs w:val="13"/>
                <w:color w:val="auto"/>
              </w:rPr>
            </w:pPr>
          </w:p>
        </w:tc>
        <w:tc>
          <w:tcPr>
            <w:tcW w:w="1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10,134</w:t>
            </w:r>
          </w:p>
        </w:tc>
        <w:tc>
          <w:tcPr>
            <w:tcW w:w="0" w:type="dxa"/>
            <w:vAlign w:val="bottom"/>
          </w:tcPr>
          <w:p>
            <w:pPr>
              <w:spacing w:after="0"/>
              <w:rPr>
                <w:sz w:val="1"/>
                <w:szCs w:val="1"/>
                <w:color w:val="auto"/>
              </w:rPr>
            </w:pPr>
          </w:p>
        </w:tc>
      </w:tr>
      <w:tr>
        <w:trPr>
          <w:trHeight w:val="168"/>
        </w:trPr>
        <w:tc>
          <w:tcPr>
            <w:tcW w:w="246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Cash dividends ($0.17 dividend per share)</w:t>
            </w: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w:t>
            </w:r>
          </w:p>
        </w:tc>
        <w:tc>
          <w:tcPr>
            <w:tcW w:w="0" w:type="dxa"/>
            <w:vAlign w:val="bottom"/>
          </w:tcPr>
          <w:p>
            <w:pPr>
              <w:spacing w:after="0"/>
              <w:rPr>
                <w:sz w:val="1"/>
                <w:szCs w:val="1"/>
                <w:color w:val="auto"/>
              </w:rPr>
            </w:pPr>
          </w:p>
        </w:tc>
      </w:tr>
      <w:tr>
        <w:trPr>
          <w:trHeight w:val="116"/>
        </w:trPr>
        <w:tc>
          <w:tcPr>
            <w:tcW w:w="2460" w:type="dxa"/>
            <w:vAlign w:val="bottom"/>
            <w:gridSpan w:val="3"/>
          </w:tcPr>
          <w:p>
            <w:pPr>
              <w:ind w:left="20"/>
              <w:spacing w:after="0" w:line="116" w:lineRule="exact"/>
              <w:rPr>
                <w:sz w:val="20"/>
                <w:szCs w:val="20"/>
                <w:color w:val="auto"/>
              </w:rPr>
            </w:pPr>
            <w:r>
              <w:rPr>
                <w:rFonts w:ascii="Arial" w:cs="Arial" w:eastAsia="Arial" w:hAnsi="Arial"/>
                <w:sz w:val="12"/>
                <w:szCs w:val="12"/>
                <w:color w:val="auto"/>
              </w:rPr>
              <w:t>Proceeds from treasury stock issued from the</w:t>
            </w: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2460" w:type="dxa"/>
            <w:vAlign w:val="bottom"/>
            <w:gridSpan w:val="3"/>
          </w:tcPr>
          <w:p>
            <w:pPr>
              <w:ind w:left="20"/>
              <w:spacing w:after="0" w:line="116" w:lineRule="exact"/>
              <w:rPr>
                <w:sz w:val="20"/>
                <w:szCs w:val="20"/>
                <w:color w:val="auto"/>
              </w:rPr>
            </w:pPr>
            <w:r>
              <w:rPr>
                <w:rFonts w:ascii="Arial" w:cs="Arial" w:eastAsia="Arial" w:hAnsi="Arial"/>
                <w:sz w:val="12"/>
                <w:szCs w:val="12"/>
                <w:color w:val="auto"/>
              </w:rPr>
              <w:t>exercise of stock options and other benefit</w:t>
            </w: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460" w:type="dxa"/>
            <w:vAlign w:val="bottom"/>
            <w:gridSpan w:val="3"/>
          </w:tcPr>
          <w:p>
            <w:pPr>
              <w:ind w:left="20"/>
              <w:spacing w:after="0"/>
              <w:rPr>
                <w:sz w:val="20"/>
                <w:szCs w:val="20"/>
                <w:color w:val="auto"/>
              </w:rPr>
            </w:pPr>
            <w:r>
              <w:rPr>
                <w:rFonts w:ascii="Arial" w:cs="Arial" w:eastAsia="Arial" w:hAnsi="Arial"/>
                <w:sz w:val="12"/>
                <w:szCs w:val="12"/>
                <w:color w:val="auto"/>
              </w:rPr>
              <w:t>plans, net of tax</w:t>
            </w:r>
          </w:p>
        </w:tc>
        <w:tc>
          <w:tcPr>
            <w:tcW w:w="10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5"/>
                <w:szCs w:val="15"/>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(3)</w:t>
            </w: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0.1</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3</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46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5"/>
                <w:szCs w:val="15"/>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75"/>
        </w:trPr>
        <w:tc>
          <w:tcPr>
            <w:tcW w:w="246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Stock based compensation</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w:t>
            </w:r>
          </w:p>
        </w:tc>
        <w:tc>
          <w:tcPr>
            <w:tcW w:w="12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w:t>
            </w:r>
          </w:p>
        </w:tc>
        <w:tc>
          <w:tcPr>
            <w:tcW w:w="0" w:type="dxa"/>
            <w:vAlign w:val="bottom"/>
          </w:tcPr>
          <w:p>
            <w:pPr>
              <w:spacing w:after="0"/>
              <w:rPr>
                <w:sz w:val="1"/>
                <w:szCs w:val="1"/>
                <w:color w:val="auto"/>
              </w:rPr>
            </w:pPr>
          </w:p>
        </w:tc>
      </w:tr>
      <w:tr>
        <w:trPr>
          <w:trHeight w:val="160"/>
        </w:trPr>
        <w:tc>
          <w:tcPr>
            <w:tcW w:w="2460" w:type="dxa"/>
            <w:vAlign w:val="bottom"/>
            <w:gridSpan w:val="3"/>
          </w:tcPr>
          <w:p>
            <w:pPr>
              <w:ind w:left="20"/>
              <w:spacing w:after="0"/>
              <w:rPr>
                <w:sz w:val="20"/>
                <w:szCs w:val="20"/>
                <w:color w:val="auto"/>
              </w:rPr>
            </w:pPr>
            <w:r>
              <w:rPr>
                <w:rFonts w:ascii="Arial" w:cs="Arial" w:eastAsia="Arial" w:hAnsi="Arial"/>
                <w:sz w:val="12"/>
                <w:szCs w:val="12"/>
                <w:color w:val="auto"/>
              </w:rPr>
              <w:t>Net income</w:t>
            </w:r>
          </w:p>
        </w:tc>
        <w:tc>
          <w:tcPr>
            <w:tcW w:w="10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191</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2</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193</w:t>
            </w:r>
          </w:p>
        </w:tc>
        <w:tc>
          <w:tcPr>
            <w:tcW w:w="0" w:type="dxa"/>
            <w:vAlign w:val="bottom"/>
          </w:tcPr>
          <w:p>
            <w:pPr>
              <w:spacing w:after="0"/>
              <w:rPr>
                <w:sz w:val="1"/>
                <w:szCs w:val="1"/>
                <w:color w:val="auto"/>
              </w:rPr>
            </w:pPr>
          </w:p>
        </w:tc>
      </w:tr>
      <w:tr>
        <w:trPr>
          <w:trHeight w:val="175"/>
        </w:trPr>
        <w:tc>
          <w:tcPr>
            <w:tcW w:w="246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Other comprehensive income, net of tax</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w:t>
            </w:r>
          </w:p>
        </w:tc>
        <w:tc>
          <w:tcPr>
            <w:tcW w:w="0" w:type="dxa"/>
            <w:vAlign w:val="bottom"/>
          </w:tcPr>
          <w:p>
            <w:pPr>
              <w:spacing w:after="0"/>
              <w:rPr>
                <w:sz w:val="1"/>
                <w:szCs w:val="1"/>
                <w:color w:val="auto"/>
              </w:rPr>
            </w:pPr>
          </w:p>
        </w:tc>
      </w:tr>
      <w:tr>
        <w:trPr>
          <w:trHeight w:val="160"/>
        </w:trPr>
        <w:tc>
          <w:tcPr>
            <w:tcW w:w="2460" w:type="dxa"/>
            <w:vAlign w:val="bottom"/>
            <w:gridSpan w:val="3"/>
          </w:tcPr>
          <w:p>
            <w:pPr>
              <w:ind w:left="20"/>
              <w:spacing w:after="0"/>
              <w:rPr>
                <w:sz w:val="20"/>
                <w:szCs w:val="20"/>
                <w:color w:val="auto"/>
              </w:rPr>
            </w:pPr>
            <w:r>
              <w:rPr>
                <w:rFonts w:ascii="Arial" w:cs="Arial" w:eastAsia="Arial" w:hAnsi="Arial"/>
                <w:sz w:val="12"/>
                <w:szCs w:val="12"/>
                <w:color w:val="auto"/>
              </w:rPr>
              <w:t>Stock repurchase</w:t>
            </w:r>
          </w:p>
        </w:tc>
        <w:tc>
          <w:tcPr>
            <w:tcW w:w="10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20" w:type="dxa"/>
            <w:vAlign w:val="bottom"/>
          </w:tcPr>
          <w:p>
            <w:pPr>
              <w:jc w:val="right"/>
              <w:spacing w:after="0"/>
              <w:rPr>
                <w:sz w:val="20"/>
                <w:szCs w:val="20"/>
                <w:color w:val="auto"/>
              </w:rPr>
            </w:pPr>
            <w:r>
              <w:rPr>
                <w:rFonts w:ascii="Arial" w:cs="Arial" w:eastAsia="Arial" w:hAnsi="Arial"/>
                <w:sz w:val="12"/>
                <w:szCs w:val="12"/>
                <w:color w:val="auto"/>
              </w:rPr>
              <w:t>(0.8)</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(76)</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460" w:type="dxa"/>
            <w:vAlign w:val="bottom"/>
          </w:tcPr>
          <w:p>
            <w:pPr>
              <w:spacing w:after="0"/>
              <w:rPr>
                <w:sz w:val="13"/>
                <w:szCs w:val="13"/>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(76)</w:t>
            </w:r>
          </w:p>
        </w:tc>
        <w:tc>
          <w:tcPr>
            <w:tcW w:w="0" w:type="dxa"/>
            <w:vAlign w:val="bottom"/>
          </w:tcPr>
          <w:p>
            <w:pPr>
              <w:spacing w:after="0"/>
              <w:rPr>
                <w:sz w:val="1"/>
                <w:szCs w:val="1"/>
                <w:color w:val="auto"/>
              </w:rPr>
            </w:pPr>
          </w:p>
        </w:tc>
      </w:tr>
      <w:tr>
        <w:trPr>
          <w:trHeight w:val="175"/>
        </w:trPr>
        <w:tc>
          <w:tcPr>
            <w:tcW w:w="246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Distribution to noncontrolling interest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w:t>
            </w:r>
          </w:p>
        </w:tc>
        <w:tc>
          <w:tcPr>
            <w:tcW w:w="0" w:type="dxa"/>
            <w:vAlign w:val="bottom"/>
          </w:tcPr>
          <w:p>
            <w:pPr>
              <w:spacing w:after="0"/>
              <w:rPr>
                <w:sz w:val="1"/>
                <w:szCs w:val="1"/>
                <w:color w:val="auto"/>
              </w:rPr>
            </w:pPr>
          </w:p>
        </w:tc>
      </w:tr>
      <w:tr>
        <w:trPr>
          <w:trHeight w:val="153"/>
        </w:trPr>
        <w:tc>
          <w:tcPr>
            <w:tcW w:w="2460" w:type="dxa"/>
            <w:vAlign w:val="bottom"/>
            <w:tcBorders>
              <w:bottom w:val="single" w:sz="8" w:color="CCEEFF"/>
            </w:tcBorders>
            <w:gridSpan w:val="3"/>
          </w:tcPr>
          <w:p>
            <w:pPr>
              <w:ind w:left="20"/>
              <w:spacing w:after="0"/>
              <w:rPr>
                <w:sz w:val="20"/>
                <w:szCs w:val="20"/>
                <w:color w:val="auto"/>
              </w:rPr>
            </w:pPr>
            <w:r>
              <w:rPr>
                <w:rFonts w:ascii="Arial" w:cs="Arial" w:eastAsia="Arial" w:hAnsi="Arial"/>
                <w:sz w:val="12"/>
                <w:szCs w:val="12"/>
                <w:b w:val="1"/>
                <w:bCs w:val="1"/>
                <w:color w:val="auto"/>
              </w:rPr>
              <w:t>Balance, June 30, 2023</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226.9</w:t>
            </w:r>
          </w:p>
        </w:tc>
        <w:tc>
          <w:tcPr>
            <w:tcW w:w="100" w:type="dxa"/>
            <w:vAlign w:val="bottom"/>
            <w:tcBorders>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2"/>
                <w:szCs w:val="12"/>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w:t>
            </w:r>
          </w:p>
        </w:tc>
        <w:tc>
          <w:tcPr>
            <w:tcW w:w="100" w:type="dxa"/>
            <w:vAlign w:val="bottom"/>
            <w:tcBorders>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2"/>
                <w:szCs w:val="12"/>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7,949</w:t>
            </w:r>
          </w:p>
        </w:tc>
        <w:tc>
          <w:tcPr>
            <w:tcW w:w="120" w:type="dxa"/>
            <w:vAlign w:val="bottom"/>
            <w:tcBorders>
              <w:bottom w:val="single" w:sz="8" w:color="CCEEFF"/>
            </w:tcBorders>
          </w:tcPr>
          <w:p>
            <w:pPr>
              <w:spacing w:after="0"/>
              <w:rPr>
                <w:sz w:val="13"/>
                <w:szCs w:val="13"/>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(47.8)</w:t>
            </w:r>
          </w:p>
        </w:tc>
        <w:tc>
          <w:tcPr>
            <w:tcW w:w="120" w:type="dxa"/>
            <w:vAlign w:val="bottom"/>
            <w:tcBorders>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(2,014)</w:t>
            </w:r>
          </w:p>
        </w:tc>
        <w:tc>
          <w:tcPr>
            <w:tcW w:w="120" w:type="dxa"/>
            <w:vAlign w:val="bottom"/>
            <w:tcBorders>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4,875</w:t>
            </w:r>
          </w:p>
        </w:tc>
        <w:tc>
          <w:tcPr>
            <w:tcW w:w="100" w:type="dxa"/>
            <w:vAlign w:val="bottom"/>
            <w:tcBorders>
              <w:bottom w:val="single" w:sz="8" w:color="CCEEFF"/>
            </w:tcBorders>
          </w:tcPr>
          <w:p>
            <w:pPr>
              <w:spacing w:after="0"/>
              <w:rPr>
                <w:sz w:val="13"/>
                <w:szCs w:val="13"/>
                <w:color w:val="auto"/>
              </w:rPr>
            </w:pPr>
          </w:p>
        </w:tc>
        <w:tc>
          <w:tcPr>
            <w:tcW w:w="460" w:type="dxa"/>
            <w:vAlign w:val="bottom"/>
            <w:tcBorders>
              <w:top w:val="single" w:sz="8" w:color="auto"/>
              <w:bottom w:val="single" w:sz="8" w:color="auto"/>
            </w:tcBorders>
          </w:tcPr>
          <w:p>
            <w:pPr>
              <w:jc w:val="right"/>
              <w:ind w:right="320"/>
              <w:spacing w:after="0"/>
              <w:rPr>
                <w:sz w:val="20"/>
                <w:szCs w:val="20"/>
                <w:color w:val="auto"/>
              </w:rPr>
            </w:pPr>
            <w:r>
              <w:rPr>
                <w:rFonts w:ascii="Arial" w:cs="Arial" w:eastAsia="Arial" w:hAnsi="Arial"/>
                <w:sz w:val="12"/>
                <w:szCs w:val="12"/>
                <w:color w:val="auto"/>
                <w:w w:val="8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(624)</w:t>
            </w:r>
          </w:p>
        </w:tc>
        <w:tc>
          <w:tcPr>
            <w:tcW w:w="100" w:type="dxa"/>
            <w:vAlign w:val="bottom"/>
            <w:tcBorders>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2"/>
                <w:szCs w:val="12"/>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39</w:t>
            </w:r>
          </w:p>
        </w:tc>
        <w:tc>
          <w:tcPr>
            <w:tcW w:w="120" w:type="dxa"/>
            <w:vAlign w:val="bottom"/>
            <w:tcBorders>
              <w:bottom w:val="single" w:sz="8" w:color="CCEEFF"/>
            </w:tcBorders>
          </w:tcPr>
          <w:p>
            <w:pPr>
              <w:spacing w:after="0"/>
              <w:rPr>
                <w:sz w:val="13"/>
                <w:szCs w:val="13"/>
                <w:color w:val="auto"/>
              </w:rPr>
            </w:pPr>
          </w:p>
        </w:tc>
        <w:tc>
          <w:tcPr>
            <w:tcW w:w="1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10,227</w:t>
            </w:r>
          </w:p>
        </w:tc>
        <w:tc>
          <w:tcPr>
            <w:tcW w:w="0" w:type="dxa"/>
            <w:vAlign w:val="bottom"/>
          </w:tcPr>
          <w:p>
            <w:pPr>
              <w:spacing w:after="0"/>
              <w:rPr>
                <w:sz w:val="1"/>
                <w:szCs w:val="1"/>
                <w:color w:val="auto"/>
              </w:rPr>
            </w:pPr>
          </w:p>
        </w:tc>
      </w:tr>
      <w:tr>
        <w:trPr>
          <w:trHeight w:val="168"/>
        </w:trPr>
        <w:tc>
          <w:tcPr>
            <w:tcW w:w="246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Cash dividends ($0.17 dividend per share)</w:t>
            </w: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w:t>
            </w:r>
          </w:p>
        </w:tc>
        <w:tc>
          <w:tcPr>
            <w:tcW w:w="0" w:type="dxa"/>
            <w:vAlign w:val="bottom"/>
          </w:tcPr>
          <w:p>
            <w:pPr>
              <w:spacing w:after="0"/>
              <w:rPr>
                <w:sz w:val="1"/>
                <w:szCs w:val="1"/>
                <w:color w:val="auto"/>
              </w:rPr>
            </w:pPr>
          </w:p>
        </w:tc>
      </w:tr>
      <w:tr>
        <w:trPr>
          <w:trHeight w:val="116"/>
        </w:trPr>
        <w:tc>
          <w:tcPr>
            <w:tcW w:w="2460" w:type="dxa"/>
            <w:vAlign w:val="bottom"/>
            <w:gridSpan w:val="3"/>
          </w:tcPr>
          <w:p>
            <w:pPr>
              <w:ind w:left="20"/>
              <w:spacing w:after="0" w:line="116" w:lineRule="exact"/>
              <w:rPr>
                <w:sz w:val="20"/>
                <w:szCs w:val="20"/>
                <w:color w:val="auto"/>
              </w:rPr>
            </w:pPr>
            <w:r>
              <w:rPr>
                <w:rFonts w:ascii="Arial" w:cs="Arial" w:eastAsia="Arial" w:hAnsi="Arial"/>
                <w:sz w:val="12"/>
                <w:szCs w:val="12"/>
                <w:color w:val="auto"/>
              </w:rPr>
              <w:t>Proceeds from treasury stock issued from the</w:t>
            </w: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2460" w:type="dxa"/>
            <w:vAlign w:val="bottom"/>
            <w:gridSpan w:val="3"/>
          </w:tcPr>
          <w:p>
            <w:pPr>
              <w:ind w:left="20"/>
              <w:spacing w:after="0" w:line="116" w:lineRule="exact"/>
              <w:rPr>
                <w:sz w:val="20"/>
                <w:szCs w:val="20"/>
                <w:color w:val="auto"/>
              </w:rPr>
            </w:pPr>
            <w:r>
              <w:rPr>
                <w:rFonts w:ascii="Arial" w:cs="Arial" w:eastAsia="Arial" w:hAnsi="Arial"/>
                <w:sz w:val="12"/>
                <w:szCs w:val="12"/>
                <w:color w:val="auto"/>
              </w:rPr>
              <w:t>exercise of stock options and other benefit</w:t>
            </w: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460" w:type="dxa"/>
            <w:vAlign w:val="bottom"/>
            <w:gridSpan w:val="3"/>
          </w:tcPr>
          <w:p>
            <w:pPr>
              <w:ind w:left="20"/>
              <w:spacing w:after="0"/>
              <w:rPr>
                <w:sz w:val="20"/>
                <w:szCs w:val="20"/>
                <w:color w:val="auto"/>
              </w:rPr>
            </w:pPr>
            <w:r>
              <w:rPr>
                <w:rFonts w:ascii="Arial" w:cs="Arial" w:eastAsia="Arial" w:hAnsi="Arial"/>
                <w:sz w:val="12"/>
                <w:szCs w:val="12"/>
                <w:color w:val="auto"/>
              </w:rPr>
              <w:t>plans, net of tax</w:t>
            </w:r>
          </w:p>
        </w:tc>
        <w:tc>
          <w:tcPr>
            <w:tcW w:w="10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5"/>
                <w:szCs w:val="15"/>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2</w:t>
            </w:r>
          </w:p>
        </w:tc>
        <w:tc>
          <w:tcPr>
            <w:tcW w:w="12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1</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46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5"/>
                <w:szCs w:val="15"/>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3</w:t>
            </w:r>
          </w:p>
        </w:tc>
        <w:tc>
          <w:tcPr>
            <w:tcW w:w="0" w:type="dxa"/>
            <w:vAlign w:val="bottom"/>
          </w:tcPr>
          <w:p>
            <w:pPr>
              <w:spacing w:after="0"/>
              <w:rPr>
                <w:sz w:val="1"/>
                <w:szCs w:val="1"/>
                <w:color w:val="auto"/>
              </w:rPr>
            </w:pPr>
          </w:p>
        </w:tc>
      </w:tr>
      <w:tr>
        <w:trPr>
          <w:trHeight w:val="175"/>
        </w:trPr>
        <w:tc>
          <w:tcPr>
            <w:tcW w:w="246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Stock based compensation</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w:t>
            </w:r>
          </w:p>
        </w:tc>
        <w:tc>
          <w:tcPr>
            <w:tcW w:w="12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w:t>
            </w:r>
          </w:p>
        </w:tc>
        <w:tc>
          <w:tcPr>
            <w:tcW w:w="0" w:type="dxa"/>
            <w:vAlign w:val="bottom"/>
          </w:tcPr>
          <w:p>
            <w:pPr>
              <w:spacing w:after="0"/>
              <w:rPr>
                <w:sz w:val="1"/>
                <w:szCs w:val="1"/>
                <w:color w:val="auto"/>
              </w:rPr>
            </w:pPr>
          </w:p>
        </w:tc>
      </w:tr>
      <w:tr>
        <w:trPr>
          <w:trHeight w:val="160"/>
        </w:trPr>
        <w:tc>
          <w:tcPr>
            <w:tcW w:w="2460" w:type="dxa"/>
            <w:vAlign w:val="bottom"/>
            <w:gridSpan w:val="3"/>
          </w:tcPr>
          <w:p>
            <w:pPr>
              <w:ind w:left="20"/>
              <w:spacing w:after="0"/>
              <w:rPr>
                <w:sz w:val="20"/>
                <w:szCs w:val="20"/>
                <w:color w:val="auto"/>
              </w:rPr>
            </w:pPr>
            <w:r>
              <w:rPr>
                <w:rFonts w:ascii="Arial" w:cs="Arial" w:eastAsia="Arial" w:hAnsi="Arial"/>
                <w:sz w:val="12"/>
                <w:szCs w:val="12"/>
                <w:color w:val="auto"/>
              </w:rPr>
              <w:t>Net income</w:t>
            </w:r>
          </w:p>
        </w:tc>
        <w:tc>
          <w:tcPr>
            <w:tcW w:w="10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240</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2</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242</w:t>
            </w:r>
          </w:p>
        </w:tc>
        <w:tc>
          <w:tcPr>
            <w:tcW w:w="0" w:type="dxa"/>
            <w:vAlign w:val="bottom"/>
          </w:tcPr>
          <w:p>
            <w:pPr>
              <w:spacing w:after="0"/>
              <w:rPr>
                <w:sz w:val="1"/>
                <w:szCs w:val="1"/>
                <w:color w:val="auto"/>
              </w:rPr>
            </w:pPr>
          </w:p>
        </w:tc>
      </w:tr>
      <w:tr>
        <w:trPr>
          <w:trHeight w:val="175"/>
        </w:trPr>
        <w:tc>
          <w:tcPr>
            <w:tcW w:w="246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Other comprehensive loss, net of tax</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(89)</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(89)</w:t>
            </w:r>
          </w:p>
        </w:tc>
        <w:tc>
          <w:tcPr>
            <w:tcW w:w="0" w:type="dxa"/>
            <w:vAlign w:val="bottom"/>
          </w:tcPr>
          <w:p>
            <w:pPr>
              <w:spacing w:after="0"/>
              <w:rPr>
                <w:sz w:val="1"/>
                <w:szCs w:val="1"/>
                <w:color w:val="auto"/>
              </w:rPr>
            </w:pPr>
          </w:p>
        </w:tc>
      </w:tr>
      <w:tr>
        <w:trPr>
          <w:trHeight w:val="160"/>
        </w:trPr>
        <w:tc>
          <w:tcPr>
            <w:tcW w:w="2460" w:type="dxa"/>
            <w:vAlign w:val="bottom"/>
            <w:gridSpan w:val="3"/>
          </w:tcPr>
          <w:p>
            <w:pPr>
              <w:ind w:left="20"/>
              <w:spacing w:after="0"/>
              <w:rPr>
                <w:sz w:val="20"/>
                <w:szCs w:val="20"/>
                <w:color w:val="auto"/>
              </w:rPr>
            </w:pPr>
            <w:r>
              <w:rPr>
                <w:rFonts w:ascii="Arial" w:cs="Arial" w:eastAsia="Arial" w:hAnsi="Arial"/>
                <w:sz w:val="12"/>
                <w:szCs w:val="12"/>
                <w:b w:val="1"/>
                <w:bCs w:val="1"/>
                <w:color w:val="auto"/>
              </w:rPr>
              <w:t>Balance, September 30, 2023</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226.9</w:t>
            </w:r>
          </w:p>
        </w:tc>
        <w:tc>
          <w:tcPr>
            <w:tcW w:w="100" w:type="dxa"/>
            <w:vAlign w:val="bottom"/>
          </w:tcPr>
          <w:p>
            <w:pPr>
              <w:spacing w:after="0"/>
              <w:rPr>
                <w:sz w:val="13"/>
                <w:szCs w:val="13"/>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2"/>
                <w:szCs w:val="12"/>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w:t>
            </w:r>
          </w:p>
        </w:tc>
        <w:tc>
          <w:tcPr>
            <w:tcW w:w="100" w:type="dxa"/>
            <w:vAlign w:val="bottom"/>
          </w:tcPr>
          <w:p>
            <w:pPr>
              <w:spacing w:after="0"/>
              <w:rPr>
                <w:sz w:val="13"/>
                <w:szCs w:val="13"/>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2"/>
                <w:szCs w:val="12"/>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7,965</w:t>
            </w:r>
          </w:p>
        </w:tc>
        <w:tc>
          <w:tcPr>
            <w:tcW w:w="120" w:type="dxa"/>
            <w:vAlign w:val="bottom"/>
          </w:tcPr>
          <w:p>
            <w:pPr>
              <w:spacing w:after="0"/>
              <w:rPr>
                <w:sz w:val="13"/>
                <w:szCs w:val="13"/>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(47.8)</w:t>
            </w:r>
          </w:p>
        </w:tc>
        <w:tc>
          <w:tcPr>
            <w:tcW w:w="12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(2,013)</w:t>
            </w:r>
          </w:p>
        </w:tc>
        <w:tc>
          <w:tcPr>
            <w:tcW w:w="12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5,085</w:t>
            </w:r>
          </w:p>
        </w:tc>
        <w:tc>
          <w:tcPr>
            <w:tcW w:w="100" w:type="dxa"/>
            <w:vAlign w:val="bottom"/>
          </w:tcPr>
          <w:p>
            <w:pPr>
              <w:spacing w:after="0"/>
              <w:rPr>
                <w:sz w:val="13"/>
                <w:szCs w:val="13"/>
                <w:color w:val="auto"/>
              </w:rPr>
            </w:pPr>
          </w:p>
        </w:tc>
        <w:tc>
          <w:tcPr>
            <w:tcW w:w="460" w:type="dxa"/>
            <w:vAlign w:val="bottom"/>
            <w:tcBorders>
              <w:top w:val="single" w:sz="8" w:color="auto"/>
              <w:bottom w:val="single" w:sz="8" w:color="auto"/>
            </w:tcBorders>
          </w:tcPr>
          <w:p>
            <w:pPr>
              <w:jc w:val="right"/>
              <w:ind w:right="320"/>
              <w:spacing w:after="0"/>
              <w:rPr>
                <w:sz w:val="20"/>
                <w:szCs w:val="20"/>
                <w:color w:val="auto"/>
              </w:rPr>
            </w:pPr>
            <w:r>
              <w:rPr>
                <w:rFonts w:ascii="Arial" w:cs="Arial" w:eastAsia="Arial" w:hAnsi="Arial"/>
                <w:sz w:val="12"/>
                <w:szCs w:val="12"/>
                <w:color w:val="auto"/>
                <w:w w:val="8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(713)</w:t>
            </w:r>
          </w:p>
        </w:tc>
        <w:tc>
          <w:tcPr>
            <w:tcW w:w="100" w:type="dxa"/>
            <w:vAlign w:val="bottom"/>
          </w:tcPr>
          <w:p>
            <w:pPr>
              <w:spacing w:after="0"/>
              <w:rPr>
                <w:sz w:val="13"/>
                <w:szCs w:val="13"/>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2"/>
                <w:szCs w:val="12"/>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41</w:t>
            </w:r>
          </w:p>
        </w:tc>
        <w:tc>
          <w:tcPr>
            <w:tcW w:w="12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10,367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88"/>
              </w:rPr>
              <w:t>Common Stock</w:t>
            </w:r>
          </w:p>
        </w:tc>
        <w:tc>
          <w:tcPr>
            <w:tcW w:w="120" w:type="dxa"/>
            <w:vAlign w:val="bottom"/>
          </w:tcPr>
          <w:p>
            <w:pPr>
              <w:spacing w:after="0"/>
              <w:rPr>
                <w:sz w:val="12"/>
                <w:szCs w:val="12"/>
                <w:color w:val="auto"/>
              </w:rPr>
            </w:pP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Common</w:t>
            </w:r>
          </w:p>
        </w:tc>
        <w:tc>
          <w:tcPr>
            <w:tcW w:w="1020" w:type="dxa"/>
            <w:vAlign w:val="bottom"/>
            <w:gridSpan w:val="3"/>
          </w:tcPr>
          <w:p>
            <w:pPr>
              <w:ind w:left="40"/>
              <w:spacing w:after="0"/>
              <w:rPr>
                <w:sz w:val="20"/>
                <w:szCs w:val="20"/>
                <w:color w:val="auto"/>
              </w:rPr>
            </w:pPr>
            <w:r>
              <w:rPr>
                <w:rFonts w:ascii="Arial" w:cs="Arial" w:eastAsia="Arial" w:hAnsi="Arial"/>
                <w:sz w:val="12"/>
                <w:szCs w:val="12"/>
                <w:b w:val="1"/>
                <w:bCs w:val="1"/>
                <w:color w:val="auto"/>
              </w:rPr>
              <w:t>Additional Paid-</w:t>
            </w:r>
          </w:p>
        </w:tc>
        <w:tc>
          <w:tcPr>
            <w:tcW w:w="94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89"/>
              </w:rPr>
              <w:t>Treasury Stock</w:t>
            </w:r>
          </w:p>
        </w:tc>
        <w:tc>
          <w:tcPr>
            <w:tcW w:w="980" w:type="dxa"/>
            <w:vAlign w:val="bottom"/>
            <w:gridSpan w:val="3"/>
          </w:tcPr>
          <w:p>
            <w:pPr>
              <w:jc w:val="center"/>
              <w:ind w:right="120"/>
              <w:spacing w:after="0"/>
              <w:rPr>
                <w:sz w:val="20"/>
                <w:szCs w:val="20"/>
                <w:color w:val="auto"/>
              </w:rPr>
            </w:pPr>
            <w:r>
              <w:rPr>
                <w:rFonts w:ascii="Arial" w:cs="Arial" w:eastAsia="Arial" w:hAnsi="Arial"/>
                <w:sz w:val="12"/>
                <w:szCs w:val="12"/>
                <w:b w:val="1"/>
                <w:bCs w:val="1"/>
                <w:color w:val="auto"/>
                <w:w w:val="89"/>
              </w:rPr>
              <w:t>Treasury Stock</w:t>
            </w:r>
          </w:p>
        </w:tc>
        <w:tc>
          <w:tcPr>
            <w:tcW w:w="120" w:type="dxa"/>
            <w:vAlign w:val="bottom"/>
          </w:tcPr>
          <w:p>
            <w:pPr>
              <w:spacing w:after="0"/>
              <w:rPr>
                <w:sz w:val="12"/>
                <w:szCs w:val="12"/>
                <w:color w:val="auto"/>
              </w:rPr>
            </w:pPr>
          </w:p>
        </w:tc>
        <w:tc>
          <w:tcPr>
            <w:tcW w:w="820" w:type="dxa"/>
            <w:vAlign w:val="bottom"/>
            <w:gridSpan w:val="2"/>
          </w:tcPr>
          <w:p>
            <w:pPr>
              <w:ind w:left="60"/>
              <w:spacing w:after="0"/>
              <w:rPr>
                <w:sz w:val="20"/>
                <w:szCs w:val="20"/>
                <w:color w:val="auto"/>
              </w:rPr>
            </w:pPr>
            <w:r>
              <w:rPr>
                <w:rFonts w:ascii="Arial" w:cs="Arial" w:eastAsia="Arial" w:hAnsi="Arial"/>
                <w:sz w:val="12"/>
                <w:szCs w:val="12"/>
                <w:b w:val="1"/>
                <w:bCs w:val="1"/>
                <w:color w:val="auto"/>
              </w:rPr>
              <w:t>Retained</w:t>
            </w:r>
          </w:p>
        </w:tc>
        <w:tc>
          <w:tcPr>
            <w:tcW w:w="1260" w:type="dxa"/>
            <w:vAlign w:val="bottom"/>
            <w:gridSpan w:val="3"/>
          </w:tcPr>
          <w:p>
            <w:pPr>
              <w:jc w:val="center"/>
              <w:ind w:right="120"/>
              <w:spacing w:after="0"/>
              <w:rPr>
                <w:sz w:val="20"/>
                <w:szCs w:val="20"/>
                <w:color w:val="auto"/>
              </w:rPr>
            </w:pPr>
            <w:r>
              <w:rPr>
                <w:rFonts w:ascii="Arial" w:cs="Arial" w:eastAsia="Arial" w:hAnsi="Arial"/>
                <w:sz w:val="12"/>
                <w:szCs w:val="12"/>
                <w:b w:val="1"/>
                <w:bCs w:val="1"/>
                <w:color w:val="auto"/>
                <w:w w:val="92"/>
              </w:rPr>
              <w:t>Accumulated Other</w:t>
            </w:r>
          </w:p>
        </w:tc>
        <w:tc>
          <w:tcPr>
            <w:tcW w:w="960" w:type="dxa"/>
            <w:vAlign w:val="bottom"/>
            <w:gridSpan w:val="3"/>
          </w:tcPr>
          <w:p>
            <w:pPr>
              <w:ind w:left="20"/>
              <w:spacing w:after="0"/>
              <w:rPr>
                <w:sz w:val="20"/>
                <w:szCs w:val="20"/>
                <w:color w:val="auto"/>
              </w:rPr>
            </w:pPr>
            <w:r>
              <w:rPr>
                <w:rFonts w:ascii="Arial" w:cs="Arial" w:eastAsia="Arial" w:hAnsi="Arial"/>
                <w:sz w:val="12"/>
                <w:szCs w:val="12"/>
                <w:b w:val="1"/>
                <w:bCs w:val="1"/>
                <w:color w:val="auto"/>
              </w:rPr>
              <w:t>Non-controlling</w:t>
            </w:r>
          </w:p>
        </w:tc>
        <w:tc>
          <w:tcPr>
            <w:tcW w:w="160" w:type="dxa"/>
            <w:vAlign w:val="bottom"/>
          </w:tcPr>
          <w:p>
            <w:pPr>
              <w:spacing w:after="0"/>
              <w:rPr>
                <w:sz w:val="12"/>
                <w:szCs w:val="12"/>
                <w:color w:val="auto"/>
              </w:rPr>
            </w:pPr>
          </w:p>
        </w:tc>
        <w:tc>
          <w:tcPr>
            <w:tcW w:w="600" w:type="dxa"/>
            <w:vAlign w:val="bottom"/>
            <w:vMerge w:val="restart"/>
          </w:tcPr>
          <w:p>
            <w:pPr>
              <w:jc w:val="right"/>
              <w:ind w:right="200"/>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00"/>
        </w:trPr>
        <w:tc>
          <w:tcPr>
            <w:tcW w:w="2460" w:type="dxa"/>
            <w:vAlign w:val="bottom"/>
            <w:gridSpan w:val="3"/>
            <w:vMerge w:val="restart"/>
          </w:tcPr>
          <w:p>
            <w:pPr>
              <w:ind w:left="20"/>
              <w:spacing w:after="0"/>
              <w:rPr>
                <w:sz w:val="20"/>
                <w:szCs w:val="20"/>
                <w:color w:val="auto"/>
              </w:rPr>
            </w:pPr>
            <w:r>
              <w:rPr>
                <w:rFonts w:ascii="Arial" w:cs="Arial" w:eastAsia="Arial" w:hAnsi="Arial"/>
                <w:sz w:val="10"/>
                <w:szCs w:val="10"/>
                <w:b w:val="1"/>
                <w:bCs w:val="1"/>
                <w:color w:val="auto"/>
              </w:rPr>
              <w:t>In millions</w:t>
            </w:r>
          </w:p>
        </w:tc>
        <w:tc>
          <w:tcPr>
            <w:tcW w:w="1040" w:type="dxa"/>
            <w:vAlign w:val="bottom"/>
            <w:gridSpan w:val="2"/>
            <w:vMerge w:val="restart"/>
          </w:tcPr>
          <w:p>
            <w:pPr>
              <w:jc w:val="center"/>
              <w:ind w:right="100"/>
              <w:spacing w:after="0"/>
              <w:rPr>
                <w:sz w:val="20"/>
                <w:szCs w:val="20"/>
                <w:color w:val="auto"/>
              </w:rPr>
            </w:pPr>
            <w:r>
              <w:rPr>
                <w:rFonts w:ascii="Arial" w:cs="Arial" w:eastAsia="Arial" w:hAnsi="Arial"/>
                <w:sz w:val="12"/>
                <w:szCs w:val="12"/>
                <w:b w:val="1"/>
                <w:bCs w:val="1"/>
                <w:color w:val="auto"/>
                <w:w w:val="84"/>
              </w:rPr>
              <w:t>Shares</w:t>
            </w:r>
          </w:p>
        </w:tc>
        <w:tc>
          <w:tcPr>
            <w:tcW w:w="88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Stock Amount</w:t>
            </w:r>
          </w:p>
        </w:tc>
        <w:tc>
          <w:tcPr>
            <w:tcW w:w="140" w:type="dxa"/>
            <w:vAlign w:val="bottom"/>
          </w:tcPr>
          <w:p>
            <w:pPr>
              <w:spacing w:after="0"/>
              <w:rPr>
                <w:sz w:val="8"/>
                <w:szCs w:val="8"/>
                <w:color w:val="auto"/>
              </w:rPr>
            </w:pPr>
          </w:p>
        </w:tc>
        <w:tc>
          <w:tcPr>
            <w:tcW w:w="8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 Capital</w:t>
            </w:r>
          </w:p>
        </w:tc>
        <w:tc>
          <w:tcPr>
            <w:tcW w:w="940" w:type="dxa"/>
            <w:vAlign w:val="bottom"/>
            <w:gridSpan w:val="2"/>
            <w:vMerge w:val="restart"/>
          </w:tcPr>
          <w:p>
            <w:pPr>
              <w:jc w:val="center"/>
              <w:ind w:right="120"/>
              <w:spacing w:after="0"/>
              <w:rPr>
                <w:sz w:val="20"/>
                <w:szCs w:val="20"/>
                <w:color w:val="auto"/>
              </w:rPr>
            </w:pPr>
            <w:r>
              <w:rPr>
                <w:rFonts w:ascii="Arial" w:cs="Arial" w:eastAsia="Arial" w:hAnsi="Arial"/>
                <w:sz w:val="12"/>
                <w:szCs w:val="12"/>
                <w:b w:val="1"/>
                <w:bCs w:val="1"/>
                <w:color w:val="auto"/>
                <w:w w:val="84"/>
              </w:rPr>
              <w:t>Shares</w:t>
            </w:r>
          </w:p>
        </w:tc>
        <w:tc>
          <w:tcPr>
            <w:tcW w:w="140" w:type="dxa"/>
            <w:vAlign w:val="bottom"/>
          </w:tcPr>
          <w:p>
            <w:pPr>
              <w:spacing w:after="0"/>
              <w:rPr>
                <w:sz w:val="8"/>
                <w:szCs w:val="8"/>
                <w:color w:val="auto"/>
              </w:rPr>
            </w:pPr>
          </w:p>
        </w:tc>
        <w:tc>
          <w:tcPr>
            <w:tcW w:w="840" w:type="dxa"/>
            <w:vAlign w:val="bottom"/>
            <w:gridSpan w:val="2"/>
            <w:vMerge w:val="restart"/>
          </w:tcPr>
          <w:p>
            <w:pPr>
              <w:jc w:val="center"/>
              <w:ind w:right="260"/>
              <w:spacing w:after="0"/>
              <w:rPr>
                <w:sz w:val="20"/>
                <w:szCs w:val="20"/>
                <w:color w:val="auto"/>
              </w:rPr>
            </w:pPr>
            <w:r>
              <w:rPr>
                <w:rFonts w:ascii="Arial" w:cs="Arial" w:eastAsia="Arial" w:hAnsi="Arial"/>
                <w:sz w:val="12"/>
                <w:szCs w:val="12"/>
                <w:b w:val="1"/>
                <w:bCs w:val="1"/>
                <w:color w:val="auto"/>
                <w:w w:val="92"/>
              </w:rPr>
              <w:t>Amount</w:t>
            </w:r>
          </w:p>
        </w:tc>
        <w:tc>
          <w:tcPr>
            <w:tcW w:w="120" w:type="dxa"/>
            <w:vAlign w:val="bottom"/>
          </w:tcPr>
          <w:p>
            <w:pPr>
              <w:spacing w:after="0"/>
              <w:rPr>
                <w:sz w:val="8"/>
                <w:szCs w:val="8"/>
                <w:color w:val="auto"/>
              </w:rPr>
            </w:pPr>
          </w:p>
        </w:tc>
        <w:tc>
          <w:tcPr>
            <w:tcW w:w="8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Earnings</w:t>
            </w:r>
          </w:p>
        </w:tc>
        <w:tc>
          <w:tcPr>
            <w:tcW w:w="1260" w:type="dxa"/>
            <w:vAlign w:val="bottom"/>
            <w:gridSpan w:val="3"/>
            <w:vMerge w:val="restart"/>
          </w:tcPr>
          <w:p>
            <w:pPr>
              <w:jc w:val="center"/>
              <w:ind w:right="120"/>
              <w:spacing w:after="0"/>
              <w:rPr>
                <w:sz w:val="20"/>
                <w:szCs w:val="20"/>
                <w:color w:val="auto"/>
              </w:rPr>
            </w:pPr>
            <w:r>
              <w:rPr>
                <w:rFonts w:ascii="Arial" w:cs="Arial" w:eastAsia="Arial" w:hAnsi="Arial"/>
                <w:sz w:val="12"/>
                <w:szCs w:val="12"/>
                <w:b w:val="1"/>
                <w:bCs w:val="1"/>
                <w:color w:val="auto"/>
                <w:w w:val="87"/>
              </w:rPr>
              <w:t>Comprehensive Loss</w:t>
            </w:r>
          </w:p>
        </w:tc>
        <w:tc>
          <w:tcPr>
            <w:tcW w:w="140" w:type="dxa"/>
            <w:vAlign w:val="bottom"/>
          </w:tcPr>
          <w:p>
            <w:pPr>
              <w:spacing w:after="0"/>
              <w:rPr>
                <w:sz w:val="8"/>
                <w:szCs w:val="8"/>
                <w:color w:val="auto"/>
              </w:rPr>
            </w:pPr>
          </w:p>
        </w:tc>
        <w:tc>
          <w:tcPr>
            <w:tcW w:w="8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Interest</w:t>
            </w:r>
          </w:p>
        </w:tc>
        <w:tc>
          <w:tcPr>
            <w:tcW w:w="16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1"/>
        </w:trPr>
        <w:tc>
          <w:tcPr>
            <w:tcW w:w="2460" w:type="dxa"/>
            <w:vAlign w:val="bottom"/>
            <w:gridSpan w:val="3"/>
            <w:vMerge w:val="continue"/>
          </w:tcPr>
          <w:p>
            <w:pPr>
              <w:spacing w:after="0"/>
              <w:rPr>
                <w:sz w:val="3"/>
                <w:szCs w:val="3"/>
                <w:color w:val="auto"/>
              </w:rPr>
            </w:pPr>
          </w:p>
        </w:tc>
        <w:tc>
          <w:tcPr>
            <w:tcW w:w="1040" w:type="dxa"/>
            <w:vAlign w:val="bottom"/>
            <w:gridSpan w:val="2"/>
            <w:vMerge w:val="continue"/>
          </w:tcPr>
          <w:p>
            <w:pPr>
              <w:spacing w:after="0"/>
              <w:rPr>
                <w:sz w:val="3"/>
                <w:szCs w:val="3"/>
                <w:color w:val="auto"/>
              </w:rPr>
            </w:pPr>
          </w:p>
        </w:tc>
        <w:tc>
          <w:tcPr>
            <w:tcW w:w="880" w:type="dxa"/>
            <w:vAlign w:val="bottom"/>
            <w:gridSpan w:val="3"/>
            <w:vMerge w:val="continue"/>
          </w:tcPr>
          <w:p>
            <w:pPr>
              <w:spacing w:after="0"/>
              <w:rPr>
                <w:sz w:val="3"/>
                <w:szCs w:val="3"/>
                <w:color w:val="auto"/>
              </w:rPr>
            </w:pPr>
          </w:p>
        </w:tc>
        <w:tc>
          <w:tcPr>
            <w:tcW w:w="14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94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1260" w:type="dxa"/>
            <w:vAlign w:val="bottom"/>
            <w:gridSpan w:val="3"/>
            <w:vMerge w:val="continue"/>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80" w:type="dxa"/>
            <w:vAlign w:val="bottom"/>
            <w:tcBorders>
              <w:top w:val="single" w:sz="8" w:color="auto"/>
              <w:bottom w:val="single" w:sz="8" w:color="CCEEFF"/>
            </w:tcBorders>
          </w:tcPr>
          <w:p>
            <w:pPr>
              <w:spacing w:after="0" w:line="20" w:lineRule="exact"/>
              <w:rPr>
                <w:sz w:val="1"/>
                <w:szCs w:val="1"/>
                <w:color w:val="auto"/>
              </w:rPr>
            </w:pPr>
          </w:p>
        </w:tc>
        <w:tc>
          <w:tcPr>
            <w:tcW w:w="196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2460" w:type="dxa"/>
            <w:vAlign w:val="bottom"/>
            <w:gridSpan w:val="3"/>
            <w:shd w:val="clear" w:color="auto" w:fill="CCEEFF"/>
          </w:tcPr>
          <w:p>
            <w:pPr>
              <w:ind w:left="20"/>
              <w:spacing w:after="0"/>
              <w:rPr>
                <w:sz w:val="20"/>
                <w:szCs w:val="20"/>
                <w:color w:val="auto"/>
              </w:rPr>
            </w:pPr>
            <w:r>
              <w:rPr>
                <w:rFonts w:ascii="Arial" w:cs="Arial" w:eastAsia="Arial" w:hAnsi="Arial"/>
                <w:sz w:val="12"/>
                <w:szCs w:val="12"/>
                <w:b w:val="1"/>
                <w:bCs w:val="1"/>
                <w:color w:val="auto"/>
              </w:rPr>
              <w:t>Balance, December 31, 2021</w:t>
            </w: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226.9</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2"/>
                <w:szCs w:val="12"/>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7,916</w:t>
            </w: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(41.1)</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(1,306)</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4,055</w:t>
            </w: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jc w:val="right"/>
              <w:ind w:right="320"/>
              <w:spacing w:after="0"/>
              <w:rPr>
                <w:sz w:val="20"/>
                <w:szCs w:val="20"/>
                <w:color w:val="auto"/>
              </w:rPr>
            </w:pPr>
            <w:r>
              <w:rPr>
                <w:rFonts w:ascii="Arial" w:cs="Arial" w:eastAsia="Arial" w:hAnsi="Arial"/>
                <w:sz w:val="12"/>
                <w:szCs w:val="12"/>
                <w:color w:val="auto"/>
                <w:w w:val="89"/>
              </w:rPr>
              <w:t>$</w:t>
            </w:r>
          </w:p>
        </w:tc>
        <w:tc>
          <w:tcPr>
            <w:tcW w:w="700" w:type="dxa"/>
            <w:vAlign w:val="bottom"/>
            <w:shd w:val="clear" w:color="auto" w:fill="CCEEFF"/>
          </w:tcPr>
          <w:p>
            <w:pPr>
              <w:ind w:left="400"/>
              <w:spacing w:after="0"/>
              <w:rPr>
                <w:sz w:val="20"/>
                <w:szCs w:val="20"/>
                <w:color w:val="auto"/>
              </w:rPr>
            </w:pPr>
            <w:r>
              <w:rPr>
                <w:rFonts w:ascii="Arial" w:cs="Arial" w:eastAsia="Arial" w:hAnsi="Arial"/>
                <w:sz w:val="12"/>
                <w:szCs w:val="12"/>
                <w:color w:val="auto"/>
                <w:w w:val="99"/>
              </w:rPr>
              <w:t>(466)</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2"/>
                <w:szCs w:val="12"/>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38</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10,239</w:t>
            </w:r>
          </w:p>
        </w:tc>
        <w:tc>
          <w:tcPr>
            <w:tcW w:w="0" w:type="dxa"/>
            <w:vAlign w:val="bottom"/>
          </w:tcPr>
          <w:p>
            <w:pPr>
              <w:spacing w:after="0"/>
              <w:rPr>
                <w:sz w:val="1"/>
                <w:szCs w:val="1"/>
                <w:color w:val="auto"/>
              </w:rPr>
            </w:pPr>
          </w:p>
        </w:tc>
      </w:tr>
      <w:tr>
        <w:trPr>
          <w:trHeight w:val="160"/>
        </w:trPr>
        <w:tc>
          <w:tcPr>
            <w:tcW w:w="2460" w:type="dxa"/>
            <w:vAlign w:val="bottom"/>
            <w:gridSpan w:val="3"/>
          </w:tcPr>
          <w:p>
            <w:pPr>
              <w:ind w:left="20"/>
              <w:spacing w:after="0"/>
              <w:rPr>
                <w:sz w:val="20"/>
                <w:szCs w:val="20"/>
                <w:color w:val="auto"/>
              </w:rPr>
            </w:pPr>
            <w:r>
              <w:rPr>
                <w:rFonts w:ascii="Arial" w:cs="Arial" w:eastAsia="Arial" w:hAnsi="Arial"/>
                <w:sz w:val="12"/>
                <w:szCs w:val="12"/>
                <w:color w:val="auto"/>
              </w:rPr>
              <w:t>Cash dividends ($0.15 dividend per share)</w:t>
            </w:r>
          </w:p>
        </w:tc>
        <w:tc>
          <w:tcPr>
            <w:tcW w:w="10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(28)</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0" w:type="dxa"/>
            <w:vAlign w:val="bottom"/>
            <w:gridSpan w:val="2"/>
          </w:tcPr>
          <w:p>
            <w:pPr>
              <w:ind w:left="5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(28)</w:t>
            </w:r>
          </w:p>
        </w:tc>
        <w:tc>
          <w:tcPr>
            <w:tcW w:w="0" w:type="dxa"/>
            <w:vAlign w:val="bottom"/>
          </w:tcPr>
          <w:p>
            <w:pPr>
              <w:spacing w:after="0"/>
              <w:rPr>
                <w:sz w:val="1"/>
                <w:szCs w:val="1"/>
                <w:color w:val="auto"/>
              </w:rPr>
            </w:pPr>
          </w:p>
        </w:tc>
      </w:tr>
      <w:tr>
        <w:trPr>
          <w:trHeight w:val="123"/>
        </w:trPr>
        <w:tc>
          <w:tcPr>
            <w:tcW w:w="2460" w:type="dxa"/>
            <w:vAlign w:val="bottom"/>
            <w:gridSpan w:val="3"/>
            <w:shd w:val="clear" w:color="auto" w:fill="CCEEFF"/>
          </w:tcPr>
          <w:p>
            <w:pPr>
              <w:ind w:left="20"/>
              <w:spacing w:after="0" w:line="124" w:lineRule="exact"/>
              <w:rPr>
                <w:sz w:val="20"/>
                <w:szCs w:val="20"/>
                <w:color w:val="auto"/>
              </w:rPr>
            </w:pPr>
            <w:r>
              <w:rPr>
                <w:rFonts w:ascii="Arial" w:cs="Arial" w:eastAsia="Arial" w:hAnsi="Arial"/>
                <w:sz w:val="12"/>
                <w:szCs w:val="12"/>
                <w:color w:val="auto"/>
              </w:rPr>
              <w:t>Proceeds from treasury stock issued from the</w:t>
            </w:r>
          </w:p>
        </w:tc>
        <w:tc>
          <w:tcPr>
            <w:tcW w:w="9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2460" w:type="dxa"/>
            <w:vAlign w:val="bottom"/>
            <w:gridSpan w:val="3"/>
            <w:shd w:val="clear" w:color="auto" w:fill="CCEEFF"/>
          </w:tcPr>
          <w:p>
            <w:pPr>
              <w:ind w:left="20"/>
              <w:spacing w:after="0" w:line="128" w:lineRule="exact"/>
              <w:rPr>
                <w:sz w:val="20"/>
                <w:szCs w:val="20"/>
                <w:color w:val="auto"/>
              </w:rPr>
            </w:pPr>
            <w:r>
              <w:rPr>
                <w:rFonts w:ascii="Arial" w:cs="Arial" w:eastAsia="Arial" w:hAnsi="Arial"/>
                <w:sz w:val="12"/>
                <w:szCs w:val="12"/>
                <w:color w:val="auto"/>
              </w:rPr>
              <w:t>exercise of stock options and other benefit</w:t>
            </w: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46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plans, net of tax</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w:t>
            </w: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0.2</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ind w:left="52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w:t>
            </w:r>
          </w:p>
        </w:tc>
        <w:tc>
          <w:tcPr>
            <w:tcW w:w="0" w:type="dxa"/>
            <w:vAlign w:val="bottom"/>
          </w:tcPr>
          <w:p>
            <w:pPr>
              <w:spacing w:after="0"/>
              <w:rPr>
                <w:sz w:val="1"/>
                <w:szCs w:val="1"/>
                <w:color w:val="auto"/>
              </w:rPr>
            </w:pPr>
          </w:p>
        </w:tc>
      </w:tr>
      <w:tr>
        <w:trPr>
          <w:trHeight w:val="160"/>
        </w:trPr>
        <w:tc>
          <w:tcPr>
            <w:tcW w:w="2460" w:type="dxa"/>
            <w:vAlign w:val="bottom"/>
            <w:gridSpan w:val="3"/>
          </w:tcPr>
          <w:p>
            <w:pPr>
              <w:ind w:left="20"/>
              <w:spacing w:after="0"/>
              <w:rPr>
                <w:sz w:val="20"/>
                <w:szCs w:val="20"/>
                <w:color w:val="auto"/>
              </w:rPr>
            </w:pPr>
            <w:r>
              <w:rPr>
                <w:rFonts w:ascii="Arial" w:cs="Arial" w:eastAsia="Arial" w:hAnsi="Arial"/>
                <w:sz w:val="12"/>
                <w:szCs w:val="12"/>
                <w:color w:val="auto"/>
              </w:rPr>
              <w:t>Stock based compensation</w:t>
            </w:r>
          </w:p>
        </w:tc>
        <w:tc>
          <w:tcPr>
            <w:tcW w:w="10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10</w:t>
            </w:r>
          </w:p>
        </w:tc>
        <w:tc>
          <w:tcPr>
            <w:tcW w:w="120" w:type="dxa"/>
            <w:vAlign w:val="bottom"/>
          </w:tcPr>
          <w:p>
            <w:pPr>
              <w:spacing w:after="0"/>
              <w:rPr>
                <w:sz w:val="13"/>
                <w:szCs w:val="13"/>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460" w:type="dxa"/>
            <w:vAlign w:val="bottom"/>
          </w:tcPr>
          <w:p>
            <w:pPr>
              <w:spacing w:after="0"/>
              <w:rPr>
                <w:sz w:val="13"/>
                <w:szCs w:val="13"/>
                <w:color w:val="auto"/>
              </w:rPr>
            </w:pPr>
          </w:p>
        </w:tc>
        <w:tc>
          <w:tcPr>
            <w:tcW w:w="800" w:type="dxa"/>
            <w:vAlign w:val="bottom"/>
            <w:gridSpan w:val="2"/>
          </w:tcPr>
          <w:p>
            <w:pPr>
              <w:ind w:left="5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10</w:t>
            </w:r>
          </w:p>
        </w:tc>
        <w:tc>
          <w:tcPr>
            <w:tcW w:w="0" w:type="dxa"/>
            <w:vAlign w:val="bottom"/>
          </w:tcPr>
          <w:p>
            <w:pPr>
              <w:spacing w:after="0"/>
              <w:rPr>
                <w:sz w:val="1"/>
                <w:szCs w:val="1"/>
                <w:color w:val="auto"/>
              </w:rPr>
            </w:pPr>
          </w:p>
        </w:tc>
      </w:tr>
      <w:tr>
        <w:trPr>
          <w:trHeight w:val="175"/>
        </w:trPr>
        <w:tc>
          <w:tcPr>
            <w:tcW w:w="246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Net income</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149</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52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150</w:t>
            </w:r>
          </w:p>
        </w:tc>
        <w:tc>
          <w:tcPr>
            <w:tcW w:w="0" w:type="dxa"/>
            <w:vAlign w:val="bottom"/>
          </w:tcPr>
          <w:p>
            <w:pPr>
              <w:spacing w:after="0"/>
              <w:rPr>
                <w:sz w:val="1"/>
                <w:szCs w:val="1"/>
                <w:color w:val="auto"/>
              </w:rPr>
            </w:pPr>
          </w:p>
        </w:tc>
      </w:tr>
      <w:tr>
        <w:trPr>
          <w:trHeight w:val="160"/>
        </w:trPr>
        <w:tc>
          <w:tcPr>
            <w:tcW w:w="2460" w:type="dxa"/>
            <w:vAlign w:val="bottom"/>
            <w:gridSpan w:val="3"/>
          </w:tcPr>
          <w:p>
            <w:pPr>
              <w:ind w:left="20"/>
              <w:spacing w:after="0"/>
              <w:rPr>
                <w:sz w:val="20"/>
                <w:szCs w:val="20"/>
                <w:color w:val="auto"/>
              </w:rPr>
            </w:pPr>
            <w:r>
              <w:rPr>
                <w:rFonts w:ascii="Arial" w:cs="Arial" w:eastAsia="Arial" w:hAnsi="Arial"/>
                <w:sz w:val="12"/>
                <w:szCs w:val="12"/>
                <w:color w:val="auto"/>
              </w:rPr>
              <w:t>Other comprehensive income, net of tax</w:t>
            </w:r>
          </w:p>
        </w:tc>
        <w:tc>
          <w:tcPr>
            <w:tcW w:w="10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460" w:type="dxa"/>
            <w:vAlign w:val="bottom"/>
          </w:tcPr>
          <w:p>
            <w:pPr>
              <w:spacing w:after="0"/>
              <w:rPr>
                <w:sz w:val="13"/>
                <w:szCs w:val="13"/>
                <w:color w:val="auto"/>
              </w:rPr>
            </w:pPr>
          </w:p>
        </w:tc>
        <w:tc>
          <w:tcPr>
            <w:tcW w:w="700" w:type="dxa"/>
            <w:vAlign w:val="bottom"/>
          </w:tcPr>
          <w:p>
            <w:pPr>
              <w:ind w:left="520"/>
              <w:spacing w:after="0"/>
              <w:rPr>
                <w:sz w:val="20"/>
                <w:szCs w:val="20"/>
                <w:color w:val="auto"/>
              </w:rPr>
            </w:pPr>
            <w:r>
              <w:rPr>
                <w:rFonts w:ascii="Arial" w:cs="Arial" w:eastAsia="Arial" w:hAnsi="Arial"/>
                <w:sz w:val="12"/>
                <w:szCs w:val="12"/>
                <w:color w:val="auto"/>
              </w:rPr>
              <w:t>17</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17</w:t>
            </w:r>
          </w:p>
        </w:tc>
        <w:tc>
          <w:tcPr>
            <w:tcW w:w="0" w:type="dxa"/>
            <w:vAlign w:val="bottom"/>
          </w:tcPr>
          <w:p>
            <w:pPr>
              <w:spacing w:after="0"/>
              <w:rPr>
                <w:sz w:val="1"/>
                <w:szCs w:val="1"/>
                <w:color w:val="auto"/>
              </w:rPr>
            </w:pPr>
          </w:p>
        </w:tc>
      </w:tr>
      <w:tr>
        <w:trPr>
          <w:trHeight w:val="175"/>
        </w:trPr>
        <w:tc>
          <w:tcPr>
            <w:tcW w:w="246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Stock repurchase</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(296)</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52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(296)</w:t>
            </w:r>
          </w:p>
        </w:tc>
        <w:tc>
          <w:tcPr>
            <w:tcW w:w="0" w:type="dxa"/>
            <w:vAlign w:val="bottom"/>
          </w:tcPr>
          <w:p>
            <w:pPr>
              <w:spacing w:after="0"/>
              <w:rPr>
                <w:sz w:val="1"/>
                <w:szCs w:val="1"/>
                <w:color w:val="auto"/>
              </w:rPr>
            </w:pPr>
          </w:p>
        </w:tc>
      </w:tr>
      <w:tr>
        <w:trPr>
          <w:trHeight w:val="153"/>
        </w:trPr>
        <w:tc>
          <w:tcPr>
            <w:tcW w:w="2460" w:type="dxa"/>
            <w:vAlign w:val="bottom"/>
            <w:tcBorders>
              <w:bottom w:val="single" w:sz="8" w:color="CCEEFF"/>
            </w:tcBorders>
            <w:gridSpan w:val="3"/>
          </w:tcPr>
          <w:p>
            <w:pPr>
              <w:ind w:left="20"/>
              <w:spacing w:after="0"/>
              <w:rPr>
                <w:sz w:val="20"/>
                <w:szCs w:val="20"/>
                <w:color w:val="auto"/>
              </w:rPr>
            </w:pPr>
            <w:r>
              <w:rPr>
                <w:rFonts w:ascii="Arial" w:cs="Arial" w:eastAsia="Arial" w:hAnsi="Arial"/>
                <w:sz w:val="12"/>
                <w:szCs w:val="12"/>
                <w:b w:val="1"/>
                <w:bCs w:val="1"/>
                <w:color w:val="auto"/>
              </w:rPr>
              <w:t>Balance, March 31, 2022</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226.9</w:t>
            </w:r>
          </w:p>
        </w:tc>
        <w:tc>
          <w:tcPr>
            <w:tcW w:w="100" w:type="dxa"/>
            <w:vAlign w:val="bottom"/>
            <w:tcBorders>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2"/>
                <w:szCs w:val="12"/>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w:t>
            </w:r>
          </w:p>
        </w:tc>
        <w:tc>
          <w:tcPr>
            <w:tcW w:w="100" w:type="dxa"/>
            <w:vAlign w:val="bottom"/>
            <w:tcBorders>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2"/>
                <w:szCs w:val="12"/>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7,917</w:t>
            </w:r>
          </w:p>
        </w:tc>
        <w:tc>
          <w:tcPr>
            <w:tcW w:w="120" w:type="dxa"/>
            <w:vAlign w:val="bottom"/>
            <w:tcBorders>
              <w:bottom w:val="single" w:sz="8" w:color="CCEEFF"/>
            </w:tcBorders>
          </w:tcPr>
          <w:p>
            <w:pPr>
              <w:spacing w:after="0"/>
              <w:rPr>
                <w:sz w:val="13"/>
                <w:szCs w:val="13"/>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(44.0)</w:t>
            </w:r>
          </w:p>
        </w:tc>
        <w:tc>
          <w:tcPr>
            <w:tcW w:w="120" w:type="dxa"/>
            <w:vAlign w:val="bottom"/>
            <w:tcBorders>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(1,597)</w:t>
            </w:r>
          </w:p>
        </w:tc>
        <w:tc>
          <w:tcPr>
            <w:tcW w:w="120" w:type="dxa"/>
            <w:vAlign w:val="bottom"/>
            <w:tcBorders>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4,176</w:t>
            </w:r>
          </w:p>
        </w:tc>
        <w:tc>
          <w:tcPr>
            <w:tcW w:w="100" w:type="dxa"/>
            <w:vAlign w:val="bottom"/>
            <w:tcBorders>
              <w:bottom w:val="single" w:sz="8" w:color="CCEEFF"/>
            </w:tcBorders>
          </w:tcPr>
          <w:p>
            <w:pPr>
              <w:spacing w:after="0"/>
              <w:rPr>
                <w:sz w:val="13"/>
                <w:szCs w:val="13"/>
                <w:color w:val="auto"/>
              </w:rPr>
            </w:pPr>
          </w:p>
        </w:tc>
        <w:tc>
          <w:tcPr>
            <w:tcW w:w="460" w:type="dxa"/>
            <w:vAlign w:val="bottom"/>
            <w:tcBorders>
              <w:top w:val="single" w:sz="8" w:color="auto"/>
              <w:bottom w:val="single" w:sz="8" w:color="auto"/>
            </w:tcBorders>
          </w:tcPr>
          <w:p>
            <w:pPr>
              <w:jc w:val="right"/>
              <w:ind w:right="320"/>
              <w:spacing w:after="0"/>
              <w:rPr>
                <w:sz w:val="20"/>
                <w:szCs w:val="20"/>
                <w:color w:val="auto"/>
              </w:rPr>
            </w:pPr>
            <w:r>
              <w:rPr>
                <w:rFonts w:ascii="Arial" w:cs="Arial" w:eastAsia="Arial" w:hAnsi="Arial"/>
                <w:sz w:val="12"/>
                <w:szCs w:val="12"/>
                <w:color w:val="auto"/>
                <w:w w:val="89"/>
              </w:rPr>
              <w:t>$</w:t>
            </w:r>
          </w:p>
        </w:tc>
        <w:tc>
          <w:tcPr>
            <w:tcW w:w="700" w:type="dxa"/>
            <w:vAlign w:val="bottom"/>
            <w:tcBorders>
              <w:top w:val="single" w:sz="8" w:color="auto"/>
              <w:bottom w:val="single" w:sz="8" w:color="auto"/>
            </w:tcBorders>
          </w:tcPr>
          <w:p>
            <w:pPr>
              <w:ind w:left="400"/>
              <w:spacing w:after="0"/>
              <w:rPr>
                <w:sz w:val="20"/>
                <w:szCs w:val="20"/>
                <w:color w:val="auto"/>
              </w:rPr>
            </w:pPr>
            <w:r>
              <w:rPr>
                <w:rFonts w:ascii="Arial" w:cs="Arial" w:eastAsia="Arial" w:hAnsi="Arial"/>
                <w:sz w:val="12"/>
                <w:szCs w:val="12"/>
                <w:color w:val="auto"/>
                <w:w w:val="99"/>
              </w:rPr>
              <w:t>(449)</w:t>
            </w:r>
          </w:p>
        </w:tc>
        <w:tc>
          <w:tcPr>
            <w:tcW w:w="100" w:type="dxa"/>
            <w:vAlign w:val="bottom"/>
            <w:tcBorders>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2"/>
                <w:szCs w:val="12"/>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39</w:t>
            </w:r>
          </w:p>
        </w:tc>
        <w:tc>
          <w:tcPr>
            <w:tcW w:w="120" w:type="dxa"/>
            <w:vAlign w:val="bottom"/>
            <w:tcBorders>
              <w:bottom w:val="single" w:sz="8" w:color="CCEEFF"/>
            </w:tcBorders>
          </w:tcPr>
          <w:p>
            <w:pPr>
              <w:spacing w:after="0"/>
              <w:rPr>
                <w:sz w:val="13"/>
                <w:szCs w:val="13"/>
                <w:color w:val="auto"/>
              </w:rPr>
            </w:pPr>
          </w:p>
        </w:tc>
        <w:tc>
          <w:tcPr>
            <w:tcW w:w="1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10,088</w:t>
            </w:r>
          </w:p>
        </w:tc>
        <w:tc>
          <w:tcPr>
            <w:tcW w:w="0" w:type="dxa"/>
            <w:vAlign w:val="bottom"/>
          </w:tcPr>
          <w:p>
            <w:pPr>
              <w:spacing w:after="0"/>
              <w:rPr>
                <w:sz w:val="1"/>
                <w:szCs w:val="1"/>
                <w:color w:val="auto"/>
              </w:rPr>
            </w:pPr>
          </w:p>
        </w:tc>
      </w:tr>
      <w:tr>
        <w:trPr>
          <w:trHeight w:val="168"/>
        </w:trPr>
        <w:tc>
          <w:tcPr>
            <w:tcW w:w="246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Cash dividends ($0.15 dividend per share)</w:t>
            </w: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700" w:type="dxa"/>
            <w:vAlign w:val="bottom"/>
            <w:shd w:val="clear" w:color="auto" w:fill="CCEEFF"/>
          </w:tcPr>
          <w:p>
            <w:pPr>
              <w:ind w:left="5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w:t>
            </w:r>
          </w:p>
        </w:tc>
        <w:tc>
          <w:tcPr>
            <w:tcW w:w="0" w:type="dxa"/>
            <w:vAlign w:val="bottom"/>
          </w:tcPr>
          <w:p>
            <w:pPr>
              <w:spacing w:after="0"/>
              <w:rPr>
                <w:sz w:val="1"/>
                <w:szCs w:val="1"/>
                <w:color w:val="auto"/>
              </w:rPr>
            </w:pPr>
          </w:p>
        </w:tc>
      </w:tr>
      <w:tr>
        <w:trPr>
          <w:trHeight w:val="116"/>
        </w:trPr>
        <w:tc>
          <w:tcPr>
            <w:tcW w:w="2460" w:type="dxa"/>
            <w:vAlign w:val="bottom"/>
            <w:gridSpan w:val="3"/>
          </w:tcPr>
          <w:p>
            <w:pPr>
              <w:ind w:left="20"/>
              <w:spacing w:after="0" w:line="116" w:lineRule="exact"/>
              <w:rPr>
                <w:sz w:val="20"/>
                <w:szCs w:val="20"/>
                <w:color w:val="auto"/>
              </w:rPr>
            </w:pPr>
            <w:r>
              <w:rPr>
                <w:rFonts w:ascii="Arial" w:cs="Arial" w:eastAsia="Arial" w:hAnsi="Arial"/>
                <w:sz w:val="12"/>
                <w:szCs w:val="12"/>
                <w:color w:val="auto"/>
              </w:rPr>
              <w:t>Proceeds from treasury stock issued from the</w:t>
            </w: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2460" w:type="dxa"/>
            <w:vAlign w:val="bottom"/>
            <w:gridSpan w:val="3"/>
          </w:tcPr>
          <w:p>
            <w:pPr>
              <w:ind w:left="20"/>
              <w:spacing w:after="0" w:line="128" w:lineRule="exact"/>
              <w:rPr>
                <w:sz w:val="20"/>
                <w:szCs w:val="20"/>
                <w:color w:val="auto"/>
              </w:rPr>
            </w:pPr>
            <w:r>
              <w:rPr>
                <w:rFonts w:ascii="Arial" w:cs="Arial" w:eastAsia="Arial" w:hAnsi="Arial"/>
                <w:sz w:val="12"/>
                <w:szCs w:val="12"/>
                <w:color w:val="auto"/>
              </w:rPr>
              <w:t>exercise of stock options and other benefit</w:t>
            </w: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460" w:type="dxa"/>
            <w:vAlign w:val="bottom"/>
            <w:gridSpan w:val="3"/>
          </w:tcPr>
          <w:p>
            <w:pPr>
              <w:ind w:left="20"/>
              <w:spacing w:after="0"/>
              <w:rPr>
                <w:sz w:val="20"/>
                <w:szCs w:val="20"/>
                <w:color w:val="auto"/>
              </w:rPr>
            </w:pPr>
            <w:r>
              <w:rPr>
                <w:rFonts w:ascii="Arial" w:cs="Arial" w:eastAsia="Arial" w:hAnsi="Arial"/>
                <w:sz w:val="12"/>
                <w:szCs w:val="12"/>
                <w:color w:val="auto"/>
              </w:rPr>
              <w:t>plans, net of tax</w:t>
            </w:r>
          </w:p>
        </w:tc>
        <w:tc>
          <w:tcPr>
            <w:tcW w:w="10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w:t>
            </w:r>
          </w:p>
        </w:tc>
        <w:tc>
          <w:tcPr>
            <w:tcW w:w="1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0.1</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4</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460" w:type="dxa"/>
            <w:vAlign w:val="bottom"/>
          </w:tcPr>
          <w:p>
            <w:pPr>
              <w:spacing w:after="0"/>
              <w:rPr>
                <w:sz w:val="13"/>
                <w:szCs w:val="13"/>
                <w:color w:val="auto"/>
              </w:rPr>
            </w:pPr>
          </w:p>
        </w:tc>
        <w:tc>
          <w:tcPr>
            <w:tcW w:w="800" w:type="dxa"/>
            <w:vAlign w:val="bottom"/>
            <w:gridSpan w:val="2"/>
          </w:tcPr>
          <w:p>
            <w:pPr>
              <w:ind w:left="5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3</w:t>
            </w:r>
          </w:p>
        </w:tc>
        <w:tc>
          <w:tcPr>
            <w:tcW w:w="0" w:type="dxa"/>
            <w:vAlign w:val="bottom"/>
          </w:tcPr>
          <w:p>
            <w:pPr>
              <w:spacing w:after="0"/>
              <w:rPr>
                <w:sz w:val="1"/>
                <w:szCs w:val="1"/>
                <w:color w:val="auto"/>
              </w:rPr>
            </w:pPr>
          </w:p>
        </w:tc>
      </w:tr>
      <w:tr>
        <w:trPr>
          <w:trHeight w:val="175"/>
        </w:trPr>
        <w:tc>
          <w:tcPr>
            <w:tcW w:w="246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Stock based compensation</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w:t>
            </w:r>
          </w:p>
        </w:tc>
        <w:tc>
          <w:tcPr>
            <w:tcW w:w="12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52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w:t>
            </w:r>
          </w:p>
        </w:tc>
        <w:tc>
          <w:tcPr>
            <w:tcW w:w="0" w:type="dxa"/>
            <w:vAlign w:val="bottom"/>
          </w:tcPr>
          <w:p>
            <w:pPr>
              <w:spacing w:after="0"/>
              <w:rPr>
                <w:sz w:val="1"/>
                <w:szCs w:val="1"/>
                <w:color w:val="auto"/>
              </w:rPr>
            </w:pPr>
          </w:p>
        </w:tc>
      </w:tr>
      <w:tr>
        <w:trPr>
          <w:trHeight w:val="160"/>
        </w:trPr>
        <w:tc>
          <w:tcPr>
            <w:tcW w:w="2460" w:type="dxa"/>
            <w:vAlign w:val="bottom"/>
            <w:gridSpan w:val="3"/>
          </w:tcPr>
          <w:p>
            <w:pPr>
              <w:ind w:left="20"/>
              <w:spacing w:after="0"/>
              <w:rPr>
                <w:sz w:val="20"/>
                <w:szCs w:val="20"/>
                <w:color w:val="auto"/>
              </w:rPr>
            </w:pPr>
            <w:r>
              <w:rPr>
                <w:rFonts w:ascii="Arial" w:cs="Arial" w:eastAsia="Arial" w:hAnsi="Arial"/>
                <w:sz w:val="12"/>
                <w:szCs w:val="12"/>
                <w:color w:val="auto"/>
              </w:rPr>
              <w:t>Net income</w:t>
            </w:r>
          </w:p>
        </w:tc>
        <w:tc>
          <w:tcPr>
            <w:tcW w:w="10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166</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0" w:type="dxa"/>
            <w:vAlign w:val="bottom"/>
            <w:gridSpan w:val="2"/>
          </w:tcPr>
          <w:p>
            <w:pPr>
              <w:ind w:left="5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3</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169</w:t>
            </w:r>
          </w:p>
        </w:tc>
        <w:tc>
          <w:tcPr>
            <w:tcW w:w="0" w:type="dxa"/>
            <w:vAlign w:val="bottom"/>
          </w:tcPr>
          <w:p>
            <w:pPr>
              <w:spacing w:after="0"/>
              <w:rPr>
                <w:sz w:val="1"/>
                <w:szCs w:val="1"/>
                <w:color w:val="auto"/>
              </w:rPr>
            </w:pPr>
          </w:p>
        </w:tc>
      </w:tr>
      <w:tr>
        <w:trPr>
          <w:trHeight w:val="175"/>
        </w:trPr>
        <w:tc>
          <w:tcPr>
            <w:tcW w:w="246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Other comprehensive loss, net of tax</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spacing w:after="0"/>
              <w:rPr>
                <w:sz w:val="15"/>
                <w:szCs w:val="15"/>
                <w:color w:val="auto"/>
              </w:rPr>
            </w:pPr>
          </w:p>
        </w:tc>
        <w:tc>
          <w:tcPr>
            <w:tcW w:w="700" w:type="dxa"/>
            <w:vAlign w:val="bottom"/>
            <w:shd w:val="clear" w:color="auto" w:fill="CCEEFF"/>
          </w:tcPr>
          <w:p>
            <w:pPr>
              <w:ind w:left="400"/>
              <w:spacing w:after="0"/>
              <w:rPr>
                <w:sz w:val="20"/>
                <w:szCs w:val="20"/>
                <w:color w:val="auto"/>
              </w:rPr>
            </w:pPr>
            <w:r>
              <w:rPr>
                <w:rFonts w:ascii="Arial" w:cs="Arial" w:eastAsia="Arial" w:hAnsi="Arial"/>
                <w:sz w:val="12"/>
                <w:szCs w:val="12"/>
                <w:color w:val="auto"/>
                <w:w w:val="99"/>
              </w:rPr>
              <w:t>(192)</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(192)</w:t>
            </w:r>
          </w:p>
        </w:tc>
        <w:tc>
          <w:tcPr>
            <w:tcW w:w="0" w:type="dxa"/>
            <w:vAlign w:val="bottom"/>
          </w:tcPr>
          <w:p>
            <w:pPr>
              <w:spacing w:after="0"/>
              <w:rPr>
                <w:sz w:val="1"/>
                <w:szCs w:val="1"/>
                <w:color w:val="auto"/>
              </w:rPr>
            </w:pPr>
          </w:p>
        </w:tc>
      </w:tr>
      <w:tr>
        <w:trPr>
          <w:trHeight w:val="160"/>
        </w:trPr>
        <w:tc>
          <w:tcPr>
            <w:tcW w:w="2460" w:type="dxa"/>
            <w:vAlign w:val="bottom"/>
            <w:gridSpan w:val="3"/>
          </w:tcPr>
          <w:p>
            <w:pPr>
              <w:ind w:left="20"/>
              <w:spacing w:after="0"/>
              <w:rPr>
                <w:sz w:val="20"/>
                <w:szCs w:val="20"/>
                <w:color w:val="auto"/>
              </w:rPr>
            </w:pPr>
            <w:r>
              <w:rPr>
                <w:rFonts w:ascii="Arial" w:cs="Arial" w:eastAsia="Arial" w:hAnsi="Arial"/>
                <w:sz w:val="12"/>
                <w:szCs w:val="12"/>
                <w:color w:val="auto"/>
              </w:rPr>
              <w:t>Stock repurchase</w:t>
            </w:r>
          </w:p>
        </w:tc>
        <w:tc>
          <w:tcPr>
            <w:tcW w:w="10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20" w:type="dxa"/>
            <w:vAlign w:val="bottom"/>
          </w:tcPr>
          <w:p>
            <w:pPr>
              <w:jc w:val="right"/>
              <w:spacing w:after="0"/>
              <w:rPr>
                <w:sz w:val="20"/>
                <w:szCs w:val="20"/>
                <w:color w:val="auto"/>
              </w:rPr>
            </w:pPr>
            <w:r>
              <w:rPr>
                <w:rFonts w:ascii="Arial" w:cs="Arial" w:eastAsia="Arial" w:hAnsi="Arial"/>
                <w:sz w:val="12"/>
                <w:szCs w:val="12"/>
                <w:color w:val="auto"/>
              </w:rPr>
              <w:t>(1.1)</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(103)</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460" w:type="dxa"/>
            <w:vAlign w:val="bottom"/>
          </w:tcPr>
          <w:p>
            <w:pPr>
              <w:spacing w:after="0"/>
              <w:rPr>
                <w:sz w:val="13"/>
                <w:szCs w:val="13"/>
                <w:color w:val="auto"/>
              </w:rPr>
            </w:pPr>
          </w:p>
        </w:tc>
        <w:tc>
          <w:tcPr>
            <w:tcW w:w="800" w:type="dxa"/>
            <w:vAlign w:val="bottom"/>
            <w:gridSpan w:val="2"/>
          </w:tcPr>
          <w:p>
            <w:pPr>
              <w:ind w:left="5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(103)</w:t>
            </w:r>
          </w:p>
        </w:tc>
        <w:tc>
          <w:tcPr>
            <w:tcW w:w="0" w:type="dxa"/>
            <w:vAlign w:val="bottom"/>
          </w:tcPr>
          <w:p>
            <w:pPr>
              <w:spacing w:after="0"/>
              <w:rPr>
                <w:sz w:val="1"/>
                <w:szCs w:val="1"/>
                <w:color w:val="auto"/>
              </w:rPr>
            </w:pPr>
          </w:p>
        </w:tc>
      </w:tr>
      <w:tr>
        <w:trPr>
          <w:trHeight w:val="168"/>
        </w:trPr>
        <w:tc>
          <w:tcPr>
            <w:tcW w:w="2460" w:type="dxa"/>
            <w:vAlign w:val="bottom"/>
            <w:tcBorders>
              <w:top w:val="single" w:sz="8" w:color="CCEEFF"/>
            </w:tcBorders>
            <w:gridSpan w:val="3"/>
            <w:shd w:val="clear" w:color="auto" w:fill="CCEEFF"/>
          </w:tcPr>
          <w:p>
            <w:pPr>
              <w:ind w:left="20"/>
              <w:spacing w:after="0"/>
              <w:rPr>
                <w:sz w:val="20"/>
                <w:szCs w:val="20"/>
                <w:color w:val="auto"/>
              </w:rPr>
            </w:pPr>
            <w:r>
              <w:rPr>
                <w:rFonts w:ascii="Arial" w:cs="Arial" w:eastAsia="Arial" w:hAnsi="Arial"/>
                <w:sz w:val="12"/>
                <w:szCs w:val="12"/>
                <w:b w:val="1"/>
                <w:bCs w:val="1"/>
                <w:color w:val="auto"/>
              </w:rPr>
              <w:t>Balance, June 30, 2022</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226.9</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2"/>
                <w:szCs w:val="12"/>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2"/>
                <w:szCs w:val="12"/>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7,926</w:t>
            </w:r>
          </w:p>
        </w:tc>
        <w:tc>
          <w:tcPr>
            <w:tcW w:w="120" w:type="dxa"/>
            <w:vAlign w:val="bottom"/>
            <w:tcBorders>
              <w:top w:val="single" w:sz="8" w:color="CCEEFF"/>
            </w:tcBorders>
            <w:shd w:val="clear" w:color="auto" w:fill="CCEEFF"/>
          </w:tcPr>
          <w:p>
            <w:pPr>
              <w:spacing w:after="0"/>
              <w:rPr>
                <w:sz w:val="14"/>
                <w:szCs w:val="14"/>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(45.0)</w:t>
            </w:r>
          </w:p>
        </w:tc>
        <w:tc>
          <w:tcPr>
            <w:tcW w:w="1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(1,696)</w:t>
            </w:r>
          </w:p>
        </w:tc>
        <w:tc>
          <w:tcPr>
            <w:tcW w:w="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4,314</w:t>
            </w:r>
          </w:p>
        </w:tc>
        <w:tc>
          <w:tcPr>
            <w:tcW w:w="100" w:type="dxa"/>
            <w:vAlign w:val="bottom"/>
            <w:tcBorders>
              <w:top w:val="single" w:sz="8" w:color="CCEEFF"/>
            </w:tcBorders>
            <w:shd w:val="clear" w:color="auto" w:fill="CCEEFF"/>
          </w:tcPr>
          <w:p>
            <w:pPr>
              <w:spacing w:after="0"/>
              <w:rPr>
                <w:sz w:val="14"/>
                <w:szCs w:val="14"/>
                <w:color w:val="auto"/>
              </w:rPr>
            </w:pPr>
          </w:p>
        </w:tc>
        <w:tc>
          <w:tcPr>
            <w:tcW w:w="460" w:type="dxa"/>
            <w:vAlign w:val="bottom"/>
            <w:tcBorders>
              <w:top w:val="single" w:sz="8" w:color="auto"/>
              <w:bottom w:val="single" w:sz="8" w:color="auto"/>
            </w:tcBorders>
            <w:shd w:val="clear" w:color="auto" w:fill="CCEEFF"/>
          </w:tcPr>
          <w:p>
            <w:pPr>
              <w:jc w:val="right"/>
              <w:ind w:right="320"/>
              <w:spacing w:after="0"/>
              <w:rPr>
                <w:sz w:val="20"/>
                <w:szCs w:val="20"/>
                <w:color w:val="auto"/>
              </w:rPr>
            </w:pPr>
            <w:r>
              <w:rPr>
                <w:rFonts w:ascii="Arial" w:cs="Arial" w:eastAsia="Arial" w:hAnsi="Arial"/>
                <w:sz w:val="12"/>
                <w:szCs w:val="12"/>
                <w:color w:val="auto"/>
                <w:w w:val="89"/>
              </w:rPr>
              <w:t>$</w:t>
            </w:r>
          </w:p>
        </w:tc>
        <w:tc>
          <w:tcPr>
            <w:tcW w:w="700" w:type="dxa"/>
            <w:vAlign w:val="bottom"/>
            <w:tcBorders>
              <w:top w:val="single" w:sz="8" w:color="auto"/>
              <w:bottom w:val="single" w:sz="8" w:color="auto"/>
            </w:tcBorders>
            <w:shd w:val="clear" w:color="auto" w:fill="CCEEFF"/>
          </w:tcPr>
          <w:p>
            <w:pPr>
              <w:ind w:left="400"/>
              <w:spacing w:after="0"/>
              <w:rPr>
                <w:sz w:val="20"/>
                <w:szCs w:val="20"/>
                <w:color w:val="auto"/>
              </w:rPr>
            </w:pPr>
            <w:r>
              <w:rPr>
                <w:rFonts w:ascii="Arial" w:cs="Arial" w:eastAsia="Arial" w:hAnsi="Arial"/>
                <w:sz w:val="12"/>
                <w:szCs w:val="12"/>
                <w:color w:val="auto"/>
                <w:w w:val="99"/>
              </w:rPr>
              <w:t>(641)</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2"/>
                <w:szCs w:val="12"/>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42</w:t>
            </w:r>
          </w:p>
        </w:tc>
        <w:tc>
          <w:tcPr>
            <w:tcW w:w="1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9,947</w:t>
            </w:r>
          </w:p>
        </w:tc>
        <w:tc>
          <w:tcPr>
            <w:tcW w:w="0" w:type="dxa"/>
            <w:vAlign w:val="bottom"/>
          </w:tcPr>
          <w:p>
            <w:pPr>
              <w:spacing w:after="0"/>
              <w:rPr>
                <w:sz w:val="1"/>
                <w:szCs w:val="1"/>
                <w:color w:val="auto"/>
              </w:rPr>
            </w:pPr>
          </w:p>
        </w:tc>
      </w:tr>
      <w:tr>
        <w:trPr>
          <w:trHeight w:val="153"/>
        </w:trPr>
        <w:tc>
          <w:tcPr>
            <w:tcW w:w="2460" w:type="dxa"/>
            <w:vAlign w:val="bottom"/>
            <w:gridSpan w:val="3"/>
          </w:tcPr>
          <w:p>
            <w:pPr>
              <w:ind w:left="20"/>
              <w:spacing w:after="0"/>
              <w:rPr>
                <w:sz w:val="20"/>
                <w:szCs w:val="20"/>
                <w:color w:val="auto"/>
              </w:rPr>
            </w:pPr>
            <w:r>
              <w:rPr>
                <w:rFonts w:ascii="Arial" w:cs="Arial" w:eastAsia="Arial" w:hAnsi="Arial"/>
                <w:sz w:val="12"/>
                <w:szCs w:val="12"/>
                <w:color w:val="auto"/>
              </w:rPr>
              <w:t>Cash dividends ($0.15 dividend per share)</w:t>
            </w:r>
          </w:p>
        </w:tc>
        <w:tc>
          <w:tcPr>
            <w:tcW w:w="94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(28)</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00" w:type="dxa"/>
            <w:vAlign w:val="bottom"/>
          </w:tcPr>
          <w:p>
            <w:pPr>
              <w:ind w:left="5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(28)</w:t>
            </w:r>
          </w:p>
        </w:tc>
        <w:tc>
          <w:tcPr>
            <w:tcW w:w="0" w:type="dxa"/>
            <w:vAlign w:val="bottom"/>
          </w:tcPr>
          <w:p>
            <w:pPr>
              <w:spacing w:after="0"/>
              <w:rPr>
                <w:sz w:val="1"/>
                <w:szCs w:val="1"/>
                <w:color w:val="auto"/>
              </w:rPr>
            </w:pPr>
          </w:p>
        </w:tc>
      </w:tr>
      <w:tr>
        <w:trPr>
          <w:trHeight w:val="123"/>
        </w:trPr>
        <w:tc>
          <w:tcPr>
            <w:tcW w:w="2460" w:type="dxa"/>
            <w:vAlign w:val="bottom"/>
            <w:gridSpan w:val="3"/>
            <w:shd w:val="clear" w:color="auto" w:fill="CCEEFF"/>
          </w:tcPr>
          <w:p>
            <w:pPr>
              <w:ind w:left="20"/>
              <w:spacing w:after="0" w:line="124" w:lineRule="exact"/>
              <w:rPr>
                <w:sz w:val="20"/>
                <w:szCs w:val="20"/>
                <w:color w:val="auto"/>
              </w:rPr>
            </w:pPr>
            <w:r>
              <w:rPr>
                <w:rFonts w:ascii="Arial" w:cs="Arial" w:eastAsia="Arial" w:hAnsi="Arial"/>
                <w:sz w:val="12"/>
                <w:szCs w:val="12"/>
                <w:color w:val="auto"/>
              </w:rPr>
              <w:t>Proceeds from treasury stock issued from the</w:t>
            </w:r>
          </w:p>
        </w:tc>
        <w:tc>
          <w:tcPr>
            <w:tcW w:w="9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2460" w:type="dxa"/>
            <w:vAlign w:val="bottom"/>
            <w:gridSpan w:val="3"/>
            <w:shd w:val="clear" w:color="auto" w:fill="CCEEFF"/>
          </w:tcPr>
          <w:p>
            <w:pPr>
              <w:ind w:left="20"/>
              <w:spacing w:after="0" w:line="128" w:lineRule="exact"/>
              <w:rPr>
                <w:sz w:val="20"/>
                <w:szCs w:val="20"/>
                <w:color w:val="auto"/>
              </w:rPr>
            </w:pPr>
            <w:r>
              <w:rPr>
                <w:rFonts w:ascii="Arial" w:cs="Arial" w:eastAsia="Arial" w:hAnsi="Arial"/>
                <w:sz w:val="12"/>
                <w:szCs w:val="12"/>
                <w:color w:val="auto"/>
              </w:rPr>
              <w:t>exercise of stock options and other benefit</w:t>
            </w: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46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plans, net of tax</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1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ind w:left="52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160"/>
        </w:trPr>
        <w:tc>
          <w:tcPr>
            <w:tcW w:w="2460" w:type="dxa"/>
            <w:vAlign w:val="bottom"/>
            <w:gridSpan w:val="3"/>
          </w:tcPr>
          <w:p>
            <w:pPr>
              <w:ind w:left="20"/>
              <w:spacing w:after="0"/>
              <w:rPr>
                <w:sz w:val="20"/>
                <w:szCs w:val="20"/>
                <w:color w:val="auto"/>
              </w:rPr>
            </w:pPr>
            <w:r>
              <w:rPr>
                <w:rFonts w:ascii="Arial" w:cs="Arial" w:eastAsia="Arial" w:hAnsi="Arial"/>
                <w:sz w:val="12"/>
                <w:szCs w:val="12"/>
                <w:color w:val="auto"/>
              </w:rPr>
              <w:t>Stock based compensation</w:t>
            </w:r>
          </w:p>
        </w:tc>
        <w:tc>
          <w:tcPr>
            <w:tcW w:w="10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10</w:t>
            </w:r>
          </w:p>
        </w:tc>
        <w:tc>
          <w:tcPr>
            <w:tcW w:w="120" w:type="dxa"/>
            <w:vAlign w:val="bottom"/>
          </w:tcPr>
          <w:p>
            <w:pPr>
              <w:spacing w:after="0"/>
              <w:rPr>
                <w:sz w:val="13"/>
                <w:szCs w:val="13"/>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460" w:type="dxa"/>
            <w:vAlign w:val="bottom"/>
          </w:tcPr>
          <w:p>
            <w:pPr>
              <w:spacing w:after="0"/>
              <w:rPr>
                <w:sz w:val="13"/>
                <w:szCs w:val="13"/>
                <w:color w:val="auto"/>
              </w:rPr>
            </w:pPr>
          </w:p>
        </w:tc>
        <w:tc>
          <w:tcPr>
            <w:tcW w:w="800" w:type="dxa"/>
            <w:vAlign w:val="bottom"/>
            <w:gridSpan w:val="2"/>
          </w:tcPr>
          <w:p>
            <w:pPr>
              <w:ind w:left="5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10</w:t>
            </w:r>
          </w:p>
        </w:tc>
        <w:tc>
          <w:tcPr>
            <w:tcW w:w="0" w:type="dxa"/>
            <w:vAlign w:val="bottom"/>
          </w:tcPr>
          <w:p>
            <w:pPr>
              <w:spacing w:after="0"/>
              <w:rPr>
                <w:sz w:val="1"/>
                <w:szCs w:val="1"/>
                <w:color w:val="auto"/>
              </w:rPr>
            </w:pPr>
          </w:p>
        </w:tc>
      </w:tr>
      <w:tr>
        <w:trPr>
          <w:trHeight w:val="175"/>
        </w:trPr>
        <w:tc>
          <w:tcPr>
            <w:tcW w:w="246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Net income</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160</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52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163</w:t>
            </w:r>
          </w:p>
        </w:tc>
        <w:tc>
          <w:tcPr>
            <w:tcW w:w="0" w:type="dxa"/>
            <w:vAlign w:val="bottom"/>
          </w:tcPr>
          <w:p>
            <w:pPr>
              <w:spacing w:after="0"/>
              <w:rPr>
                <w:sz w:val="1"/>
                <w:szCs w:val="1"/>
                <w:color w:val="auto"/>
              </w:rPr>
            </w:pPr>
          </w:p>
        </w:tc>
      </w:tr>
      <w:tr>
        <w:trPr>
          <w:trHeight w:val="160"/>
        </w:trPr>
        <w:tc>
          <w:tcPr>
            <w:tcW w:w="2460" w:type="dxa"/>
            <w:vAlign w:val="bottom"/>
            <w:gridSpan w:val="3"/>
          </w:tcPr>
          <w:p>
            <w:pPr>
              <w:ind w:left="20"/>
              <w:spacing w:after="0"/>
              <w:rPr>
                <w:sz w:val="20"/>
                <w:szCs w:val="20"/>
                <w:color w:val="auto"/>
              </w:rPr>
            </w:pPr>
            <w:r>
              <w:rPr>
                <w:rFonts w:ascii="Arial" w:cs="Arial" w:eastAsia="Arial" w:hAnsi="Arial"/>
                <w:sz w:val="12"/>
                <w:szCs w:val="12"/>
                <w:color w:val="auto"/>
              </w:rPr>
              <w:t>Other comprehensive loss, net of tax</w:t>
            </w:r>
          </w:p>
        </w:tc>
        <w:tc>
          <w:tcPr>
            <w:tcW w:w="10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460" w:type="dxa"/>
            <w:vAlign w:val="bottom"/>
          </w:tcPr>
          <w:p>
            <w:pPr>
              <w:spacing w:after="0"/>
              <w:rPr>
                <w:sz w:val="13"/>
                <w:szCs w:val="13"/>
                <w:color w:val="auto"/>
              </w:rPr>
            </w:pPr>
          </w:p>
        </w:tc>
        <w:tc>
          <w:tcPr>
            <w:tcW w:w="700" w:type="dxa"/>
            <w:vAlign w:val="bottom"/>
          </w:tcPr>
          <w:p>
            <w:pPr>
              <w:ind w:left="400"/>
              <w:spacing w:after="0"/>
              <w:rPr>
                <w:sz w:val="20"/>
                <w:szCs w:val="20"/>
                <w:color w:val="auto"/>
              </w:rPr>
            </w:pPr>
            <w:r>
              <w:rPr>
                <w:rFonts w:ascii="Arial" w:cs="Arial" w:eastAsia="Arial" w:hAnsi="Arial"/>
                <w:sz w:val="12"/>
                <w:szCs w:val="12"/>
                <w:color w:val="auto"/>
                <w:w w:val="99"/>
              </w:rPr>
              <w:t>(167)</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(167)</w:t>
            </w:r>
          </w:p>
        </w:tc>
        <w:tc>
          <w:tcPr>
            <w:tcW w:w="0" w:type="dxa"/>
            <w:vAlign w:val="bottom"/>
          </w:tcPr>
          <w:p>
            <w:pPr>
              <w:spacing w:after="0"/>
              <w:rPr>
                <w:sz w:val="1"/>
                <w:szCs w:val="1"/>
                <w:color w:val="auto"/>
              </w:rPr>
            </w:pPr>
          </w:p>
        </w:tc>
      </w:tr>
      <w:tr>
        <w:trPr>
          <w:trHeight w:val="175"/>
        </w:trPr>
        <w:tc>
          <w:tcPr>
            <w:tcW w:w="246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Stock repurchase</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52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160"/>
        </w:trPr>
        <w:tc>
          <w:tcPr>
            <w:tcW w:w="2460" w:type="dxa"/>
            <w:vAlign w:val="bottom"/>
            <w:gridSpan w:val="3"/>
          </w:tcPr>
          <w:p>
            <w:pPr>
              <w:ind w:left="20"/>
              <w:spacing w:after="0"/>
              <w:rPr>
                <w:sz w:val="20"/>
                <w:szCs w:val="20"/>
                <w:color w:val="auto"/>
              </w:rPr>
            </w:pPr>
            <w:r>
              <w:rPr>
                <w:rFonts w:ascii="Arial" w:cs="Arial" w:eastAsia="Arial" w:hAnsi="Arial"/>
                <w:sz w:val="12"/>
                <w:szCs w:val="12"/>
                <w:b w:val="1"/>
                <w:bCs w:val="1"/>
                <w:color w:val="auto"/>
              </w:rPr>
              <w:t>Balance, September 30, 2022</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226.9</w:t>
            </w:r>
          </w:p>
        </w:tc>
        <w:tc>
          <w:tcPr>
            <w:tcW w:w="100" w:type="dxa"/>
            <w:vAlign w:val="bottom"/>
          </w:tcPr>
          <w:p>
            <w:pPr>
              <w:spacing w:after="0"/>
              <w:rPr>
                <w:sz w:val="13"/>
                <w:szCs w:val="13"/>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2"/>
                <w:szCs w:val="12"/>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w:t>
            </w:r>
          </w:p>
        </w:tc>
        <w:tc>
          <w:tcPr>
            <w:tcW w:w="100" w:type="dxa"/>
            <w:vAlign w:val="bottom"/>
          </w:tcPr>
          <w:p>
            <w:pPr>
              <w:spacing w:after="0"/>
              <w:rPr>
                <w:sz w:val="13"/>
                <w:szCs w:val="13"/>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2"/>
                <w:szCs w:val="12"/>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7,937</w:t>
            </w:r>
          </w:p>
        </w:tc>
        <w:tc>
          <w:tcPr>
            <w:tcW w:w="120" w:type="dxa"/>
            <w:vAlign w:val="bottom"/>
          </w:tcPr>
          <w:p>
            <w:pPr>
              <w:spacing w:after="0"/>
              <w:rPr>
                <w:sz w:val="13"/>
                <w:szCs w:val="13"/>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(45.0)</w:t>
            </w:r>
          </w:p>
        </w:tc>
        <w:tc>
          <w:tcPr>
            <w:tcW w:w="12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(1,697)</w:t>
            </w:r>
          </w:p>
        </w:tc>
        <w:tc>
          <w:tcPr>
            <w:tcW w:w="12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4,447</w:t>
            </w:r>
          </w:p>
        </w:tc>
        <w:tc>
          <w:tcPr>
            <w:tcW w:w="100" w:type="dxa"/>
            <w:vAlign w:val="bottom"/>
          </w:tcPr>
          <w:p>
            <w:pPr>
              <w:spacing w:after="0"/>
              <w:rPr>
                <w:sz w:val="13"/>
                <w:szCs w:val="13"/>
                <w:color w:val="auto"/>
              </w:rPr>
            </w:pPr>
          </w:p>
        </w:tc>
        <w:tc>
          <w:tcPr>
            <w:tcW w:w="460" w:type="dxa"/>
            <w:vAlign w:val="bottom"/>
            <w:tcBorders>
              <w:top w:val="single" w:sz="8" w:color="auto"/>
              <w:bottom w:val="single" w:sz="8" w:color="auto"/>
            </w:tcBorders>
          </w:tcPr>
          <w:p>
            <w:pPr>
              <w:jc w:val="right"/>
              <w:ind w:right="320"/>
              <w:spacing w:after="0"/>
              <w:rPr>
                <w:sz w:val="20"/>
                <w:szCs w:val="20"/>
                <w:color w:val="auto"/>
              </w:rPr>
            </w:pPr>
            <w:r>
              <w:rPr>
                <w:rFonts w:ascii="Arial" w:cs="Arial" w:eastAsia="Arial" w:hAnsi="Arial"/>
                <w:sz w:val="12"/>
                <w:szCs w:val="12"/>
                <w:color w:val="auto"/>
                <w:w w:val="89"/>
              </w:rPr>
              <w:t>$</w:t>
            </w:r>
          </w:p>
        </w:tc>
        <w:tc>
          <w:tcPr>
            <w:tcW w:w="700" w:type="dxa"/>
            <w:vAlign w:val="bottom"/>
            <w:tcBorders>
              <w:top w:val="single" w:sz="8" w:color="auto"/>
              <w:bottom w:val="single" w:sz="8" w:color="auto"/>
            </w:tcBorders>
          </w:tcPr>
          <w:p>
            <w:pPr>
              <w:ind w:left="400"/>
              <w:spacing w:after="0"/>
              <w:rPr>
                <w:sz w:val="20"/>
                <w:szCs w:val="20"/>
                <w:color w:val="auto"/>
              </w:rPr>
            </w:pPr>
            <w:r>
              <w:rPr>
                <w:rFonts w:ascii="Arial" w:cs="Arial" w:eastAsia="Arial" w:hAnsi="Arial"/>
                <w:sz w:val="12"/>
                <w:szCs w:val="12"/>
                <w:color w:val="auto"/>
                <w:w w:val="99"/>
              </w:rPr>
              <w:t>(808)</w:t>
            </w:r>
          </w:p>
        </w:tc>
        <w:tc>
          <w:tcPr>
            <w:tcW w:w="100" w:type="dxa"/>
            <w:vAlign w:val="bottom"/>
          </w:tcPr>
          <w:p>
            <w:pPr>
              <w:spacing w:after="0"/>
              <w:rPr>
                <w:sz w:val="13"/>
                <w:szCs w:val="13"/>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2"/>
                <w:szCs w:val="12"/>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44</w:t>
            </w:r>
          </w:p>
        </w:tc>
        <w:tc>
          <w:tcPr>
            <w:tcW w:w="12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9,925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statements.</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52" w:right="339" w:bottom="1440" w:gutter="0" w:footer="0" w:header="0"/>
        </w:sectPr>
      </w:pPr>
    </w:p>
    <w:bookmarkStart w:id="8" w:name="page9"/>
    <w:bookmarkEnd w:id="8"/>
    <w:p>
      <w:pPr>
        <w:jc w:val="center"/>
        <w:ind w:left="340" w:right="2520"/>
        <w:spacing w:after="0" w:line="270" w:lineRule="auto"/>
        <w:rPr>
          <w:sz w:val="20"/>
          <w:szCs w:val="20"/>
          <w:color w:val="auto"/>
        </w:rPr>
      </w:pPr>
      <w:r>
        <w:rPr>
          <w:rFonts w:ascii="Arial" w:cs="Arial" w:eastAsia="Arial" w:hAnsi="Arial"/>
          <w:sz w:val="17"/>
          <w:szCs w:val="17"/>
          <w:b w:val="1"/>
          <w:bCs w:val="1"/>
          <w:color w:val="auto"/>
        </w:rPr>
        <w:t>WESTINGHOUSE AIR BRAKE TECHNOLOGIES CORPORATION NOTES TO CONDENSED CONSOLIDATED FINANCIAL STATEMENTS FOR THE QUARTERLY PERIOD ENDED SEPTEMBER 30, 2023 (UNAUDITED)</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BUSINESS</w:t>
      </w:r>
    </w:p>
    <w:p>
      <w:pPr>
        <w:spacing w:after="0" w:line="120" w:lineRule="exact"/>
        <w:rPr>
          <w:sz w:val="20"/>
          <w:szCs w:val="20"/>
          <w:color w:val="auto"/>
        </w:rPr>
      </w:pPr>
    </w:p>
    <w:p>
      <w:pPr>
        <w:ind w:firstLine="464"/>
        <w:spacing w:after="0" w:line="275" w:lineRule="auto"/>
        <w:rPr>
          <w:sz w:val="20"/>
          <w:szCs w:val="20"/>
          <w:color w:val="auto"/>
        </w:rPr>
      </w:pPr>
      <w:r>
        <w:rPr>
          <w:rFonts w:ascii="Arial" w:cs="Arial" w:eastAsia="Arial" w:hAnsi="Arial"/>
          <w:sz w:val="16"/>
          <w:szCs w:val="16"/>
          <w:color w:val="auto"/>
        </w:rPr>
        <w:t>Except as the context otherwise requires, all references to “we”, “our”, “us”, the “Company” and “Wabtec” refer to Westinghouse Air Brake Technologies Corporation and its consolidated subsidiaries. References to the “Parent Company” refer to Westinghouse Air Brake Technologies Corporation alone. Wabtec is one of the world’s largest providers of value-added, technology-based locomotives, equipment, systems, and services for the global freight rail and passenger transit industries, as well as the mining, marine and industrial markets. Our highly engineered products, which are intended to enhance safety, improve productivity and reduce maintenance costs for customers, can be found on most locomotives, freight cars, passenger transit cars, and buses around the world. Our core products and services are essential in the safe and efficient operation of freight rail and passenger transit vehicles. Wabtec is a global company with operations in over 50 countries and our products can be found in more than 100 countries throughout the world. In the first nine months of 2023, approximately 55% of the Company’s Net sales came from customers outside the United States.</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ACCOUNTING POLICIES</w:t>
      </w:r>
    </w:p>
    <w:p>
      <w:pPr>
        <w:spacing w:after="0" w:line="107" w:lineRule="exact"/>
        <w:rPr>
          <w:sz w:val="20"/>
          <w:szCs w:val="20"/>
          <w:color w:val="auto"/>
        </w:rPr>
      </w:pPr>
    </w:p>
    <w:p>
      <w:pPr>
        <w:ind w:right="60" w:firstLine="464"/>
        <w:spacing w:after="0" w:line="242" w:lineRule="auto"/>
        <w:rPr>
          <w:sz w:val="20"/>
          <w:szCs w:val="20"/>
          <w:color w:val="auto"/>
        </w:rPr>
      </w:pPr>
      <w:r>
        <w:rPr>
          <w:rFonts w:ascii="Arial" w:cs="Arial" w:eastAsia="Arial" w:hAnsi="Arial"/>
          <w:sz w:val="17"/>
          <w:szCs w:val="17"/>
          <w:b w:val="1"/>
          <w:bCs w:val="1"/>
          <w:i w:val="1"/>
          <w:iCs w:val="1"/>
          <w:color w:val="auto"/>
        </w:rPr>
        <w:t xml:space="preserve">Basis of Presentation </w:t>
      </w:r>
      <w:r>
        <w:rPr>
          <w:rFonts w:ascii="Arial" w:cs="Arial" w:eastAsia="Arial" w:hAnsi="Arial"/>
          <w:sz w:val="17"/>
          <w:szCs w:val="17"/>
          <w:color w:val="auto"/>
        </w:rPr>
        <w:t>The unaudited condensed consolidated interim financial statements have been prepared in accordance with generally accepted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accounting principles ("GAAP") in the United States of America and the rules and regulations of the Securities and Exchange Commission and include the accounts of Wabtec and its subsidiaries in which Wabtec has a controlling interest. These condensed consolidated interim financial statements do not include all of the information and footnotes required for complete financial statements. In management’s opinion, these financial statements reflect all adjustments of a normal, recurring nature necessary for a fair presentation of the results for the interim periods presented. Certain prior year amounts have been reclassified, where necessary, to conform to the current year presentation.</w:t>
      </w:r>
    </w:p>
    <w:p>
      <w:pPr>
        <w:spacing w:after="0" w:line="81" w:lineRule="exact"/>
        <w:rPr>
          <w:sz w:val="20"/>
          <w:szCs w:val="20"/>
          <w:color w:val="auto"/>
        </w:rPr>
      </w:pPr>
    </w:p>
    <w:p>
      <w:pPr>
        <w:ind w:right="120" w:firstLine="464"/>
        <w:spacing w:after="0" w:line="239" w:lineRule="auto"/>
        <w:rPr>
          <w:sz w:val="20"/>
          <w:szCs w:val="20"/>
          <w:color w:val="auto"/>
        </w:rPr>
      </w:pPr>
      <w:r>
        <w:rPr>
          <w:rFonts w:ascii="Arial" w:cs="Arial" w:eastAsia="Arial" w:hAnsi="Arial"/>
          <w:sz w:val="17"/>
          <w:szCs w:val="17"/>
          <w:color w:val="auto"/>
        </w:rPr>
        <w:t>Results for these interim periods are not necessarily indicative of results to be expected for the full year particularly in light of ongoing volatility in the macroeconomic environment caused by supply chain disruptions, labor availability, broad-based inflation, and the impacts resulting from Russia's invasion of Ukraine. These factors continue to impact our sales channels, supply chain, manufacturing operations, workforce, and other key aspects of our operations. We are unable to reasonably predict the full impact of these factors due to the high degree of uncertainty regarding their duration and severity, their potential impact on global economic activity, and the impact that current and new sanctions may have on our business, global supply chain operations and our customers, suppliers, and end-markets.</w:t>
      </w:r>
    </w:p>
    <w:p>
      <w:pPr>
        <w:spacing w:after="0" w:line="83" w:lineRule="exact"/>
        <w:rPr>
          <w:sz w:val="20"/>
          <w:szCs w:val="20"/>
          <w:color w:val="auto"/>
        </w:rPr>
      </w:pPr>
    </w:p>
    <w:p>
      <w:pPr>
        <w:ind w:right="60" w:firstLine="464"/>
        <w:spacing w:after="0" w:line="264" w:lineRule="auto"/>
        <w:rPr>
          <w:sz w:val="20"/>
          <w:szCs w:val="20"/>
          <w:color w:val="auto"/>
        </w:rPr>
      </w:pPr>
      <w:r>
        <w:rPr>
          <w:rFonts w:ascii="Arial" w:cs="Arial" w:eastAsia="Arial" w:hAnsi="Arial"/>
          <w:sz w:val="17"/>
          <w:szCs w:val="17"/>
          <w:color w:val="auto"/>
        </w:rPr>
        <w:t>As of September 30, 2023, Wabtec had approximately $2 million of cash related to Russian operations which will be utilized to settle remaining obligations in Russia. Assets related to Ukraine and Belarus operations are not significant.</w:t>
      </w:r>
    </w:p>
    <w:p>
      <w:pPr>
        <w:spacing w:after="0" w:line="73"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Company operates on a four-four-five week accounting quarter, and the quarters end on or about March 31, June 30, September 30, and December 31.</w:t>
      </w:r>
    </w:p>
    <w:p>
      <w:pPr>
        <w:spacing w:after="0" w:line="137" w:lineRule="exact"/>
        <w:rPr>
          <w:sz w:val="20"/>
          <w:szCs w:val="20"/>
          <w:color w:val="auto"/>
        </w:rPr>
      </w:pPr>
    </w:p>
    <w:p>
      <w:pPr>
        <w:ind w:firstLine="464"/>
        <w:spacing w:after="0" w:line="266" w:lineRule="auto"/>
        <w:rPr>
          <w:sz w:val="20"/>
          <w:szCs w:val="20"/>
          <w:color w:val="auto"/>
        </w:rPr>
      </w:pPr>
      <w:r>
        <w:rPr>
          <w:rFonts w:ascii="Arial" w:cs="Arial" w:eastAsia="Arial" w:hAnsi="Arial"/>
          <w:sz w:val="17"/>
          <w:szCs w:val="17"/>
          <w:color w:val="auto"/>
        </w:rPr>
        <w:t>The notes included herein should be read in conjunction with the audited consolidated financial statements included in Wabtec’s Annual Report on Form 10-K for the year ended December 31, 2022. The December 31, 2022 information has been derived from the Company’s Annual Report on Form 10-K for the year ended December 31, 2022.</w:t>
      </w:r>
    </w:p>
    <w:p>
      <w:pPr>
        <w:spacing w:after="0" w:line="72" w:lineRule="exact"/>
        <w:rPr>
          <w:sz w:val="20"/>
          <w:szCs w:val="20"/>
          <w:color w:val="auto"/>
        </w:rPr>
      </w:pPr>
    </w:p>
    <w:p>
      <w:pPr>
        <w:ind w:right="140" w:firstLine="464"/>
        <w:spacing w:after="0" w:line="262" w:lineRule="auto"/>
        <w:rPr>
          <w:sz w:val="20"/>
          <w:szCs w:val="20"/>
          <w:color w:val="auto"/>
        </w:rPr>
      </w:pPr>
      <w:r>
        <w:rPr>
          <w:rFonts w:ascii="Arial" w:cs="Arial" w:eastAsia="Arial" w:hAnsi="Arial"/>
          <w:sz w:val="17"/>
          <w:szCs w:val="17"/>
          <w:b w:val="1"/>
          <w:bCs w:val="1"/>
          <w:i w:val="1"/>
          <w:iCs w:val="1"/>
          <w:color w:val="auto"/>
        </w:rPr>
        <w:t xml:space="preserve">Use of Estimates </w:t>
      </w:r>
      <w:r>
        <w:rPr>
          <w:rFonts w:ascii="Arial" w:cs="Arial" w:eastAsia="Arial" w:hAnsi="Arial"/>
          <w:sz w:val="17"/>
          <w:szCs w:val="17"/>
          <w:color w:val="auto"/>
        </w:rPr>
        <w:t>The preparation of financial statements in conformity with GAAP in the United States requires the Company to make estimates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assumptions that affect the reported amounts of assets and liabilities at the date of the financial statements and reported amounts of revenues and expenses during the reporting period. Actual amounts could differ from the estimates. On an ongoing basis, management reviews its estimates based on currently available information. Changes in facts and circumstances may result in revised estimates.</w:t>
      </w:r>
    </w:p>
    <w:p>
      <w:pPr>
        <w:spacing w:after="0" w:line="75" w:lineRule="exact"/>
        <w:rPr>
          <w:sz w:val="20"/>
          <w:szCs w:val="20"/>
          <w:color w:val="auto"/>
        </w:rPr>
      </w:pPr>
    </w:p>
    <w:p>
      <w:pPr>
        <w:ind w:right="140" w:firstLine="464"/>
        <w:spacing w:after="0" w:line="266" w:lineRule="auto"/>
        <w:rPr>
          <w:sz w:val="20"/>
          <w:szCs w:val="20"/>
          <w:color w:val="auto"/>
        </w:rPr>
      </w:pPr>
      <w:r>
        <w:rPr>
          <w:rFonts w:ascii="Arial" w:cs="Arial" w:eastAsia="Arial" w:hAnsi="Arial"/>
          <w:sz w:val="17"/>
          <w:szCs w:val="17"/>
          <w:b w:val="1"/>
          <w:bCs w:val="1"/>
          <w:i w:val="1"/>
          <w:iCs w:val="1"/>
          <w:color w:val="auto"/>
        </w:rPr>
        <w:t xml:space="preserve">Revenue Recognition </w:t>
      </w:r>
      <w:r>
        <w:rPr>
          <w:rFonts w:ascii="Arial" w:cs="Arial" w:eastAsia="Arial" w:hAnsi="Arial"/>
          <w:sz w:val="17"/>
          <w:szCs w:val="17"/>
          <w:color w:val="auto"/>
        </w:rPr>
        <w:t>A majority of the Company’s revenues are derived from performance obligations that are satisfied at a point in time when control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passes to the customer. The remaining revenues are earned over time. Generally, for performance obligations satisfied at a point in time control passes at the time of shipment in accordance with agreed upon delivery terms.</w:t>
      </w:r>
    </w:p>
    <w:p>
      <w:pPr>
        <w:spacing w:after="0" w:line="72" w:lineRule="exact"/>
        <w:rPr>
          <w:sz w:val="20"/>
          <w:szCs w:val="20"/>
          <w:color w:val="auto"/>
        </w:rPr>
      </w:pPr>
    </w:p>
    <w:p>
      <w:pPr>
        <w:ind w:right="40" w:firstLine="464"/>
        <w:spacing w:after="0" w:line="257" w:lineRule="auto"/>
        <w:rPr>
          <w:sz w:val="20"/>
          <w:szCs w:val="20"/>
          <w:color w:val="auto"/>
        </w:rPr>
      </w:pPr>
      <w:r>
        <w:rPr>
          <w:rFonts w:ascii="Arial" w:cs="Arial" w:eastAsia="Arial" w:hAnsi="Arial"/>
          <w:sz w:val="17"/>
          <w:szCs w:val="17"/>
          <w:color w:val="auto"/>
        </w:rPr>
        <w:t>The Company also has long-term customer agreements involving the design and production of highly engineered products that require revenue to be recognized over time because these products have no alternative use without significant economic loss and the agreements contain an enforceable right to payment including a reasonable profit margin from the customer in the event of contract termination. Additionally, the Company has customer agreements involving the creation or enhancement of an asset that the customer controls which also require revenue to be recognized over time. Generally, the Company uses an input method for determining the amount of revenue, cost and gross margin to recognize over time for these customer agreements. The input methods used for these agreements include costs of material and labor, both of which give an accurate representation of the progress made toward complete satisfaction of a particular performance obligation. The Company</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9" w:name="page10"/>
    <w:bookmarkEnd w:id="9"/>
    <w:p>
      <w:pPr>
        <w:ind w:right="440"/>
        <w:spacing w:after="0" w:line="349" w:lineRule="auto"/>
        <w:rPr>
          <w:sz w:val="20"/>
          <w:szCs w:val="20"/>
          <w:color w:val="auto"/>
        </w:rPr>
      </w:pPr>
      <w:r>
        <w:rPr>
          <w:rFonts w:ascii="Arial" w:cs="Arial" w:eastAsia="Arial" w:hAnsi="Arial"/>
          <w:sz w:val="15"/>
          <w:szCs w:val="15"/>
          <w:color w:val="auto"/>
        </w:rPr>
        <w:t>may also use the output method which recognizes revenue based on direct measurements of the value transferred to the customer. Contract revenues and cost estimates are reviewed and revised periodically throughout the year and adjustments are reflected in the accounting period as such amounts are determined.</w:t>
      </w:r>
    </w:p>
    <w:p>
      <w:pPr>
        <w:spacing w:after="0" w:line="14" w:lineRule="exact"/>
        <w:rPr>
          <w:sz w:val="20"/>
          <w:szCs w:val="20"/>
          <w:color w:val="auto"/>
        </w:rPr>
      </w:pPr>
    </w:p>
    <w:p>
      <w:pPr>
        <w:ind w:right="20" w:firstLine="464"/>
        <w:spacing w:after="0" w:line="257" w:lineRule="auto"/>
        <w:rPr>
          <w:sz w:val="20"/>
          <w:szCs w:val="20"/>
          <w:color w:val="auto"/>
        </w:rPr>
      </w:pPr>
      <w:r>
        <w:rPr>
          <w:rFonts w:ascii="Arial" w:cs="Arial" w:eastAsia="Arial" w:hAnsi="Arial"/>
          <w:sz w:val="17"/>
          <w:szCs w:val="17"/>
          <w:color w:val="auto"/>
        </w:rPr>
        <w:t>Due to the nature of work required to be performed on the Company’s long-term projects, the estimation of total revenue and cost at completion is subject to many variables and requires significant judgment. Contract estimates related to long-term projects are based on various assumptions to project the outcome of future events that could span several years. These assumptions include cost of materials; labor availability and productivity; complexity of the work to be performed; and the performance of suppliers, customers and subcontractors that may be associated with the contract. We have a disciplined process where management reviews the progress of long term-projects periodically throughout the year. As part of this process, management reviews information including key contract matters, progress towards completion, identified risks and opportunities and any other information that could impact the Company’s estimates of revenue and costs. After completing this analysis, any adjustments to net sales, cost of goods sold, and the related impact to operating income are recognized as necessary in the period they become known.</w:t>
      </w:r>
    </w:p>
    <w:p>
      <w:pPr>
        <w:spacing w:after="0" w:line="79" w:lineRule="exact"/>
        <w:rPr>
          <w:sz w:val="20"/>
          <w:szCs w:val="20"/>
          <w:color w:val="auto"/>
        </w:rPr>
      </w:pPr>
    </w:p>
    <w:p>
      <w:pPr>
        <w:ind w:right="20" w:firstLine="464"/>
        <w:spacing w:after="0" w:line="277" w:lineRule="auto"/>
        <w:rPr>
          <w:sz w:val="20"/>
          <w:szCs w:val="20"/>
          <w:color w:val="auto"/>
        </w:rPr>
      </w:pPr>
      <w:r>
        <w:rPr>
          <w:rFonts w:ascii="Arial" w:cs="Arial" w:eastAsia="Arial" w:hAnsi="Arial"/>
          <w:sz w:val="16"/>
          <w:szCs w:val="16"/>
          <w:color w:val="auto"/>
        </w:rPr>
        <w:t>Generally, the Company’s revenue contains a single performance obligation for each distinct good or service; however, a single contract may have multiple performance obligations comprising multiple promises to customers. When there are multiple performance obligations, revenue is allocated based on the relative stand-alone selling price. Pricing is defined in our contracts on a line item basis and includes an estimate of variable consideration when required by the terms of the individual customer contract. Types of variable consideration the Company typically has include volume discounts, prompt payment discounts, price escalation clauses, liquidating damages, and performance bonuses. Sales returns and allowances are also estimated and recognized in the same period the related revenue is recognized, based upon the Company’s experience and future expectations.</w:t>
      </w:r>
    </w:p>
    <w:p>
      <w:pPr>
        <w:spacing w:after="0" w:line="67" w:lineRule="exact"/>
        <w:rPr>
          <w:sz w:val="20"/>
          <w:szCs w:val="20"/>
          <w:color w:val="auto"/>
        </w:rPr>
      </w:pPr>
    </w:p>
    <w:p>
      <w:pPr>
        <w:ind w:right="680" w:firstLine="464"/>
        <w:spacing w:after="0" w:line="290" w:lineRule="auto"/>
        <w:rPr>
          <w:sz w:val="20"/>
          <w:szCs w:val="20"/>
          <w:color w:val="auto"/>
        </w:rPr>
      </w:pPr>
      <w:r>
        <w:rPr>
          <w:rFonts w:ascii="Arial" w:cs="Arial" w:eastAsia="Arial" w:hAnsi="Arial"/>
          <w:sz w:val="16"/>
          <w:szCs w:val="16"/>
          <w:color w:val="auto"/>
        </w:rPr>
        <w:t>Remaining performance obligations represent the allocated transaction price of unsatisfied or partially unsatisfied performance obligations. As of September 30, 2023, the Company's remaining performance obligations were approximately $21.4 billion. The Company expects to recognize revenue of approximately 30% of the remaining performance obligations over the next 12 months, with the remainder recognized thereafter.</w:t>
      </w:r>
    </w:p>
    <w:p>
      <w:pPr>
        <w:spacing w:after="0" w:line="55" w:lineRule="exact"/>
        <w:rPr>
          <w:sz w:val="20"/>
          <w:szCs w:val="20"/>
          <w:color w:val="auto"/>
        </w:rPr>
      </w:pPr>
    </w:p>
    <w:p>
      <w:pPr>
        <w:ind w:right="20" w:firstLine="464"/>
        <w:spacing w:after="0" w:line="295" w:lineRule="auto"/>
        <w:rPr>
          <w:sz w:val="20"/>
          <w:szCs w:val="20"/>
          <w:color w:val="auto"/>
        </w:rPr>
      </w:pPr>
      <w:r>
        <w:rPr>
          <w:rFonts w:ascii="Arial" w:cs="Arial" w:eastAsia="Arial" w:hAnsi="Arial"/>
          <w:sz w:val="15"/>
          <w:szCs w:val="15"/>
          <w:b w:val="1"/>
          <w:bCs w:val="1"/>
          <w:i w:val="1"/>
          <w:iCs w:val="1"/>
          <w:color w:val="auto"/>
        </w:rPr>
        <w:t xml:space="preserve">Revolving Receivables Program </w:t>
      </w:r>
      <w:r>
        <w:rPr>
          <w:rFonts w:ascii="Arial" w:cs="Arial" w:eastAsia="Arial" w:hAnsi="Arial"/>
          <w:sz w:val="15"/>
          <w:szCs w:val="15"/>
          <w:color w:val="auto"/>
        </w:rPr>
        <w:t>The Company utilizes a revolving facility to sell up to $350 million of certain receivables of the Company and certain of</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its subsidiaries (the "Originators"). The Originators contribute receivables to our bankruptcy-remote subsidiary, which sells the receivables to a financial institution on a recurring basis in exchange for cash equal to the gross receivables sold. The bankruptcy remote subsidiary is a separate legal entity with its own creditors, and its assets are not available to pay creditors of the Company or any other affiliates of the Company. As customers pay their balances, we transfer additional receivables into the program, which could result in our gross receivables sold being higher or lower than collections reinvested for any applicable period. The sold receivables are fully guaranteed by our bankruptcy-remote subsidiary, which holds additional receivables that are pledged as collateral under this facility. The Company has agreed to guarantee the performance of the Originators respective obligations under the revolving agreement. Neither the Company (except for the bankruptcy-remote consolidated subsidiary referenced above) nor the Originators guarantees the collectability of the receivables under the revolving agreements.</w:t>
      </w:r>
    </w:p>
    <w:p>
      <w:pPr>
        <w:spacing w:after="0" w:line="57" w:lineRule="exact"/>
        <w:rPr>
          <w:sz w:val="20"/>
          <w:szCs w:val="20"/>
          <w:color w:val="auto"/>
        </w:rPr>
      </w:pPr>
    </w:p>
    <w:p>
      <w:pPr>
        <w:ind w:right="20" w:firstLine="464"/>
        <w:spacing w:after="0" w:line="304" w:lineRule="auto"/>
        <w:rPr>
          <w:sz w:val="20"/>
          <w:szCs w:val="20"/>
          <w:color w:val="auto"/>
        </w:rPr>
      </w:pPr>
      <w:r>
        <w:rPr>
          <w:rFonts w:ascii="Arial" w:cs="Arial" w:eastAsia="Arial" w:hAnsi="Arial"/>
          <w:sz w:val="15"/>
          <w:szCs w:val="15"/>
          <w:color w:val="auto"/>
        </w:rPr>
        <w:t>At September 30, 2023 and December 31, 2022, the bankruptcy-remote subsidiary held receivables of $745 million and $458 million, respectively, which are included in the Company's Condensed Consolidated Balance Sheets. The receivables held by the bankruptcy-remote subsidiary collateralize the outstanding receivables sold, which were $235 million and $80 million at September 30, 2023 and December 31, 2022, respectively. The transfers are recorded at the fair value</w:t>
      </w:r>
    </w:p>
    <w:p>
      <w:pPr>
        <w:spacing w:after="0" w:line="2" w:lineRule="exact"/>
        <w:rPr>
          <w:sz w:val="20"/>
          <w:szCs w:val="20"/>
          <w:color w:val="auto"/>
        </w:rPr>
      </w:pPr>
    </w:p>
    <w:p>
      <w:pPr>
        <w:ind w:right="140"/>
        <w:spacing w:after="0" w:line="266" w:lineRule="auto"/>
        <w:rPr>
          <w:sz w:val="20"/>
          <w:szCs w:val="20"/>
          <w:color w:val="auto"/>
        </w:rPr>
      </w:pPr>
      <w:r>
        <w:rPr>
          <w:rFonts w:ascii="Arial" w:cs="Arial" w:eastAsia="Arial" w:hAnsi="Arial"/>
          <w:sz w:val="17"/>
          <w:szCs w:val="17"/>
          <w:color w:val="auto"/>
        </w:rPr>
        <w:t>of the proceeds received and obligations assumed less derecognized receivables. No obligation was recorded at September 30, 2023 or December 31, 2022 as the estimated expected credit losses on receivables sold is insignificant. Our maximum exposure to losses related to these receivables transferred is limited to the amount outstanding.</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sets forth a summary of receivables sold:</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gridSpan w:val="3"/>
            <w:vMerge w:val="restart"/>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140" w:type="dxa"/>
            <w:vAlign w:val="bottom"/>
          </w:tcPr>
          <w:p>
            <w:pPr>
              <w:spacing w:after="0"/>
              <w:rPr>
                <w:sz w:val="14"/>
                <w:szCs w:val="14"/>
                <w:color w:val="auto"/>
              </w:rPr>
            </w:pPr>
          </w:p>
        </w:tc>
        <w:tc>
          <w:tcPr>
            <w:tcW w:w="1460" w:type="dxa"/>
            <w:vAlign w:val="bottom"/>
            <w:gridSpan w:val="2"/>
          </w:tcPr>
          <w:p>
            <w:pPr>
              <w:ind w:left="20"/>
              <w:spacing w:after="0"/>
              <w:rPr>
                <w:sz w:val="20"/>
                <w:szCs w:val="20"/>
                <w:color w:val="auto"/>
              </w:rPr>
            </w:pPr>
            <w:r>
              <w:rPr>
                <w:rFonts w:ascii="Arial" w:cs="Arial" w:eastAsia="Arial" w:hAnsi="Arial"/>
                <w:sz w:val="14"/>
                <w:szCs w:val="14"/>
                <w:b w:val="1"/>
                <w:bCs w:val="1"/>
                <w:color w:val="auto"/>
              </w:rPr>
              <w:t>Nine Months Ended</w:t>
            </w:r>
          </w:p>
        </w:tc>
        <w:tc>
          <w:tcPr>
            <w:tcW w:w="140" w:type="dxa"/>
            <w:vAlign w:val="bottom"/>
          </w:tcPr>
          <w:p>
            <w:pPr>
              <w:spacing w:after="0"/>
              <w:rPr>
                <w:sz w:val="14"/>
                <w:szCs w:val="14"/>
                <w:color w:val="auto"/>
              </w:rPr>
            </w:pPr>
          </w:p>
        </w:tc>
        <w:tc>
          <w:tcPr>
            <w:tcW w:w="1380" w:type="dxa"/>
            <w:vAlign w:val="bottom"/>
          </w:tcPr>
          <w:p>
            <w:pPr>
              <w:jc w:val="right"/>
              <w:ind w:right="82"/>
              <w:spacing w:after="0"/>
              <w:rPr>
                <w:sz w:val="20"/>
                <w:szCs w:val="20"/>
                <w:color w:val="auto"/>
              </w:rPr>
            </w:pPr>
            <w:r>
              <w:rPr>
                <w:rFonts w:ascii="Arial" w:cs="Arial" w:eastAsia="Arial" w:hAnsi="Arial"/>
                <w:sz w:val="14"/>
                <w:szCs w:val="14"/>
                <w:b w:val="1"/>
                <w:bCs w:val="1"/>
                <w:color w:val="auto"/>
                <w:w w:val="91"/>
              </w:rPr>
              <w:t>Nine Months Ended</w:t>
            </w:r>
          </w:p>
        </w:tc>
        <w:tc>
          <w:tcPr>
            <w:tcW w:w="0" w:type="dxa"/>
            <w:vAlign w:val="bottom"/>
          </w:tcPr>
          <w:p>
            <w:pPr>
              <w:spacing w:after="0"/>
              <w:rPr>
                <w:sz w:val="1"/>
                <w:szCs w:val="1"/>
                <w:color w:val="auto"/>
              </w:rPr>
            </w:pPr>
          </w:p>
        </w:tc>
      </w:tr>
      <w:tr>
        <w:trPr>
          <w:trHeight w:val="138"/>
        </w:trPr>
        <w:tc>
          <w:tcPr>
            <w:tcW w:w="812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gridSpan w:val="2"/>
          </w:tcPr>
          <w:p>
            <w:pPr>
              <w:ind w:left="40"/>
              <w:spacing w:after="0" w:line="119" w:lineRule="exact"/>
              <w:rPr>
                <w:sz w:val="20"/>
                <w:szCs w:val="20"/>
                <w:color w:val="auto"/>
              </w:rPr>
            </w:pPr>
            <w:r>
              <w:rPr>
                <w:rFonts w:ascii="Arial" w:cs="Arial" w:eastAsia="Arial" w:hAnsi="Arial"/>
                <w:sz w:val="13"/>
                <w:szCs w:val="13"/>
                <w:b w:val="1"/>
                <w:bCs w:val="1"/>
                <w:color w:val="auto"/>
              </w:rPr>
              <w:t>September 30, 2023</w:t>
            </w:r>
          </w:p>
        </w:tc>
        <w:tc>
          <w:tcPr>
            <w:tcW w:w="140" w:type="dxa"/>
            <w:vAlign w:val="bottom"/>
          </w:tcPr>
          <w:p>
            <w:pPr>
              <w:spacing w:after="0"/>
              <w:rPr>
                <w:sz w:val="12"/>
                <w:szCs w:val="12"/>
                <w:color w:val="auto"/>
              </w:rPr>
            </w:pPr>
          </w:p>
        </w:tc>
        <w:tc>
          <w:tcPr>
            <w:tcW w:w="1380" w:type="dxa"/>
            <w:vAlign w:val="bottom"/>
          </w:tcPr>
          <w:p>
            <w:pPr>
              <w:jc w:val="right"/>
              <w:ind w:right="102"/>
              <w:spacing w:after="0" w:line="119" w:lineRule="exact"/>
              <w:rPr>
                <w:sz w:val="20"/>
                <w:szCs w:val="20"/>
                <w:color w:val="auto"/>
              </w:rPr>
            </w:pPr>
            <w:r>
              <w:rPr>
                <w:rFonts w:ascii="Arial" w:cs="Arial" w:eastAsia="Arial" w:hAnsi="Arial"/>
                <w:sz w:val="13"/>
                <w:szCs w:val="13"/>
                <w:b w:val="1"/>
                <w:bCs w:val="1"/>
                <w:color w:val="auto"/>
                <w:w w:val="97"/>
              </w:rPr>
              <w:t>September 30, 2022</w:t>
            </w:r>
          </w:p>
        </w:tc>
        <w:tc>
          <w:tcPr>
            <w:tcW w:w="0" w:type="dxa"/>
            <w:vAlign w:val="bottom"/>
          </w:tcPr>
          <w:p>
            <w:pPr>
              <w:spacing w:after="0"/>
              <w:rPr>
                <w:sz w:val="1"/>
                <w:szCs w:val="1"/>
                <w:color w:val="auto"/>
              </w:rPr>
            </w:pPr>
          </w:p>
        </w:tc>
      </w:tr>
      <w:tr>
        <w:trPr>
          <w:trHeight w:val="32"/>
        </w:trPr>
        <w:tc>
          <w:tcPr>
            <w:tcW w:w="20" w:type="dxa"/>
            <w:vAlign w:val="bottom"/>
            <w:tcBorders>
              <w:bottom w:val="single" w:sz="8" w:color="CCEEFF"/>
            </w:tcBorders>
          </w:tcPr>
          <w:p>
            <w:pPr>
              <w:spacing w:after="0"/>
              <w:rPr>
                <w:sz w:val="2"/>
                <w:szCs w:val="2"/>
                <w:color w:val="auto"/>
              </w:rPr>
            </w:pPr>
          </w:p>
        </w:tc>
        <w:tc>
          <w:tcPr>
            <w:tcW w:w="620" w:type="dxa"/>
            <w:vAlign w:val="bottom"/>
            <w:tcBorders>
              <w:top w:val="single" w:sz="8" w:color="auto"/>
              <w:bottom w:val="single" w:sz="8" w:color="CCEEFF"/>
            </w:tcBorders>
          </w:tcPr>
          <w:p>
            <w:pPr>
              <w:spacing w:after="0"/>
              <w:rPr>
                <w:sz w:val="2"/>
                <w:szCs w:val="2"/>
                <w:color w:val="auto"/>
              </w:rPr>
            </w:pPr>
          </w:p>
        </w:tc>
        <w:tc>
          <w:tcPr>
            <w:tcW w:w="74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812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Gross receivables sold/cash proceeds received</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shd w:val="clear" w:color="auto" w:fill="CCEEFF"/>
          </w:tcPr>
          <w:p>
            <w:pPr>
              <w:jc w:val="right"/>
              <w:ind w:right="2"/>
              <w:spacing w:after="0"/>
              <w:rPr>
                <w:sz w:val="20"/>
                <w:szCs w:val="20"/>
                <w:color w:val="auto"/>
              </w:rPr>
            </w:pPr>
            <w:r>
              <w:rPr>
                <w:rFonts w:ascii="Arial" w:cs="Arial" w:eastAsia="Arial" w:hAnsi="Arial"/>
                <w:sz w:val="17"/>
                <w:szCs w:val="17"/>
                <w:color w:val="auto"/>
              </w:rPr>
              <w:t>2,030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1,281</w:t>
            </w:r>
          </w:p>
        </w:tc>
        <w:tc>
          <w:tcPr>
            <w:tcW w:w="0" w:type="dxa"/>
            <w:vAlign w:val="bottom"/>
          </w:tcPr>
          <w:p>
            <w:pPr>
              <w:spacing w:after="0"/>
              <w:rPr>
                <w:sz w:val="1"/>
                <w:szCs w:val="1"/>
                <w:color w:val="auto"/>
              </w:rPr>
            </w:pPr>
          </w:p>
        </w:tc>
      </w:tr>
      <w:tr>
        <w:trPr>
          <w:trHeight w:val="218"/>
        </w:trPr>
        <w:tc>
          <w:tcPr>
            <w:tcW w:w="8120" w:type="dxa"/>
            <w:vAlign w:val="bottom"/>
            <w:tcBorders>
              <w:bottom w:val="single" w:sz="8" w:color="CCEEFF"/>
            </w:tcBorders>
            <w:gridSpan w:val="3"/>
          </w:tcPr>
          <w:p>
            <w:pPr>
              <w:ind w:left="20"/>
              <w:spacing w:after="0"/>
              <w:rPr>
                <w:sz w:val="20"/>
                <w:szCs w:val="20"/>
                <w:color w:val="auto"/>
              </w:rPr>
            </w:pPr>
            <w:r>
              <w:rPr>
                <w:rFonts w:ascii="Arial" w:cs="Arial" w:eastAsia="Arial" w:hAnsi="Arial"/>
                <w:sz w:val="17"/>
                <w:szCs w:val="17"/>
                <w:color w:val="auto"/>
              </w:rPr>
              <w:t>Collections reinvested under revolving receivables agreement</w:t>
            </w:r>
          </w:p>
        </w:tc>
        <w:tc>
          <w:tcPr>
            <w:tcW w:w="1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(1,875)</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(1,076)</w:t>
            </w:r>
          </w:p>
        </w:tc>
        <w:tc>
          <w:tcPr>
            <w:tcW w:w="0" w:type="dxa"/>
            <w:vAlign w:val="bottom"/>
          </w:tcPr>
          <w:p>
            <w:pPr>
              <w:spacing w:after="0"/>
              <w:rPr>
                <w:sz w:val="1"/>
                <w:szCs w:val="1"/>
                <w:color w:val="auto"/>
              </w:rPr>
            </w:pPr>
          </w:p>
        </w:tc>
      </w:tr>
      <w:tr>
        <w:trPr>
          <w:trHeight w:val="238"/>
        </w:trPr>
        <w:tc>
          <w:tcPr>
            <w:tcW w:w="81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7"/>
                <w:szCs w:val="17"/>
                <w:color w:val="auto"/>
              </w:rPr>
              <w:t>Net cash proceeds received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7"/>
                <w:szCs w:val="17"/>
                <w:color w:val="auto"/>
              </w:rPr>
              <w:t>155</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74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ind w:right="40" w:firstLine="464"/>
        <w:spacing w:after="0" w:line="279" w:lineRule="auto"/>
        <w:rPr>
          <w:sz w:val="20"/>
          <w:szCs w:val="20"/>
          <w:color w:val="auto"/>
        </w:rPr>
      </w:pPr>
      <w:r>
        <w:rPr>
          <w:rFonts w:ascii="Arial" w:cs="Arial" w:eastAsia="Arial" w:hAnsi="Arial"/>
          <w:sz w:val="17"/>
          <w:szCs w:val="17"/>
          <w:b w:val="1"/>
          <w:bCs w:val="1"/>
          <w:i w:val="1"/>
          <w:iCs w:val="1"/>
          <w:color w:val="auto"/>
        </w:rPr>
        <w:t xml:space="preserve">Restricted Cash </w:t>
      </w:r>
      <w:r>
        <w:rPr>
          <w:rFonts w:ascii="Arial" w:cs="Arial" w:eastAsia="Arial" w:hAnsi="Arial"/>
          <w:sz w:val="17"/>
          <w:szCs w:val="17"/>
          <w:color w:val="auto"/>
        </w:rPr>
        <w:t>At September 30, 2023 and December 31, 2022, the Company classified cash of $7 million as restricted for cash held in escrow related to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2022 acquisition.</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04" w:right="339" w:bottom="1440" w:gutter="0" w:footer="0" w:header="0"/>
        </w:sectPr>
      </w:pPr>
    </w:p>
    <w:bookmarkStart w:id="10" w:name="page11"/>
    <w:bookmarkEnd w:id="10"/>
    <w:p>
      <w:pPr>
        <w:ind w:right="240" w:firstLine="464"/>
        <w:spacing w:after="0" w:line="262" w:lineRule="auto"/>
        <w:rPr>
          <w:sz w:val="20"/>
          <w:szCs w:val="20"/>
          <w:color w:val="auto"/>
        </w:rPr>
      </w:pPr>
      <w:r>
        <w:rPr>
          <w:rFonts w:ascii="Arial" w:cs="Arial" w:eastAsia="Arial" w:hAnsi="Arial"/>
          <w:sz w:val="17"/>
          <w:szCs w:val="17"/>
          <w:b w:val="1"/>
          <w:bCs w:val="1"/>
          <w:i w:val="1"/>
          <w:iCs w:val="1"/>
          <w:color w:val="auto"/>
        </w:rPr>
        <w:t xml:space="preserve">Depreciation Expense </w:t>
      </w:r>
      <w:r>
        <w:rPr>
          <w:rFonts w:ascii="Arial" w:cs="Arial" w:eastAsia="Arial" w:hAnsi="Arial"/>
          <w:sz w:val="17"/>
          <w:szCs w:val="17"/>
          <w:color w:val="auto"/>
        </w:rPr>
        <w:t>Depreciation of property, plant and equipment related to the manufacturing of products or services provided is included in Cost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goods or Cost of services. Depreciation of other property, plant and equipment that is not attributable to the manufacturing of products or services provided is included in Selling, general and administrative expenses or Engineering expenses to the extent the property, plant, and equipment is used for research and development purposes.</w:t>
      </w:r>
    </w:p>
    <w:p>
      <w:pPr>
        <w:spacing w:after="0" w:line="75" w:lineRule="exact"/>
        <w:rPr>
          <w:sz w:val="20"/>
          <w:szCs w:val="20"/>
          <w:color w:val="auto"/>
        </w:rPr>
      </w:pPr>
    </w:p>
    <w:p>
      <w:pPr>
        <w:ind w:right="140" w:firstLine="464"/>
        <w:spacing w:after="0" w:line="277" w:lineRule="auto"/>
        <w:rPr>
          <w:sz w:val="20"/>
          <w:szCs w:val="20"/>
          <w:color w:val="auto"/>
        </w:rPr>
      </w:pPr>
      <w:r>
        <w:rPr>
          <w:rFonts w:ascii="Arial" w:cs="Arial" w:eastAsia="Arial" w:hAnsi="Arial"/>
          <w:sz w:val="16"/>
          <w:szCs w:val="16"/>
          <w:b w:val="1"/>
          <w:bCs w:val="1"/>
          <w:i w:val="1"/>
          <w:iCs w:val="1"/>
          <w:color w:val="auto"/>
        </w:rPr>
        <w:t xml:space="preserve">Goodwill and Intangible Assets </w:t>
      </w:r>
      <w:r>
        <w:rPr>
          <w:rFonts w:ascii="Arial" w:cs="Arial" w:eastAsia="Arial" w:hAnsi="Arial"/>
          <w:sz w:val="16"/>
          <w:szCs w:val="16"/>
          <w:color w:val="auto"/>
        </w:rPr>
        <w:t>Goodwill and other intangible assets with indefinite lives are not amortized. Other intangibles (with definite lives) are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amortized on a straight-line basis over their estimated economic lives. Amortizable intangible assets are reviewed for impairment when indicators of impairment are present. The Company tests goodwill and indefinite-lived intangible assets for impairment at the reporting unit level and at least annually. The Company performs its annual impairment test during the fourth quarter after the annual forecasting process is completed, and also tests for impairment whenever events or changes in circumstances indicate that the carrying value may not be recoverable. Periodically, management of the Company assesses whether or not an indicator of impairment is present that would necessitate an impairment analysis to be performed.</w:t>
      </w:r>
    </w:p>
    <w:p>
      <w:pPr>
        <w:spacing w:after="0" w:line="67" w:lineRule="exact"/>
        <w:rPr>
          <w:sz w:val="20"/>
          <w:szCs w:val="20"/>
          <w:color w:val="auto"/>
        </w:rPr>
      </w:pPr>
    </w:p>
    <w:p>
      <w:pPr>
        <w:ind w:right="40" w:firstLine="464"/>
        <w:spacing w:after="0" w:line="276" w:lineRule="auto"/>
        <w:rPr>
          <w:sz w:val="20"/>
          <w:szCs w:val="20"/>
          <w:color w:val="auto"/>
        </w:rPr>
      </w:pPr>
      <w:r>
        <w:rPr>
          <w:rFonts w:ascii="Arial" w:cs="Arial" w:eastAsia="Arial" w:hAnsi="Arial"/>
          <w:sz w:val="16"/>
          <w:szCs w:val="16"/>
          <w:b w:val="1"/>
          <w:bCs w:val="1"/>
          <w:i w:val="1"/>
          <w:iCs w:val="1"/>
          <w:color w:val="auto"/>
        </w:rPr>
        <w:t xml:space="preserve">Accounting Standards Recently Adopted </w:t>
      </w:r>
      <w:r>
        <w:rPr>
          <w:rFonts w:ascii="Arial" w:cs="Arial" w:eastAsia="Arial" w:hAnsi="Arial"/>
          <w:sz w:val="16"/>
          <w:szCs w:val="16"/>
          <w:color w:val="auto"/>
        </w:rPr>
        <w:t>In September 2022, the Financial Accounting Standards Board ("FASB") issued Accounting Standards Update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("ASU") 2022-04, </w:t>
      </w:r>
      <w:r>
        <w:rPr>
          <w:rFonts w:ascii="Arial" w:cs="Arial" w:eastAsia="Arial" w:hAnsi="Arial"/>
          <w:sz w:val="16"/>
          <w:szCs w:val="16"/>
          <w:i w:val="1"/>
          <w:iCs w:val="1"/>
          <w:color w:val="auto"/>
        </w:rPr>
        <w:t>Liabilities - Supplier Finance Programs (Subtopic 405-50): Disclosure of Supplier Finance Obligations.</w:t>
      </w:r>
      <w:r>
        <w:rPr>
          <w:rFonts w:ascii="Arial" w:cs="Arial" w:eastAsia="Arial" w:hAnsi="Arial"/>
          <w:sz w:val="16"/>
          <w:szCs w:val="16"/>
          <w:color w:val="auto"/>
        </w:rPr>
        <w:t xml:space="preserve"> The amendments in this update outline specific quantitative and qualitative disclosure requirements for entities that use supplier finance programs in connection with the purchase of goods or services. The amendments in this update do not affect the recognition, measurement, or financial statement presentation of obligations covered by supplier finance programs. The amendments in this update were effective for Wabtec's reporting periods beginning January 1, 2023, except for the amendments on roll forward information which will be effective for reporting periods beginning January 1, 2024. The amendments will require increased interim and annual disclosures be provided on current and comparable reporting periods presented in annual and interim company filings.</w:t>
      </w:r>
    </w:p>
    <w:p>
      <w:pPr>
        <w:spacing w:after="0" w:line="66" w:lineRule="exact"/>
        <w:rPr>
          <w:sz w:val="20"/>
          <w:szCs w:val="20"/>
          <w:color w:val="auto"/>
        </w:rPr>
      </w:pPr>
    </w:p>
    <w:p>
      <w:pPr>
        <w:ind w:firstLine="464"/>
        <w:spacing w:after="0" w:line="275" w:lineRule="auto"/>
        <w:rPr>
          <w:sz w:val="20"/>
          <w:szCs w:val="20"/>
          <w:color w:val="auto"/>
        </w:rPr>
      </w:pPr>
      <w:r>
        <w:rPr>
          <w:rFonts w:ascii="Arial" w:cs="Arial" w:eastAsia="Arial" w:hAnsi="Arial"/>
          <w:sz w:val="16"/>
          <w:szCs w:val="16"/>
          <w:color w:val="auto"/>
        </w:rPr>
        <w:t>The Company has entered into supply chain financing arrangements with third-party financial institutions to provide our vendors with enhanced payment options while providing the Company with added working capital flexibility. The Company does not provide any guarantees under these arrangements, does not have an economic interest in our supplier's voluntary participation, does not receive an economic benefit from the financial institutions, and no assets are pledged under the arrangements. The arrangements do not change the payable terms negotiated by the Company and our vendors, which range between net 45 and net 180 days, and does not result in a change in the classification of amounts due as Accounts payable in the Condensed Consolidated Balance Sheets. Suppliers utilized the program to accelerate receipt of payment from these financial institutions for $317 million and $296 million of the Company's outstanding Accounts payable as of September 30, 2023 and December 31, 2022, respectively. The supplier invoices included under the program require payment in full to the financial institutions consistent with the Company’s normal terms and conditions as agreed upon with the vendor.</w:t>
      </w:r>
    </w:p>
    <w:p>
      <w:pPr>
        <w:spacing w:after="0" w:line="67" w:lineRule="exact"/>
        <w:rPr>
          <w:sz w:val="20"/>
          <w:szCs w:val="20"/>
          <w:color w:val="auto"/>
        </w:rPr>
      </w:pPr>
    </w:p>
    <w:p>
      <w:pPr>
        <w:ind w:right="40" w:firstLine="464"/>
        <w:spacing w:after="0" w:line="279" w:lineRule="auto"/>
        <w:rPr>
          <w:sz w:val="20"/>
          <w:szCs w:val="20"/>
          <w:color w:val="auto"/>
        </w:rPr>
      </w:pPr>
      <w:r>
        <w:rPr>
          <w:rFonts w:ascii="Arial" w:cs="Arial" w:eastAsia="Arial" w:hAnsi="Arial"/>
          <w:sz w:val="17"/>
          <w:szCs w:val="17"/>
          <w:b w:val="1"/>
          <w:bCs w:val="1"/>
          <w:i w:val="1"/>
          <w:iCs w:val="1"/>
          <w:color w:val="auto"/>
        </w:rPr>
        <w:t xml:space="preserve">Accumulated Other Comprehensive Loss </w:t>
      </w:r>
      <w:r>
        <w:rPr>
          <w:rFonts w:ascii="Arial" w:cs="Arial" w:eastAsia="Arial" w:hAnsi="Arial"/>
          <w:sz w:val="17"/>
          <w:szCs w:val="17"/>
          <w:color w:val="auto"/>
        </w:rPr>
        <w:t>Comprehensive income (loss) comprises both Net income and Other comprehensive (loss) income resulting from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change in equity from transactions and other events and circumstances from non-owner sources.</w:t>
      </w:r>
    </w:p>
    <w:p>
      <w:pPr>
        <w:spacing w:after="0" w:line="61" w:lineRule="exact"/>
        <w:rPr>
          <w:sz w:val="20"/>
          <w:szCs w:val="20"/>
          <w:color w:val="auto"/>
        </w:rPr>
      </w:pPr>
    </w:p>
    <w:p>
      <w:pPr>
        <w:ind w:right="80" w:firstLine="464"/>
        <w:spacing w:after="0" w:line="270" w:lineRule="auto"/>
        <w:rPr>
          <w:sz w:val="20"/>
          <w:szCs w:val="20"/>
          <w:color w:val="auto"/>
        </w:rPr>
      </w:pPr>
      <w:r>
        <w:rPr>
          <w:rFonts w:ascii="Arial" w:cs="Arial" w:eastAsia="Arial" w:hAnsi="Arial"/>
          <w:sz w:val="17"/>
          <w:szCs w:val="17"/>
          <w:color w:val="auto"/>
        </w:rPr>
        <w:t>The changes in Accumulated other comprehensive loss by component, including any tax impacts, for the three months ended September 30, 2023 and 2022 are as follows:</w:t>
      </w:r>
    </w:p>
    <w:tbl>
      <w:tblPr>
        <w:tblLayout w:type="fixed"/>
        <w:tblInd w:w="0" w:type="dxa"/>
        <w:tblCellMar>
          <w:top w:w="0" w:type="dxa"/>
          <w:left w:w="0" w:type="dxa"/>
          <w:bottom w:w="0" w:type="dxa"/>
          <w:right w:w="0" w:type="dxa"/>
        </w:tblCellMar>
      </w:tblPr>
      <w:tr>
        <w:trPr>
          <w:trHeight w:val="143"/>
        </w:trPr>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40" w:type="dxa"/>
            <w:vAlign w:val="bottom"/>
            <w:gridSpan w:val="4"/>
          </w:tcPr>
          <w:p>
            <w:pPr>
              <w:jc w:val="center"/>
              <w:ind w:right="300"/>
              <w:spacing w:after="0" w:line="143" w:lineRule="exact"/>
              <w:rPr>
                <w:sz w:val="20"/>
                <w:szCs w:val="20"/>
                <w:color w:val="auto"/>
              </w:rPr>
            </w:pPr>
            <w:r>
              <w:rPr>
                <w:rFonts w:ascii="Arial" w:cs="Arial" w:eastAsia="Arial" w:hAnsi="Arial"/>
                <w:sz w:val="14"/>
                <w:szCs w:val="14"/>
                <w:b w:val="1"/>
                <w:bCs w:val="1"/>
                <w:color w:val="auto"/>
                <w:w w:val="87"/>
              </w:rPr>
              <w:t>Foreign currency</w:t>
            </w:r>
          </w:p>
        </w:tc>
        <w:tc>
          <w:tcPr>
            <w:tcW w:w="160" w:type="dxa"/>
            <w:vAlign w:val="bottom"/>
          </w:tcPr>
          <w:p>
            <w:pPr>
              <w:spacing w:after="0"/>
              <w:rPr>
                <w:sz w:val="12"/>
                <w:szCs w:val="12"/>
                <w:color w:val="auto"/>
              </w:rPr>
            </w:pPr>
          </w:p>
        </w:tc>
        <w:tc>
          <w:tcPr>
            <w:tcW w:w="1580" w:type="dxa"/>
            <w:vAlign w:val="bottom"/>
            <w:gridSpan w:val="4"/>
            <w:vMerge w:val="restart"/>
          </w:tcPr>
          <w:p>
            <w:pPr>
              <w:ind w:left="60"/>
              <w:spacing w:after="0"/>
              <w:rPr>
                <w:sz w:val="20"/>
                <w:szCs w:val="20"/>
                <w:color w:val="auto"/>
              </w:rPr>
            </w:pPr>
            <w:r>
              <w:rPr>
                <w:rFonts w:ascii="Arial" w:cs="Arial" w:eastAsia="Arial" w:hAnsi="Arial"/>
                <w:sz w:val="14"/>
                <w:szCs w:val="14"/>
                <w:b w:val="1"/>
                <w:bCs w:val="1"/>
                <w:color w:val="auto"/>
              </w:rPr>
              <w:t>Derivative contracts</w:t>
            </w:r>
          </w:p>
        </w:tc>
        <w:tc>
          <w:tcPr>
            <w:tcW w:w="1760" w:type="dxa"/>
            <w:vAlign w:val="bottom"/>
            <w:gridSpan w:val="5"/>
          </w:tcPr>
          <w:p>
            <w:pPr>
              <w:ind w:left="20"/>
              <w:spacing w:after="0" w:line="143" w:lineRule="exact"/>
              <w:rPr>
                <w:sz w:val="20"/>
                <w:szCs w:val="20"/>
                <w:color w:val="auto"/>
              </w:rPr>
            </w:pPr>
            <w:r>
              <w:rPr>
                <w:rFonts w:ascii="Arial" w:cs="Arial" w:eastAsia="Arial" w:hAnsi="Arial"/>
                <w:sz w:val="14"/>
                <w:szCs w:val="14"/>
                <w:b w:val="1"/>
                <w:bCs w:val="1"/>
                <w:color w:val="auto"/>
                <w:w w:val="92"/>
              </w:rPr>
              <w:t>Pension and postretirement</w:t>
            </w:r>
          </w:p>
        </w:tc>
        <w:tc>
          <w:tcPr>
            <w:tcW w:w="200" w:type="dxa"/>
            <w:vAlign w:val="bottom"/>
          </w:tcPr>
          <w:p>
            <w:pPr>
              <w:spacing w:after="0"/>
              <w:rPr>
                <w:sz w:val="12"/>
                <w:szCs w:val="12"/>
                <w:color w:val="auto"/>
              </w:rPr>
            </w:pPr>
          </w:p>
        </w:tc>
        <w:tc>
          <w:tcPr>
            <w:tcW w:w="8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Total</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4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89"/>
              </w:rPr>
              <w:t>translation</w:t>
            </w:r>
          </w:p>
        </w:tc>
        <w:tc>
          <w:tcPr>
            <w:tcW w:w="160" w:type="dxa"/>
            <w:vAlign w:val="bottom"/>
          </w:tcPr>
          <w:p>
            <w:pPr>
              <w:spacing w:after="0"/>
              <w:rPr>
                <w:sz w:val="15"/>
                <w:szCs w:val="15"/>
                <w:color w:val="auto"/>
              </w:rPr>
            </w:pPr>
          </w:p>
        </w:tc>
        <w:tc>
          <w:tcPr>
            <w:tcW w:w="1580" w:type="dxa"/>
            <w:vAlign w:val="bottom"/>
            <w:gridSpan w:val="4"/>
            <w:vMerge w:val="continue"/>
          </w:tcPr>
          <w:p>
            <w:pPr>
              <w:spacing w:after="0"/>
              <w:rPr>
                <w:sz w:val="15"/>
                <w:szCs w:val="15"/>
                <w:color w:val="auto"/>
              </w:rPr>
            </w:pPr>
          </w:p>
        </w:tc>
        <w:tc>
          <w:tcPr>
            <w:tcW w:w="200" w:type="dxa"/>
            <w:vAlign w:val="bottom"/>
          </w:tcPr>
          <w:p>
            <w:pPr>
              <w:spacing w:after="0"/>
              <w:rPr>
                <w:sz w:val="15"/>
                <w:szCs w:val="15"/>
                <w:color w:val="auto"/>
              </w:rPr>
            </w:pPr>
          </w:p>
        </w:tc>
        <w:tc>
          <w:tcPr>
            <w:tcW w:w="1560" w:type="dxa"/>
            <w:vAlign w:val="bottom"/>
            <w:gridSpan w:val="4"/>
          </w:tcPr>
          <w:p>
            <w:pPr>
              <w:ind w:left="260"/>
              <w:spacing w:after="0"/>
              <w:rPr>
                <w:sz w:val="20"/>
                <w:szCs w:val="20"/>
                <w:color w:val="auto"/>
              </w:rPr>
            </w:pPr>
            <w:r>
              <w:rPr>
                <w:rFonts w:ascii="Arial" w:cs="Arial" w:eastAsia="Arial" w:hAnsi="Arial"/>
                <w:sz w:val="14"/>
                <w:szCs w:val="14"/>
                <w:b w:val="1"/>
                <w:bCs w:val="1"/>
                <w:color w:val="auto"/>
              </w:rPr>
              <w:t>benefit plans</w:t>
            </w:r>
          </w:p>
        </w:tc>
        <w:tc>
          <w:tcPr>
            <w:tcW w:w="20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300" w:type="dxa"/>
            <w:vAlign w:val="bottom"/>
            <w:gridSpan w:val="3"/>
          </w:tcPr>
          <w:p>
            <w:pPr>
              <w:ind w:left="20"/>
              <w:spacing w:after="0" w:line="142" w:lineRule="exact"/>
              <w:rPr>
                <w:sz w:val="20"/>
                <w:szCs w:val="20"/>
                <w:color w:val="auto"/>
              </w:rPr>
            </w:pPr>
            <w:r>
              <w:rPr>
                <w:rFonts w:ascii="Arial" w:cs="Arial" w:eastAsia="Arial" w:hAnsi="Arial"/>
                <w:sz w:val="14"/>
                <w:szCs w:val="14"/>
                <w:b w:val="1"/>
                <w:bCs w:val="1"/>
                <w:i w:val="1"/>
                <w:iCs w:val="1"/>
                <w:color w:val="auto"/>
              </w:rPr>
              <w:t>In millions</w:t>
            </w: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83"/>
              <w:spacing w:after="0" w:line="142" w:lineRule="exact"/>
              <w:rPr>
                <w:sz w:val="20"/>
                <w:szCs w:val="20"/>
                <w:color w:val="auto"/>
              </w:rPr>
            </w:pPr>
            <w:r>
              <w:rPr>
                <w:rFonts w:ascii="Arial" w:cs="Arial" w:eastAsia="Arial" w:hAnsi="Arial"/>
                <w:sz w:val="14"/>
                <w:szCs w:val="14"/>
                <w:b w:val="1"/>
                <w:bCs w:val="1"/>
                <w:color w:val="auto"/>
              </w:rPr>
              <w:t>2023</w:t>
            </w:r>
          </w:p>
        </w:tc>
        <w:tc>
          <w:tcPr>
            <w:tcW w:w="2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181"/>
              <w:spacing w:after="0" w:line="142" w:lineRule="exact"/>
              <w:rPr>
                <w:sz w:val="20"/>
                <w:szCs w:val="20"/>
                <w:color w:val="auto"/>
              </w:rPr>
            </w:pPr>
            <w:r>
              <w:rPr>
                <w:rFonts w:ascii="Arial" w:cs="Arial" w:eastAsia="Arial" w:hAnsi="Arial"/>
                <w:sz w:val="14"/>
                <w:szCs w:val="14"/>
                <w:b w:val="1"/>
                <w:bCs w:val="1"/>
                <w:color w:val="auto"/>
              </w:rPr>
              <w:t>2023</w:t>
            </w:r>
          </w:p>
        </w:tc>
        <w:tc>
          <w:tcPr>
            <w:tcW w:w="2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178"/>
              <w:spacing w:after="0" w:line="142" w:lineRule="exact"/>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201"/>
              <w:spacing w:after="0" w:line="142" w:lineRule="exact"/>
              <w:rPr>
                <w:sz w:val="20"/>
                <w:szCs w:val="20"/>
                <w:color w:val="auto"/>
              </w:rPr>
            </w:pPr>
            <w:r>
              <w:rPr>
                <w:rFonts w:ascii="Arial" w:cs="Arial" w:eastAsia="Arial" w:hAnsi="Arial"/>
                <w:sz w:val="14"/>
                <w:szCs w:val="14"/>
                <w:b w:val="1"/>
                <w:bCs w:val="1"/>
                <w:color w:val="auto"/>
              </w:rPr>
              <w:t>2023</w:t>
            </w:r>
          </w:p>
        </w:tc>
        <w:tc>
          <w:tcPr>
            <w:tcW w:w="1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198"/>
              <w:spacing w:after="0" w:line="142" w:lineRule="exact"/>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181"/>
              <w:spacing w:after="0" w:line="142" w:lineRule="exact"/>
              <w:rPr>
                <w:sz w:val="20"/>
                <w:szCs w:val="20"/>
                <w:color w:val="auto"/>
              </w:rPr>
            </w:pPr>
            <w:r>
              <w:rPr>
                <w:rFonts w:ascii="Arial" w:cs="Arial" w:eastAsia="Arial" w:hAnsi="Arial"/>
                <w:sz w:val="14"/>
                <w:szCs w:val="14"/>
                <w:b w:val="1"/>
                <w:bCs w:val="1"/>
                <w:color w:val="auto"/>
              </w:rPr>
              <w:t>2023</w:t>
            </w:r>
          </w:p>
        </w:tc>
        <w:tc>
          <w:tcPr>
            <w:tcW w:w="2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198"/>
              <w:spacing w:after="0" w:line="142" w:lineRule="exact"/>
              <w:rPr>
                <w:sz w:val="20"/>
                <w:szCs w:val="20"/>
                <w:color w:val="auto"/>
              </w:rPr>
            </w:pPr>
            <w:r>
              <w:rPr>
                <w:rFonts w:ascii="Arial" w:cs="Arial" w:eastAsia="Arial" w:hAnsi="Arial"/>
                <w:sz w:val="14"/>
                <w:szCs w:val="14"/>
                <w:b w:val="1"/>
                <w:bCs w:val="1"/>
                <w:color w:val="auto"/>
              </w:rPr>
              <w:t>2022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20" w:type="dxa"/>
            <w:vAlign w:val="bottom"/>
            <w:tcBorders>
              <w:bottom w:val="single" w:sz="8" w:color="CCEEFF"/>
            </w:tcBorders>
          </w:tcPr>
          <w:p>
            <w:pPr>
              <w:spacing w:after="0"/>
              <w:rPr>
                <w:sz w:val="2"/>
                <w:szCs w:val="2"/>
                <w:color w:val="auto"/>
              </w:rPr>
            </w:pPr>
          </w:p>
        </w:tc>
        <w:tc>
          <w:tcPr>
            <w:tcW w:w="620" w:type="dxa"/>
            <w:vAlign w:val="bottom"/>
            <w:tcBorders>
              <w:top w:val="single" w:sz="8" w:color="auto"/>
              <w:bottom w:val="single" w:sz="8" w:color="CCEEFF"/>
            </w:tcBorders>
          </w:tcPr>
          <w:p>
            <w:pPr>
              <w:spacing w:after="0"/>
              <w:rPr>
                <w:sz w:val="2"/>
                <w:szCs w:val="2"/>
                <w:color w:val="auto"/>
              </w:rPr>
            </w:pPr>
          </w:p>
        </w:tc>
        <w:tc>
          <w:tcPr>
            <w:tcW w:w="36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430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Balance at June 30</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(572)</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4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7"/>
                <w:szCs w:val="17"/>
                <w:color w:val="auto"/>
                <w:w w:val="95"/>
              </w:rPr>
              <w:t>(578)</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2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62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7"/>
                <w:szCs w:val="17"/>
                <w:color w:val="auto"/>
                <w:w w:val="96"/>
              </w:rPr>
              <w:t>(2)</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(56)</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(61)</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(624)</w:t>
            </w:r>
          </w:p>
        </w:tc>
        <w:tc>
          <w:tcPr>
            <w:tcW w:w="2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(641)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300" w:type="dxa"/>
            <w:vAlign w:val="bottom"/>
            <w:gridSpan w:val="3"/>
          </w:tcPr>
          <w:p>
            <w:pPr>
              <w:ind w:left="20"/>
              <w:spacing w:after="0"/>
              <w:rPr>
                <w:sz w:val="20"/>
                <w:szCs w:val="20"/>
                <w:color w:val="auto"/>
              </w:rPr>
            </w:pPr>
            <w:r>
              <w:rPr>
                <w:rFonts w:ascii="Arial" w:cs="Arial" w:eastAsia="Arial" w:hAnsi="Arial"/>
                <w:sz w:val="17"/>
                <w:szCs w:val="17"/>
                <w:color w:val="auto"/>
              </w:rPr>
              <w:t>Other comprehensive (loss) income, net</w:t>
            </w: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(106)</w:t>
            </w:r>
          </w:p>
        </w:tc>
        <w:tc>
          <w:tcPr>
            <w:tcW w:w="200" w:type="dxa"/>
            <w:vAlign w:val="bottom"/>
          </w:tcPr>
          <w:p>
            <w:pPr>
              <w:spacing w:after="0"/>
              <w:rPr>
                <w:sz w:val="18"/>
                <w:szCs w:val="18"/>
                <w:color w:val="auto"/>
              </w:rPr>
            </w:pPr>
          </w:p>
        </w:tc>
        <w:tc>
          <w:tcPr>
            <w:tcW w:w="640" w:type="dxa"/>
            <w:vAlign w:val="bottom"/>
          </w:tcPr>
          <w:p>
            <w:pPr>
              <w:ind w:left="240"/>
              <w:spacing w:after="0"/>
              <w:rPr>
                <w:sz w:val="20"/>
                <w:szCs w:val="20"/>
                <w:color w:val="auto"/>
              </w:rPr>
            </w:pPr>
            <w:r>
              <w:rPr>
                <w:rFonts w:ascii="Arial" w:cs="Arial" w:eastAsia="Arial" w:hAnsi="Arial"/>
                <w:sz w:val="17"/>
                <w:szCs w:val="17"/>
                <w:color w:val="auto"/>
                <w:w w:val="95"/>
              </w:rPr>
              <w:t>(170)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16</w:t>
            </w:r>
          </w:p>
        </w:tc>
        <w:tc>
          <w:tcPr>
            <w:tcW w:w="220" w:type="dxa"/>
            <w:vAlign w:val="bottom"/>
          </w:tcPr>
          <w:p>
            <w:pPr>
              <w:spacing w:after="0"/>
              <w:rPr>
                <w:sz w:val="18"/>
                <w:szCs w:val="18"/>
                <w:color w:val="auto"/>
              </w:rPr>
            </w:pPr>
          </w:p>
        </w:tc>
        <w:tc>
          <w:tcPr>
            <w:tcW w:w="720" w:type="dxa"/>
            <w:vAlign w:val="bottom"/>
            <w:gridSpan w:val="2"/>
          </w:tcPr>
          <w:p>
            <w:pPr>
              <w:ind w:left="38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640" w:type="dxa"/>
            <w:vAlign w:val="bottom"/>
          </w:tcPr>
          <w:p>
            <w:pPr>
              <w:jc w:val="right"/>
              <w:ind w:right="1"/>
              <w:spacing w:after="0"/>
              <w:rPr>
                <w:sz w:val="20"/>
                <w:szCs w:val="20"/>
                <w:color w:val="auto"/>
              </w:rPr>
            </w:pPr>
            <w:r>
              <w:rPr>
                <w:rFonts w:ascii="Arial" w:cs="Arial" w:eastAsia="Arial" w:hAnsi="Arial"/>
                <w:sz w:val="17"/>
                <w:szCs w:val="17"/>
                <w:color w:val="auto"/>
              </w:rPr>
              <w:t>1</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(89)</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(167)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300" w:type="dxa"/>
            <w:vAlign w:val="bottom"/>
            <w:tcBorders>
              <w:top w:val="single" w:sz="8" w:color="CCEEFF"/>
              <w:bottom w:val="single" w:sz="8" w:color="CCEEFF"/>
            </w:tcBorders>
            <w:gridSpan w:val="3"/>
            <w:shd w:val="clear" w:color="auto" w:fill="CCEEFF"/>
          </w:tcPr>
          <w:p>
            <w:pPr>
              <w:ind w:left="20"/>
              <w:spacing w:after="0"/>
              <w:rPr>
                <w:sz w:val="20"/>
                <w:szCs w:val="20"/>
                <w:color w:val="auto"/>
              </w:rPr>
            </w:pPr>
            <w:r>
              <w:rPr>
                <w:rFonts w:ascii="Arial" w:cs="Arial" w:eastAsia="Arial" w:hAnsi="Arial"/>
                <w:sz w:val="17"/>
                <w:szCs w:val="17"/>
                <w:color w:val="auto"/>
              </w:rPr>
              <w:t>Balance at September 30</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(678)</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40" w:type="dxa"/>
            <w:vAlign w:val="bottom"/>
            <w:tcBorders>
              <w:top w:val="single" w:sz="8" w:color="auto"/>
              <w:bottom w:val="single" w:sz="8" w:color="auto"/>
            </w:tcBorders>
            <w:shd w:val="clear" w:color="auto" w:fill="CCEEFF"/>
          </w:tcPr>
          <w:p>
            <w:pPr>
              <w:ind w:left="240"/>
              <w:spacing w:after="0"/>
              <w:rPr>
                <w:sz w:val="20"/>
                <w:szCs w:val="20"/>
                <w:color w:val="auto"/>
              </w:rPr>
            </w:pPr>
            <w:r>
              <w:rPr>
                <w:rFonts w:ascii="Arial" w:cs="Arial" w:eastAsia="Arial" w:hAnsi="Arial"/>
                <w:sz w:val="17"/>
                <w:szCs w:val="17"/>
                <w:color w:val="auto"/>
                <w:w w:val="95"/>
              </w:rPr>
              <w:t>(748)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w:t>
            </w:r>
          </w:p>
        </w:tc>
        <w:tc>
          <w:tcPr>
            <w:tcW w:w="22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620" w:type="dxa"/>
            <w:vAlign w:val="bottom"/>
            <w:tcBorders>
              <w:top w:val="single" w:sz="8" w:color="auto"/>
              <w:bottom w:val="single" w:sz="8" w:color="auto"/>
            </w:tcBorders>
            <w:shd w:val="clear" w:color="auto" w:fill="CCEEFF"/>
          </w:tcPr>
          <w:p>
            <w:pPr>
              <w:ind w:left="400"/>
              <w:spacing w:after="0"/>
              <w:rPr>
                <w:sz w:val="20"/>
                <w:szCs w:val="20"/>
                <w:color w:val="auto"/>
              </w:rPr>
            </w:pPr>
            <w:r>
              <w:rPr>
                <w:rFonts w:ascii="Arial" w:cs="Arial" w:eastAsia="Arial" w:hAnsi="Arial"/>
                <w:sz w:val="17"/>
                <w:szCs w:val="17"/>
                <w:color w:val="auto"/>
                <w:w w:val="96"/>
              </w:rPr>
              <w:t>(2)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(713)</w:t>
            </w:r>
          </w:p>
        </w:tc>
        <w:tc>
          <w:tcPr>
            <w:tcW w:w="22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(808)</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36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4"/>
        </w:trPr>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ind w:left="240"/>
              <w:spacing w:after="0"/>
              <w:rPr>
                <w:sz w:val="20"/>
                <w:szCs w:val="20"/>
                <w:color w:val="auto"/>
              </w:rPr>
            </w:pPr>
            <w:r>
              <w:rPr>
                <w:rFonts w:ascii="Arial" w:cs="Arial" w:eastAsia="Arial" w:hAnsi="Arial"/>
                <w:sz w:val="17"/>
                <w:szCs w:val="17"/>
                <w:color w:val="auto"/>
              </w:rPr>
              <w:t>11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366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055" w:right="339" w:bottom="1440" w:gutter="0" w:footer="0" w:header="0"/>
        </w:sectPr>
      </w:pPr>
    </w:p>
    <w:bookmarkStart w:id="11" w:name="page12"/>
    <w:bookmarkEnd w:id="11"/>
    <w:p>
      <w:pPr>
        <w:ind w:right="120" w:firstLine="464"/>
        <w:spacing w:after="0" w:line="279" w:lineRule="auto"/>
        <w:rPr>
          <w:sz w:val="20"/>
          <w:szCs w:val="20"/>
          <w:color w:val="auto"/>
        </w:rPr>
      </w:pPr>
      <w:r>
        <w:rPr>
          <w:rFonts w:ascii="Arial" w:cs="Arial" w:eastAsia="Arial" w:hAnsi="Arial"/>
          <w:sz w:val="17"/>
          <w:szCs w:val="17"/>
          <w:color w:val="auto"/>
        </w:rPr>
        <w:t>The changes in Accumulated other comprehensive loss by component, including any tax impacts, for the nine months ended September 30, 2023 and 2022 are as follows:</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6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87"/>
              </w:rPr>
              <w:t>Foreign currency</w:t>
            </w:r>
          </w:p>
        </w:tc>
        <w:tc>
          <w:tcPr>
            <w:tcW w:w="180" w:type="dxa"/>
            <w:vAlign w:val="bottom"/>
          </w:tcPr>
          <w:p>
            <w:pPr>
              <w:spacing w:after="0"/>
              <w:rPr>
                <w:sz w:val="14"/>
                <w:szCs w:val="14"/>
                <w:color w:val="auto"/>
              </w:rPr>
            </w:pPr>
          </w:p>
        </w:tc>
        <w:tc>
          <w:tcPr>
            <w:tcW w:w="1580" w:type="dxa"/>
            <w:vAlign w:val="bottom"/>
            <w:gridSpan w:val="4"/>
            <w:vMerge w:val="restart"/>
          </w:tcPr>
          <w:p>
            <w:pPr>
              <w:ind w:left="60"/>
              <w:spacing w:after="0"/>
              <w:rPr>
                <w:sz w:val="20"/>
                <w:szCs w:val="20"/>
                <w:color w:val="auto"/>
              </w:rPr>
            </w:pPr>
            <w:r>
              <w:rPr>
                <w:rFonts w:ascii="Arial" w:cs="Arial" w:eastAsia="Arial" w:hAnsi="Arial"/>
                <w:sz w:val="14"/>
                <w:szCs w:val="14"/>
                <w:b w:val="1"/>
                <w:bCs w:val="1"/>
                <w:color w:val="auto"/>
              </w:rPr>
              <w:t>Derivative contracts</w:t>
            </w:r>
          </w:p>
        </w:tc>
        <w:tc>
          <w:tcPr>
            <w:tcW w:w="1760" w:type="dxa"/>
            <w:vAlign w:val="bottom"/>
            <w:gridSpan w:val="5"/>
          </w:tcPr>
          <w:p>
            <w:pPr>
              <w:ind w:left="20"/>
              <w:spacing w:after="0"/>
              <w:rPr>
                <w:sz w:val="20"/>
                <w:szCs w:val="20"/>
                <w:color w:val="auto"/>
              </w:rPr>
            </w:pPr>
            <w:r>
              <w:rPr>
                <w:rFonts w:ascii="Arial" w:cs="Arial" w:eastAsia="Arial" w:hAnsi="Arial"/>
                <w:sz w:val="14"/>
                <w:szCs w:val="14"/>
                <w:b w:val="1"/>
                <w:bCs w:val="1"/>
                <w:color w:val="auto"/>
                <w:w w:val="92"/>
              </w:rPr>
              <w:t>Pension and postretirement</w:t>
            </w:r>
          </w:p>
        </w:tc>
        <w:tc>
          <w:tcPr>
            <w:tcW w:w="180" w:type="dxa"/>
            <w:vAlign w:val="bottom"/>
          </w:tcPr>
          <w:p>
            <w:pPr>
              <w:spacing w:after="0"/>
              <w:rPr>
                <w:sz w:val="14"/>
                <w:szCs w:val="14"/>
                <w:color w:val="auto"/>
              </w:rPr>
            </w:pPr>
          </w:p>
        </w:tc>
        <w:tc>
          <w:tcPr>
            <w:tcW w:w="860" w:type="dxa"/>
            <w:vAlign w:val="bottom"/>
            <w:gridSpan w:val="2"/>
            <w:vMerge w:val="restart"/>
          </w:tcPr>
          <w:p>
            <w:pPr>
              <w:ind w:left="500"/>
              <w:spacing w:after="0"/>
              <w:rPr>
                <w:sz w:val="20"/>
                <w:szCs w:val="20"/>
                <w:color w:val="auto"/>
              </w:rPr>
            </w:pPr>
            <w:r>
              <w:rPr>
                <w:rFonts w:ascii="Arial" w:cs="Arial" w:eastAsia="Arial" w:hAnsi="Arial"/>
                <w:sz w:val="14"/>
                <w:szCs w:val="14"/>
                <w:b w:val="1"/>
                <w:bCs w:val="1"/>
                <w:color w:val="auto"/>
              </w:rPr>
              <w:t>Total</w:t>
            </w: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6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89"/>
              </w:rPr>
              <w:t>translation</w:t>
            </w:r>
          </w:p>
        </w:tc>
        <w:tc>
          <w:tcPr>
            <w:tcW w:w="180" w:type="dxa"/>
            <w:vAlign w:val="bottom"/>
          </w:tcPr>
          <w:p>
            <w:pPr>
              <w:spacing w:after="0"/>
              <w:rPr>
                <w:sz w:val="15"/>
                <w:szCs w:val="15"/>
                <w:color w:val="auto"/>
              </w:rPr>
            </w:pPr>
          </w:p>
        </w:tc>
        <w:tc>
          <w:tcPr>
            <w:tcW w:w="1580" w:type="dxa"/>
            <w:vAlign w:val="bottom"/>
            <w:gridSpan w:val="4"/>
            <w:vMerge w:val="continue"/>
          </w:tcPr>
          <w:p>
            <w:pPr>
              <w:spacing w:after="0"/>
              <w:rPr>
                <w:sz w:val="15"/>
                <w:szCs w:val="15"/>
                <w:color w:val="auto"/>
              </w:rPr>
            </w:pPr>
          </w:p>
        </w:tc>
        <w:tc>
          <w:tcPr>
            <w:tcW w:w="200" w:type="dxa"/>
            <w:vAlign w:val="bottom"/>
          </w:tcPr>
          <w:p>
            <w:pPr>
              <w:spacing w:after="0"/>
              <w:rPr>
                <w:sz w:val="15"/>
                <w:szCs w:val="15"/>
                <w:color w:val="auto"/>
              </w:rPr>
            </w:pPr>
          </w:p>
        </w:tc>
        <w:tc>
          <w:tcPr>
            <w:tcW w:w="1560" w:type="dxa"/>
            <w:vAlign w:val="bottom"/>
            <w:gridSpan w:val="4"/>
          </w:tcPr>
          <w:p>
            <w:pPr>
              <w:ind w:left="260"/>
              <w:spacing w:after="0"/>
              <w:rPr>
                <w:sz w:val="20"/>
                <w:szCs w:val="20"/>
                <w:color w:val="auto"/>
              </w:rPr>
            </w:pPr>
            <w:r>
              <w:rPr>
                <w:rFonts w:ascii="Arial" w:cs="Arial" w:eastAsia="Arial" w:hAnsi="Arial"/>
                <w:sz w:val="14"/>
                <w:szCs w:val="14"/>
                <w:b w:val="1"/>
                <w:bCs w:val="1"/>
                <w:color w:val="auto"/>
              </w:rPr>
              <w:t>benefit plans</w:t>
            </w:r>
          </w:p>
        </w:tc>
        <w:tc>
          <w:tcPr>
            <w:tcW w:w="18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300" w:type="dxa"/>
            <w:vAlign w:val="bottom"/>
            <w:gridSpan w:val="3"/>
          </w:tcPr>
          <w:p>
            <w:pPr>
              <w:ind w:left="20"/>
              <w:spacing w:after="0" w:line="142" w:lineRule="exact"/>
              <w:rPr>
                <w:sz w:val="20"/>
                <w:szCs w:val="20"/>
                <w:color w:val="auto"/>
              </w:rPr>
            </w:pPr>
            <w:r>
              <w:rPr>
                <w:rFonts w:ascii="Arial" w:cs="Arial" w:eastAsia="Arial" w:hAnsi="Arial"/>
                <w:sz w:val="14"/>
                <w:szCs w:val="14"/>
                <w:b w:val="1"/>
                <w:bCs w:val="1"/>
                <w:i w:val="1"/>
                <w:iCs w:val="1"/>
                <w:color w:val="auto"/>
              </w:rPr>
              <w:t>In millions</w:t>
            </w:r>
          </w:p>
        </w:tc>
        <w:tc>
          <w:tcPr>
            <w:tcW w:w="1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201"/>
              <w:spacing w:after="0" w:line="142" w:lineRule="exact"/>
              <w:rPr>
                <w:sz w:val="20"/>
                <w:szCs w:val="20"/>
                <w:color w:val="auto"/>
              </w:rPr>
            </w:pPr>
            <w:r>
              <w:rPr>
                <w:rFonts w:ascii="Arial" w:cs="Arial" w:eastAsia="Arial" w:hAnsi="Arial"/>
                <w:sz w:val="14"/>
                <w:szCs w:val="14"/>
                <w:b w:val="1"/>
                <w:bCs w:val="1"/>
                <w:color w:val="auto"/>
              </w:rPr>
              <w:t>2023</w:t>
            </w:r>
          </w:p>
        </w:tc>
        <w:tc>
          <w:tcPr>
            <w:tcW w:w="2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177"/>
              <w:spacing w:after="0" w:line="142" w:lineRule="exact"/>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2023</w:t>
            </w:r>
          </w:p>
        </w:tc>
        <w:tc>
          <w:tcPr>
            <w:tcW w:w="1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197"/>
              <w:spacing w:after="0" w:line="142" w:lineRule="exact"/>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179"/>
              <w:spacing w:after="0" w:line="142" w:lineRule="exact"/>
              <w:rPr>
                <w:sz w:val="20"/>
                <w:szCs w:val="20"/>
                <w:color w:val="auto"/>
              </w:rPr>
            </w:pPr>
            <w:r>
              <w:rPr>
                <w:rFonts w:ascii="Arial" w:cs="Arial" w:eastAsia="Arial" w:hAnsi="Arial"/>
                <w:sz w:val="14"/>
                <w:szCs w:val="14"/>
                <w:b w:val="1"/>
                <w:bCs w:val="1"/>
                <w:color w:val="auto"/>
              </w:rPr>
              <w:t>2023</w:t>
            </w:r>
          </w:p>
        </w:tc>
        <w:tc>
          <w:tcPr>
            <w:tcW w:w="2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197"/>
              <w:spacing w:after="0" w:line="142" w:lineRule="exact"/>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199"/>
              <w:spacing w:after="0" w:line="142" w:lineRule="exact"/>
              <w:rPr>
                <w:sz w:val="20"/>
                <w:szCs w:val="20"/>
                <w:color w:val="auto"/>
              </w:rPr>
            </w:pPr>
            <w:r>
              <w:rPr>
                <w:rFonts w:ascii="Arial" w:cs="Arial" w:eastAsia="Arial" w:hAnsi="Arial"/>
                <w:sz w:val="14"/>
                <w:szCs w:val="14"/>
                <w:b w:val="1"/>
                <w:bCs w:val="1"/>
                <w:color w:val="auto"/>
              </w:rPr>
              <w:t>2023</w:t>
            </w:r>
          </w:p>
        </w:tc>
        <w:tc>
          <w:tcPr>
            <w:tcW w:w="2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77"/>
              <w:spacing w:after="0" w:line="142" w:lineRule="exact"/>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32"/>
        </w:trPr>
        <w:tc>
          <w:tcPr>
            <w:tcW w:w="20" w:type="dxa"/>
            <w:vAlign w:val="bottom"/>
            <w:tcBorders>
              <w:bottom w:val="single" w:sz="8" w:color="CCEEFF"/>
            </w:tcBorders>
          </w:tcPr>
          <w:p>
            <w:pPr>
              <w:spacing w:after="0"/>
              <w:rPr>
                <w:sz w:val="2"/>
                <w:szCs w:val="2"/>
                <w:color w:val="auto"/>
              </w:rPr>
            </w:pPr>
          </w:p>
        </w:tc>
        <w:tc>
          <w:tcPr>
            <w:tcW w:w="620" w:type="dxa"/>
            <w:vAlign w:val="bottom"/>
            <w:tcBorders>
              <w:top w:val="single" w:sz="8" w:color="auto"/>
              <w:bottom w:val="single" w:sz="8" w:color="CCEEFF"/>
            </w:tcBorders>
          </w:tcPr>
          <w:p>
            <w:pPr>
              <w:spacing w:after="0"/>
              <w:rPr>
                <w:sz w:val="2"/>
                <w:szCs w:val="2"/>
                <w:color w:val="auto"/>
              </w:rPr>
            </w:pPr>
          </w:p>
        </w:tc>
        <w:tc>
          <w:tcPr>
            <w:tcW w:w="3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430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Balance at beginning of year</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(596)</w:t>
            </w: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(396)</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6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7"/>
                <w:szCs w:val="17"/>
                <w:color w:val="auto"/>
              </w:rPr>
              <w:t>(9)</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(56)</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(65)</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(661)</w:t>
            </w: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(466)</w:t>
            </w:r>
          </w:p>
        </w:tc>
        <w:tc>
          <w:tcPr>
            <w:tcW w:w="0" w:type="dxa"/>
            <w:vAlign w:val="bottom"/>
          </w:tcPr>
          <w:p>
            <w:pPr>
              <w:spacing w:after="0"/>
              <w:rPr>
                <w:sz w:val="1"/>
                <w:szCs w:val="1"/>
                <w:color w:val="auto"/>
              </w:rPr>
            </w:pPr>
          </w:p>
        </w:tc>
      </w:tr>
      <w:tr>
        <w:trPr>
          <w:trHeight w:val="211"/>
        </w:trPr>
        <w:tc>
          <w:tcPr>
            <w:tcW w:w="4300" w:type="dxa"/>
            <w:vAlign w:val="bottom"/>
            <w:gridSpan w:val="3"/>
          </w:tcPr>
          <w:p>
            <w:pPr>
              <w:ind w:left="20"/>
              <w:spacing w:after="0"/>
              <w:rPr>
                <w:sz w:val="20"/>
                <w:szCs w:val="20"/>
                <w:color w:val="auto"/>
              </w:rPr>
            </w:pPr>
            <w:r>
              <w:rPr>
                <w:rFonts w:ascii="Arial" w:cs="Arial" w:eastAsia="Arial" w:hAnsi="Arial"/>
                <w:sz w:val="17"/>
                <w:szCs w:val="17"/>
                <w:color w:val="auto"/>
                <w:w w:val="95"/>
              </w:rPr>
              <w:t>Other comprehensive (loss) income before reclassifications</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(82)</w:t>
            </w: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(352)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ind w:left="420"/>
              <w:spacing w:after="0"/>
              <w:rPr>
                <w:sz w:val="20"/>
                <w:szCs w:val="20"/>
                <w:color w:val="auto"/>
              </w:rPr>
            </w:pPr>
            <w:r>
              <w:rPr>
                <w:rFonts w:ascii="Arial" w:cs="Arial" w:eastAsia="Arial" w:hAnsi="Arial"/>
                <w:sz w:val="17"/>
                <w:szCs w:val="17"/>
                <w:color w:val="auto"/>
              </w:rPr>
              <w:t>29</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(53)</w:t>
            </w:r>
          </w:p>
        </w:tc>
        <w:tc>
          <w:tcPr>
            <w:tcW w:w="2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(343)</w:t>
            </w:r>
          </w:p>
        </w:tc>
        <w:tc>
          <w:tcPr>
            <w:tcW w:w="0" w:type="dxa"/>
            <w:vAlign w:val="bottom"/>
          </w:tcPr>
          <w:p>
            <w:pPr>
              <w:spacing w:after="0"/>
              <w:rPr>
                <w:sz w:val="1"/>
                <w:szCs w:val="1"/>
                <w:color w:val="auto"/>
              </w:rPr>
            </w:pPr>
          </w:p>
        </w:tc>
      </w:tr>
      <w:tr>
        <w:trPr>
          <w:trHeight w:val="169"/>
        </w:trPr>
        <w:tc>
          <w:tcPr>
            <w:tcW w:w="4300" w:type="dxa"/>
            <w:vAlign w:val="bottom"/>
            <w:gridSpan w:val="3"/>
            <w:shd w:val="clear" w:color="auto" w:fill="CCEEFF"/>
          </w:tcPr>
          <w:p>
            <w:pPr>
              <w:ind w:left="20"/>
              <w:spacing w:after="0" w:line="169" w:lineRule="exact"/>
              <w:rPr>
                <w:sz w:val="20"/>
                <w:szCs w:val="20"/>
                <w:color w:val="auto"/>
              </w:rPr>
            </w:pPr>
            <w:r>
              <w:rPr>
                <w:rFonts w:ascii="Arial" w:cs="Arial" w:eastAsia="Arial" w:hAnsi="Arial"/>
                <w:sz w:val="17"/>
                <w:szCs w:val="17"/>
                <w:color w:val="auto"/>
              </w:rPr>
              <w:t>Amounts reclassified from Accumulated other</w:t>
            </w: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430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comprehensive loss</w:t>
            </w:r>
          </w:p>
        </w:tc>
        <w:tc>
          <w:tcPr>
            <w:tcW w:w="18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20"/>
                <w:szCs w:val="20"/>
                <w:color w:val="auto"/>
              </w:rPr>
            </w:pPr>
          </w:p>
        </w:tc>
        <w:tc>
          <w:tcPr>
            <w:tcW w:w="720" w:type="dxa"/>
            <w:vAlign w:val="bottom"/>
            <w:gridSpan w:val="2"/>
            <w:shd w:val="clear" w:color="auto" w:fill="CCEEFF"/>
          </w:tcPr>
          <w:p>
            <w:pPr>
              <w:ind w:left="38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20"/>
                <w:szCs w:val="20"/>
                <w:color w:val="auto"/>
              </w:rPr>
            </w:pPr>
          </w:p>
        </w:tc>
        <w:tc>
          <w:tcPr>
            <w:tcW w:w="660" w:type="dxa"/>
            <w:vAlign w:val="bottom"/>
            <w:shd w:val="clear" w:color="auto" w:fill="CCEEFF"/>
          </w:tcPr>
          <w:p>
            <w:pPr>
              <w:ind w:left="42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20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40" w:type="dxa"/>
            <w:vAlign w:val="bottom"/>
            <w:shd w:val="clear" w:color="auto" w:fill="CCEEFF"/>
          </w:tcPr>
          <w:p>
            <w:pPr>
              <w:ind w:left="480"/>
              <w:spacing w:after="0"/>
              <w:rPr>
                <w:sz w:val="20"/>
                <w:szCs w:val="20"/>
                <w:color w:val="auto"/>
              </w:rPr>
            </w:pPr>
            <w:r>
              <w:rPr>
                <w:rFonts w:ascii="Arial" w:cs="Arial" w:eastAsia="Arial" w:hAnsi="Arial"/>
                <w:sz w:val="17"/>
                <w:szCs w:val="17"/>
                <w:color w:val="auto"/>
              </w:rPr>
              <w:t>1</w:t>
            </w:r>
          </w:p>
        </w:tc>
        <w:tc>
          <w:tcPr>
            <w:tcW w:w="22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11"/>
        </w:trPr>
        <w:tc>
          <w:tcPr>
            <w:tcW w:w="4300" w:type="dxa"/>
            <w:vAlign w:val="bottom"/>
            <w:tcBorders>
              <w:bottom w:val="single" w:sz="8" w:color="CCEEFF"/>
            </w:tcBorders>
            <w:gridSpan w:val="3"/>
          </w:tcPr>
          <w:p>
            <w:pPr>
              <w:ind w:left="20"/>
              <w:spacing w:after="0"/>
              <w:rPr>
                <w:sz w:val="20"/>
                <w:szCs w:val="20"/>
                <w:color w:val="auto"/>
              </w:rPr>
            </w:pPr>
            <w:r>
              <w:rPr>
                <w:rFonts w:ascii="Arial" w:cs="Arial" w:eastAsia="Arial" w:hAnsi="Arial"/>
                <w:sz w:val="17"/>
                <w:szCs w:val="17"/>
                <w:color w:val="auto"/>
              </w:rPr>
              <w:t>Other comprehensive (loss) income, net</w:t>
            </w:r>
          </w:p>
        </w:tc>
        <w:tc>
          <w:tcPr>
            <w:tcW w:w="18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(82)</w:t>
            </w:r>
          </w:p>
        </w:tc>
        <w:tc>
          <w:tcPr>
            <w:tcW w:w="20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(352)</w:t>
            </w:r>
          </w:p>
        </w:tc>
        <w:tc>
          <w:tcPr>
            <w:tcW w:w="1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ind w:left="420"/>
              <w:spacing w:after="0"/>
              <w:rPr>
                <w:sz w:val="20"/>
                <w:szCs w:val="20"/>
                <w:color w:val="auto"/>
              </w:rPr>
            </w:pPr>
            <w:r>
              <w:rPr>
                <w:rFonts w:ascii="Arial" w:cs="Arial" w:eastAsia="Arial" w:hAnsi="Arial"/>
                <w:sz w:val="17"/>
                <w:szCs w:val="17"/>
                <w:color w:val="auto"/>
              </w:rPr>
              <w:t>29</w:t>
            </w:r>
          </w:p>
        </w:tc>
        <w:tc>
          <w:tcPr>
            <w:tcW w:w="18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w:t>
            </w:r>
          </w:p>
        </w:tc>
        <w:tc>
          <w:tcPr>
            <w:tcW w:w="1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20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7</w:t>
            </w:r>
          </w:p>
        </w:tc>
        <w:tc>
          <w:tcPr>
            <w:tcW w:w="1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(52)</w:t>
            </w:r>
          </w:p>
        </w:tc>
        <w:tc>
          <w:tcPr>
            <w:tcW w:w="22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(342)</w:t>
            </w:r>
          </w:p>
        </w:tc>
        <w:tc>
          <w:tcPr>
            <w:tcW w:w="0" w:type="dxa"/>
            <w:vAlign w:val="bottom"/>
          </w:tcPr>
          <w:p>
            <w:pPr>
              <w:spacing w:after="0"/>
              <w:rPr>
                <w:sz w:val="1"/>
                <w:szCs w:val="1"/>
                <w:color w:val="auto"/>
              </w:rPr>
            </w:pPr>
          </w:p>
        </w:tc>
      </w:tr>
      <w:tr>
        <w:trPr>
          <w:trHeight w:val="238"/>
        </w:trPr>
        <w:tc>
          <w:tcPr>
            <w:tcW w:w="43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7"/>
                <w:szCs w:val="17"/>
                <w:color w:val="auto"/>
              </w:rPr>
              <w:t>Balance at September 30</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(678)</w:t>
            </w: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(748)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6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7"/>
                <w:szCs w:val="17"/>
                <w:color w:val="auto"/>
              </w:rPr>
              <w:t>20</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(713)</w:t>
            </w: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(808)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36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ind w:right="320" w:firstLine="464"/>
        <w:spacing w:after="0" w:line="279" w:lineRule="auto"/>
        <w:rPr>
          <w:sz w:val="20"/>
          <w:szCs w:val="20"/>
          <w:color w:val="auto"/>
        </w:rPr>
      </w:pPr>
      <w:r>
        <w:rPr>
          <w:rFonts w:ascii="Arial" w:cs="Arial" w:eastAsia="Arial" w:hAnsi="Arial"/>
          <w:sz w:val="17"/>
          <w:szCs w:val="17"/>
          <w:color w:val="auto"/>
        </w:rPr>
        <w:t>Amounts reclassified from Accumulated other comprehensive loss are recognized in "Other income, net" with the tax impact recognized in "Income tax expense" on the Condensed Consolidated Statements of Income.</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 ACQUISITIONS</w:t>
      </w:r>
    </w:p>
    <w:p>
      <w:pPr>
        <w:spacing w:after="0" w:line="120" w:lineRule="exact"/>
        <w:rPr>
          <w:sz w:val="20"/>
          <w:szCs w:val="20"/>
          <w:color w:val="auto"/>
        </w:rPr>
      </w:pPr>
    </w:p>
    <w:p>
      <w:pPr>
        <w:ind w:right="660" w:firstLine="464"/>
        <w:spacing w:after="0" w:line="279" w:lineRule="auto"/>
        <w:rPr>
          <w:sz w:val="20"/>
          <w:szCs w:val="20"/>
          <w:color w:val="auto"/>
        </w:rPr>
      </w:pPr>
      <w:r>
        <w:rPr>
          <w:rFonts w:ascii="Arial" w:cs="Arial" w:eastAsia="Arial" w:hAnsi="Arial"/>
          <w:sz w:val="17"/>
          <w:szCs w:val="17"/>
          <w:color w:val="auto"/>
        </w:rPr>
        <w:t>During the second quarter of 2023, the Company acquired L&amp;M Radiator, Inc., a leading manufacturer of heavy-duty equipment radiators and heat exchangers for the mining sector, for a purchase price of approximately $245 million.</w:t>
      </w:r>
    </w:p>
    <w:p>
      <w:pPr>
        <w:spacing w:after="0" w:line="6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summarizes the preliminary fair value of the L&amp;M Radiator, Inc. assets acquired and liabilities assumed:</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20" w:type="dxa"/>
            <w:vAlign w:val="bottom"/>
            <w:gridSpan w:val="3"/>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6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32"/>
        </w:trPr>
        <w:tc>
          <w:tcPr>
            <w:tcW w:w="20" w:type="dxa"/>
            <w:vAlign w:val="bottom"/>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9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19"/>
        </w:trPr>
        <w:tc>
          <w:tcPr>
            <w:tcW w:w="9820" w:type="dxa"/>
            <w:vAlign w:val="bottom"/>
            <w:gridSpan w:val="3"/>
            <w:shd w:val="clear" w:color="auto" w:fill="CCEEFF"/>
          </w:tcPr>
          <w:p>
            <w:pPr>
              <w:ind w:left="20"/>
              <w:spacing w:after="0"/>
              <w:rPr>
                <w:sz w:val="20"/>
                <w:szCs w:val="20"/>
                <w:color w:val="auto"/>
              </w:rPr>
            </w:pPr>
            <w:r>
              <w:rPr>
                <w:rFonts w:ascii="Arial" w:cs="Arial" w:eastAsia="Arial" w:hAnsi="Arial"/>
                <w:sz w:val="17"/>
                <w:szCs w:val="17"/>
                <w:b w:val="1"/>
                <w:bCs w:val="1"/>
                <w:color w:val="auto"/>
              </w:rPr>
              <w:t>Assets acquired</w:t>
            </w:r>
          </w:p>
        </w:tc>
        <w:tc>
          <w:tcPr>
            <w:tcW w:w="6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9800" w:type="dxa"/>
            <w:vAlign w:val="bottom"/>
            <w:gridSpan w:val="2"/>
          </w:tcPr>
          <w:p>
            <w:pPr>
              <w:ind w:left="100"/>
              <w:spacing w:after="0"/>
              <w:rPr>
                <w:sz w:val="20"/>
                <w:szCs w:val="20"/>
                <w:color w:val="auto"/>
              </w:rPr>
            </w:pPr>
            <w:r>
              <w:rPr>
                <w:rFonts w:ascii="Arial" w:cs="Arial" w:eastAsia="Arial" w:hAnsi="Arial"/>
                <w:sz w:val="17"/>
                <w:szCs w:val="17"/>
                <w:color w:val="auto"/>
              </w:rPr>
              <w:t>Cash and cash equivalents</w:t>
            </w:r>
          </w:p>
        </w:tc>
        <w:tc>
          <w:tcPr>
            <w:tcW w:w="600" w:type="dxa"/>
            <w:vAlign w:val="bottom"/>
          </w:tcPr>
          <w:p>
            <w:pPr>
              <w:jc w:val="right"/>
              <w:ind w:right="414"/>
              <w:spacing w:after="0"/>
              <w:rPr>
                <w:sz w:val="20"/>
                <w:szCs w:val="20"/>
                <w:color w:val="auto"/>
              </w:rPr>
            </w:pPr>
            <w:r>
              <w:rPr>
                <w:rFonts w:ascii="Arial" w:cs="Arial" w:eastAsia="Arial" w:hAnsi="Arial"/>
                <w:sz w:val="17"/>
                <w:szCs w:val="17"/>
                <w:color w:val="auto"/>
                <w:w w:val="84"/>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16</w:t>
            </w:r>
          </w:p>
        </w:tc>
      </w:tr>
      <w:tr>
        <w:trPr>
          <w:trHeight w:val="220"/>
        </w:trPr>
        <w:tc>
          <w:tcPr>
            <w:tcW w:w="20" w:type="dxa"/>
            <w:vAlign w:val="bottom"/>
            <w:shd w:val="clear" w:color="auto" w:fill="CCEEFF"/>
          </w:tcPr>
          <w:p>
            <w:pPr>
              <w:spacing w:after="0"/>
              <w:rPr>
                <w:sz w:val="19"/>
                <w:szCs w:val="19"/>
                <w:color w:val="auto"/>
              </w:rPr>
            </w:pPr>
          </w:p>
        </w:tc>
        <w:tc>
          <w:tcPr>
            <w:tcW w:w="980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Accounts receivable</w:t>
            </w:r>
          </w:p>
        </w:tc>
        <w:tc>
          <w:tcPr>
            <w:tcW w:w="6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w:t>
            </w:r>
          </w:p>
        </w:tc>
      </w:tr>
      <w:tr>
        <w:trPr>
          <w:trHeight w:val="218"/>
        </w:trPr>
        <w:tc>
          <w:tcPr>
            <w:tcW w:w="20" w:type="dxa"/>
            <w:vAlign w:val="bottom"/>
          </w:tcPr>
          <w:p>
            <w:pPr>
              <w:spacing w:after="0"/>
              <w:rPr>
                <w:sz w:val="18"/>
                <w:szCs w:val="18"/>
                <w:color w:val="auto"/>
              </w:rPr>
            </w:pPr>
          </w:p>
        </w:tc>
        <w:tc>
          <w:tcPr>
            <w:tcW w:w="9800" w:type="dxa"/>
            <w:vAlign w:val="bottom"/>
            <w:gridSpan w:val="2"/>
          </w:tcPr>
          <w:p>
            <w:pPr>
              <w:ind w:left="100"/>
              <w:spacing w:after="0"/>
              <w:rPr>
                <w:sz w:val="20"/>
                <w:szCs w:val="20"/>
                <w:color w:val="auto"/>
              </w:rPr>
            </w:pPr>
            <w:r>
              <w:rPr>
                <w:rFonts w:ascii="Arial" w:cs="Arial" w:eastAsia="Arial" w:hAnsi="Arial"/>
                <w:sz w:val="17"/>
                <w:szCs w:val="17"/>
                <w:color w:val="auto"/>
              </w:rPr>
              <w:t>Inventory</w:t>
            </w:r>
          </w:p>
        </w:tc>
        <w:tc>
          <w:tcPr>
            <w:tcW w:w="6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27</w:t>
            </w:r>
          </w:p>
        </w:tc>
      </w:tr>
      <w:tr>
        <w:trPr>
          <w:trHeight w:val="220"/>
        </w:trPr>
        <w:tc>
          <w:tcPr>
            <w:tcW w:w="20" w:type="dxa"/>
            <w:vAlign w:val="bottom"/>
            <w:shd w:val="clear" w:color="auto" w:fill="CCEEFF"/>
          </w:tcPr>
          <w:p>
            <w:pPr>
              <w:spacing w:after="0"/>
              <w:rPr>
                <w:sz w:val="19"/>
                <w:szCs w:val="19"/>
                <w:color w:val="auto"/>
              </w:rPr>
            </w:pPr>
          </w:p>
        </w:tc>
        <w:tc>
          <w:tcPr>
            <w:tcW w:w="980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Other current assets</w:t>
            </w:r>
          </w:p>
        </w:tc>
        <w:tc>
          <w:tcPr>
            <w:tcW w:w="6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r>
      <w:tr>
        <w:trPr>
          <w:trHeight w:val="218"/>
        </w:trPr>
        <w:tc>
          <w:tcPr>
            <w:tcW w:w="20" w:type="dxa"/>
            <w:vAlign w:val="bottom"/>
          </w:tcPr>
          <w:p>
            <w:pPr>
              <w:spacing w:after="0"/>
              <w:rPr>
                <w:sz w:val="18"/>
                <w:szCs w:val="18"/>
                <w:color w:val="auto"/>
              </w:rPr>
            </w:pPr>
          </w:p>
        </w:tc>
        <w:tc>
          <w:tcPr>
            <w:tcW w:w="9800" w:type="dxa"/>
            <w:vAlign w:val="bottom"/>
            <w:gridSpan w:val="2"/>
          </w:tcPr>
          <w:p>
            <w:pPr>
              <w:ind w:left="100"/>
              <w:spacing w:after="0"/>
              <w:rPr>
                <w:sz w:val="20"/>
                <w:szCs w:val="20"/>
                <w:color w:val="auto"/>
              </w:rPr>
            </w:pPr>
            <w:r>
              <w:rPr>
                <w:rFonts w:ascii="Arial" w:cs="Arial" w:eastAsia="Arial" w:hAnsi="Arial"/>
                <w:sz w:val="17"/>
                <w:szCs w:val="17"/>
                <w:color w:val="auto"/>
              </w:rPr>
              <w:t>Property, plant and equipment</w:t>
            </w:r>
          </w:p>
        </w:tc>
        <w:tc>
          <w:tcPr>
            <w:tcW w:w="6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43</w:t>
            </w:r>
          </w:p>
        </w:tc>
      </w:tr>
      <w:tr>
        <w:trPr>
          <w:trHeight w:val="220"/>
        </w:trPr>
        <w:tc>
          <w:tcPr>
            <w:tcW w:w="20" w:type="dxa"/>
            <w:vAlign w:val="bottom"/>
            <w:shd w:val="clear" w:color="auto" w:fill="CCEEFF"/>
          </w:tcPr>
          <w:p>
            <w:pPr>
              <w:spacing w:after="0"/>
              <w:rPr>
                <w:sz w:val="19"/>
                <w:szCs w:val="19"/>
                <w:color w:val="auto"/>
              </w:rPr>
            </w:pPr>
          </w:p>
        </w:tc>
        <w:tc>
          <w:tcPr>
            <w:tcW w:w="980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Goodwill</w:t>
            </w:r>
          </w:p>
        </w:tc>
        <w:tc>
          <w:tcPr>
            <w:tcW w:w="6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102</w:t>
            </w:r>
          </w:p>
        </w:tc>
      </w:tr>
      <w:tr>
        <w:trPr>
          <w:trHeight w:val="218"/>
        </w:trPr>
        <w:tc>
          <w:tcPr>
            <w:tcW w:w="20" w:type="dxa"/>
            <w:vAlign w:val="bottom"/>
          </w:tcPr>
          <w:p>
            <w:pPr>
              <w:spacing w:after="0"/>
              <w:rPr>
                <w:sz w:val="18"/>
                <w:szCs w:val="18"/>
                <w:color w:val="auto"/>
              </w:rPr>
            </w:pPr>
          </w:p>
        </w:tc>
        <w:tc>
          <w:tcPr>
            <w:tcW w:w="9800" w:type="dxa"/>
            <w:vAlign w:val="bottom"/>
            <w:gridSpan w:val="2"/>
          </w:tcPr>
          <w:p>
            <w:pPr>
              <w:ind w:left="100"/>
              <w:spacing w:after="0"/>
              <w:rPr>
                <w:sz w:val="20"/>
                <w:szCs w:val="20"/>
                <w:color w:val="auto"/>
              </w:rPr>
            </w:pPr>
            <w:r>
              <w:rPr>
                <w:rFonts w:ascii="Arial" w:cs="Arial" w:eastAsia="Arial" w:hAnsi="Arial"/>
                <w:sz w:val="17"/>
                <w:szCs w:val="17"/>
                <w:color w:val="auto"/>
              </w:rPr>
              <w:t>Other intangible assets</w:t>
            </w:r>
          </w:p>
        </w:tc>
        <w:tc>
          <w:tcPr>
            <w:tcW w:w="6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89</w:t>
            </w:r>
          </w:p>
        </w:tc>
      </w:tr>
      <w:tr>
        <w:trPr>
          <w:trHeight w:val="220"/>
        </w:trPr>
        <w:tc>
          <w:tcPr>
            <w:tcW w:w="20" w:type="dxa"/>
            <w:vAlign w:val="bottom"/>
            <w:shd w:val="clear" w:color="auto" w:fill="CCEEFF"/>
          </w:tcPr>
          <w:p>
            <w:pPr>
              <w:spacing w:after="0"/>
              <w:rPr>
                <w:sz w:val="19"/>
                <w:szCs w:val="19"/>
                <w:color w:val="auto"/>
              </w:rPr>
            </w:pPr>
          </w:p>
        </w:tc>
        <w:tc>
          <w:tcPr>
            <w:tcW w:w="980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Other noncurrent assets</w:t>
            </w:r>
          </w:p>
        </w:tc>
        <w:tc>
          <w:tcPr>
            <w:tcW w:w="6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w:t>
            </w:r>
          </w:p>
        </w:tc>
      </w:tr>
      <w:tr>
        <w:trPr>
          <w:trHeight w:val="211"/>
        </w:trPr>
        <w:tc>
          <w:tcPr>
            <w:tcW w:w="20" w:type="dxa"/>
            <w:vAlign w:val="bottom"/>
          </w:tcPr>
          <w:p>
            <w:pPr>
              <w:spacing w:after="0"/>
              <w:rPr>
                <w:sz w:val="18"/>
                <w:szCs w:val="18"/>
                <w:color w:val="auto"/>
              </w:rPr>
            </w:pPr>
          </w:p>
        </w:tc>
        <w:tc>
          <w:tcPr>
            <w:tcW w:w="9800" w:type="dxa"/>
            <w:vAlign w:val="bottom"/>
            <w:gridSpan w:val="2"/>
          </w:tcPr>
          <w:p>
            <w:pPr>
              <w:ind w:left="200"/>
              <w:spacing w:after="0"/>
              <w:rPr>
                <w:sz w:val="20"/>
                <w:szCs w:val="20"/>
                <w:color w:val="auto"/>
              </w:rPr>
            </w:pPr>
            <w:r>
              <w:rPr>
                <w:rFonts w:ascii="Arial" w:cs="Arial" w:eastAsia="Arial" w:hAnsi="Arial"/>
                <w:sz w:val="17"/>
                <w:szCs w:val="17"/>
                <w:color w:val="auto"/>
              </w:rPr>
              <w:t>Total assets acquired</w:t>
            </w:r>
          </w:p>
        </w:tc>
        <w:tc>
          <w:tcPr>
            <w:tcW w:w="6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299</w:t>
            </w:r>
          </w:p>
        </w:tc>
      </w:tr>
      <w:tr>
        <w:trPr>
          <w:trHeight w:val="220"/>
        </w:trPr>
        <w:tc>
          <w:tcPr>
            <w:tcW w:w="9820" w:type="dxa"/>
            <w:vAlign w:val="bottom"/>
            <w:gridSpan w:val="3"/>
            <w:shd w:val="clear" w:color="auto" w:fill="CCEEFF"/>
          </w:tcPr>
          <w:p>
            <w:pPr>
              <w:ind w:left="20"/>
              <w:spacing w:after="0"/>
              <w:rPr>
                <w:sz w:val="20"/>
                <w:szCs w:val="20"/>
                <w:color w:val="auto"/>
              </w:rPr>
            </w:pPr>
            <w:r>
              <w:rPr>
                <w:rFonts w:ascii="Arial" w:cs="Arial" w:eastAsia="Arial" w:hAnsi="Arial"/>
                <w:sz w:val="17"/>
                <w:szCs w:val="17"/>
                <w:b w:val="1"/>
                <w:bCs w:val="1"/>
                <w:color w:val="auto"/>
              </w:rPr>
              <w:t>Liabilities assumed</w:t>
            </w:r>
          </w:p>
        </w:tc>
        <w:tc>
          <w:tcPr>
            <w:tcW w:w="6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9800" w:type="dxa"/>
            <w:vAlign w:val="bottom"/>
            <w:gridSpan w:val="2"/>
          </w:tcPr>
          <w:p>
            <w:pPr>
              <w:ind w:left="100"/>
              <w:spacing w:after="0"/>
              <w:rPr>
                <w:sz w:val="20"/>
                <w:szCs w:val="20"/>
                <w:color w:val="auto"/>
              </w:rPr>
            </w:pPr>
            <w:r>
              <w:rPr>
                <w:rFonts w:ascii="Arial" w:cs="Arial" w:eastAsia="Arial" w:hAnsi="Arial"/>
                <w:sz w:val="17"/>
                <w:szCs w:val="17"/>
                <w:color w:val="auto"/>
              </w:rPr>
              <w:t>Current liabilities</w:t>
            </w:r>
          </w:p>
        </w:tc>
        <w:tc>
          <w:tcPr>
            <w:tcW w:w="6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16</w:t>
            </w:r>
          </w:p>
        </w:tc>
      </w:tr>
      <w:tr>
        <w:trPr>
          <w:trHeight w:val="220"/>
        </w:trPr>
        <w:tc>
          <w:tcPr>
            <w:tcW w:w="20" w:type="dxa"/>
            <w:vAlign w:val="bottom"/>
            <w:shd w:val="clear" w:color="auto" w:fill="CCEEFF"/>
          </w:tcPr>
          <w:p>
            <w:pPr>
              <w:spacing w:after="0"/>
              <w:rPr>
                <w:sz w:val="19"/>
                <w:szCs w:val="19"/>
                <w:color w:val="auto"/>
              </w:rPr>
            </w:pPr>
          </w:p>
        </w:tc>
        <w:tc>
          <w:tcPr>
            <w:tcW w:w="980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Noncurrent liabilities</w:t>
            </w:r>
          </w:p>
        </w:tc>
        <w:tc>
          <w:tcPr>
            <w:tcW w:w="6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w:t>
            </w:r>
          </w:p>
        </w:tc>
      </w:tr>
      <w:tr>
        <w:trPr>
          <w:trHeight w:val="211"/>
        </w:trPr>
        <w:tc>
          <w:tcPr>
            <w:tcW w:w="20" w:type="dxa"/>
            <w:vAlign w:val="bottom"/>
            <w:tcBorders>
              <w:bottom w:val="single" w:sz="8" w:color="CCEEFF"/>
            </w:tcBorders>
          </w:tcPr>
          <w:p>
            <w:pPr>
              <w:spacing w:after="0"/>
              <w:rPr>
                <w:sz w:val="18"/>
                <w:szCs w:val="18"/>
                <w:color w:val="auto"/>
              </w:rPr>
            </w:pPr>
          </w:p>
        </w:tc>
        <w:tc>
          <w:tcPr>
            <w:tcW w:w="9800" w:type="dxa"/>
            <w:vAlign w:val="bottom"/>
            <w:tcBorders>
              <w:bottom w:val="single" w:sz="8" w:color="CCEEFF"/>
            </w:tcBorders>
            <w:gridSpan w:val="2"/>
          </w:tcPr>
          <w:p>
            <w:pPr>
              <w:ind w:left="200"/>
              <w:spacing w:after="0"/>
              <w:rPr>
                <w:sz w:val="20"/>
                <w:szCs w:val="20"/>
                <w:color w:val="auto"/>
              </w:rPr>
            </w:pPr>
            <w:r>
              <w:rPr>
                <w:rFonts w:ascii="Arial" w:cs="Arial" w:eastAsia="Arial" w:hAnsi="Arial"/>
                <w:sz w:val="17"/>
                <w:szCs w:val="17"/>
                <w:color w:val="auto"/>
              </w:rPr>
              <w:t>Total liabilities assumed</w:t>
            </w:r>
          </w:p>
        </w:tc>
        <w:tc>
          <w:tcPr>
            <w:tcW w:w="6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54</w:t>
            </w: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980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7"/>
                <w:szCs w:val="17"/>
                <w:color w:val="auto"/>
              </w:rPr>
              <w:t>Net assets acquired</w:t>
            </w:r>
          </w:p>
        </w:tc>
        <w:tc>
          <w:tcPr>
            <w:tcW w:w="600" w:type="dxa"/>
            <w:vAlign w:val="bottom"/>
            <w:tcBorders>
              <w:bottom w:val="single" w:sz="8" w:color="auto"/>
            </w:tcBorders>
            <w:shd w:val="clear" w:color="auto" w:fill="CCEEFF"/>
          </w:tcPr>
          <w:p>
            <w:pPr>
              <w:jc w:val="right"/>
              <w:ind w:right="414"/>
              <w:spacing w:after="0"/>
              <w:rPr>
                <w:sz w:val="20"/>
                <w:szCs w:val="20"/>
                <w:color w:val="auto"/>
              </w:rPr>
            </w:pPr>
            <w:r>
              <w:rPr>
                <w:rFonts w:ascii="Arial" w:cs="Arial" w:eastAsia="Arial" w:hAnsi="Arial"/>
                <w:sz w:val="17"/>
                <w:szCs w:val="17"/>
                <w:color w:val="auto"/>
                <w:w w:val="84"/>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245</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91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168" w:lineRule="exact"/>
        <w:rPr>
          <w:sz w:val="20"/>
          <w:szCs w:val="20"/>
          <w:color w:val="auto"/>
        </w:rPr>
      </w:pPr>
    </w:p>
    <w:p>
      <w:pPr>
        <w:ind w:right="60" w:firstLine="464"/>
        <w:spacing w:after="0" w:line="299" w:lineRule="auto"/>
        <w:rPr>
          <w:sz w:val="20"/>
          <w:szCs w:val="20"/>
          <w:color w:val="auto"/>
        </w:rPr>
      </w:pPr>
      <w:r>
        <w:rPr>
          <w:rFonts w:ascii="Arial" w:cs="Arial" w:eastAsia="Arial" w:hAnsi="Arial"/>
          <w:sz w:val="15"/>
          <w:szCs w:val="15"/>
          <w:color w:val="auto"/>
        </w:rPr>
        <w:t>The fair values of the assets acquired and liabilities assumed were determined using the income, cost and market approaches. Discounted cash flow models were used to estimate the fair values of acquired intangibles. The fair value measurements were primarily based on significant inputs that are not observable in the market and are considered Level 3 in the fair value hierarchy. Intangible assets acquired include customer relationships and acquired technology that are subject to amortization, and trade names that were assigned an indefinite life and are not subject to amortization. Contingent liabilities assumed as part of the transaction were not material. These estimates are preliminary in nature and subject to adjustments, which could be material as the Company has not completed its valuation of acquired assets and liabilities. Any necessary adjustments will be finalized within one year from the date of acquisition.</w:t>
      </w:r>
    </w:p>
    <w:p>
      <w:pPr>
        <w:spacing w:after="0" w:line="51" w:lineRule="exact"/>
        <w:rPr>
          <w:sz w:val="20"/>
          <w:szCs w:val="20"/>
          <w:color w:val="auto"/>
        </w:rPr>
      </w:pPr>
    </w:p>
    <w:p>
      <w:pPr>
        <w:jc w:val="both"/>
        <w:ind w:right="640" w:firstLine="464"/>
        <w:spacing w:after="0" w:line="266" w:lineRule="auto"/>
        <w:rPr>
          <w:sz w:val="20"/>
          <w:szCs w:val="20"/>
          <w:color w:val="auto"/>
        </w:rPr>
      </w:pPr>
      <w:r>
        <w:rPr>
          <w:rFonts w:ascii="Arial" w:cs="Arial" w:eastAsia="Arial" w:hAnsi="Arial"/>
          <w:sz w:val="17"/>
          <w:szCs w:val="17"/>
          <w:color w:val="auto"/>
        </w:rPr>
        <w:t>Goodwill was calculated as the difference between the acquisition date fair value of the consideration transferred and the fair value of the net assets acquired, and represents the assembled workforce and the future economic benefits, including synergies, that are expected to be achieved as a result of the acquisition. The purchased goodwill is not expected to be</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04" w:right="339" w:bottom="1440" w:gutter="0" w:footer="0" w:header="0"/>
        </w:sectPr>
      </w:pPr>
    </w:p>
    <w:bookmarkStart w:id="12" w:name="page13"/>
    <w:bookmarkEnd w:id="12"/>
    <w:p>
      <w:pPr>
        <w:ind w:right="40"/>
        <w:spacing w:after="0" w:line="279" w:lineRule="auto"/>
        <w:rPr>
          <w:sz w:val="20"/>
          <w:szCs w:val="20"/>
          <w:color w:val="auto"/>
        </w:rPr>
      </w:pPr>
      <w:r>
        <w:rPr>
          <w:rFonts w:ascii="Arial" w:cs="Arial" w:eastAsia="Arial" w:hAnsi="Arial"/>
          <w:sz w:val="17"/>
          <w:szCs w:val="17"/>
          <w:color w:val="auto"/>
        </w:rPr>
        <w:t>deductible for tax purposes. The pro forma impact on Wabtec’s sales and results of operations, including the pro forma effect of events that are directly attributable to the acquisition, was not significant.</w:t>
      </w:r>
    </w:p>
    <w:p>
      <w:pPr>
        <w:spacing w:after="0" w:line="61" w:lineRule="exact"/>
        <w:rPr>
          <w:sz w:val="20"/>
          <w:szCs w:val="20"/>
          <w:color w:val="auto"/>
        </w:rPr>
      </w:pPr>
    </w:p>
    <w:p>
      <w:pPr>
        <w:jc w:val="both"/>
        <w:ind w:right="180" w:firstLine="464"/>
        <w:spacing w:after="0" w:line="266" w:lineRule="auto"/>
        <w:rPr>
          <w:sz w:val="20"/>
          <w:szCs w:val="20"/>
          <w:color w:val="auto"/>
        </w:rPr>
      </w:pPr>
      <w:r>
        <w:rPr>
          <w:rFonts w:ascii="Arial" w:cs="Arial" w:eastAsia="Arial" w:hAnsi="Arial"/>
          <w:sz w:val="17"/>
          <w:szCs w:val="17"/>
          <w:color w:val="auto"/>
        </w:rPr>
        <w:t>During the twelve months ended December 31, 2022, the Freight Segment made three strategic acquisitions for a combined purchase price of $89 million. Two of the acquisitions are reported in the Digital Intelligence product line and one is reported in the Services product line. Each of the acquisitions in 2022 are individually and collectively immaterial.</w:t>
      </w:r>
    </w:p>
    <w:p>
      <w:pPr>
        <w:spacing w:after="0" w:line="2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4. INVENTORIES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components of inventory, net of reserves, were:</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60" w:type="dxa"/>
            <w:vAlign w:val="bottom"/>
            <w:gridSpan w:val="3"/>
            <w:vMerge w:val="restart"/>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2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7"/>
              </w:rPr>
              <w:t>September 30,</w:t>
            </w:r>
          </w:p>
        </w:tc>
        <w:tc>
          <w:tcPr>
            <w:tcW w:w="240" w:type="dxa"/>
            <w:vAlign w:val="bottom"/>
          </w:tcPr>
          <w:p>
            <w:pPr>
              <w:spacing w:after="0"/>
              <w:rPr>
                <w:sz w:val="14"/>
                <w:szCs w:val="14"/>
                <w:color w:val="auto"/>
              </w:rPr>
            </w:pPr>
          </w:p>
        </w:tc>
        <w:tc>
          <w:tcPr>
            <w:tcW w:w="1280" w:type="dxa"/>
            <w:vAlign w:val="bottom"/>
          </w:tcPr>
          <w:p>
            <w:pPr>
              <w:jc w:val="right"/>
              <w:ind w:right="279"/>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38"/>
        </w:trPr>
        <w:tc>
          <w:tcPr>
            <w:tcW w:w="646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tcPr>
          <w:p>
            <w:pPr>
              <w:jc w:val="center"/>
              <w:ind w:right="79"/>
              <w:spacing w:after="0" w:line="119" w:lineRule="exact"/>
              <w:rPr>
                <w:sz w:val="20"/>
                <w:szCs w:val="20"/>
                <w:color w:val="auto"/>
              </w:rPr>
            </w:pPr>
            <w:r>
              <w:rPr>
                <w:rFonts w:ascii="Arial" w:cs="Arial" w:eastAsia="Arial" w:hAnsi="Arial"/>
                <w:sz w:val="13"/>
                <w:szCs w:val="13"/>
                <w:b w:val="1"/>
                <w:bCs w:val="1"/>
                <w:color w:val="auto"/>
                <w:w w:val="96"/>
              </w:rPr>
              <w:t>2023</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tcPr>
          <w:p>
            <w:pPr>
              <w:jc w:val="right"/>
              <w:ind w:right="539"/>
              <w:spacing w:after="0" w:line="119" w:lineRule="exact"/>
              <w:rPr>
                <w:sz w:val="20"/>
                <w:szCs w:val="20"/>
                <w:color w:val="auto"/>
              </w:rPr>
            </w:pPr>
            <w:r>
              <w:rPr>
                <w:rFonts w:ascii="Arial" w:cs="Arial" w:eastAsia="Arial" w:hAnsi="Arial"/>
                <w:sz w:val="13"/>
                <w:szCs w:val="13"/>
                <w:b w:val="1"/>
                <w:bCs w:val="1"/>
                <w:color w:val="auto"/>
              </w:rPr>
              <w:t>2022</w:t>
            </w:r>
          </w:p>
        </w:tc>
        <w:tc>
          <w:tcPr>
            <w:tcW w:w="0" w:type="dxa"/>
            <w:vAlign w:val="bottom"/>
          </w:tcPr>
          <w:p>
            <w:pPr>
              <w:spacing w:after="0"/>
              <w:rPr>
                <w:sz w:val="1"/>
                <w:szCs w:val="1"/>
                <w:color w:val="auto"/>
              </w:rPr>
            </w:pPr>
          </w:p>
        </w:tc>
      </w:tr>
      <w:tr>
        <w:trPr>
          <w:trHeight w:val="32"/>
        </w:trPr>
        <w:tc>
          <w:tcPr>
            <w:tcW w:w="20" w:type="dxa"/>
            <w:vAlign w:val="bottom"/>
            <w:tcBorders>
              <w:bottom w:val="single" w:sz="8" w:color="CCEEFF"/>
            </w:tcBorders>
          </w:tcPr>
          <w:p>
            <w:pPr>
              <w:spacing w:after="0"/>
              <w:rPr>
                <w:sz w:val="2"/>
                <w:szCs w:val="2"/>
                <w:color w:val="auto"/>
              </w:rPr>
            </w:pPr>
          </w:p>
        </w:tc>
        <w:tc>
          <w:tcPr>
            <w:tcW w:w="620" w:type="dxa"/>
            <w:vAlign w:val="bottom"/>
            <w:tcBorders>
              <w:top w:val="single" w:sz="8" w:color="auto"/>
              <w:bottom w:val="single" w:sz="8" w:color="CCEEFF"/>
            </w:tcBorders>
          </w:tcPr>
          <w:p>
            <w:pPr>
              <w:spacing w:after="0"/>
              <w:rPr>
                <w:sz w:val="2"/>
                <w:szCs w:val="2"/>
                <w:color w:val="auto"/>
              </w:rPr>
            </w:pPr>
          </w:p>
        </w:tc>
        <w:tc>
          <w:tcPr>
            <w:tcW w:w="58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646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Raw materials</w:t>
            </w: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878</w:t>
            </w:r>
          </w:p>
        </w:tc>
        <w:tc>
          <w:tcPr>
            <w:tcW w:w="0" w:type="dxa"/>
            <w:vAlign w:val="bottom"/>
          </w:tcPr>
          <w:p>
            <w:pPr>
              <w:spacing w:after="0"/>
              <w:rPr>
                <w:sz w:val="1"/>
                <w:szCs w:val="1"/>
                <w:color w:val="auto"/>
              </w:rPr>
            </w:pPr>
          </w:p>
        </w:tc>
      </w:tr>
      <w:tr>
        <w:trPr>
          <w:trHeight w:val="218"/>
        </w:trPr>
        <w:tc>
          <w:tcPr>
            <w:tcW w:w="6460" w:type="dxa"/>
            <w:vAlign w:val="bottom"/>
            <w:gridSpan w:val="3"/>
          </w:tcPr>
          <w:p>
            <w:pPr>
              <w:ind w:left="20"/>
              <w:spacing w:after="0"/>
              <w:rPr>
                <w:sz w:val="20"/>
                <w:szCs w:val="20"/>
                <w:color w:val="auto"/>
              </w:rPr>
            </w:pPr>
            <w:r>
              <w:rPr>
                <w:rFonts w:ascii="Arial" w:cs="Arial" w:eastAsia="Arial" w:hAnsi="Arial"/>
                <w:sz w:val="17"/>
                <w:szCs w:val="17"/>
                <w:color w:val="auto"/>
              </w:rPr>
              <w:t>Work-in-progress</w:t>
            </w: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518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515</w:t>
            </w:r>
          </w:p>
        </w:tc>
        <w:tc>
          <w:tcPr>
            <w:tcW w:w="0" w:type="dxa"/>
            <w:vAlign w:val="bottom"/>
          </w:tcPr>
          <w:p>
            <w:pPr>
              <w:spacing w:after="0"/>
              <w:rPr>
                <w:sz w:val="1"/>
                <w:szCs w:val="1"/>
                <w:color w:val="auto"/>
              </w:rPr>
            </w:pPr>
          </w:p>
        </w:tc>
      </w:tr>
      <w:tr>
        <w:trPr>
          <w:trHeight w:val="219"/>
        </w:trPr>
        <w:tc>
          <w:tcPr>
            <w:tcW w:w="646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Finished goods</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738</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641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440" w:type="dxa"/>
            <w:vAlign w:val="bottom"/>
            <w:gridSpan w:val="2"/>
          </w:tcPr>
          <w:p>
            <w:pPr>
              <w:ind w:left="460"/>
              <w:spacing w:after="0"/>
              <w:rPr>
                <w:sz w:val="20"/>
                <w:szCs w:val="20"/>
                <w:color w:val="auto"/>
              </w:rPr>
            </w:pPr>
            <w:r>
              <w:rPr>
                <w:rFonts w:ascii="Arial" w:cs="Arial" w:eastAsia="Arial" w:hAnsi="Arial"/>
                <w:sz w:val="17"/>
                <w:szCs w:val="17"/>
                <w:color w:val="auto"/>
              </w:rPr>
              <w:t>Total inventories</w:t>
            </w: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2,246</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w w:val="84"/>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2,034</w:t>
            </w:r>
          </w:p>
        </w:tc>
        <w:tc>
          <w:tcPr>
            <w:tcW w:w="0" w:type="dxa"/>
            <w:vAlign w:val="bottom"/>
          </w:tcPr>
          <w:p>
            <w:pPr>
              <w:spacing w:after="0"/>
              <w:rPr>
                <w:sz w:val="1"/>
                <w:szCs w:val="1"/>
                <w:color w:val="auto"/>
              </w:rPr>
            </w:pPr>
          </w:p>
        </w:tc>
      </w:tr>
      <w:tr>
        <w:trPr>
          <w:trHeight w:val="20"/>
        </w:trPr>
        <w:tc>
          <w:tcPr>
            <w:tcW w:w="6460" w:type="dxa"/>
            <w:vAlign w:val="bottom"/>
            <w:gridSpan w:val="3"/>
            <w:vMerge w:val="restart"/>
          </w:tcPr>
          <w:p>
            <w:pPr>
              <w:spacing w:after="0"/>
              <w:rPr>
                <w:sz w:val="20"/>
                <w:szCs w:val="20"/>
                <w:color w:val="auto"/>
              </w:rPr>
            </w:pPr>
            <w:r>
              <w:rPr>
                <w:rFonts w:ascii="Arial" w:cs="Arial" w:eastAsia="Arial" w:hAnsi="Arial"/>
                <w:sz w:val="17"/>
                <w:szCs w:val="17"/>
                <w:b w:val="1"/>
                <w:bCs w:val="1"/>
                <w:color w:val="auto"/>
              </w:rPr>
              <w:t>5. GOODWILL AND INTANGIBLE ASSETS</w:t>
            </w:r>
          </w:p>
        </w:tc>
        <w:tc>
          <w:tcPr>
            <w:tcW w:w="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9"/>
        </w:trPr>
        <w:tc>
          <w:tcPr>
            <w:tcW w:w="6460" w:type="dxa"/>
            <w:vAlign w:val="bottom"/>
            <w:gridSpan w:val="3"/>
            <w:vMerge w:val="continue"/>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6440" w:type="dxa"/>
            <w:vAlign w:val="bottom"/>
            <w:gridSpan w:val="2"/>
          </w:tcPr>
          <w:p>
            <w:pPr>
              <w:ind w:left="440"/>
              <w:spacing w:after="0"/>
              <w:rPr>
                <w:sz w:val="20"/>
                <w:szCs w:val="20"/>
                <w:color w:val="auto"/>
              </w:rPr>
            </w:pPr>
            <w:r>
              <w:rPr>
                <w:rFonts w:ascii="Arial" w:cs="Arial" w:eastAsia="Arial" w:hAnsi="Arial"/>
                <w:sz w:val="17"/>
                <w:szCs w:val="17"/>
                <w:color w:val="auto"/>
              </w:rPr>
              <w:t>The change in the carrying amount of goodwill by segment is as follows:</w:t>
            </w: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6460" w:type="dxa"/>
            <w:vAlign w:val="bottom"/>
            <w:gridSpan w:val="3"/>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200" w:type="dxa"/>
            <w:vAlign w:val="bottom"/>
          </w:tcPr>
          <w:p>
            <w:pPr>
              <w:spacing w:after="0"/>
              <w:rPr>
                <w:sz w:val="14"/>
                <w:szCs w:val="14"/>
                <w:color w:val="auto"/>
              </w:rPr>
            </w:pPr>
          </w:p>
        </w:tc>
        <w:tc>
          <w:tcPr>
            <w:tcW w:w="1440" w:type="dxa"/>
            <w:vAlign w:val="bottom"/>
            <w:gridSpan w:val="3"/>
          </w:tcPr>
          <w:p>
            <w:pPr>
              <w:ind w:left="80"/>
              <w:spacing w:after="0"/>
              <w:rPr>
                <w:sz w:val="20"/>
                <w:szCs w:val="20"/>
                <w:color w:val="auto"/>
              </w:rPr>
            </w:pPr>
            <w:r>
              <w:rPr>
                <w:rFonts w:ascii="Arial" w:cs="Arial" w:eastAsia="Arial" w:hAnsi="Arial"/>
                <w:sz w:val="14"/>
                <w:szCs w:val="14"/>
                <w:b w:val="1"/>
                <w:bCs w:val="1"/>
                <w:color w:val="auto"/>
              </w:rPr>
              <w:t>Freight Segment</w:t>
            </w:r>
          </w:p>
        </w:tc>
        <w:tc>
          <w:tcPr>
            <w:tcW w:w="180" w:type="dxa"/>
            <w:vAlign w:val="bottom"/>
          </w:tcPr>
          <w:p>
            <w:pPr>
              <w:spacing w:after="0"/>
              <w:rPr>
                <w:sz w:val="14"/>
                <w:szCs w:val="14"/>
                <w:color w:val="auto"/>
              </w:rPr>
            </w:pPr>
          </w:p>
        </w:tc>
        <w:tc>
          <w:tcPr>
            <w:tcW w:w="144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87"/>
              </w:rPr>
              <w:t>Transit Segment</w:t>
            </w:r>
          </w:p>
        </w:tc>
        <w:tc>
          <w:tcPr>
            <w:tcW w:w="240" w:type="dxa"/>
            <w:vAlign w:val="bottom"/>
          </w:tcPr>
          <w:p>
            <w:pPr>
              <w:spacing w:after="0"/>
              <w:rPr>
                <w:sz w:val="14"/>
                <w:szCs w:val="14"/>
                <w:color w:val="auto"/>
              </w:rPr>
            </w:pPr>
          </w:p>
        </w:tc>
        <w:tc>
          <w:tcPr>
            <w:tcW w:w="1280" w:type="dxa"/>
            <w:vAlign w:val="bottom"/>
          </w:tcPr>
          <w:p>
            <w:pPr>
              <w:jc w:val="right"/>
              <w:ind w:right="53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32"/>
        </w:trPr>
        <w:tc>
          <w:tcPr>
            <w:tcW w:w="20" w:type="dxa"/>
            <w:vAlign w:val="bottom"/>
            <w:tcBorders>
              <w:bottom w:val="single" w:sz="8" w:color="CCEEFF"/>
            </w:tcBorders>
          </w:tcPr>
          <w:p>
            <w:pPr>
              <w:spacing w:after="0"/>
              <w:rPr>
                <w:sz w:val="2"/>
                <w:szCs w:val="2"/>
                <w:color w:val="auto"/>
              </w:rPr>
            </w:pPr>
          </w:p>
        </w:tc>
        <w:tc>
          <w:tcPr>
            <w:tcW w:w="620" w:type="dxa"/>
            <w:vAlign w:val="bottom"/>
            <w:tcBorders>
              <w:top w:val="single" w:sz="8" w:color="auto"/>
              <w:bottom w:val="single" w:sz="8" w:color="CCEEFF"/>
            </w:tcBorders>
          </w:tcPr>
          <w:p>
            <w:pPr>
              <w:spacing w:after="0"/>
              <w:rPr>
                <w:sz w:val="2"/>
                <w:szCs w:val="2"/>
                <w:color w:val="auto"/>
              </w:rPr>
            </w:pPr>
          </w:p>
        </w:tc>
        <w:tc>
          <w:tcPr>
            <w:tcW w:w="58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646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Balance at December 31, 2022</w:t>
            </w: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7,085</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9"/>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1,423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8,508</w:t>
            </w:r>
          </w:p>
        </w:tc>
        <w:tc>
          <w:tcPr>
            <w:tcW w:w="0" w:type="dxa"/>
            <w:vAlign w:val="bottom"/>
          </w:tcPr>
          <w:p>
            <w:pPr>
              <w:spacing w:after="0"/>
              <w:rPr>
                <w:sz w:val="1"/>
                <w:szCs w:val="1"/>
                <w:color w:val="auto"/>
              </w:rPr>
            </w:pPr>
          </w:p>
        </w:tc>
      </w:tr>
      <w:tr>
        <w:trPr>
          <w:trHeight w:val="218"/>
        </w:trPr>
        <w:tc>
          <w:tcPr>
            <w:tcW w:w="6460" w:type="dxa"/>
            <w:vAlign w:val="bottom"/>
            <w:gridSpan w:val="3"/>
          </w:tcPr>
          <w:p>
            <w:pPr>
              <w:ind w:left="20"/>
              <w:spacing w:after="0"/>
              <w:rPr>
                <w:sz w:val="20"/>
                <w:szCs w:val="20"/>
                <w:color w:val="auto"/>
              </w:rPr>
            </w:pPr>
            <w:r>
              <w:rPr>
                <w:rFonts w:ascii="Arial" w:cs="Arial" w:eastAsia="Arial" w:hAnsi="Arial"/>
                <w:sz w:val="17"/>
                <w:szCs w:val="17"/>
                <w:color w:val="auto"/>
              </w:rPr>
              <w:t>Additions/adjustments</w:t>
            </w: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102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3"/>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102</w:t>
            </w:r>
          </w:p>
        </w:tc>
        <w:tc>
          <w:tcPr>
            <w:tcW w:w="0" w:type="dxa"/>
            <w:vAlign w:val="bottom"/>
          </w:tcPr>
          <w:p>
            <w:pPr>
              <w:spacing w:after="0"/>
              <w:rPr>
                <w:sz w:val="1"/>
                <w:szCs w:val="1"/>
                <w:color w:val="auto"/>
              </w:rPr>
            </w:pPr>
          </w:p>
        </w:tc>
      </w:tr>
      <w:tr>
        <w:trPr>
          <w:trHeight w:val="219"/>
        </w:trPr>
        <w:tc>
          <w:tcPr>
            <w:tcW w:w="646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Foreign currency impact</w:t>
            </w: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w:t>
            </w:r>
          </w:p>
        </w:tc>
        <w:tc>
          <w:tcPr>
            <w:tcW w:w="0" w:type="dxa"/>
            <w:vAlign w:val="bottom"/>
          </w:tcPr>
          <w:p>
            <w:pPr>
              <w:spacing w:after="0"/>
              <w:rPr>
                <w:sz w:val="1"/>
                <w:szCs w:val="1"/>
                <w:color w:val="auto"/>
              </w:rPr>
            </w:pPr>
          </w:p>
        </w:tc>
      </w:tr>
      <w:tr>
        <w:trPr>
          <w:trHeight w:val="213"/>
        </w:trPr>
        <w:tc>
          <w:tcPr>
            <w:tcW w:w="6460" w:type="dxa"/>
            <w:vAlign w:val="bottom"/>
            <w:gridSpan w:val="3"/>
          </w:tcPr>
          <w:p>
            <w:pPr>
              <w:ind w:left="20"/>
              <w:spacing w:after="0"/>
              <w:rPr>
                <w:sz w:val="20"/>
                <w:szCs w:val="20"/>
                <w:color w:val="auto"/>
              </w:rPr>
            </w:pPr>
            <w:r>
              <w:rPr>
                <w:rFonts w:ascii="Arial" w:cs="Arial" w:eastAsia="Arial" w:hAnsi="Arial"/>
                <w:sz w:val="17"/>
                <w:szCs w:val="17"/>
                <w:color w:val="auto"/>
              </w:rPr>
              <w:t>Balance at September 30, 2023</w:t>
            </w:r>
          </w:p>
        </w:tc>
        <w:tc>
          <w:tcPr>
            <w:tcW w:w="2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w w:val="84"/>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7,186</w:t>
            </w:r>
          </w:p>
        </w:tc>
        <w:tc>
          <w:tcPr>
            <w:tcW w:w="1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ind w:right="19"/>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1,404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w w:val="84"/>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8,590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jc w:val="both"/>
        <w:ind w:right="120" w:firstLine="464"/>
        <w:spacing w:after="0" w:line="266" w:lineRule="auto"/>
        <w:rPr>
          <w:sz w:val="20"/>
          <w:szCs w:val="20"/>
          <w:color w:val="auto"/>
        </w:rPr>
      </w:pPr>
      <w:r>
        <w:rPr>
          <w:rFonts w:ascii="Arial" w:cs="Arial" w:eastAsia="Arial" w:hAnsi="Arial"/>
          <w:sz w:val="17"/>
          <w:szCs w:val="17"/>
          <w:color w:val="auto"/>
        </w:rPr>
        <w:t>As of September 30, 2023 and December 31, 2022, the Company’s trade names had a net carrying amount of $612 million and $602 million, respectively. The Company believes these intangibles have indefinite lives, with the exception of the right to use the GE Transportation trade name, to which the Company has assigned a useful life of 5 years.</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Intangible assets of the Company, other than goodwill and trade names, consist of the following:</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5"/>
                <w:szCs w:val="15"/>
                <w:b w:val="1"/>
                <w:bCs w:val="1"/>
                <w:color w:val="auto"/>
                <w:w w:val="92"/>
              </w:rPr>
              <w:t>September 30, 2023</w:t>
            </w:r>
          </w:p>
        </w:tc>
        <w:tc>
          <w:tcPr>
            <w:tcW w:w="5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5"/>
                <w:szCs w:val="15"/>
                <w:b w:val="1"/>
                <w:bCs w:val="1"/>
                <w:color w:val="auto"/>
                <w:w w:val="91"/>
              </w:rPr>
              <w:t>December 31, 2022</w:t>
            </w:r>
          </w:p>
        </w:tc>
        <w:tc>
          <w:tcPr>
            <w:tcW w:w="5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28"/>
        </w:trPr>
        <w:tc>
          <w:tcPr>
            <w:tcW w:w="2500" w:type="dxa"/>
            <w:vAlign w:val="bottom"/>
            <w:gridSpan w:val="3"/>
            <w:vMerge w:val="restart"/>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160" w:type="dxa"/>
            <w:vAlign w:val="bottom"/>
          </w:tcPr>
          <w:p>
            <w:pPr>
              <w:spacing w:after="0"/>
              <w:rPr>
                <w:sz w:val="11"/>
                <w:szCs w:val="11"/>
                <w:color w:val="auto"/>
              </w:rPr>
            </w:pPr>
          </w:p>
        </w:tc>
        <w:tc>
          <w:tcPr>
            <w:tcW w:w="1300" w:type="dxa"/>
            <w:vAlign w:val="bottom"/>
            <w:gridSpan w:val="2"/>
          </w:tcPr>
          <w:p>
            <w:pPr>
              <w:jc w:val="center"/>
              <w:ind w:right="260"/>
              <w:spacing w:after="0" w:line="128" w:lineRule="exact"/>
              <w:rPr>
                <w:sz w:val="20"/>
                <w:szCs w:val="20"/>
                <w:color w:val="auto"/>
              </w:rPr>
            </w:pPr>
            <w:r>
              <w:rPr>
                <w:rFonts w:ascii="Arial" w:cs="Arial" w:eastAsia="Arial" w:hAnsi="Arial"/>
                <w:sz w:val="14"/>
                <w:szCs w:val="14"/>
                <w:b w:val="1"/>
                <w:bCs w:val="1"/>
                <w:color w:val="auto"/>
                <w:w w:val="90"/>
              </w:rPr>
              <w:t>Gross Carrying</w:t>
            </w:r>
          </w:p>
        </w:tc>
        <w:tc>
          <w:tcPr>
            <w:tcW w:w="200" w:type="dxa"/>
            <w:vAlign w:val="bottom"/>
          </w:tcPr>
          <w:p>
            <w:pPr>
              <w:spacing w:after="0"/>
              <w:rPr>
                <w:sz w:val="11"/>
                <w:szCs w:val="11"/>
                <w:color w:val="auto"/>
              </w:rPr>
            </w:pPr>
          </w:p>
        </w:tc>
        <w:tc>
          <w:tcPr>
            <w:tcW w:w="1280" w:type="dxa"/>
            <w:vAlign w:val="bottom"/>
            <w:gridSpan w:val="2"/>
          </w:tcPr>
          <w:p>
            <w:pPr>
              <w:jc w:val="center"/>
              <w:ind w:right="300"/>
              <w:spacing w:after="0" w:line="128" w:lineRule="exact"/>
              <w:rPr>
                <w:sz w:val="20"/>
                <w:szCs w:val="20"/>
                <w:color w:val="auto"/>
              </w:rPr>
            </w:pPr>
            <w:r>
              <w:rPr>
                <w:rFonts w:ascii="Arial" w:cs="Arial" w:eastAsia="Arial" w:hAnsi="Arial"/>
                <w:sz w:val="14"/>
                <w:szCs w:val="14"/>
                <w:b w:val="1"/>
                <w:bCs w:val="1"/>
                <w:color w:val="auto"/>
                <w:w w:val="88"/>
              </w:rPr>
              <w:t>Accumulated</w:t>
            </w:r>
          </w:p>
        </w:tc>
        <w:tc>
          <w:tcPr>
            <w:tcW w:w="14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Net Carrying Amount</w:t>
            </w:r>
          </w:p>
        </w:tc>
        <w:tc>
          <w:tcPr>
            <w:tcW w:w="160" w:type="dxa"/>
            <w:vAlign w:val="bottom"/>
          </w:tcPr>
          <w:p>
            <w:pPr>
              <w:spacing w:after="0"/>
              <w:rPr>
                <w:sz w:val="11"/>
                <w:szCs w:val="11"/>
                <w:color w:val="auto"/>
              </w:rPr>
            </w:pPr>
          </w:p>
        </w:tc>
        <w:tc>
          <w:tcPr>
            <w:tcW w:w="1300" w:type="dxa"/>
            <w:vAlign w:val="bottom"/>
            <w:gridSpan w:val="2"/>
          </w:tcPr>
          <w:p>
            <w:pPr>
              <w:jc w:val="center"/>
              <w:ind w:right="260"/>
              <w:spacing w:after="0" w:line="128" w:lineRule="exact"/>
              <w:rPr>
                <w:sz w:val="20"/>
                <w:szCs w:val="20"/>
                <w:color w:val="auto"/>
              </w:rPr>
            </w:pPr>
            <w:r>
              <w:rPr>
                <w:rFonts w:ascii="Arial" w:cs="Arial" w:eastAsia="Arial" w:hAnsi="Arial"/>
                <w:sz w:val="14"/>
                <w:szCs w:val="14"/>
                <w:b w:val="1"/>
                <w:bCs w:val="1"/>
                <w:color w:val="auto"/>
                <w:w w:val="90"/>
              </w:rPr>
              <w:t>Gross Carrying</w:t>
            </w:r>
          </w:p>
        </w:tc>
        <w:tc>
          <w:tcPr>
            <w:tcW w:w="200" w:type="dxa"/>
            <w:vAlign w:val="bottom"/>
          </w:tcPr>
          <w:p>
            <w:pPr>
              <w:spacing w:after="0"/>
              <w:rPr>
                <w:sz w:val="11"/>
                <w:szCs w:val="11"/>
                <w:color w:val="auto"/>
              </w:rPr>
            </w:pPr>
          </w:p>
        </w:tc>
        <w:tc>
          <w:tcPr>
            <w:tcW w:w="1280" w:type="dxa"/>
            <w:vAlign w:val="bottom"/>
            <w:gridSpan w:val="2"/>
          </w:tcPr>
          <w:p>
            <w:pPr>
              <w:jc w:val="center"/>
              <w:ind w:right="300"/>
              <w:spacing w:after="0" w:line="128" w:lineRule="exact"/>
              <w:rPr>
                <w:sz w:val="20"/>
                <w:szCs w:val="20"/>
                <w:color w:val="auto"/>
              </w:rPr>
            </w:pPr>
            <w:r>
              <w:rPr>
                <w:rFonts w:ascii="Arial" w:cs="Arial" w:eastAsia="Arial" w:hAnsi="Arial"/>
                <w:sz w:val="14"/>
                <w:szCs w:val="14"/>
                <w:b w:val="1"/>
                <w:bCs w:val="1"/>
                <w:color w:val="auto"/>
                <w:w w:val="88"/>
              </w:rPr>
              <w:t>Accumulated</w:t>
            </w:r>
          </w:p>
        </w:tc>
        <w:tc>
          <w:tcPr>
            <w:tcW w:w="13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3"/>
              </w:rPr>
              <w:t>Net Carrying Amount</w:t>
            </w:r>
          </w:p>
        </w:tc>
        <w:tc>
          <w:tcPr>
            <w:tcW w:w="0" w:type="dxa"/>
            <w:vAlign w:val="bottom"/>
          </w:tcPr>
          <w:p>
            <w:pPr>
              <w:spacing w:after="0"/>
              <w:rPr>
                <w:sz w:val="1"/>
                <w:szCs w:val="1"/>
                <w:color w:val="auto"/>
              </w:rPr>
            </w:pPr>
          </w:p>
        </w:tc>
      </w:tr>
      <w:tr>
        <w:trPr>
          <w:trHeight w:val="138"/>
        </w:trPr>
        <w:tc>
          <w:tcPr>
            <w:tcW w:w="250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w w:val="97"/>
              </w:rPr>
              <w:t>Amount</w:t>
            </w:r>
          </w:p>
        </w:tc>
        <w:tc>
          <w:tcPr>
            <w:tcW w:w="200" w:type="dxa"/>
            <w:vAlign w:val="bottom"/>
          </w:tcPr>
          <w:p>
            <w:pPr>
              <w:spacing w:after="0"/>
              <w:rPr>
                <w:sz w:val="12"/>
                <w:szCs w:val="12"/>
                <w:color w:val="auto"/>
              </w:rPr>
            </w:pPr>
          </w:p>
        </w:tc>
        <w:tc>
          <w:tcPr>
            <w:tcW w:w="1280" w:type="dxa"/>
            <w:vAlign w:val="bottom"/>
            <w:gridSpan w:val="2"/>
          </w:tcPr>
          <w:p>
            <w:pPr>
              <w:jc w:val="center"/>
              <w:ind w:right="300"/>
              <w:spacing w:after="0" w:line="119" w:lineRule="exact"/>
              <w:rPr>
                <w:sz w:val="20"/>
                <w:szCs w:val="20"/>
                <w:color w:val="auto"/>
              </w:rPr>
            </w:pPr>
            <w:r>
              <w:rPr>
                <w:rFonts w:ascii="Arial" w:cs="Arial" w:eastAsia="Arial" w:hAnsi="Arial"/>
                <w:sz w:val="13"/>
                <w:szCs w:val="13"/>
                <w:b w:val="1"/>
                <w:bCs w:val="1"/>
                <w:color w:val="auto"/>
                <w:w w:val="98"/>
              </w:rPr>
              <w:t>Amortization</w:t>
            </w:r>
          </w:p>
        </w:tc>
        <w:tc>
          <w:tcPr>
            <w:tcW w:w="148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w w:val="97"/>
              </w:rPr>
              <w:t>Amount</w:t>
            </w:r>
          </w:p>
        </w:tc>
        <w:tc>
          <w:tcPr>
            <w:tcW w:w="200" w:type="dxa"/>
            <w:vAlign w:val="bottom"/>
          </w:tcPr>
          <w:p>
            <w:pPr>
              <w:spacing w:after="0"/>
              <w:rPr>
                <w:sz w:val="12"/>
                <w:szCs w:val="12"/>
                <w:color w:val="auto"/>
              </w:rPr>
            </w:pPr>
          </w:p>
        </w:tc>
        <w:tc>
          <w:tcPr>
            <w:tcW w:w="128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rPr>
              <w:t>Amortization</w:t>
            </w:r>
          </w:p>
        </w:tc>
        <w:tc>
          <w:tcPr>
            <w:tcW w:w="13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20" w:type="dxa"/>
            <w:vAlign w:val="bottom"/>
            <w:tcBorders>
              <w:bottom w:val="single" w:sz="8" w:color="CCEEFF"/>
            </w:tcBorders>
          </w:tcPr>
          <w:p>
            <w:pPr>
              <w:spacing w:after="0"/>
              <w:rPr>
                <w:sz w:val="2"/>
                <w:szCs w:val="2"/>
                <w:color w:val="auto"/>
              </w:rPr>
            </w:pPr>
          </w:p>
        </w:tc>
        <w:tc>
          <w:tcPr>
            <w:tcW w:w="620" w:type="dxa"/>
            <w:vAlign w:val="bottom"/>
            <w:tcBorders>
              <w:top w:val="single" w:sz="8" w:color="auto"/>
              <w:bottom w:val="single" w:sz="8" w:color="CCEEFF"/>
            </w:tcBorders>
          </w:tcPr>
          <w:p>
            <w:pPr>
              <w:spacing w:after="0"/>
              <w:rPr>
                <w:sz w:val="2"/>
                <w:szCs w:val="2"/>
                <w:color w:val="auto"/>
              </w:rPr>
            </w:pPr>
          </w:p>
        </w:tc>
        <w:tc>
          <w:tcPr>
            <w:tcW w:w="18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9"/>
        </w:trPr>
        <w:tc>
          <w:tcPr>
            <w:tcW w:w="2500" w:type="dxa"/>
            <w:vAlign w:val="bottom"/>
            <w:gridSpan w:val="3"/>
            <w:shd w:val="clear" w:color="auto" w:fill="CCEEFF"/>
          </w:tcPr>
          <w:p>
            <w:pPr>
              <w:ind w:left="20"/>
              <w:spacing w:after="0"/>
              <w:rPr>
                <w:sz w:val="20"/>
                <w:szCs w:val="20"/>
                <w:color w:val="auto"/>
              </w:rPr>
            </w:pPr>
            <w:r>
              <w:rPr>
                <w:rFonts w:ascii="Arial" w:cs="Arial" w:eastAsia="Arial" w:hAnsi="Arial"/>
                <w:sz w:val="15"/>
                <w:szCs w:val="15"/>
                <w:color w:val="auto"/>
              </w:rPr>
              <w:t>Backlog</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1,428</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(498)</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366"/>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930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1,425</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(415)</w:t>
            </w: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366"/>
              <w:spacing w:after="0"/>
              <w:rPr>
                <w:sz w:val="20"/>
                <w:szCs w:val="20"/>
                <w:color w:val="auto"/>
              </w:rPr>
            </w:pPr>
            <w:r>
              <w:rPr>
                <w:rFonts w:ascii="Arial" w:cs="Arial" w:eastAsia="Arial" w:hAnsi="Arial"/>
                <w:sz w:val="15"/>
                <w:szCs w:val="15"/>
                <w:color w:val="auto"/>
                <w:w w:val="95"/>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1,010</w:t>
            </w:r>
          </w:p>
        </w:tc>
        <w:tc>
          <w:tcPr>
            <w:tcW w:w="0" w:type="dxa"/>
            <w:vAlign w:val="bottom"/>
          </w:tcPr>
          <w:p>
            <w:pPr>
              <w:spacing w:after="0"/>
              <w:rPr>
                <w:sz w:val="1"/>
                <w:szCs w:val="1"/>
                <w:color w:val="auto"/>
              </w:rPr>
            </w:pPr>
          </w:p>
        </w:tc>
      </w:tr>
      <w:tr>
        <w:trPr>
          <w:trHeight w:val="203"/>
        </w:trPr>
        <w:tc>
          <w:tcPr>
            <w:tcW w:w="2500" w:type="dxa"/>
            <w:vAlign w:val="bottom"/>
            <w:gridSpan w:val="3"/>
          </w:tcPr>
          <w:p>
            <w:pPr>
              <w:ind w:left="20"/>
              <w:spacing w:after="0"/>
              <w:rPr>
                <w:sz w:val="20"/>
                <w:szCs w:val="20"/>
                <w:color w:val="auto"/>
              </w:rPr>
            </w:pPr>
            <w:r>
              <w:rPr>
                <w:rFonts w:ascii="Arial" w:cs="Arial" w:eastAsia="Arial" w:hAnsi="Arial"/>
                <w:sz w:val="15"/>
                <w:szCs w:val="15"/>
                <w:color w:val="auto"/>
              </w:rPr>
              <w:t>Customer relationships</w:t>
            </w:r>
          </w:p>
        </w:tc>
        <w:tc>
          <w:tcPr>
            <w:tcW w:w="160" w:type="dxa"/>
            <w:vAlign w:val="bottom"/>
          </w:tcPr>
          <w:p>
            <w:pPr>
              <w:spacing w:after="0"/>
              <w:rPr>
                <w:sz w:val="17"/>
                <w:szCs w:val="17"/>
                <w:color w:val="auto"/>
              </w:rPr>
            </w:pPr>
          </w:p>
        </w:tc>
        <w:tc>
          <w:tcPr>
            <w:tcW w:w="1220" w:type="dxa"/>
            <w:vAlign w:val="bottom"/>
          </w:tcPr>
          <w:p>
            <w:pPr>
              <w:jc w:val="right"/>
              <w:ind w:right="6"/>
              <w:spacing w:after="0"/>
              <w:rPr>
                <w:sz w:val="20"/>
                <w:szCs w:val="20"/>
                <w:color w:val="auto"/>
              </w:rPr>
            </w:pPr>
            <w:r>
              <w:rPr>
                <w:rFonts w:ascii="Arial" w:cs="Arial" w:eastAsia="Arial" w:hAnsi="Arial"/>
                <w:sz w:val="15"/>
                <w:szCs w:val="15"/>
                <w:color w:val="auto"/>
              </w:rPr>
              <w:t>1,322</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(407)</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tcPr>
          <w:p>
            <w:pPr>
              <w:jc w:val="right"/>
              <w:ind w:right="3"/>
              <w:spacing w:after="0"/>
              <w:rPr>
                <w:sz w:val="20"/>
                <w:szCs w:val="20"/>
                <w:color w:val="auto"/>
              </w:rPr>
            </w:pPr>
            <w:r>
              <w:rPr>
                <w:rFonts w:ascii="Arial" w:cs="Arial" w:eastAsia="Arial" w:hAnsi="Arial"/>
                <w:sz w:val="15"/>
                <w:szCs w:val="15"/>
                <w:color w:val="auto"/>
              </w:rPr>
              <w:t>915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jc w:val="right"/>
              <w:ind w:right="6"/>
              <w:spacing w:after="0"/>
              <w:rPr>
                <w:sz w:val="20"/>
                <w:szCs w:val="20"/>
                <w:color w:val="auto"/>
              </w:rPr>
            </w:pPr>
            <w:r>
              <w:rPr>
                <w:rFonts w:ascii="Arial" w:cs="Arial" w:eastAsia="Arial" w:hAnsi="Arial"/>
                <w:sz w:val="15"/>
                <w:szCs w:val="15"/>
                <w:color w:val="auto"/>
              </w:rPr>
              <w:t>1,274</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(362)</w:t>
            </w: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912</w:t>
            </w:r>
          </w:p>
        </w:tc>
        <w:tc>
          <w:tcPr>
            <w:tcW w:w="0" w:type="dxa"/>
            <w:vAlign w:val="bottom"/>
          </w:tcPr>
          <w:p>
            <w:pPr>
              <w:spacing w:after="0"/>
              <w:rPr>
                <w:sz w:val="1"/>
                <w:szCs w:val="1"/>
                <w:color w:val="auto"/>
              </w:rPr>
            </w:pPr>
          </w:p>
        </w:tc>
      </w:tr>
      <w:tr>
        <w:trPr>
          <w:trHeight w:val="206"/>
        </w:trPr>
        <w:tc>
          <w:tcPr>
            <w:tcW w:w="2500" w:type="dxa"/>
            <w:vAlign w:val="bottom"/>
            <w:gridSpan w:val="3"/>
            <w:shd w:val="clear" w:color="auto" w:fill="CCEEFF"/>
          </w:tcPr>
          <w:p>
            <w:pPr>
              <w:ind w:left="20"/>
              <w:spacing w:after="0"/>
              <w:rPr>
                <w:sz w:val="20"/>
                <w:szCs w:val="20"/>
                <w:color w:val="auto"/>
              </w:rPr>
            </w:pPr>
            <w:r>
              <w:rPr>
                <w:rFonts w:ascii="Arial" w:cs="Arial" w:eastAsia="Arial" w:hAnsi="Arial"/>
                <w:sz w:val="15"/>
                <w:szCs w:val="15"/>
                <w:color w:val="auto"/>
              </w:rPr>
              <w:t>Acquired technology</w:t>
            </w:r>
          </w:p>
        </w:tc>
        <w:tc>
          <w:tcPr>
            <w:tcW w:w="16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rPr>
              <w:t>1,283</w:t>
            </w: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(473)</w:t>
            </w:r>
          </w:p>
        </w:tc>
        <w:tc>
          <w:tcPr>
            <w:tcW w:w="100" w:type="dxa"/>
            <w:vAlign w:val="bottom"/>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810</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rPr>
              <w:t>1,273</w:t>
            </w: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(395)</w:t>
            </w:r>
          </w:p>
        </w:tc>
        <w:tc>
          <w:tcPr>
            <w:tcW w:w="80" w:type="dxa"/>
            <w:vAlign w:val="bottom"/>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878</w:t>
            </w:r>
          </w:p>
        </w:tc>
        <w:tc>
          <w:tcPr>
            <w:tcW w:w="0" w:type="dxa"/>
            <w:vAlign w:val="bottom"/>
          </w:tcPr>
          <w:p>
            <w:pPr>
              <w:spacing w:after="0"/>
              <w:rPr>
                <w:sz w:val="1"/>
                <w:szCs w:val="1"/>
                <w:color w:val="auto"/>
              </w:rPr>
            </w:pPr>
          </w:p>
        </w:tc>
      </w:tr>
      <w:tr>
        <w:trPr>
          <w:trHeight w:val="202"/>
        </w:trPr>
        <w:tc>
          <w:tcPr>
            <w:tcW w:w="2500" w:type="dxa"/>
            <w:vAlign w:val="bottom"/>
            <w:gridSpan w:val="3"/>
          </w:tcPr>
          <w:p>
            <w:pPr>
              <w:ind w:left="20"/>
              <w:spacing w:after="0"/>
              <w:rPr>
                <w:sz w:val="20"/>
                <w:szCs w:val="20"/>
                <w:color w:val="auto"/>
              </w:rPr>
            </w:pPr>
            <w:r>
              <w:rPr>
                <w:rFonts w:ascii="Arial" w:cs="Arial" w:eastAsia="Arial" w:hAnsi="Arial"/>
                <w:sz w:val="15"/>
                <w:szCs w:val="15"/>
                <w:color w:val="auto"/>
              </w:rPr>
              <w:t>Total</w:t>
            </w:r>
          </w:p>
        </w:tc>
        <w:tc>
          <w:tcPr>
            <w:tcW w:w="1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4,033</w:t>
            </w:r>
          </w:p>
        </w:tc>
        <w:tc>
          <w:tcPr>
            <w:tcW w:w="80" w:type="dxa"/>
            <w:vAlign w:val="bottom"/>
          </w:tcPr>
          <w:p>
            <w:pPr>
              <w:spacing w:after="0"/>
              <w:rPr>
                <w:sz w:val="17"/>
                <w:szCs w:val="17"/>
                <w:color w:val="auto"/>
              </w:rPr>
            </w:pPr>
          </w:p>
        </w:tc>
        <w:tc>
          <w:tcPr>
            <w:tcW w:w="2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w w:val="95"/>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(1,378)</w:t>
            </w:r>
          </w:p>
        </w:tc>
        <w:tc>
          <w:tcPr>
            <w:tcW w:w="100" w:type="dxa"/>
            <w:vAlign w:val="bottom"/>
          </w:tcPr>
          <w:p>
            <w:pPr>
              <w:spacing w:after="0"/>
              <w:rPr>
                <w:sz w:val="17"/>
                <w:szCs w:val="17"/>
                <w:color w:val="auto"/>
              </w:rPr>
            </w:pPr>
          </w:p>
        </w:tc>
        <w:tc>
          <w:tcPr>
            <w:tcW w:w="520" w:type="dxa"/>
            <w:vAlign w:val="bottom"/>
            <w:tcBorders>
              <w:bottom w:val="single" w:sz="8" w:color="auto"/>
            </w:tcBorders>
          </w:tcPr>
          <w:p>
            <w:pPr>
              <w:jc w:val="right"/>
              <w:ind w:right="366"/>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2,655</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3,972</w:t>
            </w:r>
          </w:p>
        </w:tc>
        <w:tc>
          <w:tcPr>
            <w:tcW w:w="80" w:type="dxa"/>
            <w:vAlign w:val="bottom"/>
          </w:tcPr>
          <w:p>
            <w:pPr>
              <w:spacing w:after="0"/>
              <w:rPr>
                <w:sz w:val="17"/>
                <w:szCs w:val="17"/>
                <w:color w:val="auto"/>
              </w:rPr>
            </w:pPr>
          </w:p>
        </w:tc>
        <w:tc>
          <w:tcPr>
            <w:tcW w:w="2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w w:val="95"/>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(1,172)</w:t>
            </w:r>
          </w:p>
        </w:tc>
        <w:tc>
          <w:tcPr>
            <w:tcW w:w="80" w:type="dxa"/>
            <w:vAlign w:val="bottom"/>
          </w:tcPr>
          <w:p>
            <w:pPr>
              <w:spacing w:after="0"/>
              <w:rPr>
                <w:sz w:val="17"/>
                <w:szCs w:val="17"/>
                <w:color w:val="auto"/>
              </w:rPr>
            </w:pPr>
          </w:p>
        </w:tc>
        <w:tc>
          <w:tcPr>
            <w:tcW w:w="540" w:type="dxa"/>
            <w:vAlign w:val="bottom"/>
            <w:tcBorders>
              <w:bottom w:val="single" w:sz="8" w:color="auto"/>
            </w:tcBorders>
          </w:tcPr>
          <w:p>
            <w:pPr>
              <w:jc w:val="right"/>
              <w:ind w:right="366"/>
              <w:spacing w:after="0"/>
              <w:rPr>
                <w:sz w:val="20"/>
                <w:szCs w:val="20"/>
                <w:color w:val="auto"/>
              </w:rPr>
            </w:pPr>
            <w:r>
              <w:rPr>
                <w:rFonts w:ascii="Arial" w:cs="Arial" w:eastAsia="Arial" w:hAnsi="Arial"/>
                <w:sz w:val="15"/>
                <w:szCs w:val="15"/>
                <w:color w:val="auto"/>
                <w:w w:val="95"/>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2,800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ind w:right="40" w:firstLine="464"/>
        <w:spacing w:after="0" w:line="283" w:lineRule="auto"/>
        <w:rPr>
          <w:sz w:val="20"/>
          <w:szCs w:val="20"/>
          <w:color w:val="auto"/>
        </w:rPr>
      </w:pPr>
      <w:r>
        <w:rPr>
          <w:rFonts w:ascii="Arial" w:cs="Arial" w:eastAsia="Arial" w:hAnsi="Arial"/>
          <w:sz w:val="16"/>
          <w:szCs w:val="16"/>
          <w:color w:val="auto"/>
        </w:rPr>
        <w:t>At September 30, 2023 the weighted average remaining useful lives of backlog, customer relationships and acquired technology were 9 years, 16 years and 7 years, respectively. The backlog intangible asset primarily consists of in-place long-term service agreements acquired by the Company in conjunction with the acquisition of GE Transportation. Amortization expense for intangible assets was $74 million and $222 million for the three and nine months ended September 30, 2023, respectively, and $73 million and $218 million for the three and nine months ended September 30, 2022, respectively.</w:t>
      </w:r>
    </w:p>
    <w:p>
      <w:pPr>
        <w:spacing w:after="0" w:line="6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Amortization expense for the five succeeding years is estimated to be as follows:</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40" w:type="dxa"/>
            <w:vAlign w:val="bottom"/>
            <w:gridSpan w:val="3"/>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48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32"/>
        </w:trPr>
        <w:tc>
          <w:tcPr>
            <w:tcW w:w="20" w:type="dxa"/>
            <w:vAlign w:val="bottom"/>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4900" w:type="dxa"/>
            <w:vAlign w:val="bottom"/>
          </w:tcPr>
          <w:p>
            <w:pPr>
              <w:spacing w:after="0"/>
              <w:rPr>
                <w:sz w:val="2"/>
                <w:szCs w:val="2"/>
                <w:color w:val="auto"/>
              </w:rPr>
            </w:pPr>
          </w:p>
        </w:tc>
        <w:tc>
          <w:tcPr>
            <w:tcW w:w="48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19"/>
        </w:trPr>
        <w:tc>
          <w:tcPr>
            <w:tcW w:w="554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Remainder of 2023</w:t>
            </w:r>
          </w:p>
        </w:tc>
        <w:tc>
          <w:tcPr>
            <w:tcW w:w="4840" w:type="dxa"/>
            <w:vAlign w:val="bottom"/>
            <w:shd w:val="clear" w:color="auto" w:fill="CCEEFF"/>
          </w:tcPr>
          <w:p>
            <w:pPr>
              <w:jc w:val="right"/>
              <w:ind w:right="474"/>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w:t>
            </w:r>
          </w:p>
        </w:tc>
      </w:tr>
      <w:tr>
        <w:trPr>
          <w:trHeight w:val="218"/>
        </w:trPr>
        <w:tc>
          <w:tcPr>
            <w:tcW w:w="640" w:type="dxa"/>
            <w:vAlign w:val="bottom"/>
            <w:gridSpan w:val="2"/>
          </w:tcPr>
          <w:p>
            <w:pPr>
              <w:jc w:val="right"/>
              <w:ind w:right="200"/>
              <w:spacing w:after="0"/>
              <w:rPr>
                <w:sz w:val="20"/>
                <w:szCs w:val="20"/>
                <w:color w:val="auto"/>
              </w:rPr>
            </w:pPr>
            <w:r>
              <w:rPr>
                <w:rFonts w:ascii="Arial" w:cs="Arial" w:eastAsia="Arial" w:hAnsi="Arial"/>
                <w:sz w:val="17"/>
                <w:szCs w:val="17"/>
                <w:color w:val="auto"/>
              </w:rPr>
              <w:t>2024</w:t>
            </w:r>
          </w:p>
        </w:tc>
        <w:tc>
          <w:tcPr>
            <w:tcW w:w="4900" w:type="dxa"/>
            <w:vAlign w:val="bottom"/>
          </w:tcPr>
          <w:p>
            <w:pPr>
              <w:spacing w:after="0"/>
              <w:rPr>
                <w:sz w:val="18"/>
                <w:szCs w:val="18"/>
                <w:color w:val="auto"/>
              </w:rPr>
            </w:pPr>
          </w:p>
        </w:tc>
        <w:tc>
          <w:tcPr>
            <w:tcW w:w="4840" w:type="dxa"/>
            <w:vAlign w:val="bottom"/>
          </w:tcPr>
          <w:p>
            <w:pPr>
              <w:jc w:val="right"/>
              <w:ind w:right="474"/>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287</w:t>
            </w:r>
          </w:p>
        </w:tc>
      </w:tr>
      <w:tr>
        <w:trPr>
          <w:trHeight w:val="220"/>
        </w:trPr>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2025</w:t>
            </w:r>
          </w:p>
        </w:tc>
        <w:tc>
          <w:tcPr>
            <w:tcW w:w="4900" w:type="dxa"/>
            <w:vAlign w:val="bottom"/>
            <w:shd w:val="clear" w:color="auto" w:fill="CCEEFF"/>
          </w:tcPr>
          <w:p>
            <w:pPr>
              <w:spacing w:after="0"/>
              <w:rPr>
                <w:sz w:val="19"/>
                <w:szCs w:val="19"/>
                <w:color w:val="auto"/>
              </w:rPr>
            </w:pPr>
          </w:p>
        </w:tc>
        <w:tc>
          <w:tcPr>
            <w:tcW w:w="4840" w:type="dxa"/>
            <w:vAlign w:val="bottom"/>
            <w:shd w:val="clear" w:color="auto" w:fill="CCEEFF"/>
          </w:tcPr>
          <w:p>
            <w:pPr>
              <w:jc w:val="right"/>
              <w:ind w:right="474"/>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270</w:t>
            </w:r>
          </w:p>
        </w:tc>
      </w:tr>
      <w:tr>
        <w:trPr>
          <w:trHeight w:val="218"/>
        </w:trPr>
        <w:tc>
          <w:tcPr>
            <w:tcW w:w="640" w:type="dxa"/>
            <w:vAlign w:val="bottom"/>
            <w:gridSpan w:val="2"/>
          </w:tcPr>
          <w:p>
            <w:pPr>
              <w:jc w:val="right"/>
              <w:ind w:right="200"/>
              <w:spacing w:after="0"/>
              <w:rPr>
                <w:sz w:val="20"/>
                <w:szCs w:val="20"/>
                <w:color w:val="auto"/>
              </w:rPr>
            </w:pPr>
            <w:r>
              <w:rPr>
                <w:rFonts w:ascii="Arial" w:cs="Arial" w:eastAsia="Arial" w:hAnsi="Arial"/>
                <w:sz w:val="17"/>
                <w:szCs w:val="17"/>
                <w:color w:val="auto"/>
              </w:rPr>
              <w:t>2026</w:t>
            </w:r>
          </w:p>
        </w:tc>
        <w:tc>
          <w:tcPr>
            <w:tcW w:w="4900" w:type="dxa"/>
            <w:vAlign w:val="bottom"/>
          </w:tcPr>
          <w:p>
            <w:pPr>
              <w:spacing w:after="0"/>
              <w:rPr>
                <w:sz w:val="18"/>
                <w:szCs w:val="18"/>
                <w:color w:val="auto"/>
              </w:rPr>
            </w:pPr>
          </w:p>
        </w:tc>
        <w:tc>
          <w:tcPr>
            <w:tcW w:w="4840" w:type="dxa"/>
            <w:vAlign w:val="bottom"/>
          </w:tcPr>
          <w:p>
            <w:pPr>
              <w:jc w:val="right"/>
              <w:ind w:right="474"/>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266</w:t>
            </w:r>
          </w:p>
        </w:tc>
      </w:tr>
      <w:tr>
        <w:trPr>
          <w:trHeight w:val="220"/>
        </w:trPr>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2027</w:t>
            </w:r>
          </w:p>
        </w:tc>
        <w:tc>
          <w:tcPr>
            <w:tcW w:w="4900" w:type="dxa"/>
            <w:vAlign w:val="bottom"/>
            <w:shd w:val="clear" w:color="auto" w:fill="CCEEFF"/>
          </w:tcPr>
          <w:p>
            <w:pPr>
              <w:spacing w:after="0"/>
              <w:rPr>
                <w:sz w:val="19"/>
                <w:szCs w:val="19"/>
                <w:color w:val="auto"/>
              </w:rPr>
            </w:pPr>
          </w:p>
        </w:tc>
        <w:tc>
          <w:tcPr>
            <w:tcW w:w="4840" w:type="dxa"/>
            <w:vAlign w:val="bottom"/>
            <w:shd w:val="clear" w:color="auto" w:fill="CCEEFF"/>
          </w:tcPr>
          <w:p>
            <w:pPr>
              <w:jc w:val="right"/>
              <w:ind w:right="474"/>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04" w:right="339" w:bottom="1440" w:gutter="0" w:footer="0" w:header="0"/>
        </w:sectPr>
      </w:pPr>
    </w:p>
    <w:bookmarkStart w:id="13" w:name="page14"/>
    <w:bookmarkEnd w:id="13"/>
    <w:p>
      <w:pPr>
        <w:spacing w:after="0"/>
        <w:rPr>
          <w:sz w:val="20"/>
          <w:szCs w:val="20"/>
          <w:color w:val="auto"/>
        </w:rPr>
      </w:pPr>
      <w:r>
        <w:rPr>
          <w:rFonts w:ascii="Arial" w:cs="Arial" w:eastAsia="Arial" w:hAnsi="Arial"/>
          <w:sz w:val="17"/>
          <w:szCs w:val="17"/>
          <w:b w:val="1"/>
          <w:bCs w:val="1"/>
          <w:color w:val="auto"/>
        </w:rPr>
        <w:t>6. CONTRACT ASSETS AND CONTRACT LIABILITIES</w:t>
      </w:r>
    </w:p>
    <w:p>
      <w:pPr>
        <w:spacing w:after="0" w:line="120" w:lineRule="exact"/>
        <w:rPr>
          <w:sz w:val="20"/>
          <w:szCs w:val="20"/>
          <w:color w:val="auto"/>
        </w:rPr>
      </w:pPr>
    </w:p>
    <w:p>
      <w:pPr>
        <w:ind w:right="180" w:firstLine="464"/>
        <w:spacing w:after="0" w:line="276" w:lineRule="auto"/>
        <w:rPr>
          <w:sz w:val="20"/>
          <w:szCs w:val="20"/>
          <w:color w:val="auto"/>
        </w:rPr>
      </w:pPr>
      <w:r>
        <w:rPr>
          <w:rFonts w:ascii="Arial" w:cs="Arial" w:eastAsia="Arial" w:hAnsi="Arial"/>
          <w:sz w:val="16"/>
          <w:szCs w:val="16"/>
          <w:color w:val="auto"/>
        </w:rPr>
        <w:t>Contract assets include unbilled amounts resulting from sales under long-term contracts where revenue is recognized over time and revenue exceeds the amount that can be billed to the customer based on the terms of the contract. The current portion of the contract assets are classified as current assets under the caption “Unbilled accounts receivable” while the noncurrent contract assets are classified as other assets under the caption "Other noncurrent assets" on the Condensed Consolidated Balance Sheets. Noncurrent contract assets were $196 million at September 30, 2023 and $162 million at December 31, 2022. Included in noncurrent contract assets are certain costs that are specifically related to a contract but do not directly contribute to the transfer of control of the tangible product being created, such as non-recurring engineering costs. The Company has elected to use the practical expedient and does not consider unbilled amounts anticipated to be paid within one year as significant financing components.</w:t>
      </w:r>
    </w:p>
    <w:p>
      <w:pPr>
        <w:spacing w:after="0" w:line="66" w:lineRule="exact"/>
        <w:rPr>
          <w:sz w:val="20"/>
          <w:szCs w:val="20"/>
          <w:color w:val="auto"/>
        </w:rPr>
      </w:pPr>
    </w:p>
    <w:p>
      <w:pPr>
        <w:ind w:right="40" w:firstLine="464"/>
        <w:spacing w:after="0" w:line="256" w:lineRule="auto"/>
        <w:rPr>
          <w:sz w:val="20"/>
          <w:szCs w:val="20"/>
          <w:color w:val="auto"/>
        </w:rPr>
      </w:pPr>
      <w:r>
        <w:rPr>
          <w:rFonts w:ascii="Arial" w:cs="Arial" w:eastAsia="Arial" w:hAnsi="Arial"/>
          <w:sz w:val="17"/>
          <w:szCs w:val="17"/>
          <w:color w:val="auto"/>
        </w:rPr>
        <w:t>Contract liabilities include customer deposits that are made prior to the incurrence of costs related to a newly agreed upon contract and advanced customer payments that are in excess of revenue recognized. The current portion of contract liabilities are classified as current liabilities under the caption “Customer deposits” while the noncurrent contract liabilities are classified as noncurrent liabilities under the caption "Other long-term liabilities" on the Condensed Consolidated Balance Sheets. Noncurrent contract liabilities were $200 million at September 30, 2023 and $86 million at December 31, 2022. These contract liabilities are not considered a significant financing component because they are used to meet working capital demands that can be higher in the early stages of a contract or revenue associated with the contract liabilities is expected to be recognized within one year. Contract liabilities also include provisions for estimated losses from uncompleted contracts. Provisions for loss contracts were $90 million and $98 million at September 30, 2023 and December 31, 2022, respectively. These provisions for estimated losses are classified as current liabilities and included within the caption “Other accrued liabilities” on the Condensed Consolidated Balance Sheets.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change in the carrying amount of contract assets and contract liabilities for the nine months ended September 30, 2023 and 2022 is as follows: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4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40" w:type="dxa"/>
            <w:vAlign w:val="bottom"/>
            <w:gridSpan w:val="3"/>
          </w:tcPr>
          <w:p>
            <w:pPr>
              <w:jc w:val="right"/>
              <w:ind w:right="74"/>
              <w:spacing w:after="0"/>
              <w:rPr>
                <w:sz w:val="20"/>
                <w:szCs w:val="20"/>
                <w:color w:val="auto"/>
              </w:rPr>
            </w:pPr>
            <w:r>
              <w:rPr>
                <w:rFonts w:ascii="Arial" w:cs="Arial" w:eastAsia="Arial" w:hAnsi="Arial"/>
                <w:sz w:val="14"/>
                <w:szCs w:val="14"/>
                <w:b w:val="1"/>
                <w:bCs w:val="1"/>
                <w:color w:val="auto"/>
              </w:rPr>
              <w:t>Contract Assets</w:t>
            </w: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4680" w:type="dxa"/>
            <w:vAlign w:val="bottom"/>
            <w:gridSpan w:val="3"/>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3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jc w:val="right"/>
              <w:ind w:right="538"/>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40" w:type="dxa"/>
            <w:vAlign w:val="bottom"/>
          </w:tcPr>
          <w:p>
            <w:pPr>
              <w:jc w:val="right"/>
              <w:ind w:right="536"/>
              <w:spacing w:after="0"/>
              <w:rPr>
                <w:sz w:val="20"/>
                <w:szCs w:val="20"/>
                <w:color w:val="auto"/>
              </w:rPr>
            </w:pPr>
            <w:r>
              <w:rPr>
                <w:rFonts w:ascii="Arial" w:cs="Arial" w:eastAsia="Arial" w:hAnsi="Arial"/>
                <w:sz w:val="14"/>
                <w:szCs w:val="14"/>
                <w:b w:val="1"/>
                <w:bCs w:val="1"/>
                <w:color w:val="auto"/>
                <w:w w:val="96"/>
              </w:rPr>
              <w:t>2022</w:t>
            </w:r>
          </w:p>
        </w:tc>
        <w:tc>
          <w:tcPr>
            <w:tcW w:w="0" w:type="dxa"/>
            <w:vAlign w:val="bottom"/>
          </w:tcPr>
          <w:p>
            <w:pPr>
              <w:spacing w:after="0"/>
              <w:rPr>
                <w:sz w:val="1"/>
                <w:szCs w:val="1"/>
                <w:color w:val="auto"/>
              </w:rPr>
            </w:pPr>
          </w:p>
        </w:tc>
      </w:tr>
      <w:tr>
        <w:trPr>
          <w:trHeight w:val="32"/>
        </w:trPr>
        <w:tc>
          <w:tcPr>
            <w:tcW w:w="20" w:type="dxa"/>
            <w:vAlign w:val="bottom"/>
            <w:tcBorders>
              <w:bottom w:val="single" w:sz="8" w:color="CCEEFF"/>
            </w:tcBorders>
          </w:tcPr>
          <w:p>
            <w:pPr>
              <w:spacing w:after="0"/>
              <w:rPr>
                <w:sz w:val="2"/>
                <w:szCs w:val="2"/>
                <w:color w:val="auto"/>
              </w:rPr>
            </w:pPr>
          </w:p>
        </w:tc>
        <w:tc>
          <w:tcPr>
            <w:tcW w:w="620" w:type="dxa"/>
            <w:vAlign w:val="bottom"/>
            <w:tcBorders>
              <w:top w:val="single" w:sz="8" w:color="auto"/>
              <w:bottom w:val="single" w:sz="8" w:color="CCEEFF"/>
            </w:tcBorders>
          </w:tcPr>
          <w:p>
            <w:pPr>
              <w:spacing w:after="0"/>
              <w:rPr>
                <w:sz w:val="2"/>
                <w:szCs w:val="2"/>
                <w:color w:val="auto"/>
              </w:rPr>
            </w:pPr>
          </w:p>
        </w:tc>
        <w:tc>
          <w:tcPr>
            <w:tcW w:w="4040" w:type="dxa"/>
            <w:vAlign w:val="bottom"/>
            <w:tcBorders>
              <w:bottom w:val="single" w:sz="8" w:color="CCEEFF"/>
            </w:tcBorders>
          </w:tcPr>
          <w:p>
            <w:pPr>
              <w:spacing w:after="0"/>
              <w:rPr>
                <w:sz w:val="2"/>
                <w:szCs w:val="2"/>
                <w:color w:val="auto"/>
              </w:rPr>
            </w:pPr>
          </w:p>
        </w:tc>
        <w:tc>
          <w:tcPr>
            <w:tcW w:w="34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468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Balance at beginning of year</w:t>
            </w:r>
          </w:p>
        </w:tc>
        <w:tc>
          <w:tcPr>
            <w:tcW w:w="3780" w:type="dxa"/>
            <w:vAlign w:val="bottom"/>
            <w:gridSpan w:val="2"/>
            <w:shd w:val="clear" w:color="auto" w:fill="CCEEFF"/>
          </w:tcPr>
          <w:p>
            <w:pPr>
              <w:jc w:val="right"/>
              <w:ind w:right="174"/>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706</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394"/>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660" w:type="dxa"/>
            <w:vAlign w:val="bottom"/>
            <w:gridSpan w:val="2"/>
          </w:tcPr>
          <w:p>
            <w:pPr>
              <w:ind w:left="100"/>
              <w:spacing w:after="0"/>
              <w:rPr>
                <w:sz w:val="20"/>
                <w:szCs w:val="20"/>
                <w:color w:val="auto"/>
              </w:rPr>
            </w:pPr>
            <w:r>
              <w:rPr>
                <w:rFonts w:ascii="Arial" w:cs="Arial" w:eastAsia="Arial" w:hAnsi="Arial"/>
                <w:sz w:val="17"/>
                <w:szCs w:val="17"/>
                <w:color w:val="auto"/>
              </w:rPr>
              <w:t>Recognized in current year</w:t>
            </w:r>
          </w:p>
        </w:tc>
        <w:tc>
          <w:tcPr>
            <w:tcW w:w="3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562</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463</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466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Reclassified to accounts receivable</w:t>
            </w:r>
          </w:p>
        </w:tc>
        <w:tc>
          <w:tcPr>
            <w:tcW w:w="34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(456)</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660" w:type="dxa"/>
            <w:vAlign w:val="bottom"/>
            <w:gridSpan w:val="2"/>
          </w:tcPr>
          <w:p>
            <w:pPr>
              <w:ind w:left="100"/>
              <w:spacing w:after="0"/>
              <w:rPr>
                <w:sz w:val="20"/>
                <w:szCs w:val="20"/>
                <w:color w:val="auto"/>
              </w:rPr>
            </w:pPr>
            <w:r>
              <w:rPr>
                <w:rFonts w:ascii="Arial" w:cs="Arial" w:eastAsia="Arial" w:hAnsi="Arial"/>
                <w:sz w:val="17"/>
                <w:szCs w:val="17"/>
                <w:color w:val="auto"/>
              </w:rPr>
              <w:t>Acquisitions/adjustments</w:t>
            </w:r>
          </w:p>
        </w:tc>
        <w:tc>
          <w:tcPr>
            <w:tcW w:w="3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28</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466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Foreign currency impact</w:t>
            </w:r>
          </w:p>
        </w:tc>
        <w:tc>
          <w:tcPr>
            <w:tcW w:w="34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w:t>
            </w:r>
          </w:p>
        </w:tc>
        <w:tc>
          <w:tcPr>
            <w:tcW w:w="0" w:type="dxa"/>
            <w:vAlign w:val="bottom"/>
          </w:tcPr>
          <w:p>
            <w:pPr>
              <w:spacing w:after="0"/>
              <w:rPr>
                <w:sz w:val="1"/>
                <w:szCs w:val="1"/>
                <w:color w:val="auto"/>
              </w:rPr>
            </w:pPr>
          </w:p>
        </w:tc>
      </w:tr>
      <w:tr>
        <w:trPr>
          <w:trHeight w:val="213"/>
        </w:trPr>
        <w:tc>
          <w:tcPr>
            <w:tcW w:w="4680" w:type="dxa"/>
            <w:vAlign w:val="bottom"/>
            <w:gridSpan w:val="3"/>
          </w:tcPr>
          <w:p>
            <w:pPr>
              <w:ind w:left="20"/>
              <w:spacing w:after="0"/>
              <w:rPr>
                <w:sz w:val="20"/>
                <w:szCs w:val="20"/>
                <w:color w:val="auto"/>
              </w:rPr>
            </w:pPr>
            <w:r>
              <w:rPr>
                <w:rFonts w:ascii="Arial" w:cs="Arial" w:eastAsia="Arial" w:hAnsi="Arial"/>
                <w:sz w:val="17"/>
                <w:szCs w:val="17"/>
                <w:color w:val="auto"/>
              </w:rPr>
              <w:t>Balance at September 30</w:t>
            </w:r>
          </w:p>
        </w:tc>
        <w:tc>
          <w:tcPr>
            <w:tcW w:w="3420" w:type="dxa"/>
            <w:vAlign w:val="bottom"/>
          </w:tcPr>
          <w:p>
            <w:pPr>
              <w:spacing w:after="0"/>
              <w:rPr>
                <w:sz w:val="18"/>
                <w:szCs w:val="18"/>
                <w:color w:val="auto"/>
              </w:rPr>
            </w:pPr>
          </w:p>
        </w:tc>
        <w:tc>
          <w:tcPr>
            <w:tcW w:w="36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806</w:t>
            </w:r>
          </w:p>
        </w:tc>
        <w:tc>
          <w:tcPr>
            <w:tcW w:w="100" w:type="dxa"/>
            <w:vAlign w:val="bottom"/>
          </w:tcPr>
          <w:p>
            <w:pPr>
              <w:spacing w:after="0"/>
              <w:rPr>
                <w:sz w:val="18"/>
                <w:szCs w:val="18"/>
                <w:color w:val="auto"/>
              </w:rPr>
            </w:pPr>
          </w:p>
        </w:tc>
        <w:tc>
          <w:tcPr>
            <w:tcW w:w="580" w:type="dxa"/>
            <w:vAlign w:val="bottom"/>
            <w:tcBorders>
              <w:bottom w:val="single" w:sz="8" w:color="auto"/>
            </w:tcBorders>
          </w:tcPr>
          <w:p>
            <w:pPr>
              <w:jc w:val="right"/>
              <w:ind w:right="394"/>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40" w:type="dxa"/>
            <w:vAlign w:val="bottom"/>
            <w:gridSpan w:val="3"/>
          </w:tcPr>
          <w:p>
            <w:pPr>
              <w:jc w:val="right"/>
              <w:spacing w:after="0"/>
              <w:rPr>
                <w:sz w:val="20"/>
                <w:szCs w:val="20"/>
                <w:color w:val="auto"/>
              </w:rPr>
            </w:pPr>
            <w:r>
              <w:rPr>
                <w:rFonts w:ascii="Arial" w:cs="Arial" w:eastAsia="Arial" w:hAnsi="Arial"/>
                <w:sz w:val="14"/>
                <w:szCs w:val="14"/>
                <w:b w:val="1"/>
                <w:bCs w:val="1"/>
                <w:color w:val="auto"/>
              </w:rPr>
              <w:t>Contract Liabilities</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46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3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jc w:val="right"/>
              <w:ind w:right="538"/>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40" w:type="dxa"/>
            <w:vAlign w:val="bottom"/>
          </w:tcPr>
          <w:p>
            <w:pPr>
              <w:jc w:val="right"/>
              <w:ind w:right="536"/>
              <w:spacing w:after="0"/>
              <w:rPr>
                <w:sz w:val="20"/>
                <w:szCs w:val="20"/>
                <w:color w:val="auto"/>
              </w:rPr>
            </w:pPr>
            <w:r>
              <w:rPr>
                <w:rFonts w:ascii="Arial" w:cs="Arial" w:eastAsia="Arial" w:hAnsi="Arial"/>
                <w:sz w:val="14"/>
                <w:szCs w:val="14"/>
                <w:b w:val="1"/>
                <w:bCs w:val="1"/>
                <w:color w:val="auto"/>
                <w:w w:val="96"/>
              </w:rPr>
              <w:t>2022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
        </w:trPr>
        <w:tc>
          <w:tcPr>
            <w:tcW w:w="20" w:type="dxa"/>
            <w:vAlign w:val="bottom"/>
            <w:vMerge w:val="restart"/>
          </w:tcPr>
          <w:p>
            <w:pPr>
              <w:spacing w:after="0"/>
              <w:rPr>
                <w:sz w:val="2"/>
                <w:szCs w:val="2"/>
                <w:color w:val="auto"/>
              </w:rPr>
            </w:pPr>
          </w:p>
        </w:tc>
        <w:tc>
          <w:tcPr>
            <w:tcW w:w="4660" w:type="dxa"/>
            <w:vAlign w:val="bottom"/>
            <w:gridSpan w:val="2"/>
            <w:vMerge w:val="restart"/>
          </w:tcPr>
          <w:p>
            <w:pPr>
              <w:spacing w:after="0"/>
              <w:rPr>
                <w:sz w:val="20"/>
                <w:szCs w:val="20"/>
                <w:color w:val="auto"/>
              </w:rPr>
            </w:pPr>
            <w:r>
              <w:rPr>
                <w:rFonts w:ascii="Arial" w:cs="Arial" w:eastAsia="Arial" w:hAnsi="Arial"/>
                <w:sz w:val="17"/>
                <w:szCs w:val="17"/>
                <w:color w:val="auto"/>
              </w:rPr>
              <w:t>Balance at beginning of year</w:t>
            </w:r>
          </w:p>
        </w:tc>
        <w:tc>
          <w:tcPr>
            <w:tcW w:w="34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4660" w:type="dxa"/>
            <w:vAlign w:val="bottom"/>
            <w:gridSpan w:val="2"/>
            <w:vMerge w:val="continue"/>
          </w:tcPr>
          <w:p>
            <w:pPr>
              <w:spacing w:after="0"/>
              <w:rPr>
                <w:sz w:val="18"/>
                <w:szCs w:val="18"/>
                <w:color w:val="auto"/>
              </w:rPr>
            </w:pPr>
          </w:p>
        </w:tc>
        <w:tc>
          <w:tcPr>
            <w:tcW w:w="3780" w:type="dxa"/>
            <w:vAlign w:val="bottom"/>
            <w:gridSpan w:val="2"/>
          </w:tcPr>
          <w:p>
            <w:pPr>
              <w:jc w:val="right"/>
              <w:ind w:right="174"/>
              <w:spacing w:after="0"/>
              <w:rPr>
                <w:sz w:val="20"/>
                <w:szCs w:val="20"/>
                <w:color w:val="auto"/>
              </w:rPr>
            </w:pPr>
            <w:r>
              <w:rPr>
                <w:rFonts w:ascii="Arial" w:cs="Arial" w:eastAsia="Arial" w:hAnsi="Arial"/>
                <w:sz w:val="17"/>
                <w:szCs w:val="17"/>
                <w:color w:val="auto"/>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956</w:t>
            </w:r>
          </w:p>
        </w:tc>
        <w:tc>
          <w:tcPr>
            <w:tcW w:w="100" w:type="dxa"/>
            <w:vAlign w:val="bottom"/>
          </w:tcPr>
          <w:p>
            <w:pPr>
              <w:spacing w:after="0"/>
              <w:rPr>
                <w:sz w:val="18"/>
                <w:szCs w:val="18"/>
                <w:color w:val="auto"/>
              </w:rPr>
            </w:pPr>
          </w:p>
        </w:tc>
        <w:tc>
          <w:tcPr>
            <w:tcW w:w="580" w:type="dxa"/>
            <w:vAlign w:val="bottom"/>
          </w:tcPr>
          <w:p>
            <w:pPr>
              <w:jc w:val="right"/>
              <w:ind w:right="394"/>
              <w:spacing w:after="0"/>
              <w:rPr>
                <w:sz w:val="20"/>
                <w:szCs w:val="20"/>
                <w:color w:val="auto"/>
              </w:rPr>
            </w:pPr>
            <w:r>
              <w:rPr>
                <w:rFonts w:ascii="Arial" w:cs="Arial" w:eastAsia="Arial" w:hAnsi="Arial"/>
                <w:sz w:val="17"/>
                <w:szCs w:val="17"/>
                <w:color w:val="auto"/>
                <w:w w:val="84"/>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824</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466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Recognized in current year</w:t>
            </w:r>
          </w:p>
        </w:tc>
        <w:tc>
          <w:tcPr>
            <w:tcW w:w="34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1,043</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660" w:type="dxa"/>
            <w:vAlign w:val="bottom"/>
            <w:gridSpan w:val="2"/>
          </w:tcPr>
          <w:p>
            <w:pPr>
              <w:ind w:left="100"/>
              <w:spacing w:after="0"/>
              <w:rPr>
                <w:sz w:val="20"/>
                <w:szCs w:val="20"/>
                <w:color w:val="auto"/>
              </w:rPr>
            </w:pPr>
            <w:r>
              <w:rPr>
                <w:rFonts w:ascii="Arial" w:cs="Arial" w:eastAsia="Arial" w:hAnsi="Arial"/>
                <w:sz w:val="17"/>
                <w:szCs w:val="17"/>
                <w:color w:val="auto"/>
              </w:rPr>
              <w:t>Amounts in beginning balance reclassified to revenue</w:t>
            </w:r>
          </w:p>
        </w:tc>
        <w:tc>
          <w:tcPr>
            <w:tcW w:w="3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(632)</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(348)</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466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Current year amounts reclassified to revenue</w:t>
            </w:r>
          </w:p>
        </w:tc>
        <w:tc>
          <w:tcPr>
            <w:tcW w:w="34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(393)</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660" w:type="dxa"/>
            <w:vAlign w:val="bottom"/>
            <w:gridSpan w:val="2"/>
          </w:tcPr>
          <w:p>
            <w:pPr>
              <w:ind w:left="100"/>
              <w:spacing w:after="0"/>
              <w:rPr>
                <w:sz w:val="20"/>
                <w:szCs w:val="20"/>
                <w:color w:val="auto"/>
              </w:rPr>
            </w:pPr>
            <w:r>
              <w:rPr>
                <w:rFonts w:ascii="Arial" w:cs="Arial" w:eastAsia="Arial" w:hAnsi="Arial"/>
                <w:sz w:val="17"/>
                <w:szCs w:val="17"/>
                <w:color w:val="auto"/>
              </w:rPr>
              <w:t>Acquisitions</w:t>
            </w:r>
          </w:p>
        </w:tc>
        <w:tc>
          <w:tcPr>
            <w:tcW w:w="3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12</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466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Foreign currency impact</w:t>
            </w:r>
          </w:p>
        </w:tc>
        <w:tc>
          <w:tcPr>
            <w:tcW w:w="34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w:t>
            </w:r>
          </w:p>
        </w:tc>
        <w:tc>
          <w:tcPr>
            <w:tcW w:w="0" w:type="dxa"/>
            <w:vAlign w:val="bottom"/>
          </w:tcPr>
          <w:p>
            <w:pPr>
              <w:spacing w:after="0"/>
              <w:rPr>
                <w:sz w:val="1"/>
                <w:szCs w:val="1"/>
                <w:color w:val="auto"/>
              </w:rPr>
            </w:pPr>
          </w:p>
        </w:tc>
      </w:tr>
      <w:tr>
        <w:trPr>
          <w:trHeight w:val="213"/>
        </w:trPr>
        <w:tc>
          <w:tcPr>
            <w:tcW w:w="4680" w:type="dxa"/>
            <w:vAlign w:val="bottom"/>
            <w:gridSpan w:val="3"/>
          </w:tcPr>
          <w:p>
            <w:pPr>
              <w:ind w:left="20"/>
              <w:spacing w:after="0"/>
              <w:rPr>
                <w:sz w:val="20"/>
                <w:szCs w:val="20"/>
                <w:color w:val="auto"/>
              </w:rPr>
            </w:pPr>
            <w:r>
              <w:rPr>
                <w:rFonts w:ascii="Arial" w:cs="Arial" w:eastAsia="Arial" w:hAnsi="Arial"/>
                <w:sz w:val="17"/>
                <w:szCs w:val="17"/>
                <w:color w:val="auto"/>
              </w:rPr>
              <w:t>Balance at September 30</w:t>
            </w:r>
          </w:p>
        </w:tc>
        <w:tc>
          <w:tcPr>
            <w:tcW w:w="3780" w:type="dxa"/>
            <w:vAlign w:val="bottom"/>
            <w:gridSpan w:val="2"/>
          </w:tcPr>
          <w:p>
            <w:pPr>
              <w:jc w:val="right"/>
              <w:ind w:right="174"/>
              <w:spacing w:after="0"/>
              <w:rPr>
                <w:sz w:val="20"/>
                <w:szCs w:val="20"/>
                <w:color w:val="auto"/>
              </w:rPr>
            </w:pPr>
            <w:r>
              <w:rPr>
                <w:rFonts w:ascii="Arial" w:cs="Arial" w:eastAsia="Arial" w:hAnsi="Arial"/>
                <w:sz w:val="17"/>
                <w:szCs w:val="17"/>
                <w:color w:val="auto"/>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969</w:t>
            </w:r>
          </w:p>
        </w:tc>
        <w:tc>
          <w:tcPr>
            <w:tcW w:w="100" w:type="dxa"/>
            <w:vAlign w:val="bottom"/>
          </w:tcPr>
          <w:p>
            <w:pPr>
              <w:spacing w:after="0"/>
              <w:rPr>
                <w:sz w:val="18"/>
                <w:szCs w:val="18"/>
                <w:color w:val="auto"/>
              </w:rPr>
            </w:pPr>
          </w:p>
        </w:tc>
        <w:tc>
          <w:tcPr>
            <w:tcW w:w="580" w:type="dxa"/>
            <w:vAlign w:val="bottom"/>
          </w:tcPr>
          <w:p>
            <w:pPr>
              <w:jc w:val="right"/>
              <w:ind w:right="394"/>
              <w:spacing w:after="0"/>
              <w:rPr>
                <w:sz w:val="20"/>
                <w:szCs w:val="20"/>
                <w:color w:val="auto"/>
              </w:rPr>
            </w:pPr>
            <w:r>
              <w:rPr>
                <w:rFonts w:ascii="Arial" w:cs="Arial" w:eastAsia="Arial" w:hAnsi="Arial"/>
                <w:sz w:val="17"/>
                <w:szCs w:val="17"/>
                <w:color w:val="auto"/>
                <w:w w:val="84"/>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880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3420" w:type="dxa"/>
            <w:vAlign w:val="bottom"/>
            <w:vMerge w:val="restart"/>
          </w:tcPr>
          <w:p>
            <w:pPr>
              <w:jc w:val="right"/>
              <w:ind w:right="2314"/>
              <w:spacing w:after="0"/>
              <w:rPr>
                <w:sz w:val="20"/>
                <w:szCs w:val="20"/>
                <w:color w:val="auto"/>
              </w:rPr>
            </w:pPr>
            <w:r>
              <w:rPr>
                <w:rFonts w:ascii="Arial" w:cs="Arial" w:eastAsia="Arial" w:hAnsi="Arial"/>
                <w:sz w:val="17"/>
                <w:szCs w:val="17"/>
                <w:color w:val="auto"/>
              </w:rPr>
              <w:t>14</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4"/>
        </w:trPr>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342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4040" w:type="dxa"/>
            <w:vAlign w:val="bottom"/>
            <w:tcBorders>
              <w:bottom w:val="single" w:sz="8" w:color="9A9A9A"/>
            </w:tcBorders>
          </w:tcPr>
          <w:p>
            <w:pPr>
              <w:spacing w:after="0"/>
              <w:rPr>
                <w:sz w:val="9"/>
                <w:szCs w:val="9"/>
                <w:color w:val="auto"/>
              </w:rPr>
            </w:pPr>
          </w:p>
        </w:tc>
        <w:tc>
          <w:tcPr>
            <w:tcW w:w="342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4" w:name="page15"/>
    <w:bookmarkEnd w:id="14"/>
    <w:p>
      <w:pPr>
        <w:spacing w:after="0"/>
        <w:rPr>
          <w:sz w:val="20"/>
          <w:szCs w:val="20"/>
          <w:color w:val="auto"/>
        </w:rPr>
      </w:pPr>
      <w:r>
        <w:rPr>
          <w:rFonts w:ascii="Arial" w:cs="Arial" w:eastAsia="Arial" w:hAnsi="Arial"/>
          <w:sz w:val="17"/>
          <w:szCs w:val="17"/>
          <w:b w:val="1"/>
          <w:bCs w:val="1"/>
          <w:color w:val="auto"/>
        </w:rPr>
        <w:t>7. LEASES</w:t>
      </w:r>
    </w:p>
    <w:p>
      <w:pPr>
        <w:spacing w:after="0" w:line="120" w:lineRule="exact"/>
        <w:rPr>
          <w:sz w:val="20"/>
          <w:szCs w:val="20"/>
          <w:color w:val="auto"/>
        </w:rPr>
      </w:pPr>
    </w:p>
    <w:p>
      <w:pPr>
        <w:ind w:right="40" w:firstLine="464"/>
        <w:spacing w:after="0" w:line="276" w:lineRule="auto"/>
        <w:rPr>
          <w:sz w:val="20"/>
          <w:szCs w:val="20"/>
          <w:color w:val="auto"/>
        </w:rPr>
      </w:pPr>
      <w:r>
        <w:rPr>
          <w:rFonts w:ascii="Arial" w:cs="Arial" w:eastAsia="Arial" w:hAnsi="Arial"/>
          <w:sz w:val="16"/>
          <w:szCs w:val="16"/>
          <w:color w:val="auto"/>
        </w:rPr>
        <w:t>The Company leases certain property, buildings and equipment. For leases with terms greater than 12 months, the Company records the related asset and obligation at the present value of lease payments. Many of the Company's leases include rental escalation clauses, renewal options, and/or termination options that are factored into our determination of lease payments when appropriate. The right-of-use assets are classified as noncurrent and included within the caption "Other noncurrent assets" on the Condensed Consolidated Balance Sheets. The current portion of lease liabilities are classified under the caption "Other accrued liabilities," while the noncurrent portion of lease liabilities are classified under the caption "Other long-term liabilities" on the Condensed Consolidated Balance Sheets. The Company does not separate lease and non-lease components. As most of the Company's leases do not provide a readily stated discount rate, the Company must estimate the rate to discount lease payments using its incremental borrowing rate.</w:t>
      </w:r>
    </w:p>
    <w:p>
      <w:pPr>
        <w:spacing w:after="0" w:line="66"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Operating lease expense was $16 million and $48 million for the three and nine months ended September 30, 2023, respectively, and $15 million and</w:t>
      </w:r>
    </w:p>
    <w:p>
      <w:pPr>
        <w:spacing w:after="0" w:line="33" w:lineRule="exact"/>
        <w:rPr>
          <w:sz w:val="20"/>
          <w:szCs w:val="20"/>
          <w:color w:val="auto"/>
        </w:rPr>
      </w:pPr>
    </w:p>
    <w:p>
      <w:pPr>
        <w:ind w:right="20"/>
        <w:spacing w:after="0" w:line="259" w:lineRule="auto"/>
        <w:rPr>
          <w:sz w:val="20"/>
          <w:szCs w:val="20"/>
          <w:color w:val="auto"/>
        </w:rPr>
      </w:pPr>
      <w:r>
        <w:rPr>
          <w:rFonts w:ascii="Arial" w:cs="Arial" w:eastAsia="Arial" w:hAnsi="Arial"/>
          <w:sz w:val="17"/>
          <w:szCs w:val="17"/>
          <w:color w:val="auto"/>
        </w:rPr>
        <w:t>$44 million for the three and nine months ended September 30, 2022, respectively. New operating leases of $7 million and $27 million were added during the three and nine months ended September 30, 2023, respectively, and $34 million and $58 million for the three and nine months ended September 30, 2022, respectively. Wabtec does not have material financing leases, short-term or variable leases or sublease income.</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Scheduled payments of lease liabilities are as follows:</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140" w:type="dxa"/>
            <w:vAlign w:val="bottom"/>
            <w:gridSpan w:val="3"/>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320" w:type="dxa"/>
            <w:vAlign w:val="bottom"/>
          </w:tcPr>
          <w:p>
            <w:pPr>
              <w:spacing w:after="0"/>
              <w:rPr>
                <w:sz w:val="14"/>
                <w:szCs w:val="14"/>
                <w:color w:val="auto"/>
              </w:rPr>
            </w:pPr>
          </w:p>
        </w:tc>
        <w:tc>
          <w:tcPr>
            <w:tcW w:w="1780" w:type="dxa"/>
            <w:vAlign w:val="bottom"/>
          </w:tcPr>
          <w:p>
            <w:pPr>
              <w:jc w:val="right"/>
              <w:ind w:right="456"/>
              <w:spacing w:after="0"/>
              <w:rPr>
                <w:sz w:val="20"/>
                <w:szCs w:val="20"/>
                <w:color w:val="auto"/>
              </w:rPr>
            </w:pPr>
            <w:r>
              <w:rPr>
                <w:rFonts w:ascii="Arial" w:cs="Arial" w:eastAsia="Arial" w:hAnsi="Arial"/>
                <w:sz w:val="14"/>
                <w:szCs w:val="14"/>
                <w:b w:val="1"/>
                <w:bCs w:val="1"/>
                <w:color w:val="auto"/>
              </w:rPr>
              <w:t>Operating Leases</w:t>
            </w:r>
          </w:p>
        </w:tc>
      </w:tr>
      <w:tr>
        <w:trPr>
          <w:trHeight w:val="32"/>
        </w:trPr>
        <w:tc>
          <w:tcPr>
            <w:tcW w:w="20" w:type="dxa"/>
            <w:vAlign w:val="bottom"/>
            <w:tcBorders>
              <w:bottom w:val="single" w:sz="8" w:color="CCEEFF"/>
            </w:tcBorders>
          </w:tcPr>
          <w:p>
            <w:pPr>
              <w:spacing w:after="0"/>
              <w:rPr>
                <w:sz w:val="2"/>
                <w:szCs w:val="2"/>
                <w:color w:val="auto"/>
              </w:rPr>
            </w:pPr>
          </w:p>
        </w:tc>
        <w:tc>
          <w:tcPr>
            <w:tcW w:w="620" w:type="dxa"/>
            <w:vAlign w:val="bottom"/>
            <w:tcBorders>
              <w:top w:val="single" w:sz="8" w:color="auto"/>
              <w:bottom w:val="single" w:sz="8" w:color="CCEEFF"/>
            </w:tcBorders>
          </w:tcPr>
          <w:p>
            <w:pPr>
              <w:spacing w:after="0"/>
              <w:rPr>
                <w:sz w:val="2"/>
                <w:szCs w:val="2"/>
                <w:color w:val="auto"/>
              </w:rPr>
            </w:pPr>
          </w:p>
        </w:tc>
        <w:tc>
          <w:tcPr>
            <w:tcW w:w="85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12"/>
        </w:trPr>
        <w:tc>
          <w:tcPr>
            <w:tcW w:w="914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Remaining 2023</w:t>
            </w: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w:t>
            </w:r>
          </w:p>
        </w:tc>
      </w:tr>
      <w:tr>
        <w:trPr>
          <w:trHeight w:val="218"/>
        </w:trPr>
        <w:tc>
          <w:tcPr>
            <w:tcW w:w="640" w:type="dxa"/>
            <w:vAlign w:val="bottom"/>
            <w:gridSpan w:val="2"/>
          </w:tcPr>
          <w:p>
            <w:pPr>
              <w:ind w:left="20"/>
              <w:spacing w:after="0"/>
              <w:rPr>
                <w:sz w:val="20"/>
                <w:szCs w:val="20"/>
                <w:color w:val="auto"/>
              </w:rPr>
            </w:pPr>
            <w:r>
              <w:rPr>
                <w:rFonts w:ascii="Arial" w:cs="Arial" w:eastAsia="Arial" w:hAnsi="Arial"/>
                <w:sz w:val="17"/>
                <w:szCs w:val="17"/>
                <w:color w:val="auto"/>
              </w:rPr>
              <w:t>2024</w:t>
            </w:r>
          </w:p>
        </w:tc>
        <w:tc>
          <w:tcPr>
            <w:tcW w:w="8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7"/>
                <w:szCs w:val="17"/>
                <w:color w:val="auto"/>
              </w:rPr>
              <w:t>58</w:t>
            </w:r>
          </w:p>
        </w:tc>
      </w:tr>
      <w:tr>
        <w:trPr>
          <w:trHeight w:val="220"/>
        </w:trPr>
        <w:tc>
          <w:tcPr>
            <w:tcW w:w="6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2025</w:t>
            </w:r>
          </w:p>
        </w:tc>
        <w:tc>
          <w:tcPr>
            <w:tcW w:w="85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w:t>
            </w:r>
          </w:p>
        </w:tc>
      </w:tr>
      <w:tr>
        <w:trPr>
          <w:trHeight w:val="218"/>
        </w:trPr>
        <w:tc>
          <w:tcPr>
            <w:tcW w:w="640" w:type="dxa"/>
            <w:vAlign w:val="bottom"/>
            <w:gridSpan w:val="2"/>
          </w:tcPr>
          <w:p>
            <w:pPr>
              <w:ind w:left="20"/>
              <w:spacing w:after="0"/>
              <w:rPr>
                <w:sz w:val="20"/>
                <w:szCs w:val="20"/>
                <w:color w:val="auto"/>
              </w:rPr>
            </w:pPr>
            <w:r>
              <w:rPr>
                <w:rFonts w:ascii="Arial" w:cs="Arial" w:eastAsia="Arial" w:hAnsi="Arial"/>
                <w:sz w:val="17"/>
                <w:szCs w:val="17"/>
                <w:color w:val="auto"/>
              </w:rPr>
              <w:t>2026</w:t>
            </w:r>
          </w:p>
        </w:tc>
        <w:tc>
          <w:tcPr>
            <w:tcW w:w="8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7"/>
                <w:szCs w:val="17"/>
                <w:color w:val="auto"/>
              </w:rPr>
              <w:t>45</w:t>
            </w:r>
          </w:p>
        </w:tc>
      </w:tr>
      <w:tr>
        <w:trPr>
          <w:trHeight w:val="220"/>
        </w:trPr>
        <w:tc>
          <w:tcPr>
            <w:tcW w:w="6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2027</w:t>
            </w:r>
          </w:p>
        </w:tc>
        <w:tc>
          <w:tcPr>
            <w:tcW w:w="85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w:t>
            </w:r>
          </w:p>
        </w:tc>
      </w:tr>
      <w:tr>
        <w:trPr>
          <w:trHeight w:val="218"/>
        </w:trPr>
        <w:tc>
          <w:tcPr>
            <w:tcW w:w="9140" w:type="dxa"/>
            <w:vAlign w:val="bottom"/>
            <w:tcBorders>
              <w:bottom w:val="single" w:sz="8" w:color="CCEEFF"/>
            </w:tcBorders>
            <w:gridSpan w:val="3"/>
          </w:tcPr>
          <w:p>
            <w:pPr>
              <w:ind w:left="20"/>
              <w:spacing w:after="0"/>
              <w:rPr>
                <w:sz w:val="20"/>
                <w:szCs w:val="20"/>
                <w:color w:val="auto"/>
              </w:rPr>
            </w:pPr>
            <w:r>
              <w:rPr>
                <w:rFonts w:ascii="Arial" w:cs="Arial" w:eastAsia="Arial" w:hAnsi="Arial"/>
                <w:sz w:val="17"/>
                <w:szCs w:val="17"/>
                <w:color w:val="auto"/>
              </w:rPr>
              <w:t>Thereafter</w:t>
            </w:r>
          </w:p>
        </w:tc>
        <w:tc>
          <w:tcPr>
            <w:tcW w:w="32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137</w:t>
            </w:r>
          </w:p>
        </w:tc>
      </w:tr>
      <w:tr>
        <w:trPr>
          <w:trHeight w:val="213"/>
        </w:trPr>
        <w:tc>
          <w:tcPr>
            <w:tcW w:w="914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Total lease payments</w:t>
            </w:r>
          </w:p>
        </w:tc>
        <w:tc>
          <w:tcPr>
            <w:tcW w:w="32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343</w:t>
            </w:r>
          </w:p>
        </w:tc>
      </w:tr>
      <w:tr>
        <w:trPr>
          <w:trHeight w:val="218"/>
        </w:trPr>
        <w:tc>
          <w:tcPr>
            <w:tcW w:w="9140" w:type="dxa"/>
            <w:vAlign w:val="bottom"/>
            <w:tcBorders>
              <w:bottom w:val="single" w:sz="8" w:color="CCEEFF"/>
            </w:tcBorders>
            <w:gridSpan w:val="3"/>
          </w:tcPr>
          <w:p>
            <w:pPr>
              <w:ind w:left="20"/>
              <w:spacing w:after="0"/>
              <w:rPr>
                <w:sz w:val="20"/>
                <w:szCs w:val="20"/>
                <w:color w:val="auto"/>
              </w:rPr>
            </w:pPr>
            <w:r>
              <w:rPr>
                <w:rFonts w:ascii="Arial" w:cs="Arial" w:eastAsia="Arial" w:hAnsi="Arial"/>
                <w:sz w:val="17"/>
                <w:szCs w:val="17"/>
                <w:color w:val="auto"/>
              </w:rPr>
              <w:t>Less: Present value discount</w:t>
            </w:r>
          </w:p>
        </w:tc>
        <w:tc>
          <w:tcPr>
            <w:tcW w:w="32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w:t>
            </w:r>
          </w:p>
        </w:tc>
      </w:tr>
      <w:tr>
        <w:trPr>
          <w:trHeight w:val="238"/>
        </w:trPr>
        <w:tc>
          <w:tcPr>
            <w:tcW w:w="91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7"/>
                <w:szCs w:val="17"/>
                <w:color w:val="auto"/>
              </w:rPr>
              <w:t>Present value of lease liabilities</w:t>
            </w: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317</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85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summarizes the remaining lease term and discount rate assumptions used to develop the present value of operating lease liabilities: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60" w:type="dxa"/>
            <w:vAlign w:val="bottom"/>
          </w:tcPr>
          <w:p>
            <w:pPr>
              <w:spacing w:after="0"/>
              <w:rPr>
                <w:sz w:val="14"/>
                <w:szCs w:val="14"/>
                <w:color w:val="auto"/>
              </w:rPr>
            </w:pPr>
          </w:p>
        </w:tc>
        <w:tc>
          <w:tcPr>
            <w:tcW w:w="1720" w:type="dxa"/>
            <w:vAlign w:val="bottom"/>
            <w:gridSpan w:val="2"/>
          </w:tcPr>
          <w:p>
            <w:pPr>
              <w:ind w:left="400"/>
              <w:spacing w:after="0"/>
              <w:rPr>
                <w:sz w:val="20"/>
                <w:szCs w:val="20"/>
                <w:color w:val="auto"/>
              </w:rPr>
            </w:pPr>
            <w:r>
              <w:rPr>
                <w:rFonts w:ascii="Arial" w:cs="Arial" w:eastAsia="Arial" w:hAnsi="Arial"/>
                <w:sz w:val="14"/>
                <w:szCs w:val="14"/>
                <w:b w:val="1"/>
                <w:bCs w:val="1"/>
                <w:color w:val="auto"/>
              </w:rPr>
              <w:t>September 30,</w:t>
            </w:r>
          </w:p>
        </w:tc>
        <w:tc>
          <w:tcPr>
            <w:tcW w:w="1640" w:type="dxa"/>
            <w:vAlign w:val="bottom"/>
          </w:tcPr>
          <w:p>
            <w:pPr>
              <w:jc w:val="right"/>
              <w:ind w:right="343"/>
              <w:spacing w:after="0"/>
              <w:rPr>
                <w:sz w:val="20"/>
                <w:szCs w:val="20"/>
                <w:color w:val="auto"/>
              </w:rPr>
            </w:pPr>
            <w:r>
              <w:rPr>
                <w:rFonts w:ascii="Arial" w:cs="Arial" w:eastAsia="Arial" w:hAnsi="Arial"/>
                <w:sz w:val="14"/>
                <w:szCs w:val="14"/>
                <w:b w:val="1"/>
                <w:bCs w:val="1"/>
                <w:color w:val="auto"/>
              </w:rPr>
              <w:t>December 31,</w:t>
            </w:r>
          </w:p>
        </w:tc>
      </w:tr>
      <w:tr>
        <w:trPr>
          <w:trHeight w:val="186"/>
        </w:trPr>
        <w:tc>
          <w:tcPr>
            <w:tcW w:w="7860" w:type="dxa"/>
            <w:vAlign w:val="bottom"/>
            <w:tcBorders>
              <w:bottom w:val="single" w:sz="8" w:color="CCEEFF"/>
            </w:tcBorders>
          </w:tcPr>
          <w:p>
            <w:pPr>
              <w:spacing w:after="0"/>
              <w:rPr>
                <w:sz w:val="16"/>
                <w:szCs w:val="16"/>
                <w:color w:val="auto"/>
              </w:rPr>
            </w:pPr>
          </w:p>
        </w:tc>
        <w:tc>
          <w:tcPr>
            <w:tcW w:w="1640" w:type="dxa"/>
            <w:vAlign w:val="bottom"/>
            <w:tcBorders>
              <w:bottom w:val="single" w:sz="8" w:color="auto"/>
            </w:tcBorders>
          </w:tcPr>
          <w:p>
            <w:pPr>
              <w:jc w:val="right"/>
              <w:ind w:right="603"/>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1640" w:type="dxa"/>
            <w:vAlign w:val="bottom"/>
            <w:tcBorders>
              <w:bottom w:val="single" w:sz="8" w:color="auto"/>
            </w:tcBorders>
          </w:tcPr>
          <w:p>
            <w:pPr>
              <w:jc w:val="right"/>
              <w:ind w:right="603"/>
              <w:spacing w:after="0"/>
              <w:rPr>
                <w:sz w:val="20"/>
                <w:szCs w:val="20"/>
                <w:color w:val="auto"/>
              </w:rPr>
            </w:pPr>
            <w:r>
              <w:rPr>
                <w:rFonts w:ascii="Arial" w:cs="Arial" w:eastAsia="Arial" w:hAnsi="Arial"/>
                <w:sz w:val="14"/>
                <w:szCs w:val="14"/>
                <w:b w:val="1"/>
                <w:bCs w:val="1"/>
                <w:color w:val="auto"/>
              </w:rPr>
              <w:t>2022</w:t>
            </w:r>
          </w:p>
        </w:tc>
      </w:tr>
      <w:tr>
        <w:trPr>
          <w:trHeight w:val="219"/>
        </w:trPr>
        <w:tc>
          <w:tcPr>
            <w:tcW w:w="7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Weighted-average remaining lease term (years)</w:t>
            </w:r>
          </w:p>
        </w:tc>
        <w:tc>
          <w:tcPr>
            <w:tcW w:w="1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w:t>
            </w:r>
          </w:p>
        </w:tc>
        <w:tc>
          <w:tcPr>
            <w:tcW w:w="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w:t>
            </w:r>
          </w:p>
        </w:tc>
      </w:tr>
      <w:tr>
        <w:trPr>
          <w:trHeight w:val="218"/>
        </w:trPr>
        <w:tc>
          <w:tcPr>
            <w:tcW w:w="7860" w:type="dxa"/>
            <w:vAlign w:val="bottom"/>
          </w:tcPr>
          <w:p>
            <w:pPr>
              <w:ind w:left="20"/>
              <w:spacing w:after="0"/>
              <w:rPr>
                <w:sz w:val="20"/>
                <w:szCs w:val="20"/>
                <w:color w:val="auto"/>
              </w:rPr>
            </w:pPr>
            <w:r>
              <w:rPr>
                <w:rFonts w:ascii="Arial" w:cs="Arial" w:eastAsia="Arial" w:hAnsi="Arial"/>
                <w:sz w:val="17"/>
                <w:szCs w:val="17"/>
                <w:color w:val="auto"/>
              </w:rPr>
              <w:t>Weighted-average discount rate</w:t>
            </w:r>
          </w:p>
        </w:tc>
        <w:tc>
          <w:tcPr>
            <w:tcW w:w="1640" w:type="dxa"/>
            <w:vAlign w:val="bottom"/>
          </w:tcPr>
          <w:p>
            <w:pPr>
              <w:jc w:val="right"/>
              <w:spacing w:after="0"/>
              <w:rPr>
                <w:sz w:val="20"/>
                <w:szCs w:val="20"/>
                <w:color w:val="auto"/>
              </w:rPr>
            </w:pPr>
            <w:r>
              <w:rPr>
                <w:rFonts w:ascii="Arial" w:cs="Arial" w:eastAsia="Arial" w:hAnsi="Arial"/>
                <w:sz w:val="17"/>
                <w:szCs w:val="17"/>
                <w:color w:val="auto"/>
              </w:rPr>
              <w:t>2.4 %</w:t>
            </w:r>
          </w:p>
        </w:tc>
        <w:tc>
          <w:tcPr>
            <w:tcW w:w="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7"/>
                <w:szCs w:val="17"/>
                <w:color w:val="auto"/>
              </w:rPr>
              <w:t>2.3 %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5" w:name="page16"/>
    <w:bookmarkEnd w:id="15"/>
    <w:p>
      <w:pPr>
        <w:spacing w:after="0"/>
        <w:rPr>
          <w:sz w:val="20"/>
          <w:szCs w:val="20"/>
          <w:color w:val="auto"/>
        </w:rPr>
      </w:pPr>
      <w:r>
        <w:rPr>
          <w:rFonts w:ascii="Arial" w:cs="Arial" w:eastAsia="Arial" w:hAnsi="Arial"/>
          <w:sz w:val="17"/>
          <w:szCs w:val="17"/>
          <w:b w:val="1"/>
          <w:bCs w:val="1"/>
          <w:color w:val="auto"/>
        </w:rPr>
        <w:t>8. LONG-TERM DEBT</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Long-term debt consisted of the following:</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60" w:type="dxa"/>
            <w:vAlign w:val="bottom"/>
            <w:gridSpan w:val="5"/>
          </w:tcPr>
          <w:p>
            <w:pPr>
              <w:ind w:left="600"/>
              <w:spacing w:after="0"/>
              <w:rPr>
                <w:sz w:val="20"/>
                <w:szCs w:val="20"/>
                <w:color w:val="auto"/>
              </w:rPr>
            </w:pPr>
            <w:r>
              <w:rPr>
                <w:rFonts w:ascii="Arial" w:cs="Arial" w:eastAsia="Arial" w:hAnsi="Arial"/>
                <w:sz w:val="14"/>
                <w:szCs w:val="14"/>
                <w:b w:val="1"/>
                <w:bCs w:val="1"/>
                <w:color w:val="auto"/>
              </w:rPr>
              <w:t>September 30, 2023</w:t>
            </w:r>
          </w:p>
        </w:tc>
        <w:tc>
          <w:tcPr>
            <w:tcW w:w="220" w:type="dxa"/>
            <w:vAlign w:val="bottom"/>
          </w:tcPr>
          <w:p>
            <w:pPr>
              <w:spacing w:after="0"/>
              <w:rPr>
                <w:sz w:val="15"/>
                <w:szCs w:val="15"/>
                <w:color w:val="auto"/>
              </w:rPr>
            </w:pPr>
          </w:p>
        </w:tc>
        <w:tc>
          <w:tcPr>
            <w:tcW w:w="2560" w:type="dxa"/>
            <w:vAlign w:val="bottom"/>
            <w:gridSpan w:val="4"/>
          </w:tcPr>
          <w:p>
            <w:pPr>
              <w:jc w:val="right"/>
              <w:ind w:right="771"/>
              <w:spacing w:after="0"/>
              <w:rPr>
                <w:sz w:val="20"/>
                <w:szCs w:val="20"/>
                <w:color w:val="auto"/>
              </w:rPr>
            </w:pPr>
            <w:r>
              <w:rPr>
                <w:rFonts w:ascii="Arial" w:cs="Arial" w:eastAsia="Arial" w:hAnsi="Arial"/>
                <w:sz w:val="14"/>
                <w:szCs w:val="14"/>
                <w:b w:val="1"/>
                <w:bCs w:val="1"/>
                <w:color w:val="auto"/>
              </w:rPr>
              <w:t>December 31, 2022</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1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9"/>
              </w:rPr>
              <w:t>Effective</w:t>
            </w: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1"/>
        </w:trPr>
        <w:tc>
          <w:tcPr>
            <w:tcW w:w="3040" w:type="dxa"/>
            <w:vAlign w:val="bottom"/>
            <w:gridSpan w:val="4"/>
            <w:vMerge w:val="restart"/>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110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Face Value</w:t>
            </w:r>
          </w:p>
        </w:tc>
        <w:tc>
          <w:tcPr>
            <w:tcW w:w="200" w:type="dxa"/>
            <w:vAlign w:val="bottom"/>
          </w:tcPr>
          <w:p>
            <w:pPr>
              <w:spacing w:after="0"/>
              <w:rPr>
                <w:sz w:val="13"/>
                <w:szCs w:val="13"/>
                <w:color w:val="auto"/>
              </w:rPr>
            </w:pPr>
          </w:p>
        </w:tc>
        <w:tc>
          <w:tcPr>
            <w:tcW w:w="12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Book Value</w:t>
            </w:r>
          </w:p>
        </w:tc>
        <w:tc>
          <w:tcPr>
            <w:tcW w:w="220" w:type="dxa"/>
            <w:vAlign w:val="bottom"/>
          </w:tcPr>
          <w:p>
            <w:pPr>
              <w:spacing w:after="0"/>
              <w:rPr>
                <w:sz w:val="13"/>
                <w:szCs w:val="13"/>
                <w:color w:val="auto"/>
              </w:rPr>
            </w:pPr>
          </w:p>
        </w:tc>
        <w:tc>
          <w:tcPr>
            <w:tcW w:w="12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Fair Value</w:t>
            </w:r>
            <w:r>
              <w:rPr>
                <w:rFonts w:ascii="Arial" w:cs="Arial" w:eastAsia="Arial" w:hAnsi="Arial"/>
                <w:sz w:val="17"/>
                <w:szCs w:val="17"/>
                <w:b w:val="1"/>
                <w:bCs w:val="1"/>
                <w:color w:val="auto"/>
                <w:vertAlign w:val="superscript"/>
              </w:rPr>
              <w:t>1</w:t>
            </w:r>
          </w:p>
        </w:tc>
        <w:tc>
          <w:tcPr>
            <w:tcW w:w="220" w:type="dxa"/>
            <w:vAlign w:val="bottom"/>
          </w:tcPr>
          <w:p>
            <w:pPr>
              <w:spacing w:after="0"/>
              <w:rPr>
                <w:sz w:val="13"/>
                <w:szCs w:val="13"/>
                <w:color w:val="auto"/>
              </w:rPr>
            </w:pPr>
          </w:p>
        </w:tc>
        <w:tc>
          <w:tcPr>
            <w:tcW w:w="12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Book Value</w:t>
            </w:r>
          </w:p>
        </w:tc>
        <w:tc>
          <w:tcPr>
            <w:tcW w:w="200" w:type="dxa"/>
            <w:vAlign w:val="bottom"/>
          </w:tcPr>
          <w:p>
            <w:pPr>
              <w:spacing w:after="0"/>
              <w:rPr>
                <w:sz w:val="13"/>
                <w:szCs w:val="13"/>
                <w:color w:val="auto"/>
              </w:rPr>
            </w:pPr>
          </w:p>
        </w:tc>
        <w:tc>
          <w:tcPr>
            <w:tcW w:w="1140" w:type="dxa"/>
            <w:vAlign w:val="bottom"/>
            <w:vMerge w:val="restart"/>
          </w:tcPr>
          <w:p>
            <w:pPr>
              <w:jc w:val="right"/>
              <w:ind w:right="271"/>
              <w:spacing w:after="0"/>
              <w:rPr>
                <w:sz w:val="20"/>
                <w:szCs w:val="20"/>
                <w:color w:val="auto"/>
              </w:rPr>
            </w:pPr>
            <w:r>
              <w:rPr>
                <w:rFonts w:ascii="Arial" w:cs="Arial" w:eastAsia="Arial" w:hAnsi="Arial"/>
                <w:sz w:val="14"/>
                <w:szCs w:val="14"/>
                <w:b w:val="1"/>
                <w:bCs w:val="1"/>
                <w:color w:val="auto"/>
              </w:rPr>
              <w:t>Fair Value</w:t>
            </w:r>
            <w:r>
              <w:rPr>
                <w:rFonts w:ascii="Arial" w:cs="Arial" w:eastAsia="Arial" w:hAnsi="Arial"/>
                <w:sz w:val="17"/>
                <w:szCs w:val="17"/>
                <w:b w:val="1"/>
                <w:bCs w:val="1"/>
                <w:color w:val="auto"/>
                <w:vertAlign w:val="superscript"/>
              </w:rPr>
              <w:t>1</w:t>
            </w:r>
          </w:p>
        </w:tc>
        <w:tc>
          <w:tcPr>
            <w:tcW w:w="0" w:type="dxa"/>
            <w:vAlign w:val="bottom"/>
          </w:tcPr>
          <w:p>
            <w:pPr>
              <w:spacing w:after="0"/>
              <w:rPr>
                <w:sz w:val="1"/>
                <w:szCs w:val="1"/>
                <w:color w:val="auto"/>
              </w:rPr>
            </w:pPr>
          </w:p>
        </w:tc>
      </w:tr>
      <w:tr>
        <w:trPr>
          <w:trHeight w:val="138"/>
        </w:trPr>
        <w:tc>
          <w:tcPr>
            <w:tcW w:w="3040" w:type="dxa"/>
            <w:vAlign w:val="bottom"/>
            <w:gridSpan w:val="4"/>
            <w:vMerge w:val="continue"/>
          </w:tcPr>
          <w:p>
            <w:pPr>
              <w:spacing w:after="0"/>
              <w:rPr>
                <w:sz w:val="12"/>
                <w:szCs w:val="12"/>
                <w:color w:val="auto"/>
              </w:rPr>
            </w:pPr>
          </w:p>
        </w:tc>
        <w:tc>
          <w:tcPr>
            <w:tcW w:w="1100" w:type="dxa"/>
            <w:vAlign w:val="bottom"/>
            <w:gridSpan w:val="2"/>
          </w:tcPr>
          <w:p>
            <w:pPr>
              <w:jc w:val="center"/>
              <w:ind w:right="100"/>
              <w:spacing w:after="0" w:line="119" w:lineRule="exact"/>
              <w:rPr>
                <w:sz w:val="20"/>
                <w:szCs w:val="20"/>
                <w:color w:val="auto"/>
              </w:rPr>
            </w:pPr>
            <w:r>
              <w:rPr>
                <w:rFonts w:ascii="Arial" w:cs="Arial" w:eastAsia="Arial" w:hAnsi="Arial"/>
                <w:sz w:val="13"/>
                <w:szCs w:val="13"/>
                <w:b w:val="1"/>
                <w:bCs w:val="1"/>
                <w:color w:val="auto"/>
                <w:w w:val="96"/>
              </w:rPr>
              <w:t>Interest Rate</w:t>
            </w:r>
          </w:p>
        </w:tc>
        <w:tc>
          <w:tcPr>
            <w:tcW w:w="12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20" w:type="dxa"/>
            <w:vAlign w:val="bottom"/>
            <w:tcBorders>
              <w:bottom w:val="single" w:sz="8" w:color="CCEEFF"/>
            </w:tcBorders>
          </w:tcPr>
          <w:p>
            <w:pPr>
              <w:spacing w:after="0"/>
              <w:rPr>
                <w:sz w:val="2"/>
                <w:szCs w:val="2"/>
                <w:color w:val="auto"/>
              </w:rPr>
            </w:pPr>
          </w:p>
        </w:tc>
        <w:tc>
          <w:tcPr>
            <w:tcW w:w="480" w:type="dxa"/>
            <w:vAlign w:val="bottom"/>
            <w:tcBorders>
              <w:top w:val="single" w:sz="8" w:color="auto"/>
              <w:bottom w:val="single" w:sz="8" w:color="CCEEFF"/>
            </w:tcBorders>
          </w:tcPr>
          <w:p>
            <w:pPr>
              <w:spacing w:after="0"/>
              <w:rPr>
                <w:sz w:val="2"/>
                <w:szCs w:val="2"/>
                <w:color w:val="auto"/>
              </w:rPr>
            </w:pPr>
          </w:p>
        </w:tc>
        <w:tc>
          <w:tcPr>
            <w:tcW w:w="140" w:type="dxa"/>
            <w:vAlign w:val="bottom"/>
            <w:tcBorders>
              <w:top w:val="single" w:sz="8" w:color="auto"/>
              <w:bottom w:val="single" w:sz="8" w:color="CCEEFF"/>
            </w:tcBorders>
          </w:tcPr>
          <w:p>
            <w:pPr>
              <w:spacing w:after="0"/>
              <w:rPr>
                <w:sz w:val="2"/>
                <w:szCs w:val="2"/>
                <w:color w:val="auto"/>
              </w:rPr>
            </w:pPr>
          </w:p>
        </w:tc>
        <w:tc>
          <w:tcPr>
            <w:tcW w:w="24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3040" w:type="dxa"/>
            <w:vAlign w:val="bottom"/>
            <w:gridSpan w:val="4"/>
            <w:shd w:val="clear" w:color="auto" w:fill="CCEEFF"/>
          </w:tcPr>
          <w:p>
            <w:pPr>
              <w:ind w:left="20"/>
              <w:spacing w:after="0" w:line="155" w:lineRule="exact"/>
              <w:rPr>
                <w:sz w:val="20"/>
                <w:szCs w:val="20"/>
                <w:color w:val="auto"/>
              </w:rPr>
            </w:pPr>
            <w:r>
              <w:rPr>
                <w:rFonts w:ascii="Arial" w:cs="Arial" w:eastAsia="Arial" w:hAnsi="Arial"/>
                <w:sz w:val="14"/>
                <w:szCs w:val="14"/>
                <w:color w:val="auto"/>
              </w:rPr>
              <w:t>Restated Credit Agreement:</w:t>
            </w: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3020" w:type="dxa"/>
            <w:vAlign w:val="bottom"/>
            <w:gridSpan w:val="3"/>
          </w:tcPr>
          <w:p>
            <w:pPr>
              <w:ind w:left="100"/>
              <w:spacing w:after="0"/>
              <w:rPr>
                <w:sz w:val="20"/>
                <w:szCs w:val="20"/>
                <w:color w:val="auto"/>
              </w:rPr>
            </w:pPr>
            <w:r>
              <w:rPr>
                <w:rFonts w:ascii="Arial" w:cs="Arial" w:eastAsia="Arial" w:hAnsi="Arial"/>
                <w:sz w:val="14"/>
                <w:szCs w:val="14"/>
                <w:color w:val="auto"/>
              </w:rPr>
              <w:t>Revolving Credit Facility</w:t>
            </w:r>
          </w:p>
        </w:tc>
        <w:tc>
          <w:tcPr>
            <w:tcW w:w="1000" w:type="dxa"/>
            <w:vAlign w:val="bottom"/>
          </w:tcPr>
          <w:p>
            <w:pPr>
              <w:jc w:val="right"/>
              <w:spacing w:after="0"/>
              <w:rPr>
                <w:sz w:val="20"/>
                <w:szCs w:val="20"/>
                <w:color w:val="auto"/>
              </w:rPr>
            </w:pPr>
            <w:r>
              <w:rPr>
                <w:rFonts w:ascii="Arial" w:cs="Arial" w:eastAsia="Arial" w:hAnsi="Arial"/>
                <w:sz w:val="14"/>
                <w:szCs w:val="14"/>
                <w:color w:val="auto"/>
              </w:rPr>
              <w:t>7.2 %</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15"/>
                <w:szCs w:val="15"/>
                <w:color w:val="auto"/>
              </w:rPr>
            </w:pPr>
          </w:p>
        </w:tc>
        <w:tc>
          <w:tcPr>
            <w:tcW w:w="200" w:type="dxa"/>
            <w:vAlign w:val="bottom"/>
          </w:tcPr>
          <w:p>
            <w:pPr>
              <w:jc w:val="right"/>
              <w:ind w:right="51"/>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15"/>
                <w:szCs w:val="15"/>
                <w:color w:val="auto"/>
              </w:rPr>
            </w:pPr>
          </w:p>
        </w:tc>
        <w:tc>
          <w:tcPr>
            <w:tcW w:w="220" w:type="dxa"/>
            <w:vAlign w:val="bottom"/>
          </w:tcPr>
          <w:p>
            <w:pPr>
              <w:jc w:val="right"/>
              <w:ind w:right="71"/>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15"/>
                <w:szCs w:val="15"/>
                <w:color w:val="auto"/>
              </w:rPr>
            </w:pPr>
          </w:p>
        </w:tc>
        <w:tc>
          <w:tcPr>
            <w:tcW w:w="220" w:type="dxa"/>
            <w:vAlign w:val="bottom"/>
          </w:tcPr>
          <w:p>
            <w:pPr>
              <w:jc w:val="right"/>
              <w:ind w:right="71"/>
              <w:spacing w:after="0"/>
              <w:rPr>
                <w:sz w:val="20"/>
                <w:szCs w:val="20"/>
                <w:color w:val="auto"/>
              </w:rPr>
            </w:pPr>
            <w:r>
              <w:rPr>
                <w:rFonts w:ascii="Arial" w:cs="Arial" w:eastAsia="Arial" w:hAnsi="Arial"/>
                <w:sz w:val="14"/>
                <w:szCs w:val="14"/>
                <w:color w:val="auto"/>
                <w:w w:val="76"/>
              </w:rPr>
              <w:t>$</w:t>
            </w:r>
          </w:p>
        </w:tc>
        <w:tc>
          <w:tcPr>
            <w:tcW w:w="12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51"/>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302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Delayed Draw Term Loan</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6.8 %</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4"/>
        </w:trPr>
        <w:tc>
          <w:tcPr>
            <w:tcW w:w="3040" w:type="dxa"/>
            <w:vAlign w:val="bottom"/>
            <w:gridSpan w:val="4"/>
          </w:tcPr>
          <w:p>
            <w:pPr>
              <w:ind w:left="20"/>
              <w:spacing w:after="0"/>
              <w:rPr>
                <w:sz w:val="20"/>
                <w:szCs w:val="20"/>
                <w:color w:val="auto"/>
              </w:rPr>
            </w:pPr>
            <w:r>
              <w:rPr>
                <w:rFonts w:ascii="Arial" w:cs="Arial" w:eastAsia="Arial" w:hAnsi="Arial"/>
                <w:sz w:val="14"/>
                <w:szCs w:val="14"/>
                <w:color w:val="auto"/>
              </w:rPr>
              <w:t>Senior Notes:</w:t>
            </w: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302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4.375% Senior Notes, due 2023</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248</w:t>
            </w:r>
          </w:p>
        </w:tc>
        <w:tc>
          <w:tcPr>
            <w:tcW w:w="0" w:type="dxa"/>
            <w:vAlign w:val="bottom"/>
          </w:tcPr>
          <w:p>
            <w:pPr>
              <w:spacing w:after="0"/>
              <w:rPr>
                <w:sz w:val="1"/>
                <w:szCs w:val="1"/>
                <w:color w:val="auto"/>
              </w:rPr>
            </w:pPr>
          </w:p>
        </w:tc>
      </w:tr>
      <w:tr>
        <w:trPr>
          <w:trHeight w:val="184"/>
        </w:trPr>
        <w:tc>
          <w:tcPr>
            <w:tcW w:w="500" w:type="dxa"/>
            <w:vAlign w:val="bottom"/>
            <w:gridSpan w:val="2"/>
          </w:tcPr>
          <w:p>
            <w:pPr>
              <w:ind w:left="120"/>
              <w:spacing w:after="0"/>
              <w:rPr>
                <w:sz w:val="20"/>
                <w:szCs w:val="20"/>
                <w:color w:val="auto"/>
              </w:rPr>
            </w:pPr>
            <w:r>
              <w:rPr>
                <w:rFonts w:ascii="Arial" w:cs="Arial" w:eastAsia="Arial" w:hAnsi="Arial"/>
                <w:sz w:val="14"/>
                <w:szCs w:val="14"/>
                <w:color w:val="auto"/>
                <w:w w:val="90"/>
              </w:rPr>
              <w:t>4.15%</w:t>
            </w:r>
          </w:p>
        </w:tc>
        <w:tc>
          <w:tcPr>
            <w:tcW w:w="2540" w:type="dxa"/>
            <w:vAlign w:val="bottom"/>
            <w:gridSpan w:val="2"/>
          </w:tcPr>
          <w:p>
            <w:pPr>
              <w:ind w:left="20"/>
              <w:spacing w:after="0"/>
              <w:rPr>
                <w:sz w:val="20"/>
                <w:szCs w:val="20"/>
                <w:color w:val="auto"/>
              </w:rPr>
            </w:pPr>
            <w:r>
              <w:rPr>
                <w:rFonts w:ascii="Arial" w:cs="Arial" w:eastAsia="Arial" w:hAnsi="Arial"/>
                <w:sz w:val="14"/>
                <w:szCs w:val="14"/>
                <w:color w:val="auto"/>
              </w:rPr>
              <w:t>Senior Notes, due 2024</w:t>
            </w:r>
          </w:p>
        </w:tc>
        <w:tc>
          <w:tcPr>
            <w:tcW w:w="1000" w:type="dxa"/>
            <w:vAlign w:val="bottom"/>
          </w:tcPr>
          <w:p>
            <w:pPr>
              <w:jc w:val="right"/>
              <w:spacing w:after="0"/>
              <w:rPr>
                <w:sz w:val="20"/>
                <w:szCs w:val="20"/>
                <w:color w:val="auto"/>
              </w:rPr>
            </w:pPr>
            <w:r>
              <w:rPr>
                <w:rFonts w:ascii="Arial" w:cs="Arial" w:eastAsia="Arial" w:hAnsi="Arial"/>
                <w:sz w:val="14"/>
                <w:szCs w:val="14"/>
                <w:color w:val="auto"/>
              </w:rPr>
              <w:t>4.4 %</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725</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724</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718</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723</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714</w:t>
            </w:r>
          </w:p>
        </w:tc>
        <w:tc>
          <w:tcPr>
            <w:tcW w:w="0" w:type="dxa"/>
            <w:vAlign w:val="bottom"/>
          </w:tcPr>
          <w:p>
            <w:pPr>
              <w:spacing w:after="0"/>
              <w:rPr>
                <w:sz w:val="1"/>
                <w:szCs w:val="1"/>
                <w:color w:val="auto"/>
              </w:rPr>
            </w:pPr>
          </w:p>
        </w:tc>
      </w:tr>
      <w:tr>
        <w:trPr>
          <w:trHeight w:val="203"/>
        </w:trPr>
        <w:tc>
          <w:tcPr>
            <w:tcW w:w="5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w w:val="90"/>
              </w:rPr>
              <w:t>3.20%</w:t>
            </w:r>
          </w:p>
        </w:tc>
        <w:tc>
          <w:tcPr>
            <w:tcW w:w="25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Senior Notes, due 2025</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3.4 %</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498</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475</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471</w:t>
            </w:r>
          </w:p>
        </w:tc>
        <w:tc>
          <w:tcPr>
            <w:tcW w:w="0" w:type="dxa"/>
            <w:vAlign w:val="bottom"/>
          </w:tcPr>
          <w:p>
            <w:pPr>
              <w:spacing w:after="0"/>
              <w:rPr>
                <w:sz w:val="1"/>
                <w:szCs w:val="1"/>
                <w:color w:val="auto"/>
              </w:rPr>
            </w:pPr>
          </w:p>
        </w:tc>
      </w:tr>
      <w:tr>
        <w:trPr>
          <w:trHeight w:val="184"/>
        </w:trPr>
        <w:tc>
          <w:tcPr>
            <w:tcW w:w="500" w:type="dxa"/>
            <w:vAlign w:val="bottom"/>
            <w:gridSpan w:val="2"/>
          </w:tcPr>
          <w:p>
            <w:pPr>
              <w:ind w:left="120"/>
              <w:spacing w:after="0"/>
              <w:rPr>
                <w:sz w:val="20"/>
                <w:szCs w:val="20"/>
                <w:color w:val="auto"/>
              </w:rPr>
            </w:pPr>
            <w:r>
              <w:rPr>
                <w:rFonts w:ascii="Arial" w:cs="Arial" w:eastAsia="Arial" w:hAnsi="Arial"/>
                <w:sz w:val="14"/>
                <w:szCs w:val="14"/>
                <w:color w:val="auto"/>
                <w:w w:val="90"/>
              </w:rPr>
              <w:t>3.45%</w:t>
            </w:r>
          </w:p>
        </w:tc>
        <w:tc>
          <w:tcPr>
            <w:tcW w:w="2540" w:type="dxa"/>
            <w:vAlign w:val="bottom"/>
            <w:gridSpan w:val="2"/>
          </w:tcPr>
          <w:p>
            <w:pPr>
              <w:ind w:left="20"/>
              <w:spacing w:after="0"/>
              <w:rPr>
                <w:sz w:val="20"/>
                <w:szCs w:val="20"/>
                <w:color w:val="auto"/>
              </w:rPr>
            </w:pPr>
            <w:r>
              <w:rPr>
                <w:rFonts w:ascii="Arial" w:cs="Arial" w:eastAsia="Arial" w:hAnsi="Arial"/>
                <w:sz w:val="14"/>
                <w:szCs w:val="14"/>
                <w:color w:val="auto"/>
              </w:rPr>
              <w:t>Senior Notes, due 2026</w:t>
            </w:r>
          </w:p>
        </w:tc>
        <w:tc>
          <w:tcPr>
            <w:tcW w:w="1000" w:type="dxa"/>
            <w:vAlign w:val="bottom"/>
          </w:tcPr>
          <w:p>
            <w:pPr>
              <w:jc w:val="right"/>
              <w:spacing w:after="0"/>
              <w:rPr>
                <w:sz w:val="20"/>
                <w:szCs w:val="20"/>
                <w:color w:val="auto"/>
              </w:rPr>
            </w:pPr>
            <w:r>
              <w:rPr>
                <w:rFonts w:ascii="Arial" w:cs="Arial" w:eastAsia="Arial" w:hAnsi="Arial"/>
                <w:sz w:val="14"/>
                <w:szCs w:val="14"/>
                <w:color w:val="auto"/>
              </w:rPr>
              <w:t>3.5 %</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750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749</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698</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749</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699</w:t>
            </w:r>
          </w:p>
        </w:tc>
        <w:tc>
          <w:tcPr>
            <w:tcW w:w="0" w:type="dxa"/>
            <w:vAlign w:val="bottom"/>
          </w:tcPr>
          <w:p>
            <w:pPr>
              <w:spacing w:after="0"/>
              <w:rPr>
                <w:sz w:val="1"/>
                <w:szCs w:val="1"/>
                <w:color w:val="auto"/>
              </w:rPr>
            </w:pPr>
          </w:p>
        </w:tc>
      </w:tr>
      <w:tr>
        <w:trPr>
          <w:trHeight w:val="203"/>
        </w:trPr>
        <w:tc>
          <w:tcPr>
            <w:tcW w:w="5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w w:val="90"/>
              </w:rPr>
              <w:t>1.25%</w:t>
            </w:r>
          </w:p>
        </w:tc>
        <w:tc>
          <w:tcPr>
            <w:tcW w:w="25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Senior Notes (EUR), due 2027</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1.5 %</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524</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464</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455</w:t>
            </w:r>
          </w:p>
        </w:tc>
        <w:tc>
          <w:tcPr>
            <w:tcW w:w="0" w:type="dxa"/>
            <w:vAlign w:val="bottom"/>
          </w:tcPr>
          <w:p>
            <w:pPr>
              <w:spacing w:after="0"/>
              <w:rPr>
                <w:sz w:val="1"/>
                <w:szCs w:val="1"/>
                <w:color w:val="auto"/>
              </w:rPr>
            </w:pPr>
          </w:p>
        </w:tc>
      </w:tr>
      <w:tr>
        <w:trPr>
          <w:trHeight w:val="184"/>
        </w:trPr>
        <w:tc>
          <w:tcPr>
            <w:tcW w:w="500" w:type="dxa"/>
            <w:vAlign w:val="bottom"/>
            <w:gridSpan w:val="2"/>
          </w:tcPr>
          <w:p>
            <w:pPr>
              <w:ind w:left="120"/>
              <w:spacing w:after="0"/>
              <w:rPr>
                <w:sz w:val="20"/>
                <w:szCs w:val="20"/>
                <w:color w:val="auto"/>
              </w:rPr>
            </w:pPr>
            <w:r>
              <w:rPr>
                <w:rFonts w:ascii="Arial" w:cs="Arial" w:eastAsia="Arial" w:hAnsi="Arial"/>
                <w:sz w:val="14"/>
                <w:szCs w:val="14"/>
                <w:color w:val="auto"/>
                <w:w w:val="90"/>
              </w:rPr>
              <w:t>4.70%</w:t>
            </w:r>
          </w:p>
        </w:tc>
        <w:tc>
          <w:tcPr>
            <w:tcW w:w="2540" w:type="dxa"/>
            <w:vAlign w:val="bottom"/>
            <w:gridSpan w:val="2"/>
          </w:tcPr>
          <w:p>
            <w:pPr>
              <w:ind w:left="20"/>
              <w:spacing w:after="0"/>
              <w:rPr>
                <w:sz w:val="20"/>
                <w:szCs w:val="20"/>
                <w:color w:val="auto"/>
              </w:rPr>
            </w:pPr>
            <w:r>
              <w:rPr>
                <w:rFonts w:ascii="Arial" w:cs="Arial" w:eastAsia="Arial" w:hAnsi="Arial"/>
                <w:sz w:val="14"/>
                <w:szCs w:val="14"/>
                <w:color w:val="auto"/>
              </w:rPr>
              <w:t>Senior Notes, due 2028</w:t>
            </w:r>
          </w:p>
        </w:tc>
        <w:tc>
          <w:tcPr>
            <w:tcW w:w="1000" w:type="dxa"/>
            <w:vAlign w:val="bottom"/>
          </w:tcPr>
          <w:p>
            <w:pPr>
              <w:jc w:val="right"/>
              <w:spacing w:after="0"/>
              <w:rPr>
                <w:sz w:val="20"/>
                <w:szCs w:val="20"/>
                <w:color w:val="auto"/>
              </w:rPr>
            </w:pPr>
            <w:r>
              <w:rPr>
                <w:rFonts w:ascii="Arial" w:cs="Arial" w:eastAsia="Arial" w:hAnsi="Arial"/>
                <w:sz w:val="14"/>
                <w:szCs w:val="14"/>
                <w:color w:val="auto"/>
              </w:rPr>
              <w:t>4.8 %</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1,250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1,245</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1,176</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1,244</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1,201</w:t>
            </w:r>
          </w:p>
        </w:tc>
        <w:tc>
          <w:tcPr>
            <w:tcW w:w="0" w:type="dxa"/>
            <w:vAlign w:val="bottom"/>
          </w:tcPr>
          <w:p>
            <w:pPr>
              <w:spacing w:after="0"/>
              <w:rPr>
                <w:sz w:val="1"/>
                <w:szCs w:val="1"/>
                <w:color w:val="auto"/>
              </w:rPr>
            </w:pPr>
          </w:p>
        </w:tc>
      </w:tr>
      <w:tr>
        <w:trPr>
          <w:trHeight w:val="203"/>
        </w:trPr>
        <w:tc>
          <w:tcPr>
            <w:tcW w:w="3040" w:type="dxa"/>
            <w:vAlign w:val="bottom"/>
            <w:gridSpan w:val="4"/>
            <w:shd w:val="clear" w:color="auto" w:fill="CCEEFF"/>
          </w:tcPr>
          <w:p>
            <w:pPr>
              <w:ind w:left="20"/>
              <w:spacing w:after="0"/>
              <w:rPr>
                <w:sz w:val="20"/>
                <w:szCs w:val="20"/>
                <w:color w:val="auto"/>
              </w:rPr>
            </w:pPr>
            <w:r>
              <w:rPr>
                <w:rFonts w:ascii="Arial" w:cs="Arial" w:eastAsia="Arial" w:hAnsi="Arial"/>
                <w:sz w:val="14"/>
                <w:szCs w:val="14"/>
                <w:color w:val="auto"/>
              </w:rPr>
              <w:t>Other Borrowings</w:t>
            </w: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3020" w:type="dxa"/>
            <w:vAlign w:val="bottom"/>
            <w:gridSpan w:val="3"/>
          </w:tcPr>
          <w:p>
            <w:pPr>
              <w:ind w:left="420"/>
              <w:spacing w:after="0"/>
              <w:rPr>
                <w:sz w:val="20"/>
                <w:szCs w:val="20"/>
                <w:color w:val="auto"/>
              </w:rPr>
            </w:pPr>
            <w:r>
              <w:rPr>
                <w:rFonts w:ascii="Arial" w:cs="Arial" w:eastAsia="Arial" w:hAnsi="Arial"/>
                <w:sz w:val="14"/>
                <w:szCs w:val="14"/>
                <w:color w:val="auto"/>
              </w:rPr>
              <w:t>Total</w:t>
            </w: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4,047</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3,841</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4,002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3,801</w:t>
            </w: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3020" w:type="dxa"/>
            <w:vAlign w:val="bottom"/>
            <w:gridSpan w:val="3"/>
            <w:shd w:val="clear" w:color="auto" w:fill="CCEEFF"/>
          </w:tcPr>
          <w:p>
            <w:pPr>
              <w:ind w:left="420"/>
              <w:spacing w:after="0"/>
              <w:rPr>
                <w:sz w:val="20"/>
                <w:szCs w:val="20"/>
                <w:color w:val="auto"/>
              </w:rPr>
            </w:pPr>
            <w:r>
              <w:rPr>
                <w:rFonts w:ascii="Arial" w:cs="Arial" w:eastAsia="Arial" w:hAnsi="Arial"/>
                <w:sz w:val="14"/>
                <w:szCs w:val="14"/>
                <w:color w:val="auto"/>
              </w:rPr>
              <w:t>Less: current portion</w:t>
            </w: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(759)</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(753)</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(251)</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(249)</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020" w:type="dxa"/>
            <w:vAlign w:val="bottom"/>
            <w:gridSpan w:val="3"/>
          </w:tcPr>
          <w:p>
            <w:pPr>
              <w:ind w:left="420"/>
              <w:spacing w:after="0"/>
              <w:rPr>
                <w:sz w:val="20"/>
                <w:szCs w:val="20"/>
                <w:color w:val="auto"/>
              </w:rPr>
            </w:pPr>
            <w:r>
              <w:rPr>
                <w:rFonts w:ascii="Arial" w:cs="Arial" w:eastAsia="Arial" w:hAnsi="Arial"/>
                <w:sz w:val="14"/>
                <w:szCs w:val="14"/>
                <w:color w:val="auto"/>
              </w:rPr>
              <w:t>Long-term portion</w:t>
            </w: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3,288</w:t>
            </w:r>
          </w:p>
        </w:tc>
        <w:tc>
          <w:tcPr>
            <w:tcW w:w="100" w:type="dxa"/>
            <w:vAlign w:val="bottom"/>
          </w:tcPr>
          <w:p>
            <w:pPr>
              <w:spacing w:after="0"/>
              <w:rPr>
                <w:sz w:val="16"/>
                <w:szCs w:val="16"/>
                <w:color w:val="auto"/>
              </w:rPr>
            </w:pPr>
          </w:p>
        </w:tc>
        <w:tc>
          <w:tcPr>
            <w:tcW w:w="22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3,088</w:t>
            </w:r>
          </w:p>
        </w:tc>
        <w:tc>
          <w:tcPr>
            <w:tcW w:w="100" w:type="dxa"/>
            <w:vAlign w:val="bottom"/>
          </w:tcPr>
          <w:p>
            <w:pPr>
              <w:spacing w:after="0"/>
              <w:rPr>
                <w:sz w:val="16"/>
                <w:szCs w:val="16"/>
                <w:color w:val="auto"/>
              </w:rPr>
            </w:pPr>
          </w:p>
        </w:tc>
        <w:tc>
          <w:tcPr>
            <w:tcW w:w="22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3,751</w:t>
            </w:r>
          </w:p>
        </w:tc>
        <w:tc>
          <w:tcPr>
            <w:tcW w:w="100" w:type="dxa"/>
            <w:vAlign w:val="bottom"/>
          </w:tcPr>
          <w:p>
            <w:pPr>
              <w:spacing w:after="0"/>
              <w:rPr>
                <w:sz w:val="16"/>
                <w:szCs w:val="16"/>
                <w:color w:val="auto"/>
              </w:rPr>
            </w:pPr>
          </w:p>
        </w:tc>
        <w:tc>
          <w:tcPr>
            <w:tcW w:w="20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7" w:lineRule="exact"/>
        <w:rPr>
          <w:sz w:val="20"/>
          <w:szCs w:val="20"/>
          <w:color w:val="auto"/>
        </w:rPr>
      </w:pPr>
    </w:p>
    <w:p>
      <w:pPr>
        <w:spacing w:after="0"/>
        <w:rPr>
          <w:sz w:val="20"/>
          <w:szCs w:val="20"/>
          <w:color w:val="auto"/>
        </w:rPr>
      </w:pPr>
      <w:r>
        <w:rPr>
          <w:rFonts w:ascii="Arial" w:cs="Arial" w:eastAsia="Arial" w:hAnsi="Arial"/>
          <w:sz w:val="14"/>
          <w:szCs w:val="14"/>
          <w:color w:val="auto"/>
        </w:rPr>
        <w:t>1. See Note 13 for information on the fair value measurement of the Company's long-term debt.</w:t>
      </w:r>
    </w:p>
    <w:p>
      <w:pPr>
        <w:spacing w:after="0" w:line="103" w:lineRule="exact"/>
        <w:rPr>
          <w:sz w:val="20"/>
          <w:szCs w:val="20"/>
          <w:color w:val="auto"/>
        </w:rPr>
      </w:pPr>
    </w:p>
    <w:p>
      <w:pPr>
        <w:jc w:val="both"/>
        <w:ind w:right="460" w:firstLine="464"/>
        <w:spacing w:after="0" w:line="279" w:lineRule="auto"/>
        <w:rPr>
          <w:sz w:val="20"/>
          <w:szCs w:val="20"/>
          <w:color w:val="auto"/>
        </w:rPr>
      </w:pPr>
      <w:r>
        <w:rPr>
          <w:rFonts w:ascii="Arial" w:cs="Arial" w:eastAsia="Arial" w:hAnsi="Arial"/>
          <w:sz w:val="17"/>
          <w:szCs w:val="17"/>
          <w:color w:val="auto"/>
        </w:rPr>
        <w:t>Variances between Face Value and Book Value are the result of unamortized discounts and debt issuance fees as well as foreign exchange on the Euro Notes. Amortization of discounts and debt issuance fees are included in the calculation of Effective Interest Rate.</w:t>
      </w:r>
    </w:p>
    <w:p>
      <w:pPr>
        <w:spacing w:after="0" w:line="61" w:lineRule="exact"/>
        <w:rPr>
          <w:sz w:val="20"/>
          <w:szCs w:val="20"/>
          <w:color w:val="auto"/>
        </w:rPr>
      </w:pPr>
    </w:p>
    <w:p>
      <w:pPr>
        <w:ind w:right="80" w:firstLine="464"/>
        <w:spacing w:after="0" w:line="279" w:lineRule="auto"/>
        <w:rPr>
          <w:sz w:val="20"/>
          <w:szCs w:val="20"/>
          <w:color w:val="auto"/>
        </w:rPr>
      </w:pPr>
      <w:r>
        <w:rPr>
          <w:rFonts w:ascii="Arial" w:cs="Arial" w:eastAsia="Arial" w:hAnsi="Arial"/>
          <w:sz w:val="16"/>
          <w:szCs w:val="16"/>
          <w:color w:val="auto"/>
        </w:rPr>
        <w:t>For those debt securities that have a premium or discount at the time of issuance, the Company amortizes the amount through interest expense based on the maturity date or the first date the holders may require the Company to repurchase the debt securities, if applicable. A premium would result in a decrease in interest expense, and a discount would result in an increase in interest expense in future periods. Additionally, the Company has debt issuance costs related to certain financing transactions which are also amortized through interest expense. As of September 30, 2023 and December 31, 2022, the Company had total combined unamortized discount and debt issuance costs of $16 million and $21 million, respectively.</w:t>
      </w:r>
    </w:p>
    <w:p>
      <w:pPr>
        <w:spacing w:after="0" w:line="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Credit Agreement</w:t>
      </w:r>
    </w:p>
    <w:p>
      <w:pPr>
        <w:spacing w:after="0" w:line="114" w:lineRule="exact"/>
        <w:rPr>
          <w:sz w:val="20"/>
          <w:szCs w:val="20"/>
          <w:color w:val="auto"/>
        </w:rPr>
      </w:pPr>
    </w:p>
    <w:p>
      <w:pPr>
        <w:jc w:val="both"/>
        <w:ind w:right="160" w:firstLine="464"/>
        <w:spacing w:after="0" w:line="292" w:lineRule="auto"/>
        <w:rPr>
          <w:sz w:val="20"/>
          <w:szCs w:val="20"/>
          <w:color w:val="auto"/>
        </w:rPr>
      </w:pPr>
      <w:r>
        <w:rPr>
          <w:rFonts w:ascii="Arial" w:cs="Arial" w:eastAsia="Arial" w:hAnsi="Arial"/>
          <w:sz w:val="15"/>
          <w:szCs w:val="15"/>
          <w:color w:val="auto"/>
        </w:rPr>
        <w:t>On June 8, 2018, the Company entered into a credit agreement (“Original Credit Agreement”) consisting of (i) term loans denominated in euros and U.S. dollars ("Term Loans") and (ii) a multi-currency revolving loan facility, providing for an equivalent in U.S. dollars of up to $1.2 billion. On August 15, 2022, the Company entered into a new unsecured credit agreement ("Restated Credit Agreement"), which amended, restated and replaced the Original Credit Agreement.</w:t>
      </w:r>
    </w:p>
    <w:p>
      <w:pPr>
        <w:spacing w:after="0" w:line="274" w:lineRule="auto"/>
        <w:rPr>
          <w:sz w:val="20"/>
          <w:szCs w:val="20"/>
          <w:color w:val="auto"/>
        </w:rPr>
      </w:pPr>
      <w:r>
        <w:rPr>
          <w:rFonts w:ascii="Arial" w:cs="Arial" w:eastAsia="Arial" w:hAnsi="Arial"/>
          <w:sz w:val="16"/>
          <w:szCs w:val="16"/>
          <w:color w:val="auto"/>
        </w:rPr>
        <w:t>The Restated Credit Agreement is with a syndicate of lenders and provides for borrowings consisting of (i) a multi-currency revolving credit facility, providing for an equivalent in U.S. dollars of up to $1.5 billion (the “Revolving Credit Facility”) and (ii) a new $250 million delayed draw term loan facility (the “Delayed Draw Term Loan”), all pursuant to the terms and conditions of the Restated Credit Agreement (which are substantially similar with the terms of the Original Credit Agreement). The Restated Credit Agreement allows the Company to request, at prevailing market rates, an aggregate amount not to exceed $750 million, (a) increases to the borrowing commitments under the Revolving Credit Facility and/or (b) new incremental term loan commitments. The agreement contains affirmative, negative and financial covenants, and events of default customary for facilities of this type.</w:t>
      </w:r>
    </w:p>
    <w:p>
      <w:pPr>
        <w:spacing w:after="0" w:line="70" w:lineRule="exact"/>
        <w:rPr>
          <w:sz w:val="20"/>
          <w:szCs w:val="20"/>
          <w:color w:val="auto"/>
        </w:rPr>
      </w:pPr>
    </w:p>
    <w:p>
      <w:pPr>
        <w:ind w:firstLine="464"/>
        <w:spacing w:after="0" w:line="279" w:lineRule="auto"/>
        <w:rPr>
          <w:sz w:val="20"/>
          <w:szCs w:val="20"/>
          <w:color w:val="auto"/>
        </w:rPr>
      </w:pPr>
      <w:r>
        <w:rPr>
          <w:rFonts w:ascii="Arial" w:cs="Arial" w:eastAsia="Arial" w:hAnsi="Arial"/>
          <w:sz w:val="16"/>
          <w:szCs w:val="16"/>
          <w:color w:val="auto"/>
        </w:rPr>
        <w:t>The Revolving Credit Facility matures on August 15, 2027. The Delayed Draw Term Loan is available for borrowings until February 15, 2024 and any borrowings under the Delayed Draw Term Loan will mature on August 15, 2027. Amounts borrowed and repaid under the Delayed Draw Term Loan may not be reborrowed. The applicable interest rate for borrowings under the Restated Credit Agreement includes a base rate (per the Interest Election terms of the agreement) plus an interest rate spread up to 1.75% based on the lower of the pricing corresponding to (i) the Company’s financial leverage or (ii) the Company’s public rating. Obligations under the Restated Credit Agreement have been guaranteed by certain of the Company’s subsidiaries.</w:t>
      </w:r>
    </w:p>
    <w:p>
      <w:pPr>
        <w:spacing w:after="0" w:line="65" w:lineRule="exact"/>
        <w:rPr>
          <w:sz w:val="20"/>
          <w:szCs w:val="20"/>
          <w:color w:val="auto"/>
        </w:rPr>
      </w:pPr>
    </w:p>
    <w:p>
      <w:pPr>
        <w:jc w:val="both"/>
        <w:ind w:right="140" w:firstLine="464"/>
        <w:spacing w:after="0" w:line="266" w:lineRule="auto"/>
        <w:rPr>
          <w:sz w:val="20"/>
          <w:szCs w:val="20"/>
          <w:color w:val="auto"/>
        </w:rPr>
      </w:pPr>
      <w:r>
        <w:rPr>
          <w:rFonts w:ascii="Arial" w:cs="Arial" w:eastAsia="Arial" w:hAnsi="Arial"/>
          <w:sz w:val="17"/>
          <w:szCs w:val="17"/>
          <w:color w:val="auto"/>
        </w:rPr>
        <w:t>During the third quarter of 2023, the Company borrowed the full $250 million of availability from the Delayed Draw Term Loan and utilized the proceeds to redeem the 4.375% Senior Notes, due 2023. The borrowing rate for the Delayed Draw Term Loan is a variable rate reassessed periodically in accordance with the terms of the Restated Credit Agreement.</w:t>
      </w: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16" w:name="page17"/>
    <w:bookmarkEnd w:id="16"/>
    <w:p>
      <w:pPr>
        <w:jc w:val="both"/>
        <w:ind w:right="220" w:firstLine="464"/>
        <w:spacing w:after="0" w:line="292" w:lineRule="auto"/>
        <w:rPr>
          <w:sz w:val="20"/>
          <w:szCs w:val="20"/>
          <w:color w:val="auto"/>
        </w:rPr>
      </w:pPr>
      <w:r>
        <w:rPr>
          <w:rFonts w:ascii="Arial" w:cs="Arial" w:eastAsia="Arial" w:hAnsi="Arial"/>
          <w:sz w:val="15"/>
          <w:szCs w:val="15"/>
          <w:color w:val="auto"/>
        </w:rPr>
        <w:t>Under the Restated Credit Agreement, the Company has agreed to maintain an Interest Coverage Ratio of at least 3.0 to 1.0, and a Leverage Ratio not to exceed 3.5 to 1.0. The Interest Coverage Ratio is defined as EBITDA (earnings before interest, taxes, depreciation, and amortization) to Interest Expense for the four quarters then ended. The Leverage Ratio is defined as Net Debt as of the last day of such fiscal quarter to EBITDA for the four quarters then ended.</w:t>
      </w:r>
    </w:p>
    <w:p>
      <w:pPr>
        <w:spacing w:after="0" w:line="266" w:lineRule="auto"/>
        <w:rPr>
          <w:sz w:val="20"/>
          <w:szCs w:val="20"/>
          <w:color w:val="auto"/>
        </w:rPr>
      </w:pPr>
      <w:r>
        <w:rPr>
          <w:rFonts w:ascii="Arial" w:cs="Arial" w:eastAsia="Arial" w:hAnsi="Arial"/>
          <w:sz w:val="17"/>
          <w:szCs w:val="17"/>
          <w:color w:val="auto"/>
        </w:rPr>
        <w:t>Additionally, the Company may submit a request for an increased maximum Leverage Ratio in contemplation of a Material Acquisition. All terms are as defined in the Restated Credit Agreement.</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Company was in compliance with all financial covenants in the Restated Credit Agreement as of September 30, 2023.</w:t>
      </w:r>
    </w:p>
    <w:p>
      <w:pPr>
        <w:spacing w:after="0" w:line="10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presents availability under the Restated Credit Agreement at September 30, 2023:</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2"/>
          </w:tcPr>
          <w:p>
            <w:pPr>
              <w:ind w:left="40"/>
              <w:spacing w:after="0"/>
              <w:rPr>
                <w:sz w:val="20"/>
                <w:szCs w:val="20"/>
                <w:color w:val="auto"/>
              </w:rPr>
            </w:pPr>
            <w:r>
              <w:rPr>
                <w:rFonts w:ascii="Arial" w:cs="Arial" w:eastAsia="Arial" w:hAnsi="Arial"/>
                <w:sz w:val="15"/>
                <w:szCs w:val="15"/>
                <w:b w:val="1"/>
                <w:bCs w:val="1"/>
                <w:color w:val="auto"/>
              </w:rPr>
              <w:t>Revolving Credit</w:t>
            </w:r>
          </w:p>
        </w:tc>
        <w:tc>
          <w:tcPr>
            <w:tcW w:w="1600" w:type="dxa"/>
            <w:vAlign w:val="bottom"/>
            <w:gridSpan w:val="3"/>
          </w:tcPr>
          <w:p>
            <w:pPr>
              <w:ind w:left="80"/>
              <w:spacing w:after="0"/>
              <w:rPr>
                <w:sz w:val="20"/>
                <w:szCs w:val="20"/>
                <w:color w:val="auto"/>
              </w:rPr>
            </w:pPr>
            <w:r>
              <w:rPr>
                <w:rFonts w:ascii="Arial" w:cs="Arial" w:eastAsia="Arial" w:hAnsi="Arial"/>
                <w:sz w:val="15"/>
                <w:szCs w:val="15"/>
                <w:b w:val="1"/>
                <w:bCs w:val="1"/>
                <w:color w:val="auto"/>
              </w:rPr>
              <w:t>Delayed Draw Term</w:t>
            </w:r>
          </w:p>
        </w:tc>
        <w:tc>
          <w:tcPr>
            <w:tcW w:w="340" w:type="dxa"/>
            <w:vAlign w:val="bottom"/>
          </w:tcPr>
          <w:p>
            <w:pPr>
              <w:spacing w:after="0"/>
              <w:rPr>
                <w:sz w:val="14"/>
                <w:szCs w:val="14"/>
                <w:color w:val="auto"/>
              </w:rPr>
            </w:pPr>
          </w:p>
        </w:tc>
        <w:tc>
          <w:tcPr>
            <w:tcW w:w="1160" w:type="dxa"/>
            <w:vAlign w:val="bottom"/>
            <w:vMerge w:val="restart"/>
          </w:tcPr>
          <w:p>
            <w:pPr>
              <w:jc w:val="right"/>
              <w:ind w:right="503"/>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204"/>
        </w:trPr>
        <w:tc>
          <w:tcPr>
            <w:tcW w:w="64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423"/>
              <w:spacing w:after="0"/>
              <w:rPr>
                <w:sz w:val="20"/>
                <w:szCs w:val="20"/>
                <w:color w:val="auto"/>
              </w:rPr>
            </w:pPr>
            <w:r>
              <w:rPr>
                <w:rFonts w:ascii="Arial" w:cs="Arial" w:eastAsia="Arial" w:hAnsi="Arial"/>
                <w:sz w:val="15"/>
                <w:szCs w:val="15"/>
                <w:b w:val="1"/>
                <w:bCs w:val="1"/>
                <w:color w:val="auto"/>
              </w:rPr>
              <w:t>Facility</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03"/>
              <w:spacing w:after="0"/>
              <w:rPr>
                <w:sz w:val="20"/>
                <w:szCs w:val="20"/>
                <w:color w:val="auto"/>
              </w:rPr>
            </w:pPr>
            <w:r>
              <w:rPr>
                <w:rFonts w:ascii="Arial" w:cs="Arial" w:eastAsia="Arial" w:hAnsi="Arial"/>
                <w:sz w:val="15"/>
                <w:szCs w:val="15"/>
                <w:b w:val="1"/>
                <w:bCs w:val="1"/>
                <w:color w:val="auto"/>
              </w:rPr>
              <w:t>Loan</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5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Maximum Availability</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1,500</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95"/>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250</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95"/>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1,750</w:t>
            </w:r>
          </w:p>
        </w:tc>
        <w:tc>
          <w:tcPr>
            <w:tcW w:w="0" w:type="dxa"/>
            <w:vAlign w:val="bottom"/>
          </w:tcPr>
          <w:p>
            <w:pPr>
              <w:spacing w:after="0"/>
              <w:rPr>
                <w:sz w:val="1"/>
                <w:szCs w:val="1"/>
                <w:color w:val="auto"/>
              </w:rPr>
            </w:pPr>
          </w:p>
        </w:tc>
      </w:tr>
      <w:tr>
        <w:trPr>
          <w:trHeight w:val="203"/>
        </w:trPr>
        <w:tc>
          <w:tcPr>
            <w:tcW w:w="6540" w:type="dxa"/>
            <w:vAlign w:val="bottom"/>
            <w:gridSpan w:val="2"/>
          </w:tcPr>
          <w:p>
            <w:pPr>
              <w:ind w:left="20"/>
              <w:spacing w:after="0"/>
              <w:rPr>
                <w:sz w:val="20"/>
                <w:szCs w:val="20"/>
                <w:color w:val="auto"/>
              </w:rPr>
            </w:pPr>
            <w:r>
              <w:rPr>
                <w:rFonts w:ascii="Arial" w:cs="Arial" w:eastAsia="Arial" w:hAnsi="Arial"/>
                <w:sz w:val="15"/>
                <w:szCs w:val="15"/>
                <w:color w:val="auto"/>
              </w:rPr>
              <w:t>Outstanding Borrowings</w:t>
            </w:r>
          </w:p>
        </w:tc>
        <w:tc>
          <w:tcPr>
            <w:tcW w:w="14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(25)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(250)</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(275)</w:t>
            </w:r>
          </w:p>
        </w:tc>
        <w:tc>
          <w:tcPr>
            <w:tcW w:w="0" w:type="dxa"/>
            <w:vAlign w:val="bottom"/>
          </w:tcPr>
          <w:p>
            <w:pPr>
              <w:spacing w:after="0"/>
              <w:rPr>
                <w:sz w:val="1"/>
                <w:szCs w:val="1"/>
                <w:color w:val="auto"/>
              </w:rPr>
            </w:pPr>
          </w:p>
        </w:tc>
      </w:tr>
      <w:tr>
        <w:trPr>
          <w:trHeight w:val="206"/>
        </w:trPr>
        <w:tc>
          <w:tcPr>
            <w:tcW w:w="65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Letters of Credit Under Credit Agreement</w:t>
            </w:r>
          </w:p>
        </w:tc>
        <w:tc>
          <w:tcPr>
            <w:tcW w:w="14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2"/>
        </w:trPr>
        <w:tc>
          <w:tcPr>
            <w:tcW w:w="6540" w:type="dxa"/>
            <w:vAlign w:val="bottom"/>
            <w:gridSpan w:val="2"/>
          </w:tcPr>
          <w:p>
            <w:pPr>
              <w:ind w:left="20"/>
              <w:spacing w:after="0"/>
              <w:rPr>
                <w:sz w:val="20"/>
                <w:szCs w:val="20"/>
                <w:color w:val="auto"/>
              </w:rPr>
            </w:pPr>
            <w:r>
              <w:rPr>
                <w:rFonts w:ascii="Arial" w:cs="Arial" w:eastAsia="Arial" w:hAnsi="Arial"/>
                <w:sz w:val="15"/>
                <w:szCs w:val="15"/>
                <w:color w:val="auto"/>
              </w:rPr>
              <w:t>Current Availability</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360" w:type="dxa"/>
            <w:vAlign w:val="bottom"/>
          </w:tcPr>
          <w:p>
            <w:pPr>
              <w:jc w:val="right"/>
              <w:spacing w:after="0"/>
              <w:rPr>
                <w:sz w:val="20"/>
                <w:szCs w:val="20"/>
                <w:color w:val="auto"/>
              </w:rPr>
            </w:pPr>
            <w:r>
              <w:rPr>
                <w:rFonts w:ascii="Arial" w:cs="Arial" w:eastAsia="Arial" w:hAnsi="Arial"/>
                <w:sz w:val="15"/>
                <w:szCs w:val="15"/>
                <w:color w:val="auto"/>
              </w:rPr>
              <w:t>1,475</w:t>
            </w:r>
          </w:p>
        </w:tc>
        <w:tc>
          <w:tcPr>
            <w:tcW w:w="100" w:type="dxa"/>
            <w:vAlign w:val="bottom"/>
          </w:tcPr>
          <w:p>
            <w:pPr>
              <w:spacing w:after="0"/>
              <w:rPr>
                <w:sz w:val="17"/>
                <w:szCs w:val="17"/>
                <w:color w:val="auto"/>
              </w:rPr>
            </w:pPr>
          </w:p>
        </w:tc>
        <w:tc>
          <w:tcPr>
            <w:tcW w:w="340" w:type="dxa"/>
            <w:vAlign w:val="bottom"/>
          </w:tcPr>
          <w:p>
            <w:pPr>
              <w:jc w:val="right"/>
              <w:ind w:right="163"/>
              <w:spacing w:after="0"/>
              <w:rPr>
                <w:sz w:val="20"/>
                <w:szCs w:val="20"/>
                <w:color w:val="auto"/>
              </w:rPr>
            </w:pPr>
            <w:r>
              <w:rPr>
                <w:rFonts w:ascii="Arial" w:cs="Arial" w:eastAsia="Arial" w:hAnsi="Arial"/>
                <w:sz w:val="15"/>
                <w:szCs w:val="15"/>
                <w:color w:val="auto"/>
                <w:w w:val="95"/>
              </w:rPr>
              <w:t>$</w:t>
            </w:r>
          </w:p>
        </w:tc>
        <w:tc>
          <w:tcPr>
            <w:tcW w:w="12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340" w:type="dxa"/>
            <w:vAlign w:val="bottom"/>
          </w:tcPr>
          <w:p>
            <w:pPr>
              <w:jc w:val="right"/>
              <w:ind w:right="163"/>
              <w:spacing w:after="0"/>
              <w:rPr>
                <w:sz w:val="20"/>
                <w:szCs w:val="20"/>
                <w:color w:val="auto"/>
              </w:rPr>
            </w:pPr>
            <w:r>
              <w:rPr>
                <w:rFonts w:ascii="Arial" w:cs="Arial" w:eastAsia="Arial" w:hAnsi="Arial"/>
                <w:sz w:val="15"/>
                <w:szCs w:val="15"/>
                <w:color w:val="auto"/>
                <w:w w:val="95"/>
              </w:rPr>
              <w:t>$</w:t>
            </w:r>
          </w:p>
        </w:tc>
        <w:tc>
          <w:tcPr>
            <w:tcW w:w="1160" w:type="dxa"/>
            <w:vAlign w:val="bottom"/>
          </w:tcPr>
          <w:p>
            <w:pPr>
              <w:jc w:val="right"/>
              <w:spacing w:after="0"/>
              <w:rPr>
                <w:sz w:val="20"/>
                <w:szCs w:val="20"/>
                <w:color w:val="auto"/>
              </w:rPr>
            </w:pPr>
            <w:r>
              <w:rPr>
                <w:rFonts w:ascii="Arial" w:cs="Arial" w:eastAsia="Arial" w:hAnsi="Arial"/>
                <w:sz w:val="15"/>
                <w:szCs w:val="15"/>
                <w:color w:val="auto"/>
              </w:rPr>
              <w:t>1,475</w:t>
            </w: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Senior Notes</w:t>
      </w:r>
    </w:p>
    <w:p>
      <w:pPr>
        <w:spacing w:after="0" w:line="114" w:lineRule="exact"/>
        <w:rPr>
          <w:sz w:val="20"/>
          <w:szCs w:val="20"/>
          <w:color w:val="auto"/>
        </w:rPr>
      </w:pPr>
    </w:p>
    <w:p>
      <w:pPr>
        <w:ind w:right="220" w:firstLine="464"/>
        <w:spacing w:after="0" w:line="294" w:lineRule="auto"/>
        <w:rPr>
          <w:sz w:val="20"/>
          <w:szCs w:val="20"/>
          <w:color w:val="auto"/>
        </w:rPr>
      </w:pPr>
      <w:r>
        <w:rPr>
          <w:rFonts w:ascii="Arial" w:cs="Arial" w:eastAsia="Arial" w:hAnsi="Arial"/>
          <w:sz w:val="15"/>
          <w:szCs w:val="15"/>
          <w:color w:val="auto"/>
        </w:rPr>
        <w:t>The Company or its subsidiaries may issue senior notes from time to time. These notes are comprised of our 4.375% Senior Notes due 2023 (the "2023 Notes"), 4.15% Senior Notes due 2024 (the "2024 Notes"), 3.20% Senior Notes due 2025 (the "2025 Notes"), 3.45% Senior Notes due 2026 (the "2026 Notes"),</w:t>
      </w:r>
    </w:p>
    <w:p>
      <w:pPr>
        <w:spacing w:after="0" w:line="1"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1.25% Senior Notes (EUR) due 2027 (the "Euro Notes"), and 4.70% Senior Notes due 2028 (the "2028 Notes"). The 2023 Notes, 2024 Notes, 2025 Notes, 2026 Notes and 2028 Notes are the “US Notes”, and collectively with the Euro Notes, the “Senior Notes.” Interest on the US Notes is payable semi-annually and interest on the Euro Notes is paid annually. Each series of the Senior Notes may be redeemed at any time in whole or from time to time in part in accordance with the provisions of the indenture, under which such series of notes was issued. Each of the Senior Notes may be redeemed at a redemption price of 100% of the principal amount plus a specified make-whole premium and accrued interest. The US Notes and the Company's guarantee of the Euro Notes are senior unsecured obligations of the Company and rank pari passu with all existing and future senior debt, and are senior to all existing and future subordinated indebtedness of the Company.</w:t>
      </w:r>
    </w:p>
    <w:p>
      <w:pPr>
        <w:spacing w:after="0" w:line="82" w:lineRule="exact"/>
        <w:rPr>
          <w:sz w:val="20"/>
          <w:szCs w:val="20"/>
          <w:color w:val="auto"/>
        </w:rPr>
      </w:pPr>
    </w:p>
    <w:p>
      <w:pPr>
        <w:ind w:right="80" w:firstLine="464"/>
        <w:spacing w:after="0" w:line="279" w:lineRule="auto"/>
        <w:rPr>
          <w:sz w:val="20"/>
          <w:szCs w:val="20"/>
          <w:color w:val="auto"/>
        </w:rPr>
      </w:pPr>
      <w:r>
        <w:rPr>
          <w:rFonts w:ascii="Arial" w:cs="Arial" w:eastAsia="Arial" w:hAnsi="Arial"/>
          <w:sz w:val="17"/>
          <w:szCs w:val="17"/>
          <w:color w:val="auto"/>
        </w:rPr>
        <w:t>Beginning September 15, 2023, the effective interest rates for the 2024 Notes and the 2028 Notes were each reduced by 0.25% due to a favorable change in Wabtec's corporate credit rating and the rating of the aforementioned notes.</w:t>
      </w:r>
    </w:p>
    <w:p>
      <w:pPr>
        <w:spacing w:after="0" w:line="61" w:lineRule="exact"/>
        <w:rPr>
          <w:sz w:val="20"/>
          <w:szCs w:val="20"/>
          <w:color w:val="auto"/>
        </w:rPr>
      </w:pPr>
    </w:p>
    <w:p>
      <w:pPr>
        <w:ind w:left="460"/>
        <w:spacing w:after="0"/>
        <w:rPr>
          <w:sz w:val="20"/>
          <w:szCs w:val="20"/>
          <w:color w:val="auto"/>
        </w:rPr>
      </w:pPr>
      <w:r>
        <w:rPr>
          <w:rFonts w:ascii="Arial" w:cs="Arial" w:eastAsia="Arial" w:hAnsi="Arial"/>
          <w:sz w:val="15"/>
          <w:szCs w:val="15"/>
          <w:color w:val="auto"/>
        </w:rPr>
        <w:t>During the second quarter of 2022, the Company redeemed $25 million of principal from the 2024 Notes plus a premium and the related accrued interest.</w:t>
      </w:r>
    </w:p>
    <w:p>
      <w:pPr>
        <w:spacing w:after="0" w:line="137" w:lineRule="exact"/>
        <w:rPr>
          <w:sz w:val="20"/>
          <w:szCs w:val="20"/>
          <w:color w:val="auto"/>
        </w:rPr>
      </w:pPr>
    </w:p>
    <w:p>
      <w:pPr>
        <w:ind w:firstLine="464"/>
        <w:spacing w:after="0" w:line="258" w:lineRule="auto"/>
        <w:rPr>
          <w:sz w:val="20"/>
          <w:szCs w:val="20"/>
          <w:color w:val="auto"/>
        </w:rPr>
      </w:pPr>
      <w:r>
        <w:rPr>
          <w:rFonts w:ascii="Arial" w:cs="Arial" w:eastAsia="Arial" w:hAnsi="Arial"/>
          <w:sz w:val="17"/>
          <w:szCs w:val="17"/>
          <w:color w:val="auto"/>
        </w:rPr>
        <w:t>The indentures under which the Senior Notes were issued contain covenants and restrictions which limit, subject to certain exceptions, certain sale and leaseback transactions with respect to principal properties, the incurrence of secured debt without equally and ratably securing the Senior Notes, and certain merger and consolidation transactions. The covenants do not require the Company to maintain any financial ratios or specified levels of net worth or liquidity. The US Notes are fully and unconditionally guaranteed, jointly and severally, on an unsecured basis by each of the Company's subsidiaries that is a guarantor under the Restated Credit Agreement. The Euro Notes were issued by Wabtec Transportation Netherlands B.V. and are fully and unconditionally guaranteed by the Company.</w:t>
      </w:r>
    </w:p>
    <w:p>
      <w:pPr>
        <w:spacing w:after="0" w:line="80" w:lineRule="exact"/>
        <w:rPr>
          <w:sz w:val="20"/>
          <w:szCs w:val="20"/>
          <w:color w:val="auto"/>
        </w:rPr>
      </w:pPr>
    </w:p>
    <w:p>
      <w:pPr>
        <w:ind w:right="520" w:firstLine="464"/>
        <w:spacing w:after="0" w:line="279" w:lineRule="auto"/>
        <w:rPr>
          <w:sz w:val="20"/>
          <w:szCs w:val="20"/>
          <w:color w:val="auto"/>
        </w:rPr>
      </w:pPr>
      <w:r>
        <w:rPr>
          <w:rFonts w:ascii="Arial" w:cs="Arial" w:eastAsia="Arial" w:hAnsi="Arial"/>
          <w:sz w:val="17"/>
          <w:szCs w:val="17"/>
          <w:color w:val="auto"/>
        </w:rPr>
        <w:t>The Company is in compliance with the restrictions and covenants in the indentures under which the Senior Notes were issued and expects that these restrictions and covenants will not be any type of limiting factor in executing our operating activities.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9. STOCK-BASED COMPENSATION</w:t>
      </w:r>
    </w:p>
    <w:p>
      <w:pPr>
        <w:spacing w:after="0" w:line="120" w:lineRule="exact"/>
        <w:rPr>
          <w:sz w:val="20"/>
          <w:szCs w:val="20"/>
          <w:color w:val="auto"/>
        </w:rPr>
      </w:pPr>
    </w:p>
    <w:p>
      <w:pPr>
        <w:ind w:right="140" w:firstLine="464"/>
        <w:spacing w:after="0" w:line="307" w:lineRule="auto"/>
        <w:rPr>
          <w:sz w:val="20"/>
          <w:szCs w:val="20"/>
          <w:color w:val="auto"/>
        </w:rPr>
      </w:pPr>
      <w:r>
        <w:rPr>
          <w:rFonts w:ascii="Arial" w:cs="Arial" w:eastAsia="Arial" w:hAnsi="Arial"/>
          <w:sz w:val="15"/>
          <w:szCs w:val="15"/>
          <w:color w:val="auto"/>
        </w:rPr>
        <w:t>The Company maintains employee stock-based compensation plans for stock options, restricted stock, and incentive stock units as governed by the 2011 Stock Incentive Compensation Plan, as amended and restated (the “2011 Plan”) and the 2000 Stock Incentive Plan, as amended (the “2000 Plan”). The 2011 Plan has a term through May 10, 2027, and as of September 30, 2023, the number of shares available for future grants under the 2011 Plan was approximately 4.9 million shares. The Company also maintains a 1995 Non-Employee Directors’ Fee and Stock Option Plan as amended and restated (“the Directors Plan”).</w:t>
      </w:r>
    </w:p>
    <w:p>
      <w:pPr>
        <w:spacing w:after="0" w:line="46" w:lineRule="exact"/>
        <w:rPr>
          <w:sz w:val="20"/>
          <w:szCs w:val="20"/>
          <w:color w:val="auto"/>
        </w:rPr>
      </w:pPr>
    </w:p>
    <w:p>
      <w:pPr>
        <w:ind w:right="40" w:firstLine="464"/>
        <w:spacing w:after="0" w:line="279" w:lineRule="auto"/>
        <w:rPr>
          <w:sz w:val="20"/>
          <w:szCs w:val="20"/>
          <w:color w:val="auto"/>
        </w:rPr>
      </w:pPr>
      <w:r>
        <w:rPr>
          <w:rFonts w:ascii="Arial" w:cs="Arial" w:eastAsia="Arial" w:hAnsi="Arial"/>
          <w:sz w:val="17"/>
          <w:szCs w:val="17"/>
          <w:color w:val="auto"/>
        </w:rPr>
        <w:t>Stock-based compensation expense was $16 million and $42 million for the three and nine months ended September 30, 2023, respectively, and $12 million and $35 million for the three and nine months ended September 30, 2022, respectively. At</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04" w:right="339" w:bottom="1440" w:gutter="0" w:footer="0" w:header="0"/>
        </w:sectPr>
      </w:pPr>
    </w:p>
    <w:bookmarkStart w:id="17" w:name="page18"/>
    <w:bookmarkEnd w:id="17"/>
    <w:p>
      <w:pPr>
        <w:ind w:right="620"/>
        <w:spacing w:after="0" w:line="279" w:lineRule="auto"/>
        <w:rPr>
          <w:sz w:val="20"/>
          <w:szCs w:val="20"/>
          <w:color w:val="auto"/>
        </w:rPr>
      </w:pPr>
      <w:r>
        <w:rPr>
          <w:rFonts w:ascii="Arial" w:cs="Arial" w:eastAsia="Arial" w:hAnsi="Arial"/>
          <w:sz w:val="17"/>
          <w:szCs w:val="17"/>
          <w:color w:val="auto"/>
        </w:rPr>
        <w:t>September 30, 2023, unamortized compensation expense related to stock options, non-vested restricted shares and incentive stock units expected to vest is approximately $66 million.</w:t>
      </w:r>
    </w:p>
    <w:p>
      <w:pPr>
        <w:spacing w:after="0" w:line="61" w:lineRule="exact"/>
        <w:rPr>
          <w:sz w:val="20"/>
          <w:szCs w:val="20"/>
          <w:color w:val="auto"/>
        </w:rPr>
      </w:pPr>
    </w:p>
    <w:p>
      <w:pPr>
        <w:jc w:val="both"/>
        <w:ind w:firstLine="464"/>
        <w:spacing w:after="0" w:line="318" w:lineRule="auto"/>
        <w:rPr>
          <w:sz w:val="20"/>
          <w:szCs w:val="20"/>
          <w:color w:val="auto"/>
        </w:rPr>
      </w:pPr>
      <w:r>
        <w:rPr>
          <w:rFonts w:ascii="Arial" w:cs="Arial" w:eastAsia="Arial" w:hAnsi="Arial"/>
          <w:sz w:val="15"/>
          <w:szCs w:val="15"/>
          <w:b w:val="1"/>
          <w:bCs w:val="1"/>
          <w:i w:val="1"/>
          <w:iCs w:val="1"/>
          <w:color w:val="auto"/>
        </w:rPr>
        <w:t xml:space="preserve">Stock Options </w:t>
      </w:r>
      <w:r>
        <w:rPr>
          <w:rFonts w:ascii="Arial" w:cs="Arial" w:eastAsia="Arial" w:hAnsi="Arial"/>
          <w:sz w:val="15"/>
          <w:szCs w:val="15"/>
          <w:color w:val="auto"/>
        </w:rPr>
        <w:t>Stock options are granted to eligible employees and directors at an exercise price equal to fair market value, which is the average of the high</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and low Wabtec stock price on the date of grant. Under the 2011 Plan and the 2000 Plan, options become exercisable over a three-year vesting period and expire 10 years from the date of grant. No stock options were granted during the nine months ended September 30, 2023 or the twelve months ended December 31, 2022.</w:t>
      </w:r>
    </w:p>
    <w:p>
      <w:pPr>
        <w:spacing w:after="0" w:line="36" w:lineRule="exact"/>
        <w:rPr>
          <w:sz w:val="20"/>
          <w:szCs w:val="20"/>
          <w:color w:val="auto"/>
        </w:rPr>
      </w:pPr>
    </w:p>
    <w:p>
      <w:pPr>
        <w:ind w:right="40" w:firstLine="464"/>
        <w:spacing w:after="0" w:line="270" w:lineRule="auto"/>
        <w:rPr>
          <w:sz w:val="20"/>
          <w:szCs w:val="20"/>
          <w:color w:val="auto"/>
        </w:rPr>
      </w:pPr>
      <w:r>
        <w:rPr>
          <w:rFonts w:ascii="Arial" w:cs="Arial" w:eastAsia="Arial" w:hAnsi="Arial"/>
          <w:sz w:val="17"/>
          <w:szCs w:val="17"/>
          <w:color w:val="auto"/>
        </w:rPr>
        <w:t>The following table summarizes the Company’s stock option activity and related information for the 2011 Plan, the 2000 Plan and the Directors Plan for the nine months ended September 30, 2023:</w:t>
      </w:r>
    </w:p>
    <w:tbl>
      <w:tblPr>
        <w:tblLayout w:type="fixed"/>
        <w:tblInd w:w="0" w:type="dxa"/>
        <w:tblCellMar>
          <w:top w:w="0" w:type="dxa"/>
          <w:left w:w="0" w:type="dxa"/>
          <w:bottom w:w="0" w:type="dxa"/>
          <w:right w:w="0" w:type="dxa"/>
        </w:tblCellMar>
      </w:tblPr>
      <w:tr>
        <w:trPr>
          <w:trHeight w:val="143"/>
        </w:trPr>
        <w:tc>
          <w:tcPr>
            <w:tcW w:w="48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center"/>
              <w:ind w:left="391"/>
              <w:spacing w:after="0" w:line="143" w:lineRule="exact"/>
              <w:rPr>
                <w:sz w:val="20"/>
                <w:szCs w:val="20"/>
                <w:color w:val="auto"/>
              </w:rPr>
            </w:pPr>
            <w:r>
              <w:rPr>
                <w:rFonts w:ascii="Arial" w:cs="Arial" w:eastAsia="Arial" w:hAnsi="Arial"/>
                <w:sz w:val="14"/>
                <w:szCs w:val="14"/>
                <w:b w:val="1"/>
                <w:bCs w:val="1"/>
                <w:color w:val="auto"/>
                <w:w w:val="88"/>
              </w:rPr>
              <w:t>Weighted</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gridSpan w:val="2"/>
          </w:tcPr>
          <w:p>
            <w:pPr>
              <w:jc w:val="center"/>
              <w:ind w:right="120"/>
              <w:spacing w:after="0" w:line="143" w:lineRule="exact"/>
              <w:rPr>
                <w:sz w:val="20"/>
                <w:szCs w:val="20"/>
                <w:color w:val="auto"/>
              </w:rPr>
            </w:pPr>
            <w:r>
              <w:rPr>
                <w:rFonts w:ascii="Arial" w:cs="Arial" w:eastAsia="Arial" w:hAnsi="Arial"/>
                <w:sz w:val="14"/>
                <w:szCs w:val="14"/>
                <w:b w:val="1"/>
                <w:bCs w:val="1"/>
                <w:color w:val="auto"/>
                <w:w w:val="88"/>
              </w:rPr>
              <w:t>Weighted</w:t>
            </w:r>
          </w:p>
        </w:tc>
        <w:tc>
          <w:tcPr>
            <w:tcW w:w="220" w:type="dxa"/>
            <w:vAlign w:val="bottom"/>
          </w:tcPr>
          <w:p>
            <w:pPr>
              <w:spacing w:after="0"/>
              <w:rPr>
                <w:sz w:val="12"/>
                <w:szCs w:val="12"/>
                <w:color w:val="auto"/>
              </w:rPr>
            </w:pPr>
          </w:p>
        </w:tc>
        <w:tc>
          <w:tcPr>
            <w:tcW w:w="1300" w:type="dxa"/>
            <w:vAlign w:val="bottom"/>
            <w:vMerge w:val="restart"/>
          </w:tcPr>
          <w:p>
            <w:pPr>
              <w:jc w:val="center"/>
              <w:ind w:right="143"/>
              <w:spacing w:after="0"/>
              <w:rPr>
                <w:sz w:val="20"/>
                <w:szCs w:val="20"/>
                <w:color w:val="auto"/>
              </w:rPr>
            </w:pPr>
            <w:r>
              <w:rPr>
                <w:rFonts w:ascii="Arial" w:cs="Arial" w:eastAsia="Arial" w:hAnsi="Arial"/>
                <w:sz w:val="14"/>
                <w:szCs w:val="14"/>
                <w:b w:val="1"/>
                <w:bCs w:val="1"/>
                <w:color w:val="auto"/>
                <w:w w:val="86"/>
              </w:rPr>
              <w:t>Aggregate</w:t>
            </w:r>
          </w:p>
        </w:tc>
        <w:tc>
          <w:tcPr>
            <w:tcW w:w="0" w:type="dxa"/>
            <w:vAlign w:val="bottom"/>
          </w:tcPr>
          <w:p>
            <w:pPr>
              <w:spacing w:after="0"/>
              <w:rPr>
                <w:sz w:val="1"/>
                <w:szCs w:val="1"/>
                <w:color w:val="auto"/>
              </w:rPr>
            </w:pPr>
          </w:p>
        </w:tc>
      </w:tr>
      <w:tr>
        <w:trPr>
          <w:trHeight w:val="64"/>
        </w:trPr>
        <w:tc>
          <w:tcPr>
            <w:tcW w:w="4840" w:type="dxa"/>
            <w:vAlign w:val="bottom"/>
          </w:tcPr>
          <w:p>
            <w:pPr>
              <w:spacing w:after="0"/>
              <w:rPr>
                <w:sz w:val="5"/>
                <w:szCs w:val="5"/>
                <w:color w:val="auto"/>
              </w:rPr>
            </w:pPr>
          </w:p>
        </w:tc>
        <w:tc>
          <w:tcPr>
            <w:tcW w:w="1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60" w:type="dxa"/>
            <w:vAlign w:val="bottom"/>
            <w:vMerge w:val="restart"/>
          </w:tcPr>
          <w:p>
            <w:pPr>
              <w:jc w:val="center"/>
              <w:ind w:left="391"/>
              <w:spacing w:after="0" w:line="139" w:lineRule="exact"/>
              <w:rPr>
                <w:sz w:val="20"/>
                <w:szCs w:val="20"/>
                <w:color w:val="auto"/>
              </w:rPr>
            </w:pPr>
            <w:r>
              <w:rPr>
                <w:rFonts w:ascii="Arial" w:cs="Arial" w:eastAsia="Arial" w:hAnsi="Arial"/>
                <w:sz w:val="14"/>
                <w:szCs w:val="14"/>
                <w:b w:val="1"/>
                <w:bCs w:val="1"/>
                <w:color w:val="auto"/>
                <w:w w:val="86"/>
              </w:rPr>
              <w:t>Average</w:t>
            </w:r>
          </w:p>
        </w:tc>
        <w:tc>
          <w:tcPr>
            <w:tcW w:w="4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40" w:type="dxa"/>
            <w:vAlign w:val="bottom"/>
            <w:gridSpan w:val="2"/>
            <w:vMerge w:val="restart"/>
          </w:tcPr>
          <w:p>
            <w:pPr>
              <w:jc w:val="center"/>
              <w:ind w:right="120"/>
              <w:spacing w:after="0" w:line="139" w:lineRule="exact"/>
              <w:rPr>
                <w:sz w:val="20"/>
                <w:szCs w:val="20"/>
                <w:color w:val="auto"/>
              </w:rPr>
            </w:pPr>
            <w:r>
              <w:rPr>
                <w:rFonts w:ascii="Arial" w:cs="Arial" w:eastAsia="Arial" w:hAnsi="Arial"/>
                <w:sz w:val="14"/>
                <w:szCs w:val="14"/>
                <w:b w:val="1"/>
                <w:bCs w:val="1"/>
                <w:color w:val="auto"/>
                <w:w w:val="86"/>
              </w:rPr>
              <w:t>Average</w:t>
            </w:r>
          </w:p>
        </w:tc>
        <w:tc>
          <w:tcPr>
            <w:tcW w:w="220" w:type="dxa"/>
            <w:vAlign w:val="bottom"/>
          </w:tcPr>
          <w:p>
            <w:pPr>
              <w:spacing w:after="0"/>
              <w:rPr>
                <w:sz w:val="5"/>
                <w:szCs w:val="5"/>
                <w:color w:val="auto"/>
              </w:rPr>
            </w:pPr>
          </w:p>
        </w:tc>
        <w:tc>
          <w:tcPr>
            <w:tcW w:w="1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4840" w:type="dxa"/>
            <w:vAlign w:val="bottom"/>
          </w:tcPr>
          <w:p>
            <w:pPr>
              <w:spacing w:after="0"/>
              <w:rPr>
                <w:sz w:val="6"/>
                <w:szCs w:val="6"/>
                <w:color w:val="auto"/>
              </w:rPr>
            </w:pPr>
          </w:p>
        </w:tc>
        <w:tc>
          <w:tcPr>
            <w:tcW w:w="1520" w:type="dxa"/>
            <w:vAlign w:val="bottom"/>
            <w:vMerge w:val="restart"/>
          </w:tcPr>
          <w:p>
            <w:pPr>
              <w:jc w:val="right"/>
              <w:ind w:right="437"/>
              <w:spacing w:after="0" w:line="139" w:lineRule="exact"/>
              <w:rPr>
                <w:sz w:val="20"/>
                <w:szCs w:val="20"/>
                <w:color w:val="auto"/>
              </w:rPr>
            </w:pPr>
            <w:r>
              <w:rPr>
                <w:rFonts w:ascii="Arial" w:cs="Arial" w:eastAsia="Arial" w:hAnsi="Arial"/>
                <w:sz w:val="14"/>
                <w:szCs w:val="14"/>
                <w:b w:val="1"/>
                <w:bCs w:val="1"/>
                <w:color w:val="auto"/>
              </w:rPr>
              <w:t>Options</w:t>
            </w:r>
          </w:p>
        </w:tc>
        <w:tc>
          <w:tcPr>
            <w:tcW w:w="10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4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4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1300" w:type="dxa"/>
            <w:vAlign w:val="bottom"/>
            <w:vMerge w:val="restart"/>
          </w:tcPr>
          <w:p>
            <w:pPr>
              <w:jc w:val="center"/>
              <w:ind w:right="143"/>
              <w:spacing w:after="0" w:line="139" w:lineRule="exact"/>
              <w:rPr>
                <w:sz w:val="20"/>
                <w:szCs w:val="20"/>
                <w:color w:val="auto"/>
              </w:rPr>
            </w:pPr>
            <w:r>
              <w:rPr>
                <w:rFonts w:ascii="Arial" w:cs="Arial" w:eastAsia="Arial" w:hAnsi="Arial"/>
                <w:sz w:val="14"/>
                <w:szCs w:val="14"/>
                <w:b w:val="1"/>
                <w:bCs w:val="1"/>
                <w:color w:val="auto"/>
                <w:w w:val="89"/>
              </w:rPr>
              <w:t>Intrinsic value</w:t>
            </w:r>
          </w:p>
        </w:tc>
        <w:tc>
          <w:tcPr>
            <w:tcW w:w="0" w:type="dxa"/>
            <w:vAlign w:val="bottom"/>
          </w:tcPr>
          <w:p>
            <w:pPr>
              <w:spacing w:after="0"/>
              <w:rPr>
                <w:sz w:val="1"/>
                <w:szCs w:val="1"/>
                <w:color w:val="auto"/>
              </w:rPr>
            </w:pPr>
          </w:p>
        </w:tc>
      </w:tr>
      <w:tr>
        <w:trPr>
          <w:trHeight w:val="64"/>
        </w:trPr>
        <w:tc>
          <w:tcPr>
            <w:tcW w:w="4840" w:type="dxa"/>
            <w:vAlign w:val="bottom"/>
          </w:tcPr>
          <w:p>
            <w:pPr>
              <w:spacing w:after="0"/>
              <w:rPr>
                <w:sz w:val="5"/>
                <w:szCs w:val="5"/>
                <w:color w:val="auto"/>
              </w:rPr>
            </w:pPr>
          </w:p>
        </w:tc>
        <w:tc>
          <w:tcPr>
            <w:tcW w:w="15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060" w:type="dxa"/>
            <w:vAlign w:val="bottom"/>
            <w:vMerge w:val="restart"/>
          </w:tcPr>
          <w:p>
            <w:pPr>
              <w:jc w:val="center"/>
              <w:ind w:left="391"/>
              <w:spacing w:after="0" w:line="133" w:lineRule="exact"/>
              <w:rPr>
                <w:sz w:val="20"/>
                <w:szCs w:val="20"/>
                <w:color w:val="auto"/>
              </w:rPr>
            </w:pPr>
            <w:r>
              <w:rPr>
                <w:rFonts w:ascii="Arial" w:cs="Arial" w:eastAsia="Arial" w:hAnsi="Arial"/>
                <w:sz w:val="14"/>
                <w:szCs w:val="14"/>
                <w:b w:val="1"/>
                <w:bCs w:val="1"/>
                <w:color w:val="auto"/>
                <w:w w:val="83"/>
              </w:rPr>
              <w:t>Exercise</w:t>
            </w:r>
          </w:p>
        </w:tc>
        <w:tc>
          <w:tcPr>
            <w:tcW w:w="4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40" w:type="dxa"/>
            <w:vAlign w:val="bottom"/>
            <w:gridSpan w:val="2"/>
            <w:vMerge w:val="restart"/>
          </w:tcPr>
          <w:p>
            <w:pPr>
              <w:jc w:val="center"/>
              <w:ind w:right="120"/>
              <w:spacing w:after="0" w:line="133" w:lineRule="exact"/>
              <w:rPr>
                <w:sz w:val="20"/>
                <w:szCs w:val="20"/>
                <w:color w:val="auto"/>
              </w:rPr>
            </w:pPr>
            <w:r>
              <w:rPr>
                <w:rFonts w:ascii="Arial" w:cs="Arial" w:eastAsia="Arial" w:hAnsi="Arial"/>
                <w:sz w:val="14"/>
                <w:szCs w:val="14"/>
                <w:b w:val="1"/>
                <w:bCs w:val="1"/>
                <w:color w:val="auto"/>
                <w:w w:val="89"/>
              </w:rPr>
              <w:t>Remaining</w:t>
            </w:r>
          </w:p>
        </w:tc>
        <w:tc>
          <w:tcPr>
            <w:tcW w:w="220" w:type="dxa"/>
            <w:vAlign w:val="bottom"/>
          </w:tcPr>
          <w:p>
            <w:pPr>
              <w:spacing w:after="0"/>
              <w:rPr>
                <w:sz w:val="5"/>
                <w:szCs w:val="5"/>
                <w:color w:val="auto"/>
              </w:rPr>
            </w:pPr>
          </w:p>
        </w:tc>
        <w:tc>
          <w:tcPr>
            <w:tcW w:w="1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4840" w:type="dxa"/>
            <w:vAlign w:val="bottom"/>
          </w:tcPr>
          <w:p>
            <w:pPr>
              <w:spacing w:after="0"/>
              <w:rPr>
                <w:sz w:val="5"/>
                <w:szCs w:val="5"/>
                <w:color w:val="auto"/>
              </w:rPr>
            </w:pPr>
          </w:p>
        </w:tc>
        <w:tc>
          <w:tcPr>
            <w:tcW w:w="1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4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1300" w:type="dxa"/>
            <w:vAlign w:val="bottom"/>
            <w:vMerge w:val="restart"/>
          </w:tcPr>
          <w:p>
            <w:pPr>
              <w:jc w:val="center"/>
              <w:ind w:right="143"/>
              <w:spacing w:after="0"/>
              <w:rPr>
                <w:sz w:val="20"/>
                <w:szCs w:val="20"/>
                <w:color w:val="auto"/>
              </w:rPr>
            </w:pPr>
            <w:r>
              <w:rPr>
                <w:rFonts w:ascii="Arial" w:cs="Arial" w:eastAsia="Arial" w:hAnsi="Arial"/>
                <w:sz w:val="14"/>
                <w:szCs w:val="14"/>
                <w:b w:val="1"/>
                <w:bCs w:val="1"/>
                <w:color w:val="auto"/>
                <w:w w:val="91"/>
              </w:rPr>
              <w:t>(in millions)</w:t>
            </w:r>
          </w:p>
        </w:tc>
        <w:tc>
          <w:tcPr>
            <w:tcW w:w="0" w:type="dxa"/>
            <w:vAlign w:val="bottom"/>
          </w:tcPr>
          <w:p>
            <w:pPr>
              <w:spacing w:after="0"/>
              <w:rPr>
                <w:sz w:val="1"/>
                <w:szCs w:val="1"/>
                <w:color w:val="auto"/>
              </w:rPr>
            </w:pPr>
          </w:p>
        </w:tc>
      </w:tr>
      <w:tr>
        <w:trPr>
          <w:trHeight w:val="111"/>
        </w:trPr>
        <w:tc>
          <w:tcPr>
            <w:tcW w:w="4840" w:type="dxa"/>
            <w:vAlign w:val="bottom"/>
          </w:tcPr>
          <w:p>
            <w:pPr>
              <w:spacing w:after="0"/>
              <w:rPr>
                <w:sz w:val="9"/>
                <w:szCs w:val="9"/>
                <w:color w:val="auto"/>
              </w:rPr>
            </w:pPr>
          </w:p>
        </w:tc>
        <w:tc>
          <w:tcPr>
            <w:tcW w:w="1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vMerge w:val="restart"/>
          </w:tcPr>
          <w:p>
            <w:pPr>
              <w:jc w:val="center"/>
              <w:ind w:left="411"/>
              <w:spacing w:after="0"/>
              <w:rPr>
                <w:sz w:val="20"/>
                <w:szCs w:val="20"/>
                <w:color w:val="auto"/>
              </w:rPr>
            </w:pPr>
            <w:r>
              <w:rPr>
                <w:rFonts w:ascii="Arial" w:cs="Arial" w:eastAsia="Arial" w:hAnsi="Arial"/>
                <w:sz w:val="14"/>
                <w:szCs w:val="14"/>
                <w:b w:val="1"/>
                <w:bCs w:val="1"/>
                <w:color w:val="auto"/>
                <w:w w:val="87"/>
              </w:rPr>
              <w:t>Price</w:t>
            </w: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Contractual Life</w:t>
            </w:r>
          </w:p>
        </w:tc>
        <w:tc>
          <w:tcPr>
            <w:tcW w:w="220" w:type="dxa"/>
            <w:vAlign w:val="bottom"/>
          </w:tcPr>
          <w:p>
            <w:pPr>
              <w:spacing w:after="0"/>
              <w:rPr>
                <w:sz w:val="9"/>
                <w:szCs w:val="9"/>
                <w:color w:val="auto"/>
              </w:rPr>
            </w:pPr>
          </w:p>
        </w:tc>
        <w:tc>
          <w:tcPr>
            <w:tcW w:w="13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4840" w:type="dxa"/>
            <w:vAlign w:val="bottom"/>
          </w:tcPr>
          <w:p>
            <w:pPr>
              <w:spacing w:after="0"/>
              <w:rPr>
                <w:sz w:val="5"/>
                <w:szCs w:val="5"/>
                <w:color w:val="auto"/>
              </w:rPr>
            </w:pPr>
          </w:p>
        </w:tc>
        <w:tc>
          <w:tcPr>
            <w:tcW w:w="1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4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
        </w:trPr>
        <w:tc>
          <w:tcPr>
            <w:tcW w:w="484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4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Outstanding at December 31, 2022</w:t>
            </w: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399,938</w:t>
            </w:r>
          </w:p>
        </w:tc>
        <w:tc>
          <w:tcPr>
            <w:tcW w:w="1160" w:type="dxa"/>
            <w:vAlign w:val="bottom"/>
            <w:gridSpan w:val="2"/>
            <w:shd w:val="clear" w:color="auto" w:fill="CCEEFF"/>
          </w:tcPr>
          <w:p>
            <w:pPr>
              <w:jc w:val="right"/>
              <w:ind w:right="891"/>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77.32</w:t>
            </w: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218"/>
        </w:trPr>
        <w:tc>
          <w:tcPr>
            <w:tcW w:w="4840" w:type="dxa"/>
            <w:vAlign w:val="bottom"/>
          </w:tcPr>
          <w:p>
            <w:pPr>
              <w:ind w:left="260"/>
              <w:spacing w:after="0"/>
              <w:rPr>
                <w:sz w:val="20"/>
                <w:szCs w:val="20"/>
                <w:color w:val="auto"/>
              </w:rPr>
            </w:pPr>
            <w:r>
              <w:rPr>
                <w:rFonts w:ascii="Arial" w:cs="Arial" w:eastAsia="Arial" w:hAnsi="Arial"/>
                <w:sz w:val="17"/>
                <w:szCs w:val="17"/>
                <w:color w:val="auto"/>
              </w:rPr>
              <w:t>Exercised</w:t>
            </w:r>
          </w:p>
        </w:tc>
        <w:tc>
          <w:tcPr>
            <w:tcW w:w="1520" w:type="dxa"/>
            <w:vAlign w:val="bottom"/>
          </w:tcPr>
          <w:p>
            <w:pPr>
              <w:jc w:val="right"/>
              <w:spacing w:after="0"/>
              <w:rPr>
                <w:sz w:val="20"/>
                <w:szCs w:val="20"/>
                <w:color w:val="auto"/>
              </w:rPr>
            </w:pPr>
            <w:r>
              <w:rPr>
                <w:rFonts w:ascii="Arial" w:cs="Arial" w:eastAsia="Arial" w:hAnsi="Arial"/>
                <w:sz w:val="17"/>
                <w:szCs w:val="17"/>
                <w:color w:val="auto"/>
              </w:rPr>
              <w:t>(73,380)</w:t>
            </w:r>
          </w:p>
        </w:tc>
        <w:tc>
          <w:tcPr>
            <w:tcW w:w="1160" w:type="dxa"/>
            <w:vAlign w:val="bottom"/>
            <w:gridSpan w:val="2"/>
          </w:tcPr>
          <w:p>
            <w:pPr>
              <w:jc w:val="right"/>
              <w:ind w:right="891"/>
              <w:spacing w:after="0"/>
              <w:rPr>
                <w:sz w:val="20"/>
                <w:szCs w:val="20"/>
                <w:color w:val="auto"/>
              </w:rPr>
            </w:pPr>
            <w:r>
              <w:rPr>
                <w:rFonts w:ascii="Arial" w:cs="Arial" w:eastAsia="Arial" w:hAnsi="Arial"/>
                <w:sz w:val="17"/>
                <w:szCs w:val="17"/>
                <w:color w:val="auto"/>
              </w:rPr>
              <w:t>$</w:t>
            </w:r>
          </w:p>
        </w:tc>
        <w:tc>
          <w:tcPr>
            <w:tcW w:w="460" w:type="dxa"/>
            <w:vAlign w:val="bottom"/>
          </w:tcPr>
          <w:p>
            <w:pPr>
              <w:jc w:val="right"/>
              <w:spacing w:after="0"/>
              <w:rPr>
                <w:sz w:val="20"/>
                <w:szCs w:val="20"/>
                <w:color w:val="auto"/>
              </w:rPr>
            </w:pPr>
            <w:r>
              <w:rPr>
                <w:rFonts w:ascii="Arial" w:cs="Arial" w:eastAsia="Arial" w:hAnsi="Arial"/>
                <w:sz w:val="17"/>
                <w:szCs w:val="17"/>
                <w:color w:val="auto"/>
                <w:w w:val="89"/>
              </w:rPr>
              <w:t>74.34</w:t>
            </w: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840" w:type="dxa"/>
            <w:vAlign w:val="bottom"/>
            <w:shd w:val="clear" w:color="auto" w:fill="CCEEFF"/>
          </w:tcPr>
          <w:p>
            <w:pPr>
              <w:ind w:left="260"/>
              <w:spacing w:after="0"/>
              <w:rPr>
                <w:sz w:val="20"/>
                <w:szCs w:val="20"/>
                <w:color w:val="auto"/>
              </w:rPr>
            </w:pPr>
            <w:r>
              <w:rPr>
                <w:rFonts w:ascii="Arial" w:cs="Arial" w:eastAsia="Arial" w:hAnsi="Arial"/>
                <w:sz w:val="17"/>
                <w:szCs w:val="17"/>
                <w:color w:val="auto"/>
              </w:rPr>
              <w:t>Canceled</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(1,751)</w:t>
            </w:r>
          </w:p>
        </w:tc>
        <w:tc>
          <w:tcPr>
            <w:tcW w:w="1160" w:type="dxa"/>
            <w:vAlign w:val="bottom"/>
            <w:gridSpan w:val="2"/>
            <w:shd w:val="clear" w:color="auto" w:fill="CCEEFF"/>
          </w:tcPr>
          <w:p>
            <w:pPr>
              <w:jc w:val="right"/>
              <w:ind w:right="891"/>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79.50</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840" w:type="dxa"/>
            <w:vAlign w:val="bottom"/>
          </w:tcPr>
          <w:p>
            <w:pPr>
              <w:ind w:left="20"/>
              <w:spacing w:after="0"/>
              <w:rPr>
                <w:sz w:val="20"/>
                <w:szCs w:val="20"/>
                <w:color w:val="auto"/>
              </w:rPr>
            </w:pPr>
            <w:r>
              <w:rPr>
                <w:rFonts w:ascii="Arial" w:cs="Arial" w:eastAsia="Arial" w:hAnsi="Arial"/>
                <w:sz w:val="17"/>
                <w:szCs w:val="17"/>
                <w:color w:val="auto"/>
              </w:rPr>
              <w:t>Outstanding at September 30, 2023</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324,807</w:t>
            </w:r>
          </w:p>
        </w:tc>
        <w:tc>
          <w:tcPr>
            <w:tcW w:w="1160" w:type="dxa"/>
            <w:vAlign w:val="bottom"/>
            <w:gridSpan w:val="2"/>
          </w:tcPr>
          <w:p>
            <w:pPr>
              <w:jc w:val="right"/>
              <w:ind w:right="891"/>
              <w:spacing w:after="0"/>
              <w:rPr>
                <w:sz w:val="20"/>
                <w:szCs w:val="20"/>
                <w:color w:val="auto"/>
              </w:rPr>
            </w:pPr>
            <w:r>
              <w:rPr>
                <w:rFonts w:ascii="Arial" w:cs="Arial" w:eastAsia="Arial" w:hAnsi="Arial"/>
                <w:sz w:val="17"/>
                <w:szCs w:val="17"/>
                <w:color w:val="auto"/>
              </w:rPr>
              <w:t>$</w:t>
            </w:r>
          </w:p>
        </w:tc>
        <w:tc>
          <w:tcPr>
            <w:tcW w:w="460" w:type="dxa"/>
            <w:vAlign w:val="bottom"/>
          </w:tcPr>
          <w:p>
            <w:pPr>
              <w:jc w:val="right"/>
              <w:spacing w:after="0"/>
              <w:rPr>
                <w:sz w:val="20"/>
                <w:szCs w:val="20"/>
                <w:color w:val="auto"/>
              </w:rPr>
            </w:pPr>
            <w:r>
              <w:rPr>
                <w:rFonts w:ascii="Arial" w:cs="Arial" w:eastAsia="Arial" w:hAnsi="Arial"/>
                <w:sz w:val="17"/>
                <w:szCs w:val="17"/>
                <w:color w:val="auto"/>
                <w:w w:val="89"/>
              </w:rPr>
              <w:t>78.28</w:t>
            </w:r>
          </w:p>
        </w:tc>
        <w:tc>
          <w:tcPr>
            <w:tcW w:w="1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5.5</w:t>
            </w:r>
          </w:p>
        </w:tc>
        <w:tc>
          <w:tcPr>
            <w:tcW w:w="120" w:type="dxa"/>
            <w:vAlign w:val="bottom"/>
          </w:tcPr>
          <w:p>
            <w:pPr>
              <w:spacing w:after="0"/>
              <w:rPr>
                <w:sz w:val="18"/>
                <w:szCs w:val="18"/>
                <w:color w:val="auto"/>
              </w:rPr>
            </w:pP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9</w:t>
            </w:r>
          </w:p>
        </w:tc>
        <w:tc>
          <w:tcPr>
            <w:tcW w:w="0" w:type="dxa"/>
            <w:vAlign w:val="bottom"/>
          </w:tcPr>
          <w:p>
            <w:pPr>
              <w:spacing w:after="0"/>
              <w:rPr>
                <w:sz w:val="1"/>
                <w:szCs w:val="1"/>
                <w:color w:val="auto"/>
              </w:rPr>
            </w:pPr>
          </w:p>
        </w:tc>
      </w:tr>
      <w:tr>
        <w:trPr>
          <w:trHeight w:val="20"/>
        </w:trPr>
        <w:tc>
          <w:tcPr>
            <w:tcW w:w="484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Exercisable at September 30, 2023</w:t>
            </w: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289,263</w:t>
            </w:r>
          </w:p>
        </w:tc>
        <w:tc>
          <w:tcPr>
            <w:tcW w:w="1160" w:type="dxa"/>
            <w:vAlign w:val="bottom"/>
            <w:gridSpan w:val="2"/>
            <w:shd w:val="clear" w:color="auto" w:fill="CCEEFF"/>
          </w:tcPr>
          <w:p>
            <w:pPr>
              <w:jc w:val="right"/>
              <w:ind w:right="891"/>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77.95</w:t>
            </w: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right="80" w:firstLine="464"/>
        <w:spacing w:after="0" w:line="266" w:lineRule="auto"/>
        <w:rPr>
          <w:sz w:val="20"/>
          <w:szCs w:val="20"/>
          <w:color w:val="auto"/>
        </w:rPr>
      </w:pPr>
      <w:r>
        <w:rPr>
          <w:rFonts w:ascii="Arial" w:cs="Arial" w:eastAsia="Arial" w:hAnsi="Arial"/>
          <w:sz w:val="17"/>
          <w:szCs w:val="17"/>
          <w:b w:val="1"/>
          <w:bCs w:val="1"/>
          <w:i w:val="1"/>
          <w:iCs w:val="1"/>
          <w:color w:val="auto"/>
        </w:rPr>
        <w:t xml:space="preserve">Restricted Stock, Restricted Stock Units and Incentive Stock </w:t>
      </w:r>
      <w:r>
        <w:rPr>
          <w:rFonts w:ascii="Arial" w:cs="Arial" w:eastAsia="Arial" w:hAnsi="Arial"/>
          <w:sz w:val="17"/>
          <w:szCs w:val="17"/>
          <w:color w:val="auto"/>
        </w:rPr>
        <w:t>As provided for under the 2011 Plan and 2000 Plan, eligible employees are granted restricted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stock that generally vests over three years from the date of grant. Under the Directors Plan, restricted stock awards vest one year from the date of grant. The restricted stock units are liability-classified equity awards as they can be settled in cash.</w:t>
      </w:r>
    </w:p>
    <w:p>
      <w:pPr>
        <w:spacing w:after="0" w:line="72" w:lineRule="exact"/>
        <w:rPr>
          <w:sz w:val="20"/>
          <w:szCs w:val="20"/>
          <w:color w:val="auto"/>
        </w:rPr>
      </w:pPr>
    </w:p>
    <w:p>
      <w:pPr>
        <w:ind w:right="100" w:firstLine="464"/>
        <w:spacing w:after="0" w:line="292" w:lineRule="auto"/>
        <w:rPr>
          <w:sz w:val="20"/>
          <w:szCs w:val="20"/>
          <w:color w:val="auto"/>
        </w:rPr>
      </w:pPr>
      <w:r>
        <w:rPr>
          <w:rFonts w:ascii="Arial" w:cs="Arial" w:eastAsia="Arial" w:hAnsi="Arial"/>
          <w:sz w:val="15"/>
          <w:szCs w:val="15"/>
          <w:color w:val="auto"/>
        </w:rPr>
        <w:t>In addition, the Company has issued incentive stock units to eligible employees that vest upon attainment of certain cumulative three-year performance goals. Significant judgments and estimates are used in determining the estimated three-year performance, which is then used to estimate the total shares expected to vest over the three year vesting cycle and corresponding expense based on the grant date fair value of the award. When determining the estimated three-year performance, the Company utilizes a combination of historical actual results, budgeted results and forecasts. Upon the initial grant of a performance cycle, the Company estimates the three-year performance at 100%. Quarterly, the Company reviews and updates performance estimates based on actual performance results and current projections. Based on the Company’s performance for each three-year period then ended, the incentive stock units can vest and be awarded ranging from 0% to 200% of the initial incentive stock units granted. The incentive stock units included in the table below represent the number of incentive stock units that are expected to vest based on the Company’s estimate for meeting those established performance targets. As of September 30, 2023, the Company estimates that it will achieve 129%, 129% and 107% for the incentive stock awards expected to vest based on performance for the three-year periods ending December 31, 2023, 2024, and 2025, respectively, and has recorded incentive compensation expense accordingly. If the estimates of the number of these incentive stock units expected to vest changes in a future accounting period, cumulative compensation expense could increase or decrease and will be recognized in the current period for the elapsed portion of the vesting period and would change future expense for the remaining vesting period.</w:t>
      </w:r>
    </w:p>
    <w:p>
      <w:pPr>
        <w:spacing w:after="0" w:line="60" w:lineRule="exact"/>
        <w:rPr>
          <w:sz w:val="20"/>
          <w:szCs w:val="20"/>
          <w:color w:val="auto"/>
        </w:rPr>
      </w:pPr>
    </w:p>
    <w:p>
      <w:pPr>
        <w:ind w:right="240" w:firstLine="464"/>
        <w:spacing w:after="0" w:line="349" w:lineRule="auto"/>
        <w:rPr>
          <w:sz w:val="20"/>
          <w:szCs w:val="20"/>
          <w:color w:val="auto"/>
        </w:rPr>
      </w:pPr>
      <w:r>
        <w:rPr>
          <w:rFonts w:ascii="Arial" w:cs="Arial" w:eastAsia="Arial" w:hAnsi="Arial"/>
          <w:sz w:val="15"/>
          <w:szCs w:val="15"/>
          <w:color w:val="auto"/>
        </w:rPr>
        <w:t>Compensation expense for the non-vested restricted stock and incentive stock units is based on the closing price of the Company's common stock on the date of grant and recognized over the applicable vesting period. Expense for incentive stock units is updated as necessary based on the Company's performance.</w:t>
      </w:r>
    </w:p>
    <w:p>
      <w:pPr>
        <w:spacing w:after="0" w:line="14" w:lineRule="exact"/>
        <w:rPr>
          <w:sz w:val="20"/>
          <w:szCs w:val="20"/>
          <w:color w:val="auto"/>
        </w:rPr>
      </w:pPr>
    </w:p>
    <w:p>
      <w:pPr>
        <w:ind w:right="380" w:firstLine="464"/>
        <w:spacing w:after="0" w:line="306" w:lineRule="auto"/>
        <w:rPr>
          <w:sz w:val="20"/>
          <w:szCs w:val="20"/>
          <w:color w:val="auto"/>
        </w:rPr>
      </w:pPr>
      <w:r>
        <w:rPr>
          <w:rFonts w:ascii="Arial" w:cs="Arial" w:eastAsia="Arial" w:hAnsi="Arial"/>
          <w:sz w:val="15"/>
          <w:szCs w:val="15"/>
          <w:color w:val="auto"/>
        </w:rPr>
        <w:t>The following table summarizes the restricted stock activity and related information for the 2011 Plan, the 2000 Plan, and Directors Plan, and incentive stock units activity and related information for the 2011 Plan and the 2000 Plan with related information for the nine months ended September 30, 2023:</w:t>
      </w:r>
    </w:p>
    <w:tbl>
      <w:tblPr>
        <w:tblLayout w:type="fixed"/>
        <w:tblInd w:w="0" w:type="dxa"/>
        <w:tblCellMar>
          <w:top w:w="0" w:type="dxa"/>
          <w:left w:w="0" w:type="dxa"/>
          <w:bottom w:w="0" w:type="dxa"/>
          <w:right w:w="0" w:type="dxa"/>
        </w:tblCellMar>
      </w:tblPr>
      <w:tr>
        <w:trPr>
          <w:trHeight w:val="140"/>
        </w:trPr>
        <w:tc>
          <w:tcPr>
            <w:tcW w:w="48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6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7"/>
              </w:rPr>
              <w:t>Restricted</w:t>
            </w:r>
          </w:p>
        </w:tc>
        <w:tc>
          <w:tcPr>
            <w:tcW w:w="15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8"/>
              </w:rPr>
              <w:t>Incentive</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tcPr>
          <w:p>
            <w:pPr>
              <w:jc w:val="center"/>
              <w:ind w:right="121"/>
              <w:spacing w:after="0" w:line="140" w:lineRule="exact"/>
              <w:rPr>
                <w:sz w:val="20"/>
                <w:szCs w:val="20"/>
                <w:color w:val="auto"/>
              </w:rPr>
            </w:pPr>
            <w:r>
              <w:rPr>
                <w:rFonts w:ascii="Arial" w:cs="Arial" w:eastAsia="Arial" w:hAnsi="Arial"/>
                <w:sz w:val="14"/>
                <w:szCs w:val="14"/>
                <w:b w:val="1"/>
                <w:bCs w:val="1"/>
                <w:color w:val="auto"/>
                <w:w w:val="88"/>
              </w:rPr>
              <w:t>Weighted</w:t>
            </w:r>
          </w:p>
        </w:tc>
        <w:tc>
          <w:tcPr>
            <w:tcW w:w="0" w:type="dxa"/>
            <w:vAlign w:val="bottom"/>
          </w:tcPr>
          <w:p>
            <w:pPr>
              <w:spacing w:after="0"/>
              <w:rPr>
                <w:sz w:val="1"/>
                <w:szCs w:val="1"/>
                <w:color w:val="auto"/>
              </w:rPr>
            </w:pPr>
          </w:p>
        </w:tc>
      </w:tr>
      <w:tr>
        <w:trPr>
          <w:trHeight w:val="142"/>
        </w:trPr>
        <w:tc>
          <w:tcPr>
            <w:tcW w:w="48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15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tcPr>
          <w:p>
            <w:pPr>
              <w:jc w:val="center"/>
              <w:ind w:right="121"/>
              <w:spacing w:after="0" w:line="142" w:lineRule="exact"/>
              <w:rPr>
                <w:sz w:val="20"/>
                <w:szCs w:val="20"/>
                <w:color w:val="auto"/>
              </w:rPr>
            </w:pPr>
            <w:r>
              <w:rPr>
                <w:rFonts w:ascii="Arial" w:cs="Arial" w:eastAsia="Arial" w:hAnsi="Arial"/>
                <w:sz w:val="14"/>
                <w:szCs w:val="14"/>
                <w:b w:val="1"/>
                <w:bCs w:val="1"/>
                <w:color w:val="auto"/>
                <w:w w:val="91"/>
              </w:rPr>
              <w:t>Average Grant</w:t>
            </w:r>
          </w:p>
        </w:tc>
        <w:tc>
          <w:tcPr>
            <w:tcW w:w="0" w:type="dxa"/>
            <w:vAlign w:val="bottom"/>
          </w:tcPr>
          <w:p>
            <w:pPr>
              <w:spacing w:after="0"/>
              <w:rPr>
                <w:sz w:val="1"/>
                <w:szCs w:val="1"/>
                <w:color w:val="auto"/>
              </w:rPr>
            </w:pPr>
          </w:p>
        </w:tc>
      </w:tr>
      <w:tr>
        <w:trPr>
          <w:trHeight w:val="132"/>
        </w:trPr>
        <w:tc>
          <w:tcPr>
            <w:tcW w:w="480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620" w:type="dxa"/>
            <w:vAlign w:val="bottom"/>
            <w:gridSpan w:val="2"/>
          </w:tcPr>
          <w:p>
            <w:pPr>
              <w:jc w:val="center"/>
              <w:ind w:right="100"/>
              <w:spacing w:after="0" w:line="133" w:lineRule="exact"/>
              <w:rPr>
                <w:sz w:val="20"/>
                <w:szCs w:val="20"/>
                <w:color w:val="auto"/>
              </w:rPr>
            </w:pPr>
            <w:r>
              <w:rPr>
                <w:rFonts w:ascii="Arial" w:cs="Arial" w:eastAsia="Arial" w:hAnsi="Arial"/>
                <w:sz w:val="14"/>
                <w:szCs w:val="14"/>
                <w:b w:val="1"/>
                <w:bCs w:val="1"/>
                <w:color w:val="auto"/>
                <w:w w:val="83"/>
              </w:rPr>
              <w:t>Stock</w:t>
            </w:r>
          </w:p>
        </w:tc>
        <w:tc>
          <w:tcPr>
            <w:tcW w:w="152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89"/>
              </w:rPr>
              <w:t>Stock</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20" w:type="dxa"/>
            <w:vAlign w:val="bottom"/>
          </w:tcPr>
          <w:p>
            <w:pPr>
              <w:jc w:val="center"/>
              <w:ind w:right="121"/>
              <w:spacing w:after="0" w:line="133" w:lineRule="exact"/>
              <w:rPr>
                <w:sz w:val="20"/>
                <w:szCs w:val="20"/>
                <w:color w:val="auto"/>
              </w:rPr>
            </w:pPr>
            <w:r>
              <w:rPr>
                <w:rFonts w:ascii="Arial" w:cs="Arial" w:eastAsia="Arial" w:hAnsi="Arial"/>
                <w:sz w:val="14"/>
                <w:szCs w:val="14"/>
                <w:b w:val="1"/>
                <w:bCs w:val="1"/>
                <w:color w:val="auto"/>
                <w:w w:val="93"/>
              </w:rPr>
              <w:t>Date Fair</w:t>
            </w:r>
          </w:p>
        </w:tc>
        <w:tc>
          <w:tcPr>
            <w:tcW w:w="0" w:type="dxa"/>
            <w:vAlign w:val="bottom"/>
          </w:tcPr>
          <w:p>
            <w:pPr>
              <w:spacing w:after="0"/>
              <w:rPr>
                <w:sz w:val="1"/>
                <w:szCs w:val="1"/>
                <w:color w:val="auto"/>
              </w:rPr>
            </w:pPr>
          </w:p>
        </w:tc>
      </w:tr>
      <w:tr>
        <w:trPr>
          <w:trHeight w:val="178"/>
        </w:trPr>
        <w:tc>
          <w:tcPr>
            <w:tcW w:w="48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7"/>
              </w:rPr>
              <w:t>and Units</w:t>
            </w: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85"/>
              </w:rPr>
              <w:t>Units</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tcPr>
          <w:p>
            <w:pPr>
              <w:jc w:val="center"/>
              <w:ind w:right="121"/>
              <w:spacing w:after="0"/>
              <w:rPr>
                <w:sz w:val="20"/>
                <w:szCs w:val="20"/>
                <w:color w:val="auto"/>
              </w:rPr>
            </w:pPr>
            <w:r>
              <w:rPr>
                <w:rFonts w:ascii="Arial" w:cs="Arial" w:eastAsia="Arial" w:hAnsi="Arial"/>
                <w:sz w:val="14"/>
                <w:szCs w:val="14"/>
                <w:b w:val="1"/>
                <w:bCs w:val="1"/>
                <w:color w:val="auto"/>
                <w:w w:val="85"/>
              </w:rPr>
              <w:t>Value</w:t>
            </w:r>
          </w:p>
        </w:tc>
        <w:tc>
          <w:tcPr>
            <w:tcW w:w="0" w:type="dxa"/>
            <w:vAlign w:val="bottom"/>
          </w:tcPr>
          <w:p>
            <w:pPr>
              <w:spacing w:after="0"/>
              <w:rPr>
                <w:sz w:val="1"/>
                <w:szCs w:val="1"/>
                <w:color w:val="auto"/>
              </w:rPr>
            </w:pPr>
          </w:p>
        </w:tc>
      </w:tr>
      <w:tr>
        <w:trPr>
          <w:trHeight w:val="24"/>
        </w:trPr>
        <w:tc>
          <w:tcPr>
            <w:tcW w:w="480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4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Outstanding at December 31, 2022</w:t>
            </w:r>
          </w:p>
        </w:tc>
        <w:tc>
          <w:tcPr>
            <w:tcW w:w="31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689,420</w:t>
            </w: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744,844</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84.73</w:t>
            </w:r>
          </w:p>
        </w:tc>
        <w:tc>
          <w:tcPr>
            <w:tcW w:w="0" w:type="dxa"/>
            <w:vAlign w:val="bottom"/>
          </w:tcPr>
          <w:p>
            <w:pPr>
              <w:spacing w:after="0"/>
              <w:rPr>
                <w:sz w:val="1"/>
                <w:szCs w:val="1"/>
                <w:color w:val="auto"/>
              </w:rPr>
            </w:pPr>
          </w:p>
        </w:tc>
      </w:tr>
      <w:tr>
        <w:trPr>
          <w:trHeight w:val="218"/>
        </w:trPr>
        <w:tc>
          <w:tcPr>
            <w:tcW w:w="4800" w:type="dxa"/>
            <w:vAlign w:val="bottom"/>
          </w:tcPr>
          <w:p>
            <w:pPr>
              <w:ind w:left="260"/>
              <w:spacing w:after="0"/>
              <w:rPr>
                <w:sz w:val="20"/>
                <w:szCs w:val="20"/>
                <w:color w:val="auto"/>
              </w:rPr>
            </w:pPr>
            <w:r>
              <w:rPr>
                <w:rFonts w:ascii="Arial" w:cs="Arial" w:eastAsia="Arial" w:hAnsi="Arial"/>
                <w:sz w:val="17"/>
                <w:szCs w:val="17"/>
                <w:color w:val="auto"/>
              </w:rPr>
              <w:t>Granted</w:t>
            </w:r>
          </w:p>
        </w:tc>
        <w:tc>
          <w:tcPr>
            <w:tcW w:w="3180" w:type="dxa"/>
            <w:vAlign w:val="bottom"/>
            <w:gridSpan w:val="2"/>
          </w:tcPr>
          <w:p>
            <w:pPr>
              <w:jc w:val="right"/>
              <w:spacing w:after="0"/>
              <w:rPr>
                <w:sz w:val="20"/>
                <w:szCs w:val="20"/>
                <w:color w:val="auto"/>
              </w:rPr>
            </w:pPr>
            <w:r>
              <w:rPr>
                <w:rFonts w:ascii="Arial" w:cs="Arial" w:eastAsia="Arial" w:hAnsi="Arial"/>
                <w:sz w:val="17"/>
                <w:szCs w:val="17"/>
                <w:color w:val="auto"/>
              </w:rPr>
              <w:t>358,075</w:t>
            </w:r>
          </w:p>
        </w:tc>
        <w:tc>
          <w:tcPr>
            <w:tcW w:w="1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192,751</w:t>
            </w:r>
          </w:p>
        </w:tc>
        <w:tc>
          <w:tcPr>
            <w:tcW w:w="3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104.58</w:t>
            </w:r>
          </w:p>
        </w:tc>
        <w:tc>
          <w:tcPr>
            <w:tcW w:w="0" w:type="dxa"/>
            <w:vAlign w:val="bottom"/>
          </w:tcPr>
          <w:p>
            <w:pPr>
              <w:spacing w:after="0"/>
              <w:rPr>
                <w:sz w:val="1"/>
                <w:szCs w:val="1"/>
                <w:color w:val="auto"/>
              </w:rPr>
            </w:pPr>
          </w:p>
        </w:tc>
      </w:tr>
      <w:tr>
        <w:trPr>
          <w:trHeight w:val="220"/>
        </w:trPr>
        <w:tc>
          <w:tcPr>
            <w:tcW w:w="4800" w:type="dxa"/>
            <w:vAlign w:val="bottom"/>
            <w:shd w:val="clear" w:color="auto" w:fill="CCEEFF"/>
          </w:tcPr>
          <w:p>
            <w:pPr>
              <w:ind w:left="260"/>
              <w:spacing w:after="0"/>
              <w:rPr>
                <w:sz w:val="20"/>
                <w:szCs w:val="20"/>
                <w:color w:val="auto"/>
              </w:rPr>
            </w:pPr>
            <w:r>
              <w:rPr>
                <w:rFonts w:ascii="Arial" w:cs="Arial" w:eastAsia="Arial" w:hAnsi="Arial"/>
                <w:sz w:val="17"/>
                <w:szCs w:val="17"/>
                <w:color w:val="auto"/>
              </w:rPr>
              <w:t>Vested</w:t>
            </w:r>
          </w:p>
        </w:tc>
        <w:tc>
          <w:tcPr>
            <w:tcW w:w="31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(247,280)</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(265,678)</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81.06</w:t>
            </w:r>
          </w:p>
        </w:tc>
        <w:tc>
          <w:tcPr>
            <w:tcW w:w="0" w:type="dxa"/>
            <w:vAlign w:val="bottom"/>
          </w:tcPr>
          <w:p>
            <w:pPr>
              <w:spacing w:after="0"/>
              <w:rPr>
                <w:sz w:val="1"/>
                <w:szCs w:val="1"/>
                <w:color w:val="auto"/>
              </w:rPr>
            </w:pPr>
          </w:p>
        </w:tc>
      </w:tr>
      <w:tr>
        <w:trPr>
          <w:trHeight w:val="218"/>
        </w:trPr>
        <w:tc>
          <w:tcPr>
            <w:tcW w:w="4800" w:type="dxa"/>
            <w:vAlign w:val="bottom"/>
          </w:tcPr>
          <w:p>
            <w:pPr>
              <w:ind w:left="260"/>
              <w:spacing w:after="0"/>
              <w:rPr>
                <w:sz w:val="20"/>
                <w:szCs w:val="20"/>
                <w:color w:val="auto"/>
              </w:rPr>
            </w:pPr>
            <w:r>
              <w:rPr>
                <w:rFonts w:ascii="Arial" w:cs="Arial" w:eastAsia="Arial" w:hAnsi="Arial"/>
                <w:sz w:val="17"/>
                <w:szCs w:val="17"/>
                <w:color w:val="auto"/>
              </w:rPr>
              <w:t>Adjustment for incentive stock awards expected to vest</w:t>
            </w:r>
          </w:p>
        </w:tc>
        <w:tc>
          <w:tcPr>
            <w:tcW w:w="1660" w:type="dxa"/>
            <w:vAlign w:val="bottom"/>
          </w:tcPr>
          <w:p>
            <w:pPr>
              <w:spacing w:after="0"/>
              <w:rPr>
                <w:sz w:val="18"/>
                <w:szCs w:val="18"/>
                <w:color w:val="auto"/>
              </w:rPr>
            </w:pPr>
          </w:p>
        </w:tc>
        <w:tc>
          <w:tcPr>
            <w:tcW w:w="16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520" w:type="dxa"/>
            <w:vAlign w:val="bottom"/>
          </w:tcPr>
          <w:p>
            <w:pPr>
              <w:jc w:val="right"/>
              <w:spacing w:after="0"/>
              <w:rPr>
                <w:sz w:val="20"/>
                <w:szCs w:val="20"/>
                <w:color w:val="auto"/>
              </w:rPr>
            </w:pPr>
            <w:r>
              <w:rPr>
                <w:rFonts w:ascii="Arial" w:cs="Arial" w:eastAsia="Arial" w:hAnsi="Arial"/>
                <w:sz w:val="17"/>
                <w:szCs w:val="17"/>
                <w:color w:val="auto"/>
              </w:rPr>
              <w:t>32,111</w:t>
            </w:r>
          </w:p>
        </w:tc>
        <w:tc>
          <w:tcPr>
            <w:tcW w:w="3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89.50</w:t>
            </w:r>
          </w:p>
        </w:tc>
        <w:tc>
          <w:tcPr>
            <w:tcW w:w="0" w:type="dxa"/>
            <w:vAlign w:val="bottom"/>
          </w:tcPr>
          <w:p>
            <w:pPr>
              <w:spacing w:after="0"/>
              <w:rPr>
                <w:sz w:val="1"/>
                <w:szCs w:val="1"/>
                <w:color w:val="auto"/>
              </w:rPr>
            </w:pPr>
          </w:p>
        </w:tc>
      </w:tr>
      <w:tr>
        <w:trPr>
          <w:trHeight w:val="219"/>
        </w:trPr>
        <w:tc>
          <w:tcPr>
            <w:tcW w:w="4800" w:type="dxa"/>
            <w:vAlign w:val="bottom"/>
            <w:shd w:val="clear" w:color="auto" w:fill="CCEEFF"/>
          </w:tcPr>
          <w:p>
            <w:pPr>
              <w:ind w:left="260"/>
              <w:spacing w:after="0"/>
              <w:rPr>
                <w:sz w:val="20"/>
                <w:szCs w:val="20"/>
                <w:color w:val="auto"/>
              </w:rPr>
            </w:pPr>
            <w:r>
              <w:rPr>
                <w:rFonts w:ascii="Arial" w:cs="Arial" w:eastAsia="Arial" w:hAnsi="Arial"/>
                <w:sz w:val="17"/>
                <w:szCs w:val="17"/>
                <w:color w:val="auto"/>
              </w:rPr>
              <w:t>Canceled</w:t>
            </w:r>
          </w:p>
        </w:tc>
        <w:tc>
          <w:tcPr>
            <w:tcW w:w="166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(20,644)</w:t>
            </w:r>
          </w:p>
        </w:tc>
        <w:tc>
          <w:tcPr>
            <w:tcW w:w="10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(6,542)</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91.57</w:t>
            </w:r>
          </w:p>
        </w:tc>
        <w:tc>
          <w:tcPr>
            <w:tcW w:w="0" w:type="dxa"/>
            <w:vAlign w:val="bottom"/>
          </w:tcPr>
          <w:p>
            <w:pPr>
              <w:spacing w:after="0"/>
              <w:rPr>
                <w:sz w:val="1"/>
                <w:szCs w:val="1"/>
                <w:color w:val="auto"/>
              </w:rPr>
            </w:pPr>
          </w:p>
        </w:tc>
      </w:tr>
      <w:tr>
        <w:trPr>
          <w:trHeight w:val="213"/>
        </w:trPr>
        <w:tc>
          <w:tcPr>
            <w:tcW w:w="4800" w:type="dxa"/>
            <w:vAlign w:val="bottom"/>
          </w:tcPr>
          <w:p>
            <w:pPr>
              <w:ind w:left="20"/>
              <w:spacing w:after="0"/>
              <w:rPr>
                <w:sz w:val="20"/>
                <w:szCs w:val="20"/>
                <w:color w:val="auto"/>
              </w:rPr>
            </w:pPr>
            <w:r>
              <w:rPr>
                <w:rFonts w:ascii="Arial" w:cs="Arial" w:eastAsia="Arial" w:hAnsi="Arial"/>
                <w:sz w:val="17"/>
                <w:szCs w:val="17"/>
                <w:color w:val="auto"/>
              </w:rPr>
              <w:t>Outstanding at September 30, 2023</w:t>
            </w:r>
          </w:p>
        </w:tc>
        <w:tc>
          <w:tcPr>
            <w:tcW w:w="3180" w:type="dxa"/>
            <w:vAlign w:val="bottom"/>
            <w:gridSpan w:val="2"/>
          </w:tcPr>
          <w:p>
            <w:pPr>
              <w:jc w:val="right"/>
              <w:spacing w:after="0"/>
              <w:rPr>
                <w:sz w:val="20"/>
                <w:szCs w:val="20"/>
                <w:color w:val="auto"/>
              </w:rPr>
            </w:pPr>
            <w:r>
              <w:rPr>
                <w:rFonts w:ascii="Arial" w:cs="Arial" w:eastAsia="Arial" w:hAnsi="Arial"/>
                <w:sz w:val="17"/>
                <w:szCs w:val="17"/>
                <w:color w:val="auto"/>
              </w:rPr>
              <w:t>779,571</w:t>
            </w:r>
          </w:p>
        </w:tc>
        <w:tc>
          <w:tcPr>
            <w:tcW w:w="1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697,486</w:t>
            </w:r>
          </w:p>
        </w:tc>
        <w:tc>
          <w:tcPr>
            <w:tcW w:w="3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93.48</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660" w:type="dxa"/>
            <w:vAlign w:val="bottom"/>
            <w:vMerge w:val="restart"/>
          </w:tcPr>
          <w:p>
            <w:pPr>
              <w:jc w:val="right"/>
              <w:ind w:right="674"/>
              <w:spacing w:after="0"/>
              <w:rPr>
                <w:sz w:val="20"/>
                <w:szCs w:val="20"/>
                <w:color w:val="auto"/>
              </w:rPr>
            </w:pPr>
            <w:r>
              <w:rPr>
                <w:rFonts w:ascii="Arial" w:cs="Arial" w:eastAsia="Arial" w:hAnsi="Arial"/>
                <w:sz w:val="17"/>
                <w:szCs w:val="17"/>
                <w:color w:val="auto"/>
              </w:rPr>
              <w:t>18</w:t>
            </w: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1"/>
        </w:trPr>
        <w:tc>
          <w:tcPr>
            <w:tcW w:w="4800" w:type="dxa"/>
            <w:vAlign w:val="bottom"/>
          </w:tcPr>
          <w:p>
            <w:pPr>
              <w:spacing w:after="0"/>
              <w:rPr>
                <w:sz w:val="24"/>
                <w:szCs w:val="24"/>
                <w:color w:val="auto"/>
              </w:rPr>
            </w:pPr>
          </w:p>
        </w:tc>
        <w:tc>
          <w:tcPr>
            <w:tcW w:w="1660" w:type="dxa"/>
            <w:vAlign w:val="bottom"/>
            <w:vMerge w:val="continue"/>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4800" w:type="dxa"/>
            <w:vAlign w:val="bottom"/>
            <w:tcBorders>
              <w:bottom w:val="single" w:sz="8" w:color="9A9A9A"/>
            </w:tcBorders>
          </w:tcPr>
          <w:p>
            <w:pPr>
              <w:spacing w:after="0"/>
              <w:rPr>
                <w:sz w:val="9"/>
                <w:szCs w:val="9"/>
                <w:color w:val="auto"/>
              </w:rPr>
            </w:pPr>
          </w:p>
        </w:tc>
        <w:tc>
          <w:tcPr>
            <w:tcW w:w="1660" w:type="dxa"/>
            <w:vAlign w:val="bottom"/>
            <w:tcBorders>
              <w:bottom w:val="single" w:sz="8" w:color="9A9A9A"/>
            </w:tcBorders>
          </w:tcPr>
          <w:p>
            <w:pPr>
              <w:spacing w:after="0"/>
              <w:rPr>
                <w:sz w:val="9"/>
                <w:szCs w:val="9"/>
                <w:color w:val="auto"/>
              </w:rPr>
            </w:pPr>
          </w:p>
        </w:tc>
        <w:tc>
          <w:tcPr>
            <w:tcW w:w="15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5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004" w:right="339" w:bottom="1440" w:gutter="0" w:footer="0" w:header="0"/>
        </w:sectPr>
      </w:pPr>
    </w:p>
    <w:bookmarkStart w:id="18" w:name="page19"/>
    <w:bookmarkEnd w:id="18"/>
    <w:p>
      <w:pPr>
        <w:spacing w:after="0"/>
        <w:rPr>
          <w:sz w:val="20"/>
          <w:szCs w:val="20"/>
          <w:color w:val="auto"/>
        </w:rPr>
      </w:pPr>
      <w:r>
        <w:rPr>
          <w:rFonts w:ascii="Arial" w:cs="Arial" w:eastAsia="Arial" w:hAnsi="Arial"/>
          <w:sz w:val="17"/>
          <w:szCs w:val="17"/>
          <w:b w:val="1"/>
          <w:bCs w:val="1"/>
          <w:color w:val="auto"/>
        </w:rPr>
        <w:t>10. INCOME TAXES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overall effective tax rate for the three and nine months ended September 30, 2023 was 24.5% and 25.1%, respectively. These rates differ from the U.S.</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color w:val="auto"/>
        </w:rPr>
        <w:t>federal statutory rate of 21.0% primarily due to the impact of state and foreign taxes.</w:t>
      </w:r>
    </w:p>
    <w:p>
      <w:pPr>
        <w:spacing w:after="0" w:line="103" w:lineRule="exact"/>
        <w:rPr>
          <w:sz w:val="20"/>
          <w:szCs w:val="20"/>
          <w:color w:val="auto"/>
        </w:rPr>
      </w:pPr>
    </w:p>
    <w:p>
      <w:pPr>
        <w:ind w:right="100" w:firstLine="464"/>
        <w:spacing w:after="0" w:line="266" w:lineRule="auto"/>
        <w:rPr>
          <w:sz w:val="20"/>
          <w:szCs w:val="20"/>
          <w:color w:val="auto"/>
        </w:rPr>
      </w:pPr>
      <w:r>
        <w:rPr>
          <w:rFonts w:ascii="Arial" w:cs="Arial" w:eastAsia="Arial" w:hAnsi="Arial"/>
          <w:sz w:val="17"/>
          <w:szCs w:val="17"/>
          <w:color w:val="auto"/>
        </w:rPr>
        <w:t>On August 16, 2022, the Inflation Reduction Act of 2022 was signed into law. This act includes a new book minimum tax on certain large corporations and an excise tax on corporate stock buybacks among other provisions. This act has not had, and is not expected to have, a material impact on our consolidated financial position, results of operations, or cash flows.</w:t>
      </w:r>
    </w:p>
    <w:p>
      <w:pPr>
        <w:spacing w:after="0" w:line="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11. EARNINGS PER SHARE</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computation of basic and diluted earnings per share for Net income attributable to Wabtec shareholders is as follows: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20" w:type="dxa"/>
            <w:vAlign w:val="bottom"/>
            <w:gridSpan w:val="5"/>
          </w:tcPr>
          <w:p>
            <w:pPr>
              <w:ind w:left="460"/>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4"/>
                <w:szCs w:val="14"/>
                <w:color w:val="auto"/>
              </w:rPr>
            </w:pPr>
          </w:p>
        </w:tc>
        <w:tc>
          <w:tcPr>
            <w:tcW w:w="170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3"/>
          </w:tcPr>
          <w:p>
            <w:pPr>
              <w:jc w:val="right"/>
              <w:ind w:right="94"/>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440" w:type="dxa"/>
            <w:vAlign w:val="bottom"/>
            <w:gridSpan w:val="3"/>
          </w:tcPr>
          <w:p>
            <w:pPr>
              <w:ind w:left="20"/>
              <w:spacing w:after="0" w:line="142" w:lineRule="exact"/>
              <w:rPr>
                <w:sz w:val="20"/>
                <w:szCs w:val="20"/>
                <w:color w:val="auto"/>
              </w:rPr>
            </w:pPr>
            <w:r>
              <w:rPr>
                <w:rFonts w:ascii="Arial" w:cs="Arial" w:eastAsia="Arial" w:hAnsi="Arial"/>
                <w:sz w:val="14"/>
                <w:szCs w:val="14"/>
                <w:b w:val="1"/>
                <w:bCs w:val="1"/>
                <w:i w:val="1"/>
                <w:iCs w:val="1"/>
                <w:color w:val="auto"/>
              </w:rPr>
              <w:t>In millions, except per share data</w:t>
            </w:r>
          </w:p>
        </w:tc>
        <w:tc>
          <w:tcPr>
            <w:tcW w:w="340" w:type="dxa"/>
            <w:vAlign w:val="bottom"/>
          </w:tcPr>
          <w:p>
            <w:pPr>
              <w:spacing w:after="0"/>
              <w:rPr>
                <w:sz w:val="12"/>
                <w:szCs w:val="12"/>
                <w:color w:val="auto"/>
              </w:rPr>
            </w:pPr>
          </w:p>
        </w:tc>
        <w:tc>
          <w:tcPr>
            <w:tcW w:w="1040" w:type="dxa"/>
            <w:vAlign w:val="bottom"/>
          </w:tcPr>
          <w:p>
            <w:pPr>
              <w:jc w:val="right"/>
              <w:ind w:right="460"/>
              <w:spacing w:after="0" w:line="142" w:lineRule="exact"/>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20" w:type="dxa"/>
            <w:vAlign w:val="bottom"/>
          </w:tcPr>
          <w:p>
            <w:pPr>
              <w:jc w:val="right"/>
              <w:ind w:right="457"/>
              <w:spacing w:after="0" w:line="142" w:lineRule="exact"/>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jc w:val="right"/>
              <w:ind w:right="480"/>
              <w:spacing w:after="0" w:line="142" w:lineRule="exact"/>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20" w:type="dxa"/>
            <w:vAlign w:val="bottom"/>
          </w:tcPr>
          <w:p>
            <w:pPr>
              <w:jc w:val="right"/>
              <w:ind w:right="457"/>
              <w:spacing w:after="0" w:line="142" w:lineRule="exact"/>
              <w:rPr>
                <w:sz w:val="20"/>
                <w:szCs w:val="20"/>
                <w:color w:val="auto"/>
              </w:rPr>
            </w:pPr>
            <w:r>
              <w:rPr>
                <w:rFonts w:ascii="Arial" w:cs="Arial" w:eastAsia="Arial" w:hAnsi="Arial"/>
                <w:sz w:val="14"/>
                <w:szCs w:val="14"/>
                <w:b w:val="1"/>
                <w:bCs w:val="1"/>
                <w:color w:val="auto"/>
                <w:w w:val="83"/>
              </w:rPr>
              <w:t>2022</w:t>
            </w:r>
          </w:p>
        </w:tc>
        <w:tc>
          <w:tcPr>
            <w:tcW w:w="0" w:type="dxa"/>
            <w:vAlign w:val="bottom"/>
          </w:tcPr>
          <w:p>
            <w:pPr>
              <w:spacing w:after="0"/>
              <w:rPr>
                <w:sz w:val="1"/>
                <w:szCs w:val="1"/>
                <w:color w:val="auto"/>
              </w:rPr>
            </w:pPr>
          </w:p>
        </w:tc>
      </w:tr>
      <w:tr>
        <w:trPr>
          <w:trHeight w:val="32"/>
        </w:trPr>
        <w:tc>
          <w:tcPr>
            <w:tcW w:w="20" w:type="dxa"/>
            <w:vAlign w:val="bottom"/>
            <w:tcBorders>
              <w:bottom w:val="single" w:sz="8" w:color="CCEEFF"/>
            </w:tcBorders>
          </w:tcPr>
          <w:p>
            <w:pPr>
              <w:spacing w:after="0"/>
              <w:rPr>
                <w:sz w:val="2"/>
                <w:szCs w:val="2"/>
                <w:color w:val="auto"/>
              </w:rPr>
            </w:pPr>
          </w:p>
        </w:tc>
        <w:tc>
          <w:tcPr>
            <w:tcW w:w="1900" w:type="dxa"/>
            <w:vAlign w:val="bottom"/>
            <w:tcBorders>
              <w:top w:val="single" w:sz="8" w:color="auto"/>
              <w:bottom w:val="single" w:sz="8" w:color="CCEEFF"/>
            </w:tcBorders>
          </w:tcPr>
          <w:p>
            <w:pPr>
              <w:spacing w:after="0"/>
              <w:rPr>
                <w:sz w:val="2"/>
                <w:szCs w:val="2"/>
                <w:color w:val="auto"/>
              </w:rPr>
            </w:pPr>
          </w:p>
        </w:tc>
        <w:tc>
          <w:tcPr>
            <w:tcW w:w="35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9"/>
        </w:trPr>
        <w:tc>
          <w:tcPr>
            <w:tcW w:w="5440" w:type="dxa"/>
            <w:vAlign w:val="bottom"/>
            <w:gridSpan w:val="3"/>
            <w:shd w:val="clear" w:color="auto" w:fill="CCEEFF"/>
          </w:tcPr>
          <w:p>
            <w:pPr>
              <w:ind w:left="20"/>
              <w:spacing w:after="0"/>
              <w:rPr>
                <w:sz w:val="20"/>
                <w:szCs w:val="20"/>
                <w:color w:val="auto"/>
              </w:rPr>
            </w:pPr>
            <w:r>
              <w:rPr>
                <w:rFonts w:ascii="Arial" w:cs="Arial" w:eastAsia="Arial" w:hAnsi="Arial"/>
                <w:sz w:val="17"/>
                <w:szCs w:val="17"/>
                <w:b w:val="1"/>
                <w:bCs w:val="1"/>
                <w:color w:val="auto"/>
              </w:rPr>
              <w:t>Numerator</w:t>
            </w:r>
          </w:p>
        </w:tc>
        <w:tc>
          <w:tcPr>
            <w:tcW w:w="3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5440" w:type="dxa"/>
            <w:vAlign w:val="bottom"/>
            <w:gridSpan w:val="3"/>
          </w:tcPr>
          <w:p>
            <w:pPr>
              <w:ind w:left="20"/>
              <w:spacing w:after="0"/>
              <w:rPr>
                <w:sz w:val="20"/>
                <w:szCs w:val="20"/>
                <w:color w:val="auto"/>
              </w:rPr>
            </w:pPr>
            <w:r>
              <w:rPr>
                <w:rFonts w:ascii="Arial" w:cs="Arial" w:eastAsia="Arial" w:hAnsi="Arial"/>
                <w:sz w:val="17"/>
                <w:szCs w:val="17"/>
                <w:color w:val="auto"/>
              </w:rPr>
              <w:t>Net income attributable to Wabtec shareholders</w:t>
            </w:r>
          </w:p>
        </w:tc>
        <w:tc>
          <w:tcPr>
            <w:tcW w:w="34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240</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74"/>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160</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600</w:t>
            </w:r>
          </w:p>
        </w:tc>
        <w:tc>
          <w:tcPr>
            <w:tcW w:w="80" w:type="dxa"/>
            <w:vAlign w:val="bottom"/>
          </w:tcPr>
          <w:p>
            <w:pPr>
              <w:spacing w:after="0"/>
              <w:rPr>
                <w:sz w:val="19"/>
                <w:szCs w:val="19"/>
                <w:color w:val="auto"/>
              </w:rPr>
            </w:pPr>
          </w:p>
        </w:tc>
        <w:tc>
          <w:tcPr>
            <w:tcW w:w="560" w:type="dxa"/>
            <w:vAlign w:val="bottom"/>
            <w:tcBorders>
              <w:bottom w:val="single" w:sz="8" w:color="auto"/>
            </w:tcBorders>
          </w:tcPr>
          <w:p>
            <w:pPr>
              <w:jc w:val="right"/>
              <w:ind w:right="374"/>
              <w:spacing w:after="0"/>
              <w:rPr>
                <w:sz w:val="20"/>
                <w:szCs w:val="20"/>
                <w:color w:val="auto"/>
              </w:rPr>
            </w:pPr>
            <w:r>
              <w:rPr>
                <w:rFonts w:ascii="Arial" w:cs="Arial" w:eastAsia="Arial" w:hAnsi="Arial"/>
                <w:sz w:val="17"/>
                <w:szCs w:val="17"/>
                <w:color w:val="auto"/>
                <w:w w:val="84"/>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475</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900" w:type="dxa"/>
            <w:vAlign w:val="bottom"/>
            <w:tcBorders>
              <w:bottom w:val="single" w:sz="8" w:color="CCEEFF"/>
            </w:tcBorders>
          </w:tcPr>
          <w:p>
            <w:pPr>
              <w:spacing w:after="0" w:line="20" w:lineRule="exact"/>
              <w:rPr>
                <w:sz w:val="1"/>
                <w:szCs w:val="1"/>
                <w:color w:val="auto"/>
              </w:rPr>
            </w:pPr>
          </w:p>
        </w:tc>
        <w:tc>
          <w:tcPr>
            <w:tcW w:w="35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5440" w:type="dxa"/>
            <w:vAlign w:val="bottom"/>
            <w:gridSpan w:val="3"/>
            <w:shd w:val="clear" w:color="auto" w:fill="CCEEFF"/>
          </w:tcPr>
          <w:p>
            <w:pPr>
              <w:ind w:left="20"/>
              <w:spacing w:after="0" w:line="185" w:lineRule="exact"/>
              <w:rPr>
                <w:sz w:val="20"/>
                <w:szCs w:val="20"/>
                <w:color w:val="auto"/>
              </w:rPr>
            </w:pPr>
            <w:r>
              <w:rPr>
                <w:rFonts w:ascii="Arial" w:cs="Arial" w:eastAsia="Arial" w:hAnsi="Arial"/>
                <w:sz w:val="17"/>
                <w:szCs w:val="17"/>
                <w:b w:val="1"/>
                <w:bCs w:val="1"/>
                <w:color w:val="auto"/>
              </w:rPr>
              <w:t>Denominator</w:t>
            </w:r>
          </w:p>
        </w:tc>
        <w:tc>
          <w:tcPr>
            <w:tcW w:w="3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5440" w:type="dxa"/>
            <w:vAlign w:val="bottom"/>
            <w:gridSpan w:val="3"/>
          </w:tcPr>
          <w:p>
            <w:pPr>
              <w:ind w:left="20"/>
              <w:spacing w:after="0"/>
              <w:rPr>
                <w:sz w:val="20"/>
                <w:szCs w:val="20"/>
                <w:color w:val="auto"/>
              </w:rPr>
            </w:pPr>
            <w:r>
              <w:rPr>
                <w:rFonts w:ascii="Arial" w:cs="Arial" w:eastAsia="Arial" w:hAnsi="Arial"/>
                <w:sz w:val="17"/>
                <w:szCs w:val="17"/>
                <w:color w:val="auto"/>
              </w:rPr>
              <w:t>Weighted average shares outstanding - basic</w:t>
            </w: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178.6</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181.3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179.1</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182.6</w:t>
            </w:r>
          </w:p>
        </w:tc>
        <w:tc>
          <w:tcPr>
            <w:tcW w:w="0" w:type="dxa"/>
            <w:vAlign w:val="bottom"/>
          </w:tcPr>
          <w:p>
            <w:pPr>
              <w:spacing w:after="0"/>
              <w:rPr>
                <w:sz w:val="1"/>
                <w:szCs w:val="1"/>
                <w:color w:val="auto"/>
              </w:rPr>
            </w:pPr>
          </w:p>
        </w:tc>
      </w:tr>
      <w:tr>
        <w:trPr>
          <w:trHeight w:val="220"/>
        </w:trPr>
        <w:tc>
          <w:tcPr>
            <w:tcW w:w="544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Effect of dilutive securities:</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440" w:type="dxa"/>
            <w:vAlign w:val="bottom"/>
            <w:tcBorders>
              <w:bottom w:val="single" w:sz="8" w:color="CCEEFF"/>
            </w:tcBorders>
            <w:gridSpan w:val="3"/>
          </w:tcPr>
          <w:p>
            <w:pPr>
              <w:ind w:left="20"/>
              <w:spacing w:after="0"/>
              <w:rPr>
                <w:sz w:val="20"/>
                <w:szCs w:val="20"/>
                <w:color w:val="auto"/>
              </w:rPr>
            </w:pPr>
            <w:r>
              <w:rPr>
                <w:rFonts w:ascii="Arial" w:cs="Arial" w:eastAsia="Arial" w:hAnsi="Arial"/>
                <w:sz w:val="17"/>
                <w:szCs w:val="17"/>
                <w:color w:val="auto"/>
              </w:rPr>
              <w:t>Assumed conversion of dilutive stock-based compensation plans</w:t>
            </w: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0.6</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0.6</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0.6</w:t>
            </w:r>
          </w:p>
        </w:tc>
        <w:tc>
          <w:tcPr>
            <w:tcW w:w="8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0.5</w:t>
            </w:r>
          </w:p>
        </w:tc>
        <w:tc>
          <w:tcPr>
            <w:tcW w:w="0" w:type="dxa"/>
            <w:vAlign w:val="bottom"/>
          </w:tcPr>
          <w:p>
            <w:pPr>
              <w:spacing w:after="0"/>
              <w:rPr>
                <w:sz w:val="1"/>
                <w:szCs w:val="1"/>
                <w:color w:val="auto"/>
              </w:rPr>
            </w:pPr>
          </w:p>
        </w:tc>
      </w:tr>
      <w:tr>
        <w:trPr>
          <w:trHeight w:val="238"/>
        </w:trPr>
        <w:tc>
          <w:tcPr>
            <w:tcW w:w="54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7"/>
                <w:szCs w:val="17"/>
                <w:color w:val="auto"/>
              </w:rPr>
              <w:t>Weighted average shares outstanding - diluted</w:t>
            </w:r>
          </w:p>
        </w:tc>
        <w:tc>
          <w:tcPr>
            <w:tcW w:w="34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179.2</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181.9</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179.7</w:t>
            </w:r>
          </w:p>
        </w:tc>
        <w:tc>
          <w:tcPr>
            <w:tcW w:w="8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183.1</w:t>
            </w:r>
          </w:p>
        </w:tc>
        <w:tc>
          <w:tcPr>
            <w:tcW w:w="0" w:type="dxa"/>
            <w:vAlign w:val="bottom"/>
          </w:tcPr>
          <w:p>
            <w:pPr>
              <w:spacing w:after="0"/>
              <w:rPr>
                <w:sz w:val="1"/>
                <w:szCs w:val="1"/>
                <w:color w:val="auto"/>
              </w:rPr>
            </w:pPr>
          </w:p>
        </w:tc>
      </w:tr>
      <w:tr>
        <w:trPr>
          <w:trHeight w:val="20"/>
        </w:trPr>
        <w:tc>
          <w:tcPr>
            <w:tcW w:w="5440" w:type="dxa"/>
            <w:vAlign w:val="bottom"/>
            <w:tcBorders>
              <w:top w:val="single" w:sz="8" w:color="CCEEFF"/>
              <w:bottom w:val="single" w:sz="8" w:color="CCEEFF"/>
            </w:tcBorders>
            <w:gridSpan w:val="3"/>
            <w:vMerge w:val="restart"/>
          </w:tcPr>
          <w:p>
            <w:pPr>
              <w:ind w:left="20"/>
              <w:spacing w:after="0"/>
              <w:rPr>
                <w:sz w:val="20"/>
                <w:szCs w:val="20"/>
                <w:color w:val="auto"/>
              </w:rPr>
            </w:pPr>
            <w:r>
              <w:rPr>
                <w:rFonts w:ascii="Arial" w:cs="Arial" w:eastAsia="Arial" w:hAnsi="Arial"/>
                <w:sz w:val="17"/>
                <w:szCs w:val="17"/>
                <w:b w:val="1"/>
                <w:bCs w:val="1"/>
                <w:color w:val="auto"/>
                <w:w w:val="99"/>
              </w:rPr>
              <w:t>Net income attributable to Wabtec shareholders per common share</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5440" w:type="dxa"/>
            <w:vAlign w:val="bottom"/>
            <w:gridSpan w:val="3"/>
            <w:vMerge w:val="continue"/>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544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Basic</w:t>
            </w: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4"/>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0.88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3.34</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4"/>
              <w:spacing w:after="0"/>
              <w:rPr>
                <w:sz w:val="20"/>
                <w:szCs w:val="20"/>
                <w:color w:val="auto"/>
              </w:rPr>
            </w:pPr>
            <w:r>
              <w:rPr>
                <w:rFonts w:ascii="Arial" w:cs="Arial" w:eastAsia="Arial" w:hAnsi="Arial"/>
                <w:sz w:val="17"/>
                <w:szCs w:val="17"/>
                <w:color w:val="auto"/>
                <w:w w:val="84"/>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2.60</w:t>
            </w:r>
          </w:p>
        </w:tc>
        <w:tc>
          <w:tcPr>
            <w:tcW w:w="0" w:type="dxa"/>
            <w:vAlign w:val="bottom"/>
          </w:tcPr>
          <w:p>
            <w:pPr>
              <w:spacing w:after="0"/>
              <w:rPr>
                <w:sz w:val="1"/>
                <w:szCs w:val="1"/>
                <w:color w:val="auto"/>
              </w:rPr>
            </w:pPr>
          </w:p>
        </w:tc>
      </w:tr>
      <w:tr>
        <w:trPr>
          <w:trHeight w:val="218"/>
        </w:trPr>
        <w:tc>
          <w:tcPr>
            <w:tcW w:w="5440" w:type="dxa"/>
            <w:vAlign w:val="bottom"/>
            <w:gridSpan w:val="3"/>
          </w:tcPr>
          <w:p>
            <w:pPr>
              <w:ind w:left="20"/>
              <w:spacing w:after="0"/>
              <w:rPr>
                <w:sz w:val="20"/>
                <w:szCs w:val="20"/>
                <w:color w:val="auto"/>
              </w:rPr>
            </w:pPr>
            <w:r>
              <w:rPr>
                <w:rFonts w:ascii="Arial" w:cs="Arial" w:eastAsia="Arial" w:hAnsi="Arial"/>
                <w:sz w:val="17"/>
                <w:szCs w:val="17"/>
                <w:color w:val="auto"/>
              </w:rPr>
              <w:t>Diluted</w:t>
            </w:r>
          </w:p>
        </w:tc>
        <w:tc>
          <w:tcPr>
            <w:tcW w:w="340" w:type="dxa"/>
            <w:vAlign w:val="bottom"/>
          </w:tcPr>
          <w:p>
            <w:pPr>
              <w:jc w:val="right"/>
              <w:ind w:right="154"/>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1.33</w:t>
            </w:r>
          </w:p>
        </w:tc>
        <w:tc>
          <w:tcPr>
            <w:tcW w:w="100" w:type="dxa"/>
            <w:vAlign w:val="bottom"/>
          </w:tcPr>
          <w:p>
            <w:pPr>
              <w:spacing w:after="0"/>
              <w:rPr>
                <w:sz w:val="18"/>
                <w:szCs w:val="18"/>
                <w:color w:val="auto"/>
              </w:rPr>
            </w:pPr>
          </w:p>
        </w:tc>
        <w:tc>
          <w:tcPr>
            <w:tcW w:w="460" w:type="dxa"/>
            <w:vAlign w:val="bottom"/>
          </w:tcPr>
          <w:p>
            <w:pPr>
              <w:jc w:val="right"/>
              <w:ind w:right="274"/>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0.88</w:t>
            </w:r>
          </w:p>
        </w:tc>
        <w:tc>
          <w:tcPr>
            <w:tcW w:w="100" w:type="dxa"/>
            <w:vAlign w:val="bottom"/>
          </w:tcPr>
          <w:p>
            <w:pPr>
              <w:spacing w:after="0"/>
              <w:rPr>
                <w:sz w:val="18"/>
                <w:szCs w:val="18"/>
                <w:color w:val="auto"/>
              </w:rPr>
            </w:pPr>
          </w:p>
        </w:tc>
        <w:tc>
          <w:tcPr>
            <w:tcW w:w="320" w:type="dxa"/>
            <w:vAlign w:val="bottom"/>
          </w:tcPr>
          <w:p>
            <w:pPr>
              <w:jc w:val="right"/>
              <w:ind w:right="134"/>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3.33</w:t>
            </w:r>
          </w:p>
        </w:tc>
        <w:tc>
          <w:tcPr>
            <w:tcW w:w="80" w:type="dxa"/>
            <w:vAlign w:val="bottom"/>
          </w:tcPr>
          <w:p>
            <w:pPr>
              <w:spacing w:after="0"/>
              <w:rPr>
                <w:sz w:val="18"/>
                <w:szCs w:val="18"/>
                <w:color w:val="auto"/>
              </w:rPr>
            </w:pPr>
          </w:p>
        </w:tc>
        <w:tc>
          <w:tcPr>
            <w:tcW w:w="560" w:type="dxa"/>
            <w:vAlign w:val="bottom"/>
          </w:tcPr>
          <w:p>
            <w:pPr>
              <w:jc w:val="right"/>
              <w:ind w:right="374"/>
              <w:spacing w:after="0"/>
              <w:rPr>
                <w:sz w:val="20"/>
                <w:szCs w:val="20"/>
                <w:color w:val="auto"/>
              </w:rPr>
            </w:pPr>
            <w:r>
              <w:rPr>
                <w:rFonts w:ascii="Arial" w:cs="Arial" w:eastAsia="Arial" w:hAnsi="Arial"/>
                <w:sz w:val="17"/>
                <w:szCs w:val="17"/>
                <w:color w:val="auto"/>
                <w:w w:val="84"/>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2.59</w:t>
            </w:r>
          </w:p>
        </w:tc>
        <w:tc>
          <w:tcPr>
            <w:tcW w:w="0" w:type="dxa"/>
            <w:vAlign w:val="bottom"/>
          </w:tcPr>
          <w:p>
            <w:pPr>
              <w:spacing w:after="0"/>
              <w:rPr>
                <w:sz w:val="1"/>
                <w:szCs w:val="1"/>
                <w:color w:val="auto"/>
              </w:rPr>
            </w:pPr>
          </w:p>
        </w:tc>
      </w:tr>
    </w:tbl>
    <w:p>
      <w:pPr>
        <w:spacing w:after="0" w:line="3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12. WARRANTIES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reconciles the changes in the Company’s product warranty reserve for the nine months ended September 30, 2023 and 2022:</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00" w:type="dxa"/>
            <w:vAlign w:val="bottom"/>
            <w:gridSpan w:val="3"/>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360" w:type="dxa"/>
            <w:vAlign w:val="bottom"/>
          </w:tcPr>
          <w:p>
            <w:pPr>
              <w:spacing w:after="0"/>
              <w:rPr>
                <w:sz w:val="14"/>
                <w:szCs w:val="14"/>
                <w:color w:val="auto"/>
              </w:rPr>
            </w:pPr>
          </w:p>
        </w:tc>
        <w:tc>
          <w:tcPr>
            <w:tcW w:w="1160" w:type="dxa"/>
            <w:vAlign w:val="bottom"/>
          </w:tcPr>
          <w:p>
            <w:pPr>
              <w:jc w:val="right"/>
              <w:ind w:right="537"/>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jc w:val="right"/>
              <w:ind w:right="537"/>
              <w:spacing w:after="0"/>
              <w:rPr>
                <w:sz w:val="20"/>
                <w:szCs w:val="20"/>
                <w:color w:val="auto"/>
              </w:rPr>
            </w:pPr>
            <w:r>
              <w:rPr>
                <w:rFonts w:ascii="Arial" w:cs="Arial" w:eastAsia="Arial" w:hAnsi="Arial"/>
                <w:sz w:val="14"/>
                <w:szCs w:val="14"/>
                <w:b w:val="1"/>
                <w:bCs w:val="1"/>
                <w:color w:val="auto"/>
              </w:rPr>
              <w:t>2022</w:t>
            </w:r>
          </w:p>
        </w:tc>
      </w:tr>
      <w:tr>
        <w:trPr>
          <w:trHeight w:val="32"/>
        </w:trPr>
        <w:tc>
          <w:tcPr>
            <w:tcW w:w="20" w:type="dxa"/>
            <w:vAlign w:val="bottom"/>
            <w:tcBorders>
              <w:bottom w:val="single" w:sz="8" w:color="CCEEFF"/>
            </w:tcBorders>
          </w:tcPr>
          <w:p>
            <w:pPr>
              <w:spacing w:after="0"/>
              <w:rPr>
                <w:sz w:val="2"/>
                <w:szCs w:val="2"/>
                <w:color w:val="auto"/>
              </w:rPr>
            </w:pPr>
          </w:p>
        </w:tc>
        <w:tc>
          <w:tcPr>
            <w:tcW w:w="620" w:type="dxa"/>
            <w:vAlign w:val="bottom"/>
            <w:tcBorders>
              <w:top w:val="single" w:sz="8" w:color="auto"/>
              <w:bottom w:val="single" w:sz="8" w:color="CCEEFF"/>
            </w:tcBorders>
          </w:tcPr>
          <w:p>
            <w:pPr>
              <w:spacing w:after="0"/>
              <w:rPr>
                <w:sz w:val="2"/>
                <w:szCs w:val="2"/>
                <w:color w:val="auto"/>
              </w:rPr>
            </w:pPr>
          </w:p>
        </w:tc>
        <w:tc>
          <w:tcPr>
            <w:tcW w:w="74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12"/>
        </w:trPr>
        <w:tc>
          <w:tcPr>
            <w:tcW w:w="810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Balance at beginning of year</w:t>
            </w:r>
          </w:p>
        </w:tc>
        <w:tc>
          <w:tcPr>
            <w:tcW w:w="36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259</w:t>
            </w:r>
          </w:p>
        </w:tc>
      </w:tr>
      <w:tr>
        <w:trPr>
          <w:trHeight w:val="218"/>
        </w:trPr>
        <w:tc>
          <w:tcPr>
            <w:tcW w:w="8100" w:type="dxa"/>
            <w:vAlign w:val="bottom"/>
            <w:gridSpan w:val="3"/>
          </w:tcPr>
          <w:p>
            <w:pPr>
              <w:ind w:left="20"/>
              <w:spacing w:after="0"/>
              <w:rPr>
                <w:sz w:val="20"/>
                <w:szCs w:val="20"/>
                <w:color w:val="auto"/>
              </w:rPr>
            </w:pPr>
            <w:r>
              <w:rPr>
                <w:rFonts w:ascii="Arial" w:cs="Arial" w:eastAsia="Arial" w:hAnsi="Arial"/>
                <w:sz w:val="17"/>
                <w:szCs w:val="17"/>
                <w:color w:val="auto"/>
              </w:rPr>
              <w:t>Warranty expense</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76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55</w:t>
            </w:r>
          </w:p>
        </w:tc>
      </w:tr>
      <w:tr>
        <w:trPr>
          <w:trHeight w:val="220"/>
        </w:trPr>
        <w:tc>
          <w:tcPr>
            <w:tcW w:w="810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Warranty claim payments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w:t>
            </w:r>
          </w:p>
        </w:tc>
      </w:tr>
      <w:tr>
        <w:trPr>
          <w:trHeight w:val="218"/>
        </w:trPr>
        <w:tc>
          <w:tcPr>
            <w:tcW w:w="8100" w:type="dxa"/>
            <w:vAlign w:val="bottom"/>
            <w:gridSpan w:val="3"/>
          </w:tcPr>
          <w:p>
            <w:pPr>
              <w:ind w:left="20"/>
              <w:spacing w:after="0"/>
              <w:rPr>
                <w:sz w:val="20"/>
                <w:szCs w:val="20"/>
                <w:color w:val="auto"/>
              </w:rPr>
            </w:pPr>
            <w:r>
              <w:rPr>
                <w:rFonts w:ascii="Arial" w:cs="Arial" w:eastAsia="Arial" w:hAnsi="Arial"/>
                <w:sz w:val="17"/>
                <w:szCs w:val="17"/>
                <w:color w:val="auto"/>
              </w:rPr>
              <w:t>Acquisitions</w:t>
            </w:r>
          </w:p>
        </w:tc>
        <w:tc>
          <w:tcPr>
            <w:tcW w:w="36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3</w:t>
            </w:r>
          </w:p>
        </w:tc>
      </w:tr>
      <w:tr>
        <w:trPr>
          <w:trHeight w:val="219"/>
        </w:trPr>
        <w:tc>
          <w:tcPr>
            <w:tcW w:w="810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Foreign currency impact/other</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w:t>
            </w:r>
          </w:p>
        </w:tc>
      </w:tr>
      <w:tr>
        <w:trPr>
          <w:trHeight w:val="213"/>
        </w:trPr>
        <w:tc>
          <w:tcPr>
            <w:tcW w:w="8100" w:type="dxa"/>
            <w:vAlign w:val="bottom"/>
            <w:gridSpan w:val="3"/>
          </w:tcPr>
          <w:p>
            <w:pPr>
              <w:ind w:left="20"/>
              <w:spacing w:after="0"/>
              <w:rPr>
                <w:sz w:val="20"/>
                <w:szCs w:val="20"/>
                <w:color w:val="auto"/>
              </w:rPr>
            </w:pPr>
            <w:r>
              <w:rPr>
                <w:rFonts w:ascii="Arial" w:cs="Arial" w:eastAsia="Arial" w:hAnsi="Arial"/>
                <w:sz w:val="17"/>
                <w:szCs w:val="17"/>
                <w:color w:val="auto"/>
              </w:rPr>
              <w:t>Balance at September 30</w:t>
            </w:r>
          </w:p>
        </w:tc>
        <w:tc>
          <w:tcPr>
            <w:tcW w:w="36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247</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236</w:t>
            </w:r>
          </w:p>
        </w:tc>
      </w:tr>
      <w:tr>
        <w:trPr>
          <w:trHeight w:val="20"/>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13. FAIR VALUE MEASUREMENT AND DERIVATIVE INSTRUMENTS</w:t>
      </w:r>
    </w:p>
    <w:p>
      <w:pPr>
        <w:spacing w:after="0" w:line="120" w:lineRule="exact"/>
        <w:rPr>
          <w:sz w:val="20"/>
          <w:szCs w:val="20"/>
          <w:color w:val="auto"/>
        </w:rPr>
      </w:pPr>
    </w:p>
    <w:p>
      <w:pPr>
        <w:ind w:right="200" w:firstLine="464"/>
        <w:spacing w:after="0" w:line="262" w:lineRule="auto"/>
        <w:rPr>
          <w:sz w:val="20"/>
          <w:szCs w:val="20"/>
          <w:color w:val="auto"/>
        </w:rPr>
      </w:pPr>
      <w:r>
        <w:rPr>
          <w:rFonts w:ascii="Arial" w:cs="Arial" w:eastAsia="Arial" w:hAnsi="Arial"/>
          <w:sz w:val="17"/>
          <w:szCs w:val="17"/>
          <w:color w:val="auto"/>
        </w:rPr>
        <w:t>ASC 820 “Fair Value Measurements and Disclosures” defines fair value, establishes a framework for measuring fair value and explains the related disclosure requirements. ASC 820 indicates, among other things, that a fair value measurement assumes that the transaction to sell an asset or transfer a liability occurs in the principal market for the asset or liability or, in the absence of a principal market, the most advantageous market for the asset or liability and defines fair value based upon an exit price model.</w:t>
      </w:r>
    </w:p>
    <w:p>
      <w:pPr>
        <w:spacing w:after="0" w:line="69" w:lineRule="exact"/>
        <w:rPr>
          <w:sz w:val="20"/>
          <w:szCs w:val="20"/>
          <w:color w:val="auto"/>
        </w:rPr>
      </w:pPr>
    </w:p>
    <w:p>
      <w:pPr>
        <w:ind w:right="80" w:firstLine="464"/>
        <w:spacing w:after="0" w:line="260" w:lineRule="auto"/>
        <w:rPr>
          <w:sz w:val="20"/>
          <w:szCs w:val="20"/>
          <w:color w:val="auto"/>
        </w:rPr>
      </w:pPr>
      <w:r>
        <w:rPr>
          <w:rFonts w:ascii="Arial" w:cs="Arial" w:eastAsia="Arial" w:hAnsi="Arial"/>
          <w:sz w:val="17"/>
          <w:szCs w:val="17"/>
          <w:b w:val="1"/>
          <w:bCs w:val="1"/>
          <w:color w:val="auto"/>
        </w:rPr>
        <w:t xml:space="preserve">Valuation Hierarchy. </w:t>
      </w:r>
      <w:r>
        <w:rPr>
          <w:rFonts w:ascii="Arial" w:cs="Arial" w:eastAsia="Arial" w:hAnsi="Arial"/>
          <w:sz w:val="17"/>
          <w:szCs w:val="17"/>
          <w:color w:val="auto"/>
        </w:rPr>
        <w:t>ASC 820 establishes a valuation hierarchy for disclosure of the inputs to valuation used to measure fair value. This hierarchy</w:t>
      </w:r>
      <w:r>
        <w:rPr>
          <w:rFonts w:ascii="Arial" w:cs="Arial" w:eastAsia="Arial" w:hAnsi="Arial"/>
          <w:sz w:val="17"/>
          <w:szCs w:val="17"/>
          <w:b w:val="1"/>
          <w:bCs w:val="1"/>
          <w:color w:val="auto"/>
        </w:rPr>
        <w:t xml:space="preserve"> </w:t>
      </w:r>
      <w:r>
        <w:rPr>
          <w:rFonts w:ascii="Arial" w:cs="Arial" w:eastAsia="Arial" w:hAnsi="Arial"/>
          <w:sz w:val="17"/>
          <w:szCs w:val="17"/>
          <w:color w:val="auto"/>
        </w:rPr>
        <w:t>prioritizes the inputs into three broad levels as follows. Level 1 inputs are quoted prices (unadjusted) in active markets for identical assets or liabilities. Level 2 inputs are quoted prices for similar assets and liabilities in active markets or inputs that are observable for the asset or liability, either directly or indirectly through market corroboration, for substantially the full term of the financial instrument. Level 3 inputs are unobservable inputs based on the Company’s assumptions used to measure assets and liabilities at fair value. A financial asset or liability’s classification within the hierarchy is determined based on the lowest level input that is significant to the fair value measurement.</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27" w:right="339" w:bottom="1440" w:gutter="0" w:footer="0" w:header="0"/>
        </w:sectPr>
      </w:pPr>
    </w:p>
    <w:bookmarkStart w:id="19" w:name="page20"/>
    <w:bookmarkEnd w:id="19"/>
    <w:p>
      <w:pPr>
        <w:ind w:left="460"/>
        <w:spacing w:after="0"/>
        <w:rPr>
          <w:sz w:val="20"/>
          <w:szCs w:val="20"/>
          <w:color w:val="auto"/>
        </w:rPr>
      </w:pPr>
      <w:r>
        <w:rPr>
          <w:rFonts w:ascii="Arial" w:cs="Arial" w:eastAsia="Arial" w:hAnsi="Arial"/>
          <w:sz w:val="15"/>
          <w:szCs w:val="15"/>
          <w:color w:val="auto"/>
        </w:rPr>
        <w:t>The Company’s cash, cash equivalents and restricted cash are highly liquid investments purchased with an original maturity of three months or less and are</w:t>
      </w:r>
    </w:p>
    <w:p>
      <w:pPr>
        <w:spacing w:after="0" w:line="45" w:lineRule="exact"/>
        <w:rPr>
          <w:sz w:val="20"/>
          <w:szCs w:val="20"/>
          <w:color w:val="auto"/>
        </w:rPr>
      </w:pPr>
    </w:p>
    <w:p>
      <w:pPr>
        <w:spacing w:after="0"/>
        <w:rPr>
          <w:sz w:val="20"/>
          <w:szCs w:val="20"/>
          <w:color w:val="auto"/>
        </w:rPr>
      </w:pPr>
      <w:r>
        <w:rPr>
          <w:rFonts w:ascii="Arial" w:cs="Arial" w:eastAsia="Arial" w:hAnsi="Arial"/>
          <w:sz w:val="16"/>
          <w:szCs w:val="16"/>
          <w:color w:val="auto"/>
        </w:rPr>
        <w:t>considered Level 1 on the fair value valuation hierarchy. The fair value of cash, cash equivalents and restricted cash approximated the carrying value at</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September 30, 2023 and December 31, 2022. The Senior Notes are considered Level 2 based on the fair value valuation hierarchy. Contingent consideration</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related to the GE Transportation acquisition is considered Level 3 based on the fair value valuation hierarchy. At September 30, 2023 and December 31, 2022,</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$105 million was classified as "Other accrued liabilities" on the Company's Condensed Consolidated Balance Sheets and $49 million and $47 million, respectively,</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was included within long-term liabilities classified as "Contingent consideration" on the Company's Condensed Consolidated Balance Sheets. The fair value</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approximates the carrying value at September 30, 2023 and December 31, 2022.</w:t>
      </w:r>
    </w:p>
    <w:p>
      <w:pPr>
        <w:spacing w:after="0" w:line="103" w:lineRule="exact"/>
        <w:rPr>
          <w:sz w:val="20"/>
          <w:szCs w:val="20"/>
          <w:color w:val="auto"/>
        </w:rPr>
      </w:pPr>
    </w:p>
    <w:p>
      <w:pPr>
        <w:ind w:right="40" w:firstLine="464"/>
        <w:spacing w:after="0" w:line="279" w:lineRule="auto"/>
        <w:rPr>
          <w:sz w:val="20"/>
          <w:szCs w:val="20"/>
          <w:color w:val="auto"/>
        </w:rPr>
      </w:pPr>
      <w:r>
        <w:rPr>
          <w:rFonts w:ascii="Arial" w:cs="Arial" w:eastAsia="Arial" w:hAnsi="Arial"/>
          <w:sz w:val="16"/>
          <w:szCs w:val="16"/>
          <w:b w:val="1"/>
          <w:bCs w:val="1"/>
          <w:i w:val="1"/>
          <w:iCs w:val="1"/>
          <w:color w:val="auto"/>
        </w:rPr>
        <w:t xml:space="preserve">Hedging Activities </w:t>
      </w:r>
      <w:r>
        <w:rPr>
          <w:rFonts w:ascii="Arial" w:cs="Arial" w:eastAsia="Arial" w:hAnsi="Arial"/>
          <w:sz w:val="16"/>
          <w:szCs w:val="16"/>
          <w:color w:val="auto"/>
        </w:rPr>
        <w:t>In the normal course of business, the Company is exposed to market risk related to interest rates, commodity prices and foreign currency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exchange rate fluctuations, which may adversely affect our operating results and financial position. At times, we limit these risks through the use of derivatives such as cross-currency swaps, foreign currency forward contracts, interest rate swaps, commodity swaps and options. These hedging contracts are valued using broker quotations, or market transactions in either the listed or over-the-counter markets. As such, these derivative instruments are classified within level 2. In accordance with our policy, derivatives are only used for hedging purposes. We do not use derivatives for trading or speculative purposes.</w:t>
      </w:r>
    </w:p>
    <w:p>
      <w:pPr>
        <w:spacing w:after="0" w:line="6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Foreign Currency Exchange Risk</w:t>
      </w:r>
    </w:p>
    <w:p>
      <w:pPr>
        <w:spacing w:after="0" w:line="114" w:lineRule="exact"/>
        <w:rPr>
          <w:sz w:val="20"/>
          <w:szCs w:val="20"/>
          <w:color w:val="auto"/>
        </w:rPr>
      </w:pPr>
    </w:p>
    <w:p>
      <w:pPr>
        <w:ind w:right="20" w:firstLine="464"/>
        <w:spacing w:after="0" w:line="302" w:lineRule="auto"/>
        <w:rPr>
          <w:sz w:val="20"/>
          <w:szCs w:val="20"/>
          <w:color w:val="auto"/>
        </w:rPr>
      </w:pPr>
      <w:r>
        <w:rPr>
          <w:rFonts w:ascii="Arial" w:cs="Arial" w:eastAsia="Arial" w:hAnsi="Arial"/>
          <w:sz w:val="15"/>
          <w:szCs w:val="15"/>
          <w:color w:val="auto"/>
        </w:rPr>
        <w:t>The Company uses forward contracts to hedge forecasted foreign currency denominated sales of finished goods and future settlement of foreign currency denominated assets and liabilities. Derivatives used to hedge firm commitments relevant to sales and purchases and forecasted transactions to be realized with high probability that meet the criteria for hedge accounting are designated as cash flow hedges. The effective portion of gains and losses is deferred as a component of Accumulated other comprehensive loss and is recognized in earnings at the time the hedged item affects earnings, in the same line item as the underlying hedged item. For the three and nine months ended September 30, 2023 and 2022, the amounts reclassified into income were not material.</w:t>
      </w:r>
    </w:p>
    <w:p>
      <w:pPr>
        <w:spacing w:after="0" w:line="49" w:lineRule="exact"/>
        <w:rPr>
          <w:sz w:val="20"/>
          <w:szCs w:val="20"/>
          <w:color w:val="auto"/>
        </w:rPr>
      </w:pPr>
    </w:p>
    <w:p>
      <w:pPr>
        <w:ind w:firstLine="464"/>
        <w:spacing w:after="0" w:line="257" w:lineRule="auto"/>
        <w:rPr>
          <w:sz w:val="20"/>
          <w:szCs w:val="20"/>
          <w:color w:val="auto"/>
        </w:rPr>
      </w:pPr>
      <w:r>
        <w:rPr>
          <w:rFonts w:ascii="Arial" w:cs="Arial" w:eastAsia="Arial" w:hAnsi="Arial"/>
          <w:sz w:val="17"/>
          <w:szCs w:val="17"/>
          <w:color w:val="auto"/>
        </w:rPr>
        <w:t>The Company has also established balance sheet risk management and net investment hedging programs to protect its balance sheet against foreign currency exchange rate volatility. We conduct our business worldwide in U.S. dollars and the functional currencies of our foreign subsidiaries, including euro, Indian rupee, British pound sterling, Australian dollars and several other foreign currencies. Changes in these foreign currency exchange rates could have a material adverse impact on our financial results that are reported in U.S. dollars. We are also exposed to foreign currency exchange rate risk related to our foreign subsidiaries, including intercompany loans denominated in non-functional currencies. We hedge these exposures using foreign currency swap contracts and cross-currency swaps to offset the potential income statement effects on intercompany loans denominated in non-functional currencies. These programs reduce but do not eliminate foreign currency exchange rate risk entirely.</w:t>
      </w:r>
    </w:p>
    <w:p>
      <w:pPr>
        <w:spacing w:after="0" w:line="82" w:lineRule="exact"/>
        <w:rPr>
          <w:sz w:val="20"/>
          <w:szCs w:val="20"/>
          <w:color w:val="auto"/>
        </w:rPr>
      </w:pPr>
    </w:p>
    <w:p>
      <w:pPr>
        <w:ind w:right="40" w:firstLine="464"/>
        <w:spacing w:after="0" w:line="259" w:lineRule="auto"/>
        <w:rPr>
          <w:sz w:val="20"/>
          <w:szCs w:val="20"/>
          <w:color w:val="auto"/>
        </w:rPr>
      </w:pPr>
      <w:r>
        <w:rPr>
          <w:rFonts w:ascii="Arial" w:cs="Arial" w:eastAsia="Arial" w:hAnsi="Arial"/>
          <w:sz w:val="17"/>
          <w:szCs w:val="17"/>
          <w:color w:val="auto"/>
        </w:rPr>
        <w:t>The Company enters into certain derivative contracts in accordance with its risk management strategy that do not meet the criteria for hedge accounting, but which have the impact of largely mitigating foreign currency exposure. These foreign exchange contracts are accounted for on a full mark to market basis through earnings, with gains and losses recorded as a component of Other income, net. The net gain related to these contracts was $9 million and $11 million for the three and nine months ended September 30, 2023, and the net loss related to these contracts was $3 million and $11 million for the three and nine months ended September 30, 2022, respectively. These contracts typically mature within one year.</w:t>
      </w:r>
    </w:p>
    <w:p>
      <w:pPr>
        <w:spacing w:after="0" w:line="80" w:lineRule="exact"/>
        <w:rPr>
          <w:sz w:val="20"/>
          <w:szCs w:val="20"/>
          <w:color w:val="auto"/>
        </w:rPr>
      </w:pPr>
    </w:p>
    <w:p>
      <w:pPr>
        <w:ind w:right="100" w:firstLine="464"/>
        <w:spacing w:after="0" w:line="266" w:lineRule="auto"/>
        <w:rPr>
          <w:sz w:val="20"/>
          <w:szCs w:val="20"/>
          <w:color w:val="auto"/>
        </w:rPr>
      </w:pPr>
      <w:r>
        <w:rPr>
          <w:rFonts w:ascii="Arial" w:cs="Arial" w:eastAsia="Arial" w:hAnsi="Arial"/>
          <w:sz w:val="17"/>
          <w:szCs w:val="17"/>
          <w:color w:val="auto"/>
        </w:rPr>
        <w:t>The following table summarizes the assets, liabilities, gross notional amounts, fair values, and fair value hierarchy classification of the designated and non-designated hedges discussed in the above sections as of September 30, 2023, which are included in other current assets and liabilities on the Condensed Consolidated Balance Sheets: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0" w:type="dxa"/>
            <w:vAlign w:val="bottom"/>
            <w:gridSpan w:val="5"/>
          </w:tcPr>
          <w:p>
            <w:pPr>
              <w:ind w:left="980"/>
              <w:spacing w:after="0"/>
              <w:rPr>
                <w:sz w:val="20"/>
                <w:szCs w:val="20"/>
                <w:color w:val="auto"/>
              </w:rPr>
            </w:pPr>
            <w:r>
              <w:rPr>
                <w:rFonts w:ascii="Arial" w:cs="Arial" w:eastAsia="Arial" w:hAnsi="Arial"/>
                <w:sz w:val="15"/>
                <w:szCs w:val="15"/>
                <w:b w:val="1"/>
                <w:bCs w:val="1"/>
                <w:color w:val="auto"/>
              </w:rPr>
              <w:t>Fair Value</w:t>
            </w:r>
          </w:p>
        </w:tc>
        <w:tc>
          <w:tcPr>
            <w:tcW w:w="260" w:type="dxa"/>
            <w:vAlign w:val="bottom"/>
          </w:tcPr>
          <w:p>
            <w:pPr>
              <w:spacing w:after="0"/>
              <w:rPr>
                <w:sz w:val="17"/>
                <w:szCs w:val="17"/>
                <w:color w:val="auto"/>
              </w:rPr>
            </w:pPr>
          </w:p>
        </w:tc>
        <w:tc>
          <w:tcPr>
            <w:tcW w:w="3080" w:type="dxa"/>
            <w:vAlign w:val="bottom"/>
            <w:gridSpan w:val="5"/>
          </w:tcPr>
          <w:p>
            <w:pPr>
              <w:ind w:left="540"/>
              <w:spacing w:after="0"/>
              <w:rPr>
                <w:sz w:val="20"/>
                <w:szCs w:val="20"/>
                <w:color w:val="auto"/>
              </w:rPr>
            </w:pPr>
            <w:r>
              <w:rPr>
                <w:rFonts w:ascii="Arial" w:cs="Arial" w:eastAsia="Arial" w:hAnsi="Arial"/>
                <w:sz w:val="15"/>
                <w:szCs w:val="15"/>
                <w:b w:val="1"/>
                <w:bCs w:val="1"/>
                <w:color w:val="auto"/>
              </w:rPr>
              <w:t>Gross Notional Amount</w:t>
            </w:r>
          </w:p>
        </w:tc>
      </w:tr>
      <w:tr>
        <w:trPr>
          <w:trHeight w:val="153"/>
        </w:trPr>
        <w:tc>
          <w:tcPr>
            <w:tcW w:w="3040" w:type="dxa"/>
            <w:vAlign w:val="bottom"/>
            <w:gridSpan w:val="3"/>
          </w:tcPr>
          <w:p>
            <w:pPr>
              <w:ind w:left="20"/>
              <w:spacing w:after="0" w:line="135" w:lineRule="exact"/>
              <w:rPr>
                <w:sz w:val="20"/>
                <w:szCs w:val="20"/>
                <w:color w:val="auto"/>
              </w:rPr>
            </w:pPr>
            <w:r>
              <w:rPr>
                <w:rFonts w:ascii="Arial" w:cs="Arial" w:eastAsia="Arial" w:hAnsi="Arial"/>
                <w:sz w:val="14"/>
                <w:szCs w:val="14"/>
                <w:b w:val="1"/>
                <w:bCs w:val="1"/>
                <w:i w:val="1"/>
                <w:iCs w:val="1"/>
                <w:color w:val="auto"/>
              </w:rPr>
              <w:t>In millions</w:t>
            </w:r>
          </w:p>
        </w:tc>
        <w:tc>
          <w:tcPr>
            <w:tcW w:w="1620" w:type="dxa"/>
            <w:vAlign w:val="bottom"/>
            <w:gridSpan w:val="2"/>
          </w:tcPr>
          <w:p>
            <w:pPr>
              <w:jc w:val="center"/>
              <w:ind w:right="100"/>
              <w:spacing w:after="0" w:line="133" w:lineRule="exact"/>
              <w:rPr>
                <w:sz w:val="20"/>
                <w:szCs w:val="20"/>
                <w:color w:val="auto"/>
              </w:rPr>
            </w:pPr>
            <w:r>
              <w:rPr>
                <w:rFonts w:ascii="Arial" w:cs="Arial" w:eastAsia="Arial" w:hAnsi="Arial"/>
                <w:sz w:val="15"/>
                <w:szCs w:val="15"/>
                <w:b w:val="1"/>
                <w:bCs w:val="1"/>
                <w:color w:val="auto"/>
                <w:w w:val="93"/>
              </w:rPr>
              <w:t>Level</w:t>
            </w:r>
          </w:p>
        </w:tc>
        <w:tc>
          <w:tcPr>
            <w:tcW w:w="24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gridSpan w:val="2"/>
          </w:tcPr>
          <w:p>
            <w:pPr>
              <w:ind w:left="160"/>
              <w:spacing w:after="0" w:line="135" w:lineRule="exact"/>
              <w:rPr>
                <w:sz w:val="20"/>
                <w:szCs w:val="20"/>
                <w:color w:val="auto"/>
              </w:rPr>
            </w:pPr>
            <w:r>
              <w:rPr>
                <w:rFonts w:ascii="Arial" w:cs="Arial" w:eastAsia="Arial" w:hAnsi="Arial"/>
                <w:sz w:val="15"/>
                <w:szCs w:val="15"/>
                <w:b w:val="1"/>
                <w:bCs w:val="1"/>
                <w:color w:val="auto"/>
              </w:rPr>
              <w:t>Designated</w:t>
            </w:r>
          </w:p>
        </w:tc>
        <w:tc>
          <w:tcPr>
            <w:tcW w:w="16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tcPr>
          <w:p>
            <w:pPr>
              <w:jc w:val="right"/>
              <w:ind w:right="136"/>
              <w:spacing w:after="0" w:line="135" w:lineRule="exact"/>
              <w:rPr>
                <w:sz w:val="20"/>
                <w:szCs w:val="20"/>
                <w:color w:val="auto"/>
              </w:rPr>
            </w:pPr>
            <w:r>
              <w:rPr>
                <w:rFonts w:ascii="Arial" w:cs="Arial" w:eastAsia="Arial" w:hAnsi="Arial"/>
                <w:sz w:val="15"/>
                <w:szCs w:val="15"/>
                <w:b w:val="1"/>
                <w:bCs w:val="1"/>
                <w:color w:val="auto"/>
                <w:w w:val="97"/>
              </w:rPr>
              <w:t>Non-Designated</w:t>
            </w:r>
          </w:p>
        </w:tc>
        <w:tc>
          <w:tcPr>
            <w:tcW w:w="10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gridSpan w:val="2"/>
          </w:tcPr>
          <w:p>
            <w:pPr>
              <w:ind w:left="140"/>
              <w:spacing w:after="0" w:line="135" w:lineRule="exact"/>
              <w:rPr>
                <w:sz w:val="20"/>
                <w:szCs w:val="20"/>
                <w:color w:val="auto"/>
              </w:rPr>
            </w:pPr>
            <w:r>
              <w:rPr>
                <w:rFonts w:ascii="Arial" w:cs="Arial" w:eastAsia="Arial" w:hAnsi="Arial"/>
                <w:sz w:val="15"/>
                <w:szCs w:val="15"/>
                <w:b w:val="1"/>
                <w:bCs w:val="1"/>
                <w:color w:val="auto"/>
              </w:rPr>
              <w:t>Designated</w:t>
            </w:r>
          </w:p>
        </w:tc>
        <w:tc>
          <w:tcPr>
            <w:tcW w:w="16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tcPr>
          <w:p>
            <w:pPr>
              <w:jc w:val="right"/>
              <w:ind w:right="156"/>
              <w:spacing w:after="0" w:line="135" w:lineRule="exact"/>
              <w:rPr>
                <w:sz w:val="20"/>
                <w:szCs w:val="20"/>
                <w:color w:val="auto"/>
              </w:rPr>
            </w:pPr>
            <w:r>
              <w:rPr>
                <w:rFonts w:ascii="Arial" w:cs="Arial" w:eastAsia="Arial" w:hAnsi="Arial"/>
                <w:sz w:val="15"/>
                <w:szCs w:val="15"/>
                <w:b w:val="1"/>
                <w:bCs w:val="1"/>
                <w:color w:val="auto"/>
                <w:w w:val="97"/>
              </w:rPr>
              <w:t>Non-Designated</w:t>
            </w:r>
          </w:p>
        </w:tc>
        <w:tc>
          <w:tcPr>
            <w:tcW w:w="180" w:type="dxa"/>
            <w:vAlign w:val="bottom"/>
          </w:tcPr>
          <w:p>
            <w:pPr>
              <w:spacing w:after="0"/>
              <w:rPr>
                <w:sz w:val="13"/>
                <w:szCs w:val="13"/>
                <w:color w:val="auto"/>
              </w:rPr>
            </w:pPr>
          </w:p>
        </w:tc>
      </w:tr>
      <w:tr>
        <w:trPr>
          <w:trHeight w:val="32"/>
        </w:trPr>
        <w:tc>
          <w:tcPr>
            <w:tcW w:w="20" w:type="dxa"/>
            <w:vAlign w:val="bottom"/>
            <w:tcBorders>
              <w:bottom w:val="single" w:sz="8" w:color="CCEEFF"/>
            </w:tcBorders>
          </w:tcPr>
          <w:p>
            <w:pPr>
              <w:spacing w:after="0"/>
              <w:rPr>
                <w:sz w:val="2"/>
                <w:szCs w:val="2"/>
                <w:color w:val="auto"/>
              </w:rPr>
            </w:pPr>
          </w:p>
        </w:tc>
        <w:tc>
          <w:tcPr>
            <w:tcW w:w="620" w:type="dxa"/>
            <w:vAlign w:val="bottom"/>
            <w:tcBorders>
              <w:top w:val="single" w:sz="8" w:color="auto"/>
              <w:bottom w:val="single" w:sz="8" w:color="CCEEFF"/>
            </w:tcBorders>
          </w:tcPr>
          <w:p>
            <w:pPr>
              <w:spacing w:after="0"/>
              <w:rPr>
                <w:sz w:val="2"/>
                <w:szCs w:val="2"/>
                <w:color w:val="auto"/>
              </w:rPr>
            </w:pPr>
          </w:p>
        </w:tc>
        <w:tc>
          <w:tcPr>
            <w:tcW w:w="24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r>
      <w:tr>
        <w:trPr>
          <w:trHeight w:val="199"/>
        </w:trPr>
        <w:tc>
          <w:tcPr>
            <w:tcW w:w="304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Foreign Exchange Contracts</w:t>
            </w:r>
          </w:p>
        </w:tc>
        <w:tc>
          <w:tcPr>
            <w:tcW w:w="1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80" w:type="dxa"/>
            <w:vAlign w:val="bottom"/>
          </w:tcPr>
          <w:p>
            <w:pPr>
              <w:spacing w:after="0"/>
              <w:rPr>
                <w:sz w:val="17"/>
                <w:szCs w:val="17"/>
                <w:color w:val="auto"/>
              </w:rPr>
            </w:pPr>
          </w:p>
        </w:tc>
      </w:tr>
      <w:tr>
        <w:trPr>
          <w:trHeight w:val="218"/>
        </w:trPr>
        <w:tc>
          <w:tcPr>
            <w:tcW w:w="20" w:type="dxa"/>
            <w:vAlign w:val="bottom"/>
          </w:tcPr>
          <w:p>
            <w:pPr>
              <w:spacing w:after="0"/>
              <w:rPr>
                <w:sz w:val="18"/>
                <w:szCs w:val="18"/>
                <w:color w:val="auto"/>
              </w:rPr>
            </w:pPr>
          </w:p>
        </w:tc>
        <w:tc>
          <w:tcPr>
            <w:tcW w:w="3020" w:type="dxa"/>
            <w:vAlign w:val="bottom"/>
            <w:gridSpan w:val="2"/>
          </w:tcPr>
          <w:p>
            <w:pPr>
              <w:ind w:left="100"/>
              <w:spacing w:after="0"/>
              <w:rPr>
                <w:sz w:val="20"/>
                <w:szCs w:val="20"/>
                <w:color w:val="auto"/>
              </w:rPr>
            </w:pPr>
            <w:r>
              <w:rPr>
                <w:rFonts w:ascii="Arial" w:cs="Arial" w:eastAsia="Arial" w:hAnsi="Arial"/>
                <w:sz w:val="17"/>
                <w:szCs w:val="17"/>
                <w:color w:val="auto"/>
              </w:rPr>
              <w:t>Other current assets</w:t>
            </w:r>
          </w:p>
        </w:tc>
        <w:tc>
          <w:tcPr>
            <w:tcW w:w="1520" w:type="dxa"/>
            <w:vAlign w:val="bottom"/>
          </w:tcPr>
          <w:p>
            <w:pPr>
              <w:jc w:val="center"/>
              <w:spacing w:after="0"/>
              <w:rPr>
                <w:sz w:val="20"/>
                <w:szCs w:val="20"/>
                <w:color w:val="auto"/>
              </w:rPr>
            </w:pPr>
            <w:r>
              <w:rPr>
                <w:rFonts w:ascii="Arial" w:cs="Arial" w:eastAsia="Arial" w:hAnsi="Arial"/>
                <w:sz w:val="17"/>
                <w:szCs w:val="17"/>
                <w:color w:val="auto"/>
                <w:w w:val="84"/>
              </w:rPr>
              <w:t>2</w:t>
            </w:r>
          </w:p>
        </w:tc>
        <w:tc>
          <w:tcPr>
            <w:tcW w:w="100" w:type="dxa"/>
            <w:vAlign w:val="bottom"/>
          </w:tcPr>
          <w:p>
            <w:pPr>
              <w:spacing w:after="0"/>
              <w:rPr>
                <w:sz w:val="18"/>
                <w:szCs w:val="18"/>
                <w:color w:val="auto"/>
              </w:rPr>
            </w:pP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1280" w:type="dxa"/>
            <w:vAlign w:val="bottom"/>
          </w:tcPr>
          <w:p>
            <w:pPr>
              <w:ind w:left="1040"/>
              <w:spacing w:after="0"/>
              <w:rPr>
                <w:sz w:val="20"/>
                <w:szCs w:val="20"/>
                <w:color w:val="auto"/>
              </w:rPr>
            </w:pPr>
            <w:r>
              <w:rPr>
                <w:rFonts w:ascii="Arial" w:cs="Arial" w:eastAsia="Arial" w:hAnsi="Arial"/>
                <w:sz w:val="17"/>
                <w:szCs w:val="17"/>
                <w:color w:val="auto"/>
              </w:rPr>
              <w:t>18</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60" w:type="dxa"/>
            <w:vAlign w:val="bottom"/>
          </w:tcPr>
          <w:p>
            <w:pPr>
              <w:jc w:val="right"/>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18"/>
                <w:szCs w:val="18"/>
                <w:color w:val="auto"/>
              </w:rPr>
            </w:pP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586</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tcPr>
          <w:p>
            <w:pPr>
              <w:jc w:val="right"/>
              <w:spacing w:after="0"/>
              <w:rPr>
                <w:sz w:val="20"/>
                <w:szCs w:val="20"/>
                <w:color w:val="auto"/>
              </w:rPr>
            </w:pPr>
            <w:r>
              <w:rPr>
                <w:rFonts w:ascii="Arial" w:cs="Arial" w:eastAsia="Arial" w:hAnsi="Arial"/>
                <w:sz w:val="17"/>
                <w:szCs w:val="17"/>
                <w:color w:val="auto"/>
              </w:rPr>
              <w:t>124</w:t>
            </w:r>
          </w:p>
        </w:tc>
        <w:tc>
          <w:tcPr>
            <w:tcW w:w="180" w:type="dxa"/>
            <w:vAlign w:val="bottom"/>
          </w:tcPr>
          <w:p>
            <w:pPr>
              <w:spacing w:after="0"/>
              <w:rPr>
                <w:sz w:val="18"/>
                <w:szCs w:val="18"/>
                <w:color w:val="auto"/>
              </w:rPr>
            </w:pPr>
          </w:p>
        </w:tc>
      </w:tr>
      <w:tr>
        <w:trPr>
          <w:trHeight w:val="220"/>
        </w:trPr>
        <w:tc>
          <w:tcPr>
            <w:tcW w:w="20" w:type="dxa"/>
            <w:vAlign w:val="bottom"/>
            <w:shd w:val="clear" w:color="auto" w:fill="CCEEFF"/>
          </w:tcPr>
          <w:p>
            <w:pPr>
              <w:spacing w:after="0"/>
              <w:rPr>
                <w:sz w:val="19"/>
                <w:szCs w:val="19"/>
                <w:color w:val="auto"/>
              </w:rPr>
            </w:pPr>
          </w:p>
        </w:tc>
        <w:tc>
          <w:tcPr>
            <w:tcW w:w="302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Other current liabilities</w:t>
            </w:r>
          </w:p>
        </w:tc>
        <w:tc>
          <w:tcPr>
            <w:tcW w:w="15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ind w:left="1060"/>
              <w:spacing w:after="0"/>
              <w:rPr>
                <w:sz w:val="20"/>
                <w:szCs w:val="20"/>
                <w:color w:val="auto"/>
              </w:rPr>
            </w:pPr>
            <w:r>
              <w:rPr>
                <w:rFonts w:ascii="Arial" w:cs="Arial" w:eastAsia="Arial" w:hAnsi="Arial"/>
                <w:sz w:val="17"/>
                <w:szCs w:val="17"/>
                <w:color w:val="auto"/>
                <w:w w:val="96"/>
              </w:rPr>
              <w:t>(8)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132</w:t>
            </w:r>
          </w:p>
        </w:tc>
        <w:tc>
          <w:tcPr>
            <w:tcW w:w="180" w:type="dxa"/>
            <w:vAlign w:val="bottom"/>
          </w:tcPr>
          <w:p>
            <w:pPr>
              <w:spacing w:after="0"/>
              <w:rPr>
                <w:sz w:val="19"/>
                <w:szCs w:val="19"/>
                <w:color w:val="auto"/>
              </w:rPr>
            </w:pPr>
          </w:p>
        </w:tc>
      </w:tr>
      <w:tr>
        <w:trPr>
          <w:trHeight w:val="218"/>
        </w:trPr>
        <w:tc>
          <w:tcPr>
            <w:tcW w:w="3040" w:type="dxa"/>
            <w:vAlign w:val="bottom"/>
            <w:gridSpan w:val="3"/>
          </w:tcPr>
          <w:p>
            <w:pPr>
              <w:ind w:left="20"/>
              <w:spacing w:after="0"/>
              <w:rPr>
                <w:sz w:val="20"/>
                <w:szCs w:val="20"/>
                <w:color w:val="auto"/>
              </w:rPr>
            </w:pPr>
            <w:r>
              <w:rPr>
                <w:rFonts w:ascii="Arial" w:cs="Arial" w:eastAsia="Arial" w:hAnsi="Arial"/>
                <w:sz w:val="17"/>
                <w:szCs w:val="17"/>
                <w:color w:val="auto"/>
              </w:rPr>
              <w:t>Interest Rate Contracts</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302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Other current assets</w:t>
            </w:r>
          </w:p>
        </w:tc>
        <w:tc>
          <w:tcPr>
            <w:tcW w:w="15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ind w:left="1040"/>
              <w:spacing w:after="0"/>
              <w:rPr>
                <w:sz w:val="20"/>
                <w:szCs w:val="20"/>
                <w:color w:val="auto"/>
              </w:rPr>
            </w:pPr>
            <w:r>
              <w:rPr>
                <w:rFonts w:ascii="Arial" w:cs="Arial" w:eastAsia="Arial" w:hAnsi="Arial"/>
                <w:sz w:val="17"/>
                <w:szCs w:val="17"/>
                <w:color w:val="auto"/>
              </w:rPr>
              <w:t>23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r>
      <w:tr>
        <w:trPr>
          <w:trHeight w:val="213"/>
        </w:trPr>
        <w:tc>
          <w:tcPr>
            <w:tcW w:w="3040" w:type="dxa"/>
            <w:vAlign w:val="bottom"/>
            <w:gridSpan w:val="3"/>
          </w:tcPr>
          <w:p>
            <w:pPr>
              <w:ind w:left="20"/>
              <w:spacing w:after="0"/>
              <w:rPr>
                <w:sz w:val="20"/>
                <w:szCs w:val="20"/>
                <w:color w:val="auto"/>
              </w:rPr>
            </w:pPr>
            <w:r>
              <w:rPr>
                <w:rFonts w:ascii="Arial" w:cs="Arial" w:eastAsia="Arial" w:hAnsi="Arial"/>
                <w:sz w:val="17"/>
                <w:szCs w:val="17"/>
                <w:color w:val="auto"/>
              </w:rPr>
              <w:t>Total</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7"/>
                <w:szCs w:val="17"/>
                <w:color w:val="auto"/>
                <w:w w:val="84"/>
              </w:rPr>
              <w:t>$</w:t>
            </w:r>
          </w:p>
        </w:tc>
        <w:tc>
          <w:tcPr>
            <w:tcW w:w="1280" w:type="dxa"/>
            <w:vAlign w:val="bottom"/>
            <w:tcBorders>
              <w:top w:val="single" w:sz="8" w:color="auto"/>
              <w:bottom w:val="single" w:sz="8" w:color="auto"/>
            </w:tcBorders>
          </w:tcPr>
          <w:p>
            <w:pPr>
              <w:ind w:left="1040"/>
              <w:spacing w:after="0"/>
              <w:rPr>
                <w:sz w:val="20"/>
                <w:szCs w:val="20"/>
                <w:color w:val="auto"/>
              </w:rPr>
            </w:pPr>
            <w:r>
              <w:rPr>
                <w:rFonts w:ascii="Arial" w:cs="Arial" w:eastAsia="Arial" w:hAnsi="Arial"/>
                <w:sz w:val="17"/>
                <w:szCs w:val="17"/>
                <w:color w:val="auto"/>
              </w:rPr>
              <w:t>33</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7"/>
                <w:szCs w:val="17"/>
                <w:color w:val="auto"/>
                <w:w w:val="84"/>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1,149</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256</w:t>
            </w:r>
          </w:p>
        </w:tc>
        <w:tc>
          <w:tcPr>
            <w:tcW w:w="1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854"/>
        </w:trPr>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ind w:left="640"/>
              <w:spacing w:after="0"/>
              <w:rPr>
                <w:sz w:val="20"/>
                <w:szCs w:val="20"/>
                <w:color w:val="auto"/>
              </w:rPr>
            </w:pPr>
            <w:r>
              <w:rPr>
                <w:rFonts w:ascii="Arial" w:cs="Arial" w:eastAsia="Arial" w:hAnsi="Arial"/>
                <w:sz w:val="17"/>
                <w:szCs w:val="17"/>
                <w:color w:val="auto"/>
              </w:rPr>
              <w:t>20</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10"/>
        </w:trPr>
        <w:tc>
          <w:tcPr>
            <w:tcW w:w="2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2400" w:type="dxa"/>
            <w:vAlign w:val="bottom"/>
            <w:tcBorders>
              <w:bottom w:val="single" w:sz="8" w:color="9A9A9A"/>
            </w:tcBorders>
          </w:tcPr>
          <w:p>
            <w:pPr>
              <w:spacing w:after="0"/>
              <w:rPr>
                <w:sz w:val="9"/>
                <w:szCs w:val="9"/>
                <w:color w:val="auto"/>
              </w:rPr>
            </w:pPr>
          </w:p>
        </w:tc>
        <w:tc>
          <w:tcPr>
            <w:tcW w:w="15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2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3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004" w:right="339" w:bottom="1440" w:gutter="0" w:footer="0" w:header="0"/>
        </w:sectPr>
      </w:pPr>
    </w:p>
    <w:bookmarkStart w:id="20" w:name="page21"/>
    <w:bookmarkEnd w:id="20"/>
    <w:p>
      <w:pPr>
        <w:ind w:right="100" w:firstLine="464"/>
        <w:spacing w:after="0" w:line="266" w:lineRule="auto"/>
        <w:rPr>
          <w:sz w:val="20"/>
          <w:szCs w:val="20"/>
          <w:color w:val="auto"/>
        </w:rPr>
      </w:pPr>
      <w:r>
        <w:rPr>
          <w:rFonts w:ascii="Arial" w:cs="Arial" w:eastAsia="Arial" w:hAnsi="Arial"/>
          <w:sz w:val="17"/>
          <w:szCs w:val="17"/>
          <w:color w:val="auto"/>
        </w:rPr>
        <w:t>The following table summarizes the assets, liabilities, gross notional amounts, fair values, and fair value hierarchy classification of the designated and non-designated hedges discussed in the above sections as of December 31, 2022, which are included in other current assets and liabilities on the Condensed Consolidated Balance Sheets: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980" w:type="dxa"/>
            <w:vAlign w:val="bottom"/>
            <w:gridSpan w:val="5"/>
          </w:tcPr>
          <w:p>
            <w:pPr>
              <w:ind w:left="980"/>
              <w:spacing w:after="0"/>
              <w:rPr>
                <w:sz w:val="20"/>
                <w:szCs w:val="20"/>
                <w:color w:val="auto"/>
              </w:rPr>
            </w:pPr>
            <w:r>
              <w:rPr>
                <w:rFonts w:ascii="Arial" w:cs="Arial" w:eastAsia="Arial" w:hAnsi="Arial"/>
                <w:sz w:val="15"/>
                <w:szCs w:val="15"/>
                <w:b w:val="1"/>
                <w:bCs w:val="1"/>
                <w:color w:val="auto"/>
              </w:rPr>
              <w:t>Fair Value</w:t>
            </w:r>
          </w:p>
        </w:tc>
        <w:tc>
          <w:tcPr>
            <w:tcW w:w="240" w:type="dxa"/>
            <w:vAlign w:val="bottom"/>
          </w:tcPr>
          <w:p>
            <w:pPr>
              <w:spacing w:after="0"/>
              <w:rPr>
                <w:sz w:val="17"/>
                <w:szCs w:val="17"/>
                <w:color w:val="auto"/>
              </w:rPr>
            </w:pPr>
          </w:p>
        </w:tc>
        <w:tc>
          <w:tcPr>
            <w:tcW w:w="2900" w:type="dxa"/>
            <w:vAlign w:val="bottom"/>
            <w:gridSpan w:val="4"/>
          </w:tcPr>
          <w:p>
            <w:pPr>
              <w:jc w:val="right"/>
              <w:ind w:right="696"/>
              <w:spacing w:after="0"/>
              <w:rPr>
                <w:sz w:val="20"/>
                <w:szCs w:val="20"/>
                <w:color w:val="auto"/>
              </w:rPr>
            </w:pPr>
            <w:r>
              <w:rPr>
                <w:rFonts w:ascii="Arial" w:cs="Arial" w:eastAsia="Arial" w:hAnsi="Arial"/>
                <w:sz w:val="15"/>
                <w:szCs w:val="15"/>
                <w:b w:val="1"/>
                <w:bCs w:val="1"/>
                <w:color w:val="auto"/>
              </w:rPr>
              <w:t>Gross Notional Amount</w:t>
            </w:r>
          </w:p>
        </w:tc>
      </w:tr>
      <w:tr>
        <w:trPr>
          <w:trHeight w:val="153"/>
        </w:trPr>
        <w:tc>
          <w:tcPr>
            <w:tcW w:w="3040" w:type="dxa"/>
            <w:vAlign w:val="bottom"/>
            <w:gridSpan w:val="3"/>
          </w:tcPr>
          <w:p>
            <w:pPr>
              <w:ind w:left="20"/>
              <w:spacing w:after="0" w:line="135" w:lineRule="exact"/>
              <w:rPr>
                <w:sz w:val="20"/>
                <w:szCs w:val="20"/>
                <w:color w:val="auto"/>
              </w:rPr>
            </w:pPr>
            <w:r>
              <w:rPr>
                <w:rFonts w:ascii="Arial" w:cs="Arial" w:eastAsia="Arial" w:hAnsi="Arial"/>
                <w:sz w:val="14"/>
                <w:szCs w:val="14"/>
                <w:b w:val="1"/>
                <w:bCs w:val="1"/>
                <w:i w:val="1"/>
                <w:iCs w:val="1"/>
                <w:color w:val="auto"/>
              </w:rPr>
              <w:t>In millions</w:t>
            </w:r>
          </w:p>
        </w:tc>
        <w:tc>
          <w:tcPr>
            <w:tcW w:w="1620" w:type="dxa"/>
            <w:vAlign w:val="bottom"/>
            <w:gridSpan w:val="2"/>
          </w:tcPr>
          <w:p>
            <w:pPr>
              <w:jc w:val="center"/>
              <w:ind w:right="100"/>
              <w:spacing w:after="0" w:line="133" w:lineRule="exact"/>
              <w:rPr>
                <w:sz w:val="20"/>
                <w:szCs w:val="20"/>
                <w:color w:val="auto"/>
              </w:rPr>
            </w:pPr>
            <w:r>
              <w:rPr>
                <w:rFonts w:ascii="Arial" w:cs="Arial" w:eastAsia="Arial" w:hAnsi="Arial"/>
                <w:sz w:val="15"/>
                <w:szCs w:val="15"/>
                <w:b w:val="1"/>
                <w:bCs w:val="1"/>
                <w:color w:val="auto"/>
                <w:w w:val="93"/>
              </w:rPr>
              <w:t>Level</w:t>
            </w:r>
          </w:p>
        </w:tc>
        <w:tc>
          <w:tcPr>
            <w:tcW w:w="24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gridSpan w:val="2"/>
          </w:tcPr>
          <w:p>
            <w:pPr>
              <w:ind w:left="160"/>
              <w:spacing w:after="0" w:line="135" w:lineRule="exact"/>
              <w:rPr>
                <w:sz w:val="20"/>
                <w:szCs w:val="20"/>
                <w:color w:val="auto"/>
              </w:rPr>
            </w:pPr>
            <w:r>
              <w:rPr>
                <w:rFonts w:ascii="Arial" w:cs="Arial" w:eastAsia="Arial" w:hAnsi="Arial"/>
                <w:sz w:val="15"/>
                <w:szCs w:val="15"/>
                <w:b w:val="1"/>
                <w:bCs w:val="1"/>
                <w:color w:val="auto"/>
              </w:rPr>
              <w:t>Designated</w:t>
            </w:r>
          </w:p>
        </w:tc>
        <w:tc>
          <w:tcPr>
            <w:tcW w:w="18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tcPr>
          <w:p>
            <w:pPr>
              <w:jc w:val="right"/>
              <w:ind w:right="136"/>
              <w:spacing w:after="0" w:line="135" w:lineRule="exact"/>
              <w:rPr>
                <w:sz w:val="20"/>
                <w:szCs w:val="20"/>
                <w:color w:val="auto"/>
              </w:rPr>
            </w:pPr>
            <w:r>
              <w:rPr>
                <w:rFonts w:ascii="Arial" w:cs="Arial" w:eastAsia="Arial" w:hAnsi="Arial"/>
                <w:sz w:val="15"/>
                <w:szCs w:val="15"/>
                <w:b w:val="1"/>
                <w:bCs w:val="1"/>
                <w:color w:val="auto"/>
                <w:w w:val="95"/>
              </w:rPr>
              <w:t>Non-Designated</w:t>
            </w:r>
          </w:p>
        </w:tc>
        <w:tc>
          <w:tcPr>
            <w:tcW w:w="1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gridSpan w:val="2"/>
          </w:tcPr>
          <w:p>
            <w:pPr>
              <w:ind w:left="160"/>
              <w:spacing w:after="0" w:line="135" w:lineRule="exact"/>
              <w:rPr>
                <w:sz w:val="20"/>
                <w:szCs w:val="20"/>
                <w:color w:val="auto"/>
              </w:rPr>
            </w:pPr>
            <w:r>
              <w:rPr>
                <w:rFonts w:ascii="Arial" w:cs="Arial" w:eastAsia="Arial" w:hAnsi="Arial"/>
                <w:sz w:val="15"/>
                <w:szCs w:val="15"/>
                <w:b w:val="1"/>
                <w:bCs w:val="1"/>
                <w:color w:val="auto"/>
              </w:rPr>
              <w:t>Designated</w:t>
            </w:r>
          </w:p>
        </w:tc>
        <w:tc>
          <w:tcPr>
            <w:tcW w:w="16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tcPr>
          <w:p>
            <w:pPr>
              <w:jc w:val="right"/>
              <w:ind w:right="156"/>
              <w:spacing w:after="0" w:line="135" w:lineRule="exact"/>
              <w:rPr>
                <w:sz w:val="20"/>
                <w:szCs w:val="20"/>
                <w:color w:val="auto"/>
              </w:rPr>
            </w:pPr>
            <w:r>
              <w:rPr>
                <w:rFonts w:ascii="Arial" w:cs="Arial" w:eastAsia="Arial" w:hAnsi="Arial"/>
                <w:sz w:val="15"/>
                <w:szCs w:val="15"/>
                <w:b w:val="1"/>
                <w:bCs w:val="1"/>
                <w:color w:val="auto"/>
                <w:w w:val="95"/>
              </w:rPr>
              <w:t>Non-Designated</w:t>
            </w:r>
          </w:p>
        </w:tc>
      </w:tr>
      <w:tr>
        <w:trPr>
          <w:trHeight w:val="32"/>
        </w:trPr>
        <w:tc>
          <w:tcPr>
            <w:tcW w:w="20" w:type="dxa"/>
            <w:vAlign w:val="bottom"/>
            <w:tcBorders>
              <w:bottom w:val="single" w:sz="8" w:color="CCEEFF"/>
            </w:tcBorders>
          </w:tcPr>
          <w:p>
            <w:pPr>
              <w:spacing w:after="0"/>
              <w:rPr>
                <w:sz w:val="2"/>
                <w:szCs w:val="2"/>
                <w:color w:val="auto"/>
              </w:rPr>
            </w:pPr>
          </w:p>
        </w:tc>
        <w:tc>
          <w:tcPr>
            <w:tcW w:w="620" w:type="dxa"/>
            <w:vAlign w:val="bottom"/>
            <w:tcBorders>
              <w:top w:val="single" w:sz="8" w:color="auto"/>
              <w:bottom w:val="single" w:sz="8" w:color="CCEEFF"/>
            </w:tcBorders>
          </w:tcPr>
          <w:p>
            <w:pPr>
              <w:spacing w:after="0"/>
              <w:rPr>
                <w:sz w:val="2"/>
                <w:szCs w:val="2"/>
                <w:color w:val="auto"/>
              </w:rPr>
            </w:pPr>
          </w:p>
        </w:tc>
        <w:tc>
          <w:tcPr>
            <w:tcW w:w="24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199"/>
        </w:trPr>
        <w:tc>
          <w:tcPr>
            <w:tcW w:w="304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Foreign Exchange Contracts</w:t>
            </w:r>
          </w:p>
        </w:tc>
        <w:tc>
          <w:tcPr>
            <w:tcW w:w="1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r>
      <w:tr>
        <w:trPr>
          <w:trHeight w:val="218"/>
        </w:trPr>
        <w:tc>
          <w:tcPr>
            <w:tcW w:w="20" w:type="dxa"/>
            <w:vAlign w:val="bottom"/>
          </w:tcPr>
          <w:p>
            <w:pPr>
              <w:spacing w:after="0"/>
              <w:rPr>
                <w:sz w:val="18"/>
                <w:szCs w:val="18"/>
                <w:color w:val="auto"/>
              </w:rPr>
            </w:pPr>
          </w:p>
        </w:tc>
        <w:tc>
          <w:tcPr>
            <w:tcW w:w="3020" w:type="dxa"/>
            <w:vAlign w:val="bottom"/>
            <w:gridSpan w:val="2"/>
          </w:tcPr>
          <w:p>
            <w:pPr>
              <w:ind w:left="100"/>
              <w:spacing w:after="0"/>
              <w:rPr>
                <w:sz w:val="20"/>
                <w:szCs w:val="20"/>
                <w:color w:val="auto"/>
              </w:rPr>
            </w:pPr>
            <w:r>
              <w:rPr>
                <w:rFonts w:ascii="Arial" w:cs="Arial" w:eastAsia="Arial" w:hAnsi="Arial"/>
                <w:sz w:val="17"/>
                <w:szCs w:val="17"/>
                <w:color w:val="auto"/>
              </w:rPr>
              <w:t>Other current assets</w:t>
            </w:r>
          </w:p>
        </w:tc>
        <w:tc>
          <w:tcPr>
            <w:tcW w:w="1520" w:type="dxa"/>
            <w:vAlign w:val="bottom"/>
          </w:tcPr>
          <w:p>
            <w:pPr>
              <w:jc w:val="center"/>
              <w:spacing w:after="0"/>
              <w:rPr>
                <w:sz w:val="20"/>
                <w:szCs w:val="20"/>
                <w:color w:val="auto"/>
              </w:rPr>
            </w:pPr>
            <w:r>
              <w:rPr>
                <w:rFonts w:ascii="Arial" w:cs="Arial" w:eastAsia="Arial" w:hAnsi="Arial"/>
                <w:sz w:val="17"/>
                <w:szCs w:val="17"/>
                <w:color w:val="auto"/>
                <w:w w:val="84"/>
              </w:rPr>
              <w:t>2</w:t>
            </w:r>
          </w:p>
        </w:tc>
        <w:tc>
          <w:tcPr>
            <w:tcW w:w="100" w:type="dxa"/>
            <w:vAlign w:val="bottom"/>
          </w:tcPr>
          <w:p>
            <w:pPr>
              <w:spacing w:after="0"/>
              <w:rPr>
                <w:sz w:val="18"/>
                <w:szCs w:val="18"/>
                <w:color w:val="auto"/>
              </w:rPr>
            </w:pP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8</w:t>
            </w:r>
          </w:p>
        </w:tc>
        <w:tc>
          <w:tcPr>
            <w:tcW w:w="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3</w:t>
            </w:r>
          </w:p>
        </w:tc>
        <w:tc>
          <w:tcPr>
            <w:tcW w:w="100" w:type="dxa"/>
            <w:vAlign w:val="bottom"/>
          </w:tcPr>
          <w:p>
            <w:pPr>
              <w:spacing w:after="0"/>
              <w:rPr>
                <w:sz w:val="18"/>
                <w:szCs w:val="18"/>
                <w:color w:val="auto"/>
              </w:rPr>
            </w:pP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278</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60" w:type="dxa"/>
            <w:vAlign w:val="bottom"/>
          </w:tcPr>
          <w:p>
            <w:pPr>
              <w:jc w:val="right"/>
              <w:spacing w:after="0"/>
              <w:rPr>
                <w:sz w:val="20"/>
                <w:szCs w:val="20"/>
                <w:color w:val="auto"/>
              </w:rPr>
            </w:pPr>
            <w:r>
              <w:rPr>
                <w:rFonts w:ascii="Arial" w:cs="Arial" w:eastAsia="Arial" w:hAnsi="Arial"/>
                <w:sz w:val="17"/>
                <w:szCs w:val="17"/>
                <w:color w:val="auto"/>
              </w:rPr>
              <w:t>156</w:t>
            </w:r>
          </w:p>
        </w:tc>
      </w:tr>
      <w:tr>
        <w:trPr>
          <w:trHeight w:val="219"/>
        </w:trPr>
        <w:tc>
          <w:tcPr>
            <w:tcW w:w="20" w:type="dxa"/>
            <w:vAlign w:val="bottom"/>
            <w:shd w:val="clear" w:color="auto" w:fill="CCEEFF"/>
          </w:tcPr>
          <w:p>
            <w:pPr>
              <w:spacing w:after="0"/>
              <w:rPr>
                <w:sz w:val="19"/>
                <w:szCs w:val="19"/>
                <w:color w:val="auto"/>
              </w:rPr>
            </w:pPr>
          </w:p>
        </w:tc>
        <w:tc>
          <w:tcPr>
            <w:tcW w:w="302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Other current liabilities</w:t>
            </w:r>
          </w:p>
        </w:tc>
        <w:tc>
          <w:tcPr>
            <w:tcW w:w="15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769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152</w:t>
            </w:r>
          </w:p>
        </w:tc>
      </w:tr>
      <w:tr>
        <w:trPr>
          <w:trHeight w:val="213"/>
        </w:trPr>
        <w:tc>
          <w:tcPr>
            <w:tcW w:w="3040" w:type="dxa"/>
            <w:vAlign w:val="bottom"/>
            <w:gridSpan w:val="3"/>
          </w:tcPr>
          <w:p>
            <w:pPr>
              <w:ind w:left="20"/>
              <w:spacing w:after="0"/>
              <w:rPr>
                <w:sz w:val="20"/>
                <w:szCs w:val="20"/>
                <w:color w:val="auto"/>
              </w:rPr>
            </w:pPr>
            <w:r>
              <w:rPr>
                <w:rFonts w:ascii="Arial" w:cs="Arial" w:eastAsia="Arial" w:hAnsi="Arial"/>
                <w:sz w:val="17"/>
                <w:szCs w:val="17"/>
                <w:color w:val="auto"/>
              </w:rPr>
              <w:t>Total</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(3)</w:t>
            </w:r>
          </w:p>
        </w:tc>
        <w:tc>
          <w:tcPr>
            <w:tcW w:w="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4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1,047</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60" w:type="dxa"/>
            <w:vAlign w:val="bottom"/>
          </w:tcPr>
          <w:p>
            <w:pPr>
              <w:jc w:val="right"/>
              <w:spacing w:after="0"/>
              <w:rPr>
                <w:sz w:val="20"/>
                <w:szCs w:val="20"/>
                <w:color w:val="auto"/>
              </w:rPr>
            </w:pPr>
            <w:r>
              <w:rPr>
                <w:rFonts w:ascii="Arial" w:cs="Arial" w:eastAsia="Arial" w:hAnsi="Arial"/>
                <w:sz w:val="17"/>
                <w:szCs w:val="17"/>
                <w:color w:val="auto"/>
              </w:rPr>
              <w:t>308</w:t>
            </w:r>
          </w:p>
        </w:tc>
      </w:tr>
      <w:tr>
        <w:trPr>
          <w:trHeight w:val="20"/>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Interest Rate Risk</w:t>
      </w:r>
    </w:p>
    <w:p>
      <w:pPr>
        <w:spacing w:after="0" w:line="114" w:lineRule="exact"/>
        <w:rPr>
          <w:sz w:val="20"/>
          <w:szCs w:val="20"/>
          <w:color w:val="auto"/>
        </w:rPr>
      </w:pPr>
    </w:p>
    <w:p>
      <w:pPr>
        <w:ind w:firstLine="464"/>
        <w:spacing w:after="0" w:line="304" w:lineRule="auto"/>
        <w:rPr>
          <w:sz w:val="20"/>
          <w:szCs w:val="20"/>
          <w:color w:val="auto"/>
        </w:rPr>
      </w:pPr>
      <w:r>
        <w:rPr>
          <w:rFonts w:ascii="Arial" w:cs="Arial" w:eastAsia="Arial" w:hAnsi="Arial"/>
          <w:sz w:val="15"/>
          <w:szCs w:val="15"/>
          <w:color w:val="auto"/>
        </w:rPr>
        <w:t>The Company may use interest rate hedge contracts on certain investing and borrowing transactions to manage its net exposure to interest rate changes and to manage its overall cost of borrowing. Accordingly, the Company has entered into interest rate hedges to manage interest rate risk for a portion of future expected debt transactions. The Company does not use leveraged swaps and, in general, does not leverage any of its investment activities that would put principal capital at</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risk. For the nine months ended September 30, 2023 and 2022 the amounts reclassified into income were not material.</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Commodity Price Risk</w:t>
      </w:r>
    </w:p>
    <w:p>
      <w:pPr>
        <w:spacing w:after="0" w:line="114" w:lineRule="exact"/>
        <w:rPr>
          <w:sz w:val="20"/>
          <w:szCs w:val="20"/>
          <w:color w:val="auto"/>
        </w:rPr>
      </w:pPr>
    </w:p>
    <w:p>
      <w:pPr>
        <w:ind w:right="140" w:firstLine="464"/>
        <w:spacing w:after="0" w:line="279" w:lineRule="auto"/>
        <w:rPr>
          <w:sz w:val="20"/>
          <w:szCs w:val="20"/>
          <w:color w:val="auto"/>
        </w:rPr>
      </w:pPr>
      <w:r>
        <w:rPr>
          <w:rFonts w:ascii="Arial" w:cs="Arial" w:eastAsia="Arial" w:hAnsi="Arial"/>
          <w:sz w:val="17"/>
          <w:szCs w:val="17"/>
          <w:color w:val="auto"/>
        </w:rPr>
        <w:t>The Company may use commodity forward swaps to manage its exposure to commodity price changes and to reduce its overall cost of manufacturing. For the nine months ended September 30, 2023 and 2022 the amounts recognized as income or expense were not material.</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14. COMMITMENTS AND CONTINGENCIES</w:t>
      </w:r>
    </w:p>
    <w:p>
      <w:pPr>
        <w:spacing w:after="0" w:line="120" w:lineRule="exact"/>
        <w:rPr>
          <w:sz w:val="20"/>
          <w:szCs w:val="20"/>
          <w:color w:val="auto"/>
        </w:rPr>
      </w:pPr>
    </w:p>
    <w:p>
      <w:pPr>
        <w:ind w:right="80" w:firstLine="464"/>
        <w:spacing w:after="0" w:line="283" w:lineRule="auto"/>
        <w:rPr>
          <w:sz w:val="20"/>
          <w:szCs w:val="20"/>
          <w:color w:val="auto"/>
        </w:rPr>
      </w:pPr>
      <w:r>
        <w:rPr>
          <w:rFonts w:ascii="Arial" w:cs="Arial" w:eastAsia="Arial" w:hAnsi="Arial"/>
          <w:sz w:val="16"/>
          <w:szCs w:val="16"/>
          <w:color w:val="auto"/>
        </w:rPr>
        <w:t>The Company is subject to a variety of environmental laws and regulations governing discharges to air and water, the handling, storage and disposal of hazardous or solid waste materials and the remediation of contamination associated with releases of hazardous substances. The Company believes its operations currently comply in all material respects with all of the various environmental laws and regulations applicable to our business; however, there can be no assurance that environmental requirements will not change in the future or that we will not incur significant costs to comply with such requirements.</w:t>
      </w:r>
    </w:p>
    <w:p>
      <w:pPr>
        <w:spacing w:after="0" w:line="60" w:lineRule="exact"/>
        <w:rPr>
          <w:sz w:val="20"/>
          <w:szCs w:val="20"/>
          <w:color w:val="auto"/>
        </w:rPr>
      </w:pPr>
    </w:p>
    <w:p>
      <w:pPr>
        <w:ind w:right="40" w:firstLine="464"/>
        <w:spacing w:after="0" w:line="257" w:lineRule="auto"/>
        <w:rPr>
          <w:sz w:val="20"/>
          <w:szCs w:val="20"/>
          <w:color w:val="auto"/>
        </w:rPr>
      </w:pPr>
      <w:r>
        <w:rPr>
          <w:rFonts w:ascii="Arial" w:cs="Arial" w:eastAsia="Arial" w:hAnsi="Arial"/>
          <w:sz w:val="17"/>
          <w:szCs w:val="17"/>
          <w:color w:val="auto"/>
        </w:rPr>
        <w:t>Claims have been filed against the Company and certain of its affiliates in various jurisdictions across the United States by persons alleging bodily injury as a result of exposure to asbestos-containing products. The vast majority of the claims are submitted to insurance carriers for defense and indemnity, or to non-affiliated companies that retain the liabilities for the asbestos-containing products at issue. We cannot, however, assure that all of these claims will be fully covered by insurance, or that the indemnitors or insurers will remain financially viable. Our ultimate legal and financial liability with respect to these claims, as is the case with other pending litigation, cannot be estimated. A limited number of claims are not covered by insurance, nor are they subject to indemnity from non-affiliated parties. Management believes that the costs of the Company’s asbestos-related cases will not be material to the Company’s overall financial position, results of operations and cash flows.</w:t>
      </w:r>
    </w:p>
    <w:p>
      <w:pPr>
        <w:spacing w:after="0" w:line="82" w:lineRule="exact"/>
        <w:rPr>
          <w:sz w:val="20"/>
          <w:szCs w:val="20"/>
          <w:color w:val="auto"/>
        </w:rPr>
      </w:pPr>
    </w:p>
    <w:p>
      <w:pPr>
        <w:ind w:firstLine="464"/>
        <w:spacing w:after="0" w:line="275" w:lineRule="auto"/>
        <w:rPr>
          <w:sz w:val="20"/>
          <w:szCs w:val="20"/>
          <w:color w:val="auto"/>
        </w:rPr>
      </w:pPr>
      <w:r>
        <w:rPr>
          <w:rFonts w:ascii="Arial" w:cs="Arial" w:eastAsia="Arial" w:hAnsi="Arial"/>
          <w:sz w:val="16"/>
          <w:szCs w:val="16"/>
          <w:color w:val="auto"/>
        </w:rPr>
        <w:t>During the third quarter of 2023, a competitor of the Company, Progress Rail (“Progress”), which is a Caterpillar Inc. company, sued the Company in Delaware federal court asserting antitrust, breach of contract, unfair competition law, and misrepresentation claims. The complaint challenges the Wabtec-GE Transportation merger and contends that since the merger, Wabtec has unlawfully monopolized the markets for long-haul freight locomotives, Tier IV long-haul freight locomotives, and energy management systems by, among other things, failing to ensure that Progress’ products are interoperable with Wabtec’s locomotives and cab electronics. The case is currently at an early stage. Progress seeks an order requiring Wabtec to divest GE Transportation, unspecified treble damages for its alleged lost profits from reduced sales of locomotive and cab systems, and attorneys’ fees and costs. It also asks the court to enjoin Wabtec from engaging in the conduct and require the Company to comply with its agreements with Progress. Wabtec intends to vigorously defend itself against this lawsuit and believes that it has meritorious defenses to the claims asserted by Progress.</w:t>
      </w:r>
    </w:p>
    <w:p>
      <w:pPr>
        <w:spacing w:after="0" w:line="67" w:lineRule="exact"/>
        <w:rPr>
          <w:sz w:val="20"/>
          <w:szCs w:val="20"/>
          <w:color w:val="auto"/>
        </w:rPr>
      </w:pPr>
    </w:p>
    <w:p>
      <w:pPr>
        <w:ind w:right="40" w:firstLine="464"/>
        <w:spacing w:after="0" w:line="257" w:lineRule="auto"/>
        <w:rPr>
          <w:sz w:val="20"/>
          <w:szCs w:val="20"/>
          <w:color w:val="auto"/>
        </w:rPr>
      </w:pPr>
      <w:r>
        <w:rPr>
          <w:rFonts w:ascii="Arial" w:cs="Arial" w:eastAsia="Arial" w:hAnsi="Arial"/>
          <w:sz w:val="17"/>
          <w:szCs w:val="17"/>
          <w:color w:val="auto"/>
        </w:rPr>
        <w:t>Xorail, Inc., a wholly owned subsidiary of the Company (“Xorail”), has received notices from Denver Transit Constructors (“DTC”) alleging breach of contract related to the operating of constant warning wireless crossings, and late delivery of the Train Management &amp; Dispatch System (“TMDS”) for the Denver Eagle P3 Project, which is owned by the Denver Regional Transit District ("RTD"). No damages have been asserted for the alleged late delivery of the TMDS, and no formal claim has been filed; Xorail has successfully completed a remediation plan concerning the TMDS issues. With regard to the wireless crossing issue, as of September 8, 2017, DTC alleged that total damages were $37 million through July 31, 2017 and were continuing to accumulate. The majority of the damages stems from a delay in approval of the wireless crossing system by the Federal Railway Administration ("FRA") and the Public Utility Commission ("PUC"), resulting in the use of flaggers at</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55" w:right="339" w:bottom="1440" w:gutter="0" w:footer="0" w:header="0"/>
        </w:sectPr>
      </w:pPr>
    </w:p>
    <w:bookmarkStart w:id="21" w:name="page22"/>
    <w:bookmarkEnd w:id="21"/>
    <w:p>
      <w:pPr>
        <w:spacing w:after="0" w:line="295" w:lineRule="auto"/>
        <w:rPr>
          <w:sz w:val="20"/>
          <w:szCs w:val="20"/>
          <w:color w:val="auto"/>
        </w:rPr>
      </w:pPr>
      <w:r>
        <w:rPr>
          <w:rFonts w:ascii="Arial" w:cs="Arial" w:eastAsia="Arial" w:hAnsi="Arial"/>
          <w:sz w:val="15"/>
          <w:szCs w:val="15"/>
          <w:color w:val="auto"/>
        </w:rPr>
        <w:t>all of the crossings pending approval of the wireless crossing system and certification of the crossings. DTC has alleged that the delay is due to Xorail's failure to achieve constant warning times for the crossings in accordance with the approval requirements imposed by the FRA and PUC. Xorail has denied DTC's assertions, stating that its system satisfied the contractual requirements. Xorail has worked with DTC to modify its system and implement the FRA's and PUC's previously undefined approval requirements; the FRA and PUC have both approved modified wireless crossing system, and as of August 2018, DTC completed the process of certifying the crossings and eliminated the use of flaggers. DTC has not updated its claim notices or alleged damages against Xorail, nor have they filed any formal claim against Xorail. On September 21, 2018, DTC filed a complaint against RTD in Colorado state court for breach of contract related to non-payments and the costs for the flaggers, asserting a change-in-law arising from the FRA/PUC’s new certification requirements. DTC's claim against RTD proceeded to trial on September 21, 2020. On February 10, 2023, the court issued a decision in favor of RTD, denying DTC's damages claim. DTC has filed a Notice of Appeal.</w:t>
      </w:r>
    </w:p>
    <w:p>
      <w:pPr>
        <w:spacing w:after="0" w:line="57" w:lineRule="exact"/>
        <w:rPr>
          <w:sz w:val="20"/>
          <w:szCs w:val="20"/>
          <w:color w:val="auto"/>
        </w:rPr>
      </w:pPr>
    </w:p>
    <w:p>
      <w:pPr>
        <w:ind w:right="240" w:firstLine="464"/>
        <w:spacing w:after="0" w:line="266" w:lineRule="auto"/>
        <w:rPr>
          <w:sz w:val="20"/>
          <w:szCs w:val="20"/>
          <w:color w:val="auto"/>
        </w:rPr>
      </w:pPr>
      <w:r>
        <w:rPr>
          <w:rFonts w:ascii="Arial" w:cs="Arial" w:eastAsia="Arial" w:hAnsi="Arial"/>
          <w:sz w:val="17"/>
          <w:szCs w:val="17"/>
          <w:color w:val="auto"/>
        </w:rPr>
        <w:t>From time to time the Company is involved in litigation relating to claims arising out of its operations in the ordinary course of business. As of the date hereof, the Company is involved in no litigation that the Company believes will have a material adverse effect on its financial condition, results of operations or liquidity.</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15. SEGMENT INFORMATION</w:t>
      </w:r>
    </w:p>
    <w:p>
      <w:pPr>
        <w:spacing w:after="0" w:line="120" w:lineRule="exact"/>
        <w:rPr>
          <w:sz w:val="20"/>
          <w:szCs w:val="20"/>
          <w:color w:val="auto"/>
        </w:rPr>
      </w:pPr>
    </w:p>
    <w:p>
      <w:pPr>
        <w:ind w:right="20" w:firstLine="464"/>
        <w:spacing w:after="0" w:line="266" w:lineRule="auto"/>
        <w:rPr>
          <w:sz w:val="20"/>
          <w:szCs w:val="20"/>
          <w:color w:val="auto"/>
        </w:rPr>
      </w:pPr>
      <w:r>
        <w:rPr>
          <w:rFonts w:ascii="Arial" w:cs="Arial" w:eastAsia="Arial" w:hAnsi="Arial"/>
          <w:sz w:val="17"/>
          <w:szCs w:val="17"/>
          <w:color w:val="auto"/>
        </w:rPr>
        <w:t>The Company has two reportable segments—the Freight Segment and the Transit Segment. The key factors used to identify these reportable segments are the organization and alignment of the Company’s internal operations, the nature of the products and services and customer type. The Company's business segments are:</w:t>
      </w:r>
    </w:p>
    <w:p>
      <w:pPr>
        <w:spacing w:after="0" w:line="66" w:lineRule="exact"/>
        <w:rPr>
          <w:sz w:val="20"/>
          <w:szCs w:val="20"/>
          <w:color w:val="auto"/>
        </w:rPr>
      </w:pPr>
    </w:p>
    <w:p>
      <w:pPr>
        <w:ind w:firstLine="464"/>
        <w:spacing w:after="0" w:line="258" w:lineRule="auto"/>
        <w:rPr>
          <w:sz w:val="20"/>
          <w:szCs w:val="20"/>
          <w:color w:val="auto"/>
        </w:rPr>
      </w:pPr>
      <w:r>
        <w:rPr>
          <w:rFonts w:ascii="Arial" w:cs="Arial" w:eastAsia="Arial" w:hAnsi="Arial"/>
          <w:sz w:val="17"/>
          <w:szCs w:val="17"/>
          <w:b w:val="1"/>
          <w:bCs w:val="1"/>
          <w:color w:val="auto"/>
        </w:rPr>
        <w:t xml:space="preserve">Freight Segment </w:t>
      </w:r>
      <w:r>
        <w:rPr>
          <w:rFonts w:ascii="Arial" w:cs="Arial" w:eastAsia="Arial" w:hAnsi="Arial"/>
          <w:sz w:val="17"/>
          <w:szCs w:val="17"/>
          <w:color w:val="auto"/>
        </w:rPr>
        <w:t>builds, rebuilds, upgrades, and overhauls locomotives, services locomotives and freight cars, and provides a range of component and</w:t>
      </w:r>
      <w:r>
        <w:rPr>
          <w:rFonts w:ascii="Arial" w:cs="Arial" w:eastAsia="Arial" w:hAnsi="Arial"/>
          <w:sz w:val="17"/>
          <w:szCs w:val="17"/>
          <w:b w:val="1"/>
          <w:bCs w:val="1"/>
          <w:color w:val="auto"/>
        </w:rPr>
        <w:t xml:space="preserve"> </w:t>
      </w:r>
      <w:r>
        <w:rPr>
          <w:rFonts w:ascii="Arial" w:cs="Arial" w:eastAsia="Arial" w:hAnsi="Arial"/>
          <w:sz w:val="17"/>
          <w:szCs w:val="17"/>
          <w:color w:val="auto"/>
        </w:rPr>
        <w:t>digital solutions for customers in the freight and transit rail, mining, and marine industries. It also manufactures and services components for new and existing freight cars and locomotives, supplies railway electronics, positive train control equipment, signal design and engineering services, maintenance of way, and provides heat exchange and cooling systems for locomotives and power generation equipment. Customers include large, publicly traded railroads, leasing companies, manufacturers of original equipment such as locomotives and freight cars, and utilities, and also serves companies in the mining, marine, and industrial markets. We refer to sales of both goods, such as spare parts and equipment upgrades, and related services, such as monitoring, maintenance and repairs, as sales in our Services product line.</w:t>
      </w:r>
    </w:p>
    <w:p>
      <w:pPr>
        <w:spacing w:after="0" w:line="76" w:lineRule="exact"/>
        <w:rPr>
          <w:sz w:val="20"/>
          <w:szCs w:val="20"/>
          <w:color w:val="auto"/>
        </w:rPr>
      </w:pPr>
    </w:p>
    <w:p>
      <w:pPr>
        <w:ind w:right="60" w:firstLine="464"/>
        <w:spacing w:after="0" w:line="264" w:lineRule="auto"/>
        <w:rPr>
          <w:sz w:val="20"/>
          <w:szCs w:val="20"/>
          <w:color w:val="auto"/>
        </w:rPr>
      </w:pPr>
      <w:r>
        <w:rPr>
          <w:rFonts w:ascii="Arial" w:cs="Arial" w:eastAsia="Arial" w:hAnsi="Arial"/>
          <w:sz w:val="17"/>
          <w:szCs w:val="17"/>
          <w:b w:val="1"/>
          <w:bCs w:val="1"/>
          <w:color w:val="auto"/>
        </w:rPr>
        <w:t xml:space="preserve">Transit Segment </w:t>
      </w:r>
      <w:r>
        <w:rPr>
          <w:rFonts w:ascii="Arial" w:cs="Arial" w:eastAsia="Arial" w:hAnsi="Arial"/>
          <w:sz w:val="17"/>
          <w:szCs w:val="17"/>
          <w:color w:val="auto"/>
        </w:rPr>
        <w:t>primarily manufactures and services components for new and existing passenger transit vehicles, typically regional trains, high speed</w:t>
      </w:r>
      <w:r>
        <w:rPr>
          <w:rFonts w:ascii="Arial" w:cs="Arial" w:eastAsia="Arial" w:hAnsi="Arial"/>
          <w:sz w:val="17"/>
          <w:szCs w:val="17"/>
          <w:b w:val="1"/>
          <w:bCs w:val="1"/>
          <w:color w:val="auto"/>
        </w:rPr>
        <w:t xml:space="preserve"> </w:t>
      </w:r>
      <w:r>
        <w:rPr>
          <w:rFonts w:ascii="Arial" w:cs="Arial" w:eastAsia="Arial" w:hAnsi="Arial"/>
          <w:sz w:val="17"/>
          <w:szCs w:val="17"/>
          <w:color w:val="auto"/>
        </w:rPr>
        <w:t>trains, subway cars, light-rail vehicles, and buses. It also refurbishes subway cars and provides heating, ventilation, and air conditioning equipment and doors for buses and subway cars. Customers include public transit authorities and municipalities, leasing companies and manufacturers of subway cars and buses around the world.</w:t>
      </w:r>
    </w:p>
    <w:p>
      <w:pPr>
        <w:spacing w:after="0" w:line="74" w:lineRule="exact"/>
        <w:rPr>
          <w:sz w:val="20"/>
          <w:szCs w:val="20"/>
          <w:color w:val="auto"/>
        </w:rPr>
      </w:pPr>
    </w:p>
    <w:p>
      <w:pPr>
        <w:ind w:right="260" w:firstLine="464"/>
        <w:spacing w:after="0" w:line="266" w:lineRule="auto"/>
        <w:rPr>
          <w:sz w:val="20"/>
          <w:szCs w:val="20"/>
          <w:color w:val="auto"/>
        </w:rPr>
      </w:pPr>
      <w:r>
        <w:rPr>
          <w:rFonts w:ascii="Arial" w:cs="Arial" w:eastAsia="Arial" w:hAnsi="Arial"/>
          <w:sz w:val="17"/>
          <w:szCs w:val="17"/>
          <w:color w:val="auto"/>
        </w:rPr>
        <w:t>The Company evaluates its business segments’ operating results based on income from operations. Intersegment sales are accounted for at prices that are generally established by reference to similar transactions with unaffiliated customers. Corporate activities include general corporate expenses, elimination of intersegment transactions, interest income and expense, and other unallocated charges.</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Segment financial information for the three months ended September 30, 2023 is as follows: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20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Freight</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vMerge w:val="restart"/>
          </w:tcPr>
          <w:p>
            <w:pPr>
              <w:jc w:val="right"/>
              <w:ind w:right="37"/>
              <w:spacing w:after="0"/>
              <w:rPr>
                <w:sz w:val="20"/>
                <w:szCs w:val="20"/>
                <w:color w:val="auto"/>
              </w:rPr>
            </w:pPr>
            <w:r>
              <w:rPr>
                <w:rFonts w:ascii="Arial" w:cs="Arial" w:eastAsia="Arial" w:hAnsi="Arial"/>
                <w:sz w:val="15"/>
                <w:szCs w:val="15"/>
                <w:b w:val="1"/>
                <w:bCs w:val="1"/>
                <w:color w:val="auto"/>
              </w:rPr>
              <w:t>Transit</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5"/>
                <w:szCs w:val="15"/>
                <w:b w:val="1"/>
                <w:bCs w:val="1"/>
                <w:color w:val="auto"/>
                <w:w w:val="97"/>
              </w:rPr>
              <w:t>Corporate</w:t>
            </w:r>
          </w:p>
        </w:tc>
        <w:tc>
          <w:tcPr>
            <w:tcW w:w="3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200" w:type="dxa"/>
            <w:vAlign w:val="bottom"/>
          </w:tcPr>
          <w:p>
            <w:pPr>
              <w:spacing w:after="0"/>
              <w:rPr>
                <w:sz w:val="13"/>
                <w:szCs w:val="13"/>
                <w:color w:val="auto"/>
              </w:rPr>
            </w:pPr>
          </w:p>
        </w:tc>
        <w:tc>
          <w:tcPr>
            <w:tcW w:w="1060" w:type="dxa"/>
            <w:vAlign w:val="bottom"/>
            <w:vMerge w:val="continue"/>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20" w:type="dxa"/>
            <w:vAlign w:val="bottom"/>
            <w:gridSpan w:val="2"/>
          </w:tcPr>
          <w:p>
            <w:pPr>
              <w:jc w:val="center"/>
              <w:ind w:right="320"/>
              <w:spacing w:after="0" w:line="155" w:lineRule="exact"/>
              <w:rPr>
                <w:sz w:val="20"/>
                <w:szCs w:val="20"/>
                <w:color w:val="auto"/>
              </w:rPr>
            </w:pPr>
            <w:r>
              <w:rPr>
                <w:rFonts w:ascii="Arial" w:cs="Arial" w:eastAsia="Arial" w:hAnsi="Arial"/>
                <w:sz w:val="15"/>
                <w:szCs w:val="15"/>
                <w:b w:val="1"/>
                <w:bCs w:val="1"/>
                <w:color w:val="auto"/>
                <w:w w:val="92"/>
              </w:rPr>
              <w:t>Activities and</w:t>
            </w:r>
          </w:p>
        </w:tc>
        <w:tc>
          <w:tcPr>
            <w:tcW w:w="340" w:type="dxa"/>
            <w:vAlign w:val="bottom"/>
          </w:tcPr>
          <w:p>
            <w:pPr>
              <w:spacing w:after="0"/>
              <w:rPr>
                <w:sz w:val="13"/>
                <w:szCs w:val="13"/>
                <w:color w:val="auto"/>
              </w:rPr>
            </w:pPr>
          </w:p>
        </w:tc>
        <w:tc>
          <w:tcPr>
            <w:tcW w:w="1180" w:type="dxa"/>
            <w:vAlign w:val="bottom"/>
            <w:vMerge w:val="restart"/>
          </w:tcPr>
          <w:p>
            <w:pPr>
              <w:jc w:val="right"/>
              <w:ind w:right="515"/>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155"/>
        </w:trPr>
        <w:tc>
          <w:tcPr>
            <w:tcW w:w="4840" w:type="dxa"/>
            <w:vAlign w:val="bottom"/>
            <w:gridSpan w:val="3"/>
          </w:tcPr>
          <w:p>
            <w:pPr>
              <w:ind w:left="20"/>
              <w:spacing w:after="0" w:line="135" w:lineRule="exact"/>
              <w:rPr>
                <w:sz w:val="20"/>
                <w:szCs w:val="20"/>
                <w:color w:val="auto"/>
              </w:rPr>
            </w:pPr>
            <w:r>
              <w:rPr>
                <w:rFonts w:ascii="Arial" w:cs="Arial" w:eastAsia="Arial" w:hAnsi="Arial"/>
                <w:sz w:val="14"/>
                <w:szCs w:val="14"/>
                <w:b w:val="1"/>
                <w:bCs w:val="1"/>
                <w:i w:val="1"/>
                <w:iCs w:val="1"/>
                <w:color w:val="auto"/>
              </w:rPr>
              <w:t>In millions</w:t>
            </w:r>
          </w:p>
        </w:tc>
        <w:tc>
          <w:tcPr>
            <w:tcW w:w="1060" w:type="dxa"/>
            <w:vAlign w:val="bottom"/>
          </w:tcPr>
          <w:p>
            <w:pPr>
              <w:jc w:val="right"/>
              <w:spacing w:after="0" w:line="135" w:lineRule="exact"/>
              <w:rPr>
                <w:sz w:val="20"/>
                <w:szCs w:val="20"/>
                <w:color w:val="auto"/>
              </w:rPr>
            </w:pPr>
            <w:r>
              <w:rPr>
                <w:rFonts w:ascii="Arial" w:cs="Arial" w:eastAsia="Arial" w:hAnsi="Arial"/>
                <w:sz w:val="15"/>
                <w:szCs w:val="15"/>
                <w:b w:val="1"/>
                <w:bCs w:val="1"/>
                <w:color w:val="auto"/>
              </w:rPr>
              <w:t>Segment</w:t>
            </w: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jc w:val="right"/>
              <w:spacing w:after="0" w:line="135" w:lineRule="exact"/>
              <w:rPr>
                <w:sz w:val="20"/>
                <w:szCs w:val="20"/>
                <w:color w:val="auto"/>
              </w:rPr>
            </w:pPr>
            <w:r>
              <w:rPr>
                <w:rFonts w:ascii="Arial" w:cs="Arial" w:eastAsia="Arial" w:hAnsi="Arial"/>
                <w:sz w:val="15"/>
                <w:szCs w:val="15"/>
                <w:b w:val="1"/>
                <w:bCs w:val="1"/>
                <w:color w:val="auto"/>
              </w:rPr>
              <w:t>Segment</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20" w:type="dxa"/>
            <w:vAlign w:val="bottom"/>
            <w:gridSpan w:val="2"/>
          </w:tcPr>
          <w:p>
            <w:pPr>
              <w:jc w:val="center"/>
              <w:ind w:right="320"/>
              <w:spacing w:after="0" w:line="135" w:lineRule="exact"/>
              <w:rPr>
                <w:sz w:val="20"/>
                <w:szCs w:val="20"/>
                <w:color w:val="auto"/>
              </w:rPr>
            </w:pPr>
            <w:r>
              <w:rPr>
                <w:rFonts w:ascii="Arial" w:cs="Arial" w:eastAsia="Arial" w:hAnsi="Arial"/>
                <w:sz w:val="15"/>
                <w:szCs w:val="15"/>
                <w:b w:val="1"/>
                <w:bCs w:val="1"/>
                <w:color w:val="auto"/>
                <w:w w:val="96"/>
              </w:rPr>
              <w:t>Elimination</w:t>
            </w:r>
          </w:p>
        </w:tc>
        <w:tc>
          <w:tcPr>
            <w:tcW w:w="340" w:type="dxa"/>
            <w:vAlign w:val="bottom"/>
          </w:tcPr>
          <w:p>
            <w:pPr>
              <w:spacing w:after="0"/>
              <w:rPr>
                <w:sz w:val="13"/>
                <w:szCs w:val="13"/>
                <w:color w:val="auto"/>
              </w:rPr>
            </w:pPr>
          </w:p>
        </w:tc>
        <w:tc>
          <w:tcPr>
            <w:tcW w:w="11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2"/>
        </w:trPr>
        <w:tc>
          <w:tcPr>
            <w:tcW w:w="20" w:type="dxa"/>
            <w:vAlign w:val="bottom"/>
            <w:tcBorders>
              <w:bottom w:val="single" w:sz="8" w:color="CCEEFF"/>
            </w:tcBorders>
          </w:tcPr>
          <w:p>
            <w:pPr>
              <w:spacing w:after="0"/>
              <w:rPr>
                <w:sz w:val="2"/>
                <w:szCs w:val="2"/>
                <w:color w:val="auto"/>
              </w:rPr>
            </w:pPr>
          </w:p>
        </w:tc>
        <w:tc>
          <w:tcPr>
            <w:tcW w:w="620" w:type="dxa"/>
            <w:vAlign w:val="bottom"/>
            <w:tcBorders>
              <w:top w:val="single" w:sz="8" w:color="auto"/>
              <w:bottom w:val="single" w:sz="8" w:color="CCEEFF"/>
            </w:tcBorders>
          </w:tcPr>
          <w:p>
            <w:pPr>
              <w:spacing w:after="0"/>
              <w:rPr>
                <w:sz w:val="2"/>
                <w:szCs w:val="2"/>
                <w:color w:val="auto"/>
              </w:rPr>
            </w:pPr>
          </w:p>
        </w:tc>
        <w:tc>
          <w:tcPr>
            <w:tcW w:w="42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484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Sales to external customers</w:t>
            </w:r>
          </w:p>
        </w:tc>
        <w:tc>
          <w:tcPr>
            <w:tcW w:w="1060" w:type="dxa"/>
            <w:vAlign w:val="bottom"/>
            <w:shd w:val="clear" w:color="auto" w:fill="CCEEFF"/>
          </w:tcPr>
          <w:p>
            <w:pPr>
              <w:jc w:val="right"/>
              <w:ind w:right="877"/>
              <w:spacing w:after="0"/>
              <w:rPr>
                <w:sz w:val="20"/>
                <w:szCs w:val="20"/>
                <w:color w:val="auto"/>
              </w:rPr>
            </w:pPr>
            <w:r>
              <w:rPr>
                <w:rFonts w:ascii="Arial" w:cs="Arial" w:eastAsia="Arial" w:hAnsi="Arial"/>
                <w:sz w:val="17"/>
                <w:szCs w:val="17"/>
                <w:color w:val="auto"/>
                <w:w w:val="84"/>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1,890</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937"/>
              <w:spacing w:after="0"/>
              <w:rPr>
                <w:sz w:val="20"/>
                <w:szCs w:val="20"/>
                <w:color w:val="auto"/>
              </w:rPr>
            </w:pPr>
            <w:r>
              <w:rPr>
                <w:rFonts w:ascii="Arial" w:cs="Arial" w:eastAsia="Arial" w:hAnsi="Arial"/>
                <w:sz w:val="17"/>
                <w:szCs w:val="17"/>
                <w:color w:val="auto"/>
                <w:w w:val="84"/>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420" w:type="dxa"/>
            <w:vAlign w:val="bottom"/>
            <w:gridSpan w:val="2"/>
            <w:shd w:val="clear" w:color="auto" w:fill="CCEEFF"/>
          </w:tcPr>
          <w:p>
            <w:pPr>
              <w:jc w:val="center"/>
              <w:ind w:left="797"/>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2,550</w:t>
            </w:r>
          </w:p>
        </w:tc>
        <w:tc>
          <w:tcPr>
            <w:tcW w:w="0" w:type="dxa"/>
            <w:vAlign w:val="bottom"/>
          </w:tcPr>
          <w:p>
            <w:pPr>
              <w:spacing w:after="0"/>
              <w:rPr>
                <w:sz w:val="1"/>
                <w:szCs w:val="1"/>
                <w:color w:val="auto"/>
              </w:rPr>
            </w:pPr>
          </w:p>
        </w:tc>
      </w:tr>
      <w:tr>
        <w:trPr>
          <w:trHeight w:val="218"/>
        </w:trPr>
        <w:tc>
          <w:tcPr>
            <w:tcW w:w="4840" w:type="dxa"/>
            <w:vAlign w:val="bottom"/>
            <w:tcBorders>
              <w:bottom w:val="single" w:sz="8" w:color="CCEEFF"/>
            </w:tcBorders>
            <w:gridSpan w:val="3"/>
          </w:tcPr>
          <w:p>
            <w:pPr>
              <w:ind w:left="20"/>
              <w:spacing w:after="0"/>
              <w:rPr>
                <w:sz w:val="20"/>
                <w:szCs w:val="20"/>
                <w:color w:val="auto"/>
              </w:rPr>
            </w:pPr>
            <w:r>
              <w:rPr>
                <w:rFonts w:ascii="Arial" w:cs="Arial" w:eastAsia="Arial" w:hAnsi="Arial"/>
                <w:sz w:val="17"/>
                <w:szCs w:val="17"/>
                <w:color w:val="auto"/>
              </w:rPr>
              <w:t>Intersegment sales/(elimination)</w:t>
            </w:r>
          </w:p>
        </w:tc>
        <w:tc>
          <w:tcPr>
            <w:tcW w:w="10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w:t>
            </w:r>
          </w:p>
        </w:tc>
        <w:tc>
          <w:tcPr>
            <w:tcW w:w="10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left="897"/>
              <w:spacing w:after="0"/>
              <w:rPr>
                <w:sz w:val="20"/>
                <w:szCs w:val="20"/>
                <w:color w:val="auto"/>
              </w:rPr>
            </w:pPr>
            <w:r>
              <w:rPr>
                <w:rFonts w:ascii="Arial" w:cs="Arial" w:eastAsia="Arial" w:hAnsi="Arial"/>
                <w:sz w:val="17"/>
                <w:szCs w:val="17"/>
                <w:color w:val="auto"/>
                <w:w w:val="92"/>
              </w:rPr>
              <w:t>(27)</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482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7"/>
                <w:szCs w:val="17"/>
                <w:color w:val="auto"/>
              </w:rPr>
              <w:t>Total sales</w:t>
            </w:r>
          </w:p>
        </w:tc>
        <w:tc>
          <w:tcPr>
            <w:tcW w:w="1060" w:type="dxa"/>
            <w:vAlign w:val="bottom"/>
            <w:tcBorders>
              <w:bottom w:val="single" w:sz="8" w:color="auto"/>
            </w:tcBorders>
            <w:shd w:val="clear" w:color="auto" w:fill="CCEEFF"/>
          </w:tcPr>
          <w:p>
            <w:pPr>
              <w:jc w:val="right"/>
              <w:ind w:right="877"/>
              <w:spacing w:after="0"/>
              <w:rPr>
                <w:sz w:val="20"/>
                <w:szCs w:val="20"/>
                <w:color w:val="auto"/>
              </w:rPr>
            </w:pPr>
            <w:r>
              <w:rPr>
                <w:rFonts w:ascii="Arial" w:cs="Arial" w:eastAsia="Arial" w:hAnsi="Arial"/>
                <w:sz w:val="17"/>
                <w:szCs w:val="17"/>
                <w:color w:val="auto"/>
                <w:w w:val="84"/>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9"/>
              </w:rPr>
              <w:t>1,908</w:t>
            </w:r>
          </w:p>
        </w:tc>
        <w:tc>
          <w:tcPr>
            <w:tcW w:w="1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ind w:right="937"/>
              <w:spacing w:after="0"/>
              <w:rPr>
                <w:sz w:val="20"/>
                <w:szCs w:val="20"/>
                <w:color w:val="auto"/>
              </w:rPr>
            </w:pPr>
            <w:r>
              <w:rPr>
                <w:rFonts w:ascii="Arial" w:cs="Arial" w:eastAsia="Arial" w:hAnsi="Arial"/>
                <w:sz w:val="17"/>
                <w:szCs w:val="17"/>
                <w:color w:val="auto"/>
                <w:w w:val="84"/>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669</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300" w:type="dxa"/>
            <w:vAlign w:val="bottom"/>
            <w:tcBorders>
              <w:bottom w:val="single" w:sz="8" w:color="auto"/>
            </w:tcBorders>
            <w:shd w:val="clear" w:color="auto" w:fill="CCEEFF"/>
          </w:tcPr>
          <w:p>
            <w:pPr>
              <w:jc w:val="center"/>
              <w:ind w:left="897"/>
              <w:spacing w:after="0"/>
              <w:rPr>
                <w:sz w:val="20"/>
                <w:szCs w:val="20"/>
                <w:color w:val="auto"/>
              </w:rPr>
            </w:pPr>
            <w:r>
              <w:rPr>
                <w:rFonts w:ascii="Arial" w:cs="Arial" w:eastAsia="Arial" w:hAnsi="Arial"/>
                <w:sz w:val="17"/>
                <w:szCs w:val="17"/>
                <w:color w:val="auto"/>
                <w:w w:val="92"/>
              </w:rPr>
              <w:t>(27)</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2,550</w:t>
            </w:r>
          </w:p>
        </w:tc>
        <w:tc>
          <w:tcPr>
            <w:tcW w:w="0" w:type="dxa"/>
            <w:vAlign w:val="bottom"/>
          </w:tcPr>
          <w:p>
            <w:pPr>
              <w:spacing w:after="0"/>
              <w:rPr>
                <w:sz w:val="1"/>
                <w:szCs w:val="1"/>
                <w:color w:val="auto"/>
              </w:rPr>
            </w:pPr>
          </w:p>
        </w:tc>
      </w:tr>
      <w:tr>
        <w:trPr>
          <w:trHeight w:val="20"/>
        </w:trPr>
        <w:tc>
          <w:tcPr>
            <w:tcW w:w="4840" w:type="dxa"/>
            <w:vAlign w:val="bottom"/>
            <w:tcBorders>
              <w:top w:val="single" w:sz="8" w:color="CCEEFF"/>
              <w:bottom w:val="single" w:sz="8" w:color="CCEEFF"/>
            </w:tcBorders>
            <w:gridSpan w:val="3"/>
            <w:vMerge w:val="restart"/>
          </w:tcPr>
          <w:p>
            <w:pPr>
              <w:ind w:left="20"/>
              <w:spacing w:after="0"/>
              <w:rPr>
                <w:sz w:val="20"/>
                <w:szCs w:val="20"/>
                <w:color w:val="auto"/>
              </w:rPr>
            </w:pPr>
            <w:r>
              <w:rPr>
                <w:rFonts w:ascii="Arial" w:cs="Arial" w:eastAsia="Arial" w:hAnsi="Arial"/>
                <w:sz w:val="17"/>
                <w:szCs w:val="17"/>
                <w:color w:val="auto"/>
              </w:rPr>
              <w:t>Income (loss) from operations</w:t>
            </w: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840" w:type="dxa"/>
            <w:vAlign w:val="bottom"/>
            <w:gridSpan w:val="3"/>
            <w:vMerge w:val="continue"/>
          </w:tcPr>
          <w:p>
            <w:pPr>
              <w:spacing w:after="0"/>
              <w:rPr>
                <w:sz w:val="16"/>
                <w:szCs w:val="16"/>
                <w:color w:val="auto"/>
              </w:rPr>
            </w:pPr>
          </w:p>
        </w:tc>
        <w:tc>
          <w:tcPr>
            <w:tcW w:w="1060" w:type="dxa"/>
            <w:vAlign w:val="bottom"/>
          </w:tcPr>
          <w:p>
            <w:pPr>
              <w:jc w:val="right"/>
              <w:ind w:right="877"/>
              <w:spacing w:after="0" w:line="190" w:lineRule="exact"/>
              <w:rPr>
                <w:sz w:val="20"/>
                <w:szCs w:val="20"/>
                <w:color w:val="auto"/>
              </w:rPr>
            </w:pPr>
            <w:r>
              <w:rPr>
                <w:rFonts w:ascii="Arial" w:cs="Arial" w:eastAsia="Arial" w:hAnsi="Arial"/>
                <w:sz w:val="17"/>
                <w:szCs w:val="17"/>
                <w:color w:val="auto"/>
                <w:w w:val="84"/>
              </w:rPr>
              <w:t>$</w:t>
            </w:r>
          </w:p>
        </w:tc>
        <w:tc>
          <w:tcPr>
            <w:tcW w:w="460" w:type="dxa"/>
            <w:vAlign w:val="bottom"/>
          </w:tcPr>
          <w:p>
            <w:pPr>
              <w:jc w:val="right"/>
              <w:spacing w:after="0" w:line="190" w:lineRule="exact"/>
              <w:rPr>
                <w:sz w:val="20"/>
                <w:szCs w:val="20"/>
                <w:color w:val="auto"/>
              </w:rPr>
            </w:pPr>
            <w:r>
              <w:rPr>
                <w:rFonts w:ascii="Arial" w:cs="Arial" w:eastAsia="Arial" w:hAnsi="Arial"/>
                <w:sz w:val="17"/>
                <w:szCs w:val="17"/>
                <w:color w:val="auto"/>
              </w:rPr>
              <w:t>327</w:t>
            </w:r>
          </w:p>
        </w:tc>
        <w:tc>
          <w:tcPr>
            <w:tcW w:w="100" w:type="dxa"/>
            <w:vAlign w:val="bottom"/>
          </w:tcPr>
          <w:p>
            <w:pPr>
              <w:spacing w:after="0"/>
              <w:rPr>
                <w:sz w:val="16"/>
                <w:szCs w:val="16"/>
                <w:color w:val="auto"/>
              </w:rPr>
            </w:pPr>
          </w:p>
        </w:tc>
        <w:tc>
          <w:tcPr>
            <w:tcW w:w="1120" w:type="dxa"/>
            <w:vAlign w:val="bottom"/>
          </w:tcPr>
          <w:p>
            <w:pPr>
              <w:jc w:val="right"/>
              <w:ind w:right="937"/>
              <w:spacing w:after="0" w:line="190" w:lineRule="exact"/>
              <w:rPr>
                <w:sz w:val="20"/>
                <w:szCs w:val="20"/>
                <w:color w:val="auto"/>
              </w:rPr>
            </w:pPr>
            <w:r>
              <w:rPr>
                <w:rFonts w:ascii="Arial" w:cs="Arial" w:eastAsia="Arial" w:hAnsi="Arial"/>
                <w:sz w:val="17"/>
                <w:szCs w:val="17"/>
                <w:color w:val="auto"/>
                <w:w w:val="84"/>
              </w:rPr>
              <w:t>$</w:t>
            </w:r>
          </w:p>
        </w:tc>
        <w:tc>
          <w:tcPr>
            <w:tcW w:w="400" w:type="dxa"/>
            <w:vAlign w:val="bottom"/>
          </w:tcPr>
          <w:p>
            <w:pPr>
              <w:jc w:val="right"/>
              <w:spacing w:after="0" w:line="190" w:lineRule="exact"/>
              <w:rPr>
                <w:sz w:val="20"/>
                <w:szCs w:val="20"/>
                <w:color w:val="auto"/>
              </w:rPr>
            </w:pPr>
            <w:r>
              <w:rPr>
                <w:rFonts w:ascii="Arial" w:cs="Arial" w:eastAsia="Arial" w:hAnsi="Arial"/>
                <w:sz w:val="17"/>
                <w:szCs w:val="17"/>
                <w:color w:val="auto"/>
              </w:rPr>
              <w:t>68</w:t>
            </w:r>
          </w:p>
        </w:tc>
        <w:tc>
          <w:tcPr>
            <w:tcW w:w="100" w:type="dxa"/>
            <w:vAlign w:val="bottom"/>
          </w:tcPr>
          <w:p>
            <w:pPr>
              <w:spacing w:after="0"/>
              <w:rPr>
                <w:sz w:val="16"/>
                <w:szCs w:val="16"/>
                <w:color w:val="auto"/>
              </w:rPr>
            </w:pPr>
          </w:p>
        </w:tc>
        <w:tc>
          <w:tcPr>
            <w:tcW w:w="220" w:type="dxa"/>
            <w:vAlign w:val="bottom"/>
          </w:tcPr>
          <w:p>
            <w:pPr>
              <w:jc w:val="right"/>
              <w:ind w:right="34"/>
              <w:spacing w:after="0" w:line="190" w:lineRule="exact"/>
              <w:rPr>
                <w:sz w:val="20"/>
                <w:szCs w:val="20"/>
                <w:color w:val="auto"/>
              </w:rPr>
            </w:pPr>
            <w:r>
              <w:rPr>
                <w:rFonts w:ascii="Arial" w:cs="Arial" w:eastAsia="Arial" w:hAnsi="Arial"/>
                <w:sz w:val="17"/>
                <w:szCs w:val="17"/>
                <w:color w:val="auto"/>
                <w:w w:val="84"/>
              </w:rPr>
              <w:t>$</w:t>
            </w:r>
          </w:p>
        </w:tc>
        <w:tc>
          <w:tcPr>
            <w:tcW w:w="1300" w:type="dxa"/>
            <w:vAlign w:val="bottom"/>
          </w:tcPr>
          <w:p>
            <w:pPr>
              <w:jc w:val="center"/>
              <w:ind w:left="897"/>
              <w:spacing w:after="0" w:line="190" w:lineRule="exact"/>
              <w:rPr>
                <w:sz w:val="20"/>
                <w:szCs w:val="20"/>
                <w:color w:val="auto"/>
              </w:rPr>
            </w:pPr>
            <w:r>
              <w:rPr>
                <w:rFonts w:ascii="Arial" w:cs="Arial" w:eastAsia="Arial" w:hAnsi="Arial"/>
                <w:sz w:val="17"/>
                <w:szCs w:val="17"/>
                <w:color w:val="auto"/>
                <w:w w:val="92"/>
              </w:rPr>
              <w:t>(25)</w:t>
            </w:r>
          </w:p>
        </w:tc>
        <w:tc>
          <w:tcPr>
            <w:tcW w:w="120" w:type="dxa"/>
            <w:vAlign w:val="bottom"/>
          </w:tcPr>
          <w:p>
            <w:pPr>
              <w:spacing w:after="0"/>
              <w:rPr>
                <w:sz w:val="16"/>
                <w:szCs w:val="16"/>
                <w:color w:val="auto"/>
              </w:rPr>
            </w:pPr>
          </w:p>
        </w:tc>
        <w:tc>
          <w:tcPr>
            <w:tcW w:w="340" w:type="dxa"/>
            <w:vAlign w:val="bottom"/>
          </w:tcPr>
          <w:p>
            <w:pPr>
              <w:jc w:val="right"/>
              <w:ind w:right="154"/>
              <w:spacing w:after="0" w:line="190" w:lineRule="exact"/>
              <w:rPr>
                <w:sz w:val="20"/>
                <w:szCs w:val="20"/>
                <w:color w:val="auto"/>
              </w:rPr>
            </w:pPr>
            <w:r>
              <w:rPr>
                <w:rFonts w:ascii="Arial" w:cs="Arial" w:eastAsia="Arial" w:hAnsi="Arial"/>
                <w:sz w:val="17"/>
                <w:szCs w:val="17"/>
                <w:color w:val="auto"/>
                <w:w w:val="84"/>
              </w:rPr>
              <w:t>$</w:t>
            </w:r>
          </w:p>
        </w:tc>
        <w:tc>
          <w:tcPr>
            <w:tcW w:w="1180" w:type="dxa"/>
            <w:vAlign w:val="bottom"/>
          </w:tcPr>
          <w:p>
            <w:pPr>
              <w:jc w:val="right"/>
              <w:spacing w:after="0" w:line="190" w:lineRule="exact"/>
              <w:rPr>
                <w:sz w:val="20"/>
                <w:szCs w:val="20"/>
                <w:color w:val="auto"/>
              </w:rPr>
            </w:pPr>
            <w:r>
              <w:rPr>
                <w:rFonts w:ascii="Arial" w:cs="Arial" w:eastAsia="Arial" w:hAnsi="Arial"/>
                <w:sz w:val="17"/>
                <w:szCs w:val="17"/>
                <w:color w:val="auto"/>
              </w:rPr>
              <w:t>370</w:t>
            </w:r>
          </w:p>
        </w:tc>
        <w:tc>
          <w:tcPr>
            <w:tcW w:w="0" w:type="dxa"/>
            <w:vAlign w:val="bottom"/>
          </w:tcPr>
          <w:p>
            <w:pPr>
              <w:spacing w:after="0"/>
              <w:rPr>
                <w:sz w:val="1"/>
                <w:szCs w:val="1"/>
                <w:color w:val="auto"/>
              </w:rPr>
            </w:pPr>
          </w:p>
        </w:tc>
      </w:tr>
      <w:tr>
        <w:trPr>
          <w:trHeight w:val="219"/>
        </w:trPr>
        <w:tc>
          <w:tcPr>
            <w:tcW w:w="484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Interest expense and other, net</w:t>
            </w:r>
          </w:p>
        </w:tc>
        <w:tc>
          <w:tcPr>
            <w:tcW w:w="106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center"/>
              <w:ind w:left="897"/>
              <w:spacing w:after="0"/>
              <w:rPr>
                <w:sz w:val="20"/>
                <w:szCs w:val="20"/>
                <w:color w:val="auto"/>
              </w:rPr>
            </w:pPr>
            <w:r>
              <w:rPr>
                <w:rFonts w:ascii="Arial" w:cs="Arial" w:eastAsia="Arial" w:hAnsi="Arial"/>
                <w:sz w:val="17"/>
                <w:szCs w:val="17"/>
                <w:color w:val="auto"/>
                <w:w w:val="92"/>
              </w:rPr>
              <w:t>(50)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820" w:type="dxa"/>
            <w:vAlign w:val="bottom"/>
            <w:gridSpan w:val="2"/>
          </w:tcPr>
          <w:p>
            <w:pPr>
              <w:ind w:left="460"/>
              <w:spacing w:after="0"/>
              <w:rPr>
                <w:sz w:val="20"/>
                <w:szCs w:val="20"/>
                <w:color w:val="auto"/>
              </w:rPr>
            </w:pPr>
            <w:r>
              <w:rPr>
                <w:rFonts w:ascii="Arial" w:cs="Arial" w:eastAsia="Arial" w:hAnsi="Arial"/>
                <w:sz w:val="17"/>
                <w:szCs w:val="17"/>
                <w:color w:val="auto"/>
              </w:rPr>
              <w:t>Income (loss) before income taxes</w:t>
            </w:r>
          </w:p>
        </w:tc>
        <w:tc>
          <w:tcPr>
            <w:tcW w:w="1060" w:type="dxa"/>
            <w:vAlign w:val="bottom"/>
            <w:tcBorders>
              <w:top w:val="single" w:sz="8" w:color="auto"/>
              <w:bottom w:val="single" w:sz="8" w:color="auto"/>
            </w:tcBorders>
          </w:tcPr>
          <w:p>
            <w:pPr>
              <w:jc w:val="right"/>
              <w:ind w:right="877"/>
              <w:spacing w:after="0"/>
              <w:rPr>
                <w:sz w:val="20"/>
                <w:szCs w:val="20"/>
                <w:color w:val="auto"/>
              </w:rPr>
            </w:pPr>
            <w:r>
              <w:rPr>
                <w:rFonts w:ascii="Arial" w:cs="Arial" w:eastAsia="Arial" w:hAnsi="Arial"/>
                <w:sz w:val="17"/>
                <w:szCs w:val="17"/>
                <w:color w:val="auto"/>
                <w:w w:val="84"/>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327</w:t>
            </w:r>
          </w:p>
        </w:tc>
        <w:tc>
          <w:tcPr>
            <w:tcW w:w="100" w:type="dxa"/>
            <w:vAlign w:val="bottom"/>
          </w:tcPr>
          <w:p>
            <w:pPr>
              <w:spacing w:after="0"/>
              <w:rPr>
                <w:sz w:val="18"/>
                <w:szCs w:val="18"/>
                <w:color w:val="auto"/>
              </w:rPr>
            </w:pPr>
          </w:p>
        </w:tc>
        <w:tc>
          <w:tcPr>
            <w:tcW w:w="1120" w:type="dxa"/>
            <w:vAlign w:val="bottom"/>
            <w:tcBorders>
              <w:top w:val="single" w:sz="8" w:color="auto"/>
              <w:bottom w:val="single" w:sz="8" w:color="auto"/>
            </w:tcBorders>
          </w:tcPr>
          <w:p>
            <w:pPr>
              <w:jc w:val="right"/>
              <w:ind w:right="937"/>
              <w:spacing w:after="0"/>
              <w:rPr>
                <w:sz w:val="20"/>
                <w:szCs w:val="20"/>
                <w:color w:val="auto"/>
              </w:rPr>
            </w:pPr>
            <w:r>
              <w:rPr>
                <w:rFonts w:ascii="Arial" w:cs="Arial" w:eastAsia="Arial" w:hAnsi="Arial"/>
                <w:sz w:val="17"/>
                <w:szCs w:val="17"/>
                <w:color w:val="auto"/>
                <w:w w:val="84"/>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68</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7"/>
                <w:szCs w:val="17"/>
                <w:color w:val="auto"/>
                <w:w w:val="84"/>
              </w:rPr>
              <w:t>$</w:t>
            </w:r>
          </w:p>
        </w:tc>
        <w:tc>
          <w:tcPr>
            <w:tcW w:w="1300" w:type="dxa"/>
            <w:vAlign w:val="bottom"/>
            <w:tcBorders>
              <w:top w:val="single" w:sz="8" w:color="auto"/>
              <w:bottom w:val="single" w:sz="8" w:color="auto"/>
            </w:tcBorders>
          </w:tcPr>
          <w:p>
            <w:pPr>
              <w:jc w:val="center"/>
              <w:ind w:left="897"/>
              <w:spacing w:after="0"/>
              <w:rPr>
                <w:sz w:val="20"/>
                <w:szCs w:val="20"/>
                <w:color w:val="auto"/>
              </w:rPr>
            </w:pPr>
            <w:r>
              <w:rPr>
                <w:rFonts w:ascii="Arial" w:cs="Arial" w:eastAsia="Arial" w:hAnsi="Arial"/>
                <w:sz w:val="17"/>
                <w:szCs w:val="17"/>
                <w:color w:val="auto"/>
                <w:w w:val="92"/>
              </w:rPr>
              <w:t>(75)</w:t>
            </w:r>
          </w:p>
        </w:tc>
        <w:tc>
          <w:tcPr>
            <w:tcW w:w="12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4"/>
              <w:spacing w:after="0"/>
              <w:rPr>
                <w:sz w:val="20"/>
                <w:szCs w:val="20"/>
                <w:color w:val="auto"/>
              </w:rPr>
            </w:pPr>
            <w:r>
              <w:rPr>
                <w:rFonts w:ascii="Arial" w:cs="Arial" w:eastAsia="Arial" w:hAnsi="Arial"/>
                <w:sz w:val="17"/>
                <w:szCs w:val="17"/>
                <w:color w:val="auto"/>
                <w:w w:val="84"/>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4"/>
        </w:trPr>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1060" w:type="dxa"/>
            <w:vAlign w:val="bottom"/>
          </w:tcPr>
          <w:p>
            <w:pPr>
              <w:jc w:val="right"/>
              <w:ind w:right="117"/>
              <w:spacing w:after="0"/>
              <w:rPr>
                <w:sz w:val="20"/>
                <w:szCs w:val="20"/>
                <w:color w:val="auto"/>
              </w:rPr>
            </w:pPr>
            <w:r>
              <w:rPr>
                <w:rFonts w:ascii="Arial" w:cs="Arial" w:eastAsia="Arial" w:hAnsi="Arial"/>
                <w:sz w:val="17"/>
                <w:szCs w:val="17"/>
                <w:color w:val="auto"/>
              </w:rPr>
              <w:t>22</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420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004" w:right="339" w:bottom="1440" w:gutter="0" w:footer="0" w:header="0"/>
        </w:sectPr>
      </w:pPr>
    </w:p>
    <w:bookmarkStart w:id="22" w:name="page23"/>
    <w:bookmarkEnd w:id="22"/>
    <w:p>
      <w:pPr>
        <w:ind w:left="460"/>
        <w:spacing w:after="0"/>
        <w:rPr>
          <w:sz w:val="20"/>
          <w:szCs w:val="20"/>
          <w:color w:val="auto"/>
        </w:rPr>
      </w:pPr>
      <w:r>
        <w:rPr>
          <w:rFonts w:ascii="Arial" w:cs="Arial" w:eastAsia="Arial" w:hAnsi="Arial"/>
          <w:sz w:val="17"/>
          <w:szCs w:val="17"/>
          <w:color w:val="auto"/>
        </w:rPr>
        <w:t>Segment financial information for the three months ended September 30, 2022 is as follows: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Freight</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vMerge w:val="restart"/>
          </w:tcPr>
          <w:p>
            <w:pPr>
              <w:jc w:val="right"/>
              <w:ind w:right="37"/>
              <w:spacing w:after="0"/>
              <w:rPr>
                <w:sz w:val="20"/>
                <w:szCs w:val="20"/>
                <w:color w:val="auto"/>
              </w:rPr>
            </w:pPr>
            <w:r>
              <w:rPr>
                <w:rFonts w:ascii="Arial" w:cs="Arial" w:eastAsia="Arial" w:hAnsi="Arial"/>
                <w:sz w:val="15"/>
                <w:szCs w:val="15"/>
                <w:b w:val="1"/>
                <w:bCs w:val="1"/>
                <w:color w:val="auto"/>
              </w:rPr>
              <w:t>Transit</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5"/>
                <w:szCs w:val="15"/>
                <w:b w:val="1"/>
                <w:bCs w:val="1"/>
                <w:color w:val="auto"/>
                <w:w w:val="97"/>
              </w:rPr>
              <w:t>Corporate</w:t>
            </w:r>
          </w:p>
        </w:tc>
        <w:tc>
          <w:tcPr>
            <w:tcW w:w="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200" w:type="dxa"/>
            <w:vAlign w:val="bottom"/>
          </w:tcPr>
          <w:p>
            <w:pPr>
              <w:spacing w:after="0"/>
              <w:rPr>
                <w:sz w:val="13"/>
                <w:szCs w:val="13"/>
                <w:color w:val="auto"/>
              </w:rPr>
            </w:pPr>
          </w:p>
        </w:tc>
        <w:tc>
          <w:tcPr>
            <w:tcW w:w="1060" w:type="dxa"/>
            <w:vAlign w:val="bottom"/>
            <w:vMerge w:val="continue"/>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20" w:type="dxa"/>
            <w:vAlign w:val="bottom"/>
            <w:gridSpan w:val="2"/>
          </w:tcPr>
          <w:p>
            <w:pPr>
              <w:jc w:val="center"/>
              <w:ind w:right="320"/>
              <w:spacing w:after="0" w:line="155" w:lineRule="exact"/>
              <w:rPr>
                <w:sz w:val="20"/>
                <w:szCs w:val="20"/>
                <w:color w:val="auto"/>
              </w:rPr>
            </w:pPr>
            <w:r>
              <w:rPr>
                <w:rFonts w:ascii="Arial" w:cs="Arial" w:eastAsia="Arial" w:hAnsi="Arial"/>
                <w:sz w:val="15"/>
                <w:szCs w:val="15"/>
                <w:b w:val="1"/>
                <w:bCs w:val="1"/>
                <w:color w:val="auto"/>
                <w:w w:val="92"/>
              </w:rPr>
              <w:t>Activities and</w:t>
            </w:r>
          </w:p>
        </w:tc>
        <w:tc>
          <w:tcPr>
            <w:tcW w:w="340" w:type="dxa"/>
            <w:vAlign w:val="bottom"/>
          </w:tcPr>
          <w:p>
            <w:pPr>
              <w:spacing w:after="0"/>
              <w:rPr>
                <w:sz w:val="13"/>
                <w:szCs w:val="13"/>
                <w:color w:val="auto"/>
              </w:rPr>
            </w:pPr>
          </w:p>
        </w:tc>
        <w:tc>
          <w:tcPr>
            <w:tcW w:w="1180" w:type="dxa"/>
            <w:vAlign w:val="bottom"/>
            <w:vMerge w:val="restart"/>
          </w:tcPr>
          <w:p>
            <w:pPr>
              <w:jc w:val="right"/>
              <w:ind w:right="515"/>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155"/>
        </w:trPr>
        <w:tc>
          <w:tcPr>
            <w:tcW w:w="4840" w:type="dxa"/>
            <w:vAlign w:val="bottom"/>
            <w:gridSpan w:val="3"/>
          </w:tcPr>
          <w:p>
            <w:pPr>
              <w:ind w:left="20"/>
              <w:spacing w:after="0" w:line="135" w:lineRule="exact"/>
              <w:rPr>
                <w:sz w:val="20"/>
                <w:szCs w:val="20"/>
                <w:color w:val="auto"/>
              </w:rPr>
            </w:pPr>
            <w:r>
              <w:rPr>
                <w:rFonts w:ascii="Arial" w:cs="Arial" w:eastAsia="Arial" w:hAnsi="Arial"/>
                <w:sz w:val="14"/>
                <w:szCs w:val="14"/>
                <w:b w:val="1"/>
                <w:bCs w:val="1"/>
                <w:i w:val="1"/>
                <w:iCs w:val="1"/>
                <w:color w:val="auto"/>
              </w:rPr>
              <w:t>In millions</w:t>
            </w:r>
          </w:p>
        </w:tc>
        <w:tc>
          <w:tcPr>
            <w:tcW w:w="1060" w:type="dxa"/>
            <w:vAlign w:val="bottom"/>
          </w:tcPr>
          <w:p>
            <w:pPr>
              <w:jc w:val="right"/>
              <w:spacing w:after="0" w:line="135" w:lineRule="exact"/>
              <w:rPr>
                <w:sz w:val="20"/>
                <w:szCs w:val="20"/>
                <w:color w:val="auto"/>
              </w:rPr>
            </w:pPr>
            <w:r>
              <w:rPr>
                <w:rFonts w:ascii="Arial" w:cs="Arial" w:eastAsia="Arial" w:hAnsi="Arial"/>
                <w:sz w:val="15"/>
                <w:szCs w:val="15"/>
                <w:b w:val="1"/>
                <w:bCs w:val="1"/>
                <w:color w:val="auto"/>
              </w:rPr>
              <w:t>Segment</w:t>
            </w: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jc w:val="right"/>
              <w:spacing w:after="0" w:line="135" w:lineRule="exact"/>
              <w:rPr>
                <w:sz w:val="20"/>
                <w:szCs w:val="20"/>
                <w:color w:val="auto"/>
              </w:rPr>
            </w:pPr>
            <w:r>
              <w:rPr>
                <w:rFonts w:ascii="Arial" w:cs="Arial" w:eastAsia="Arial" w:hAnsi="Arial"/>
                <w:sz w:val="15"/>
                <w:szCs w:val="15"/>
                <w:b w:val="1"/>
                <w:bCs w:val="1"/>
                <w:color w:val="auto"/>
              </w:rPr>
              <w:t>Segment</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20" w:type="dxa"/>
            <w:vAlign w:val="bottom"/>
            <w:gridSpan w:val="2"/>
          </w:tcPr>
          <w:p>
            <w:pPr>
              <w:jc w:val="center"/>
              <w:ind w:right="320"/>
              <w:spacing w:after="0" w:line="135" w:lineRule="exact"/>
              <w:rPr>
                <w:sz w:val="20"/>
                <w:szCs w:val="20"/>
                <w:color w:val="auto"/>
              </w:rPr>
            </w:pPr>
            <w:r>
              <w:rPr>
                <w:rFonts w:ascii="Arial" w:cs="Arial" w:eastAsia="Arial" w:hAnsi="Arial"/>
                <w:sz w:val="15"/>
                <w:szCs w:val="15"/>
                <w:b w:val="1"/>
                <w:bCs w:val="1"/>
                <w:color w:val="auto"/>
                <w:w w:val="96"/>
              </w:rPr>
              <w:t>Elimination</w:t>
            </w:r>
          </w:p>
        </w:tc>
        <w:tc>
          <w:tcPr>
            <w:tcW w:w="340" w:type="dxa"/>
            <w:vAlign w:val="bottom"/>
          </w:tcPr>
          <w:p>
            <w:pPr>
              <w:spacing w:after="0"/>
              <w:rPr>
                <w:sz w:val="13"/>
                <w:szCs w:val="13"/>
                <w:color w:val="auto"/>
              </w:rPr>
            </w:pPr>
          </w:p>
        </w:tc>
        <w:tc>
          <w:tcPr>
            <w:tcW w:w="11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2"/>
        </w:trPr>
        <w:tc>
          <w:tcPr>
            <w:tcW w:w="20" w:type="dxa"/>
            <w:vAlign w:val="bottom"/>
            <w:tcBorders>
              <w:bottom w:val="single" w:sz="8" w:color="CCEEFF"/>
            </w:tcBorders>
          </w:tcPr>
          <w:p>
            <w:pPr>
              <w:spacing w:after="0"/>
              <w:rPr>
                <w:sz w:val="2"/>
                <w:szCs w:val="2"/>
                <w:color w:val="auto"/>
              </w:rPr>
            </w:pPr>
          </w:p>
        </w:tc>
        <w:tc>
          <w:tcPr>
            <w:tcW w:w="620" w:type="dxa"/>
            <w:vAlign w:val="bottom"/>
            <w:tcBorders>
              <w:top w:val="single" w:sz="8" w:color="auto"/>
              <w:bottom w:val="single" w:sz="8" w:color="CCEEFF"/>
            </w:tcBorders>
          </w:tcPr>
          <w:p>
            <w:pPr>
              <w:spacing w:after="0"/>
              <w:rPr>
                <w:sz w:val="2"/>
                <w:szCs w:val="2"/>
                <w:color w:val="auto"/>
              </w:rPr>
            </w:pPr>
          </w:p>
        </w:tc>
        <w:tc>
          <w:tcPr>
            <w:tcW w:w="42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484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Sales to external customers</w:t>
            </w:r>
          </w:p>
        </w:tc>
        <w:tc>
          <w:tcPr>
            <w:tcW w:w="1060" w:type="dxa"/>
            <w:vAlign w:val="bottom"/>
            <w:shd w:val="clear" w:color="auto" w:fill="CCEEFF"/>
          </w:tcPr>
          <w:p>
            <w:pPr>
              <w:jc w:val="right"/>
              <w:ind w:right="877"/>
              <w:spacing w:after="0"/>
              <w:rPr>
                <w:sz w:val="20"/>
                <w:szCs w:val="20"/>
                <w:color w:val="auto"/>
              </w:rPr>
            </w:pPr>
            <w:r>
              <w:rPr>
                <w:rFonts w:ascii="Arial" w:cs="Arial" w:eastAsia="Arial" w:hAnsi="Arial"/>
                <w:sz w:val="17"/>
                <w:szCs w:val="17"/>
                <w:color w:val="auto"/>
                <w:w w:val="84"/>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1,531</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937"/>
              <w:spacing w:after="0"/>
              <w:rPr>
                <w:sz w:val="20"/>
                <w:szCs w:val="20"/>
                <w:color w:val="auto"/>
              </w:rPr>
            </w:pPr>
            <w:r>
              <w:rPr>
                <w:rFonts w:ascii="Arial" w:cs="Arial" w:eastAsia="Arial" w:hAnsi="Arial"/>
                <w:sz w:val="17"/>
                <w:szCs w:val="17"/>
                <w:color w:val="auto"/>
                <w:w w:val="84"/>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420" w:type="dxa"/>
            <w:vAlign w:val="bottom"/>
            <w:gridSpan w:val="2"/>
            <w:shd w:val="clear" w:color="auto" w:fill="CCEEFF"/>
          </w:tcPr>
          <w:p>
            <w:pPr>
              <w:jc w:val="center"/>
              <w:ind w:left="797"/>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2,081</w:t>
            </w:r>
          </w:p>
        </w:tc>
        <w:tc>
          <w:tcPr>
            <w:tcW w:w="0" w:type="dxa"/>
            <w:vAlign w:val="bottom"/>
          </w:tcPr>
          <w:p>
            <w:pPr>
              <w:spacing w:after="0"/>
              <w:rPr>
                <w:sz w:val="1"/>
                <w:szCs w:val="1"/>
                <w:color w:val="auto"/>
              </w:rPr>
            </w:pPr>
          </w:p>
        </w:tc>
      </w:tr>
      <w:tr>
        <w:trPr>
          <w:trHeight w:val="218"/>
        </w:trPr>
        <w:tc>
          <w:tcPr>
            <w:tcW w:w="4840" w:type="dxa"/>
            <w:vAlign w:val="bottom"/>
            <w:tcBorders>
              <w:bottom w:val="single" w:sz="8" w:color="CCEEFF"/>
            </w:tcBorders>
            <w:gridSpan w:val="3"/>
          </w:tcPr>
          <w:p>
            <w:pPr>
              <w:ind w:left="20"/>
              <w:spacing w:after="0"/>
              <w:rPr>
                <w:sz w:val="20"/>
                <w:szCs w:val="20"/>
                <w:color w:val="auto"/>
              </w:rPr>
            </w:pPr>
            <w:r>
              <w:rPr>
                <w:rFonts w:ascii="Arial" w:cs="Arial" w:eastAsia="Arial" w:hAnsi="Arial"/>
                <w:sz w:val="17"/>
                <w:szCs w:val="17"/>
                <w:color w:val="auto"/>
              </w:rPr>
              <w:t>Intersegment sales/(elimination)</w:t>
            </w:r>
          </w:p>
        </w:tc>
        <w:tc>
          <w:tcPr>
            <w:tcW w:w="10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w:t>
            </w:r>
          </w:p>
        </w:tc>
        <w:tc>
          <w:tcPr>
            <w:tcW w:w="10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left="897"/>
              <w:spacing w:after="0"/>
              <w:rPr>
                <w:sz w:val="20"/>
                <w:szCs w:val="20"/>
                <w:color w:val="auto"/>
              </w:rPr>
            </w:pPr>
            <w:r>
              <w:rPr>
                <w:rFonts w:ascii="Arial" w:cs="Arial" w:eastAsia="Arial" w:hAnsi="Arial"/>
                <w:sz w:val="17"/>
                <w:szCs w:val="17"/>
                <w:color w:val="auto"/>
                <w:w w:val="92"/>
              </w:rPr>
              <w:t>(20)</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482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7"/>
                <w:szCs w:val="17"/>
                <w:color w:val="auto"/>
              </w:rPr>
              <w:t>Total sales</w:t>
            </w:r>
          </w:p>
        </w:tc>
        <w:tc>
          <w:tcPr>
            <w:tcW w:w="1060" w:type="dxa"/>
            <w:vAlign w:val="bottom"/>
            <w:tcBorders>
              <w:bottom w:val="single" w:sz="8" w:color="auto"/>
            </w:tcBorders>
            <w:shd w:val="clear" w:color="auto" w:fill="CCEEFF"/>
          </w:tcPr>
          <w:p>
            <w:pPr>
              <w:jc w:val="right"/>
              <w:ind w:right="877"/>
              <w:spacing w:after="0"/>
              <w:rPr>
                <w:sz w:val="20"/>
                <w:szCs w:val="20"/>
                <w:color w:val="auto"/>
              </w:rPr>
            </w:pPr>
            <w:r>
              <w:rPr>
                <w:rFonts w:ascii="Arial" w:cs="Arial" w:eastAsia="Arial" w:hAnsi="Arial"/>
                <w:sz w:val="17"/>
                <w:szCs w:val="17"/>
                <w:color w:val="auto"/>
                <w:w w:val="84"/>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9"/>
              </w:rPr>
              <w:t>1,544</w:t>
            </w:r>
          </w:p>
        </w:tc>
        <w:tc>
          <w:tcPr>
            <w:tcW w:w="1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ind w:right="937"/>
              <w:spacing w:after="0"/>
              <w:rPr>
                <w:sz w:val="20"/>
                <w:szCs w:val="20"/>
                <w:color w:val="auto"/>
              </w:rPr>
            </w:pPr>
            <w:r>
              <w:rPr>
                <w:rFonts w:ascii="Arial" w:cs="Arial" w:eastAsia="Arial" w:hAnsi="Arial"/>
                <w:sz w:val="17"/>
                <w:szCs w:val="17"/>
                <w:color w:val="auto"/>
                <w:w w:val="84"/>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300" w:type="dxa"/>
            <w:vAlign w:val="bottom"/>
            <w:tcBorders>
              <w:bottom w:val="single" w:sz="8" w:color="auto"/>
            </w:tcBorders>
            <w:shd w:val="clear" w:color="auto" w:fill="CCEEFF"/>
          </w:tcPr>
          <w:p>
            <w:pPr>
              <w:jc w:val="center"/>
              <w:ind w:left="897"/>
              <w:spacing w:after="0"/>
              <w:rPr>
                <w:sz w:val="20"/>
                <w:szCs w:val="20"/>
                <w:color w:val="auto"/>
              </w:rPr>
            </w:pPr>
            <w:r>
              <w:rPr>
                <w:rFonts w:ascii="Arial" w:cs="Arial" w:eastAsia="Arial" w:hAnsi="Arial"/>
                <w:sz w:val="17"/>
                <w:szCs w:val="17"/>
                <w:color w:val="auto"/>
                <w:w w:val="92"/>
              </w:rPr>
              <w:t>(20)</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2,081</w:t>
            </w:r>
          </w:p>
        </w:tc>
        <w:tc>
          <w:tcPr>
            <w:tcW w:w="0" w:type="dxa"/>
            <w:vAlign w:val="bottom"/>
          </w:tcPr>
          <w:p>
            <w:pPr>
              <w:spacing w:after="0"/>
              <w:rPr>
                <w:sz w:val="1"/>
                <w:szCs w:val="1"/>
                <w:color w:val="auto"/>
              </w:rPr>
            </w:pPr>
          </w:p>
        </w:tc>
      </w:tr>
      <w:tr>
        <w:trPr>
          <w:trHeight w:val="20"/>
        </w:trPr>
        <w:tc>
          <w:tcPr>
            <w:tcW w:w="4840" w:type="dxa"/>
            <w:vAlign w:val="bottom"/>
            <w:tcBorders>
              <w:top w:val="single" w:sz="8" w:color="CCEEFF"/>
              <w:bottom w:val="single" w:sz="8" w:color="CCEEFF"/>
            </w:tcBorders>
            <w:gridSpan w:val="3"/>
            <w:vMerge w:val="restart"/>
          </w:tcPr>
          <w:p>
            <w:pPr>
              <w:ind w:left="20"/>
              <w:spacing w:after="0"/>
              <w:rPr>
                <w:sz w:val="20"/>
                <w:szCs w:val="20"/>
                <w:color w:val="auto"/>
              </w:rPr>
            </w:pPr>
            <w:r>
              <w:rPr>
                <w:rFonts w:ascii="Arial" w:cs="Arial" w:eastAsia="Arial" w:hAnsi="Arial"/>
                <w:sz w:val="17"/>
                <w:szCs w:val="17"/>
                <w:color w:val="auto"/>
              </w:rPr>
              <w:t>Income (loss) from operations</w:t>
            </w: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840" w:type="dxa"/>
            <w:vAlign w:val="bottom"/>
            <w:gridSpan w:val="3"/>
            <w:vMerge w:val="continue"/>
          </w:tcPr>
          <w:p>
            <w:pPr>
              <w:spacing w:after="0"/>
              <w:rPr>
                <w:sz w:val="16"/>
                <w:szCs w:val="16"/>
                <w:color w:val="auto"/>
              </w:rPr>
            </w:pPr>
          </w:p>
        </w:tc>
        <w:tc>
          <w:tcPr>
            <w:tcW w:w="1060" w:type="dxa"/>
            <w:vAlign w:val="bottom"/>
          </w:tcPr>
          <w:p>
            <w:pPr>
              <w:jc w:val="right"/>
              <w:ind w:right="877"/>
              <w:spacing w:after="0" w:line="190" w:lineRule="exact"/>
              <w:rPr>
                <w:sz w:val="20"/>
                <w:szCs w:val="20"/>
                <w:color w:val="auto"/>
              </w:rPr>
            </w:pPr>
            <w:r>
              <w:rPr>
                <w:rFonts w:ascii="Arial" w:cs="Arial" w:eastAsia="Arial" w:hAnsi="Arial"/>
                <w:sz w:val="17"/>
                <w:szCs w:val="17"/>
                <w:color w:val="auto"/>
                <w:w w:val="84"/>
              </w:rPr>
              <w:t>$</w:t>
            </w:r>
          </w:p>
        </w:tc>
        <w:tc>
          <w:tcPr>
            <w:tcW w:w="460" w:type="dxa"/>
            <w:vAlign w:val="bottom"/>
          </w:tcPr>
          <w:p>
            <w:pPr>
              <w:jc w:val="right"/>
              <w:spacing w:after="0" w:line="190" w:lineRule="exact"/>
              <w:rPr>
                <w:sz w:val="20"/>
                <w:szCs w:val="20"/>
                <w:color w:val="auto"/>
              </w:rPr>
            </w:pPr>
            <w:r>
              <w:rPr>
                <w:rFonts w:ascii="Arial" w:cs="Arial" w:eastAsia="Arial" w:hAnsi="Arial"/>
                <w:sz w:val="17"/>
                <w:szCs w:val="17"/>
                <w:color w:val="auto"/>
              </w:rPr>
              <w:t>233</w:t>
            </w:r>
          </w:p>
        </w:tc>
        <w:tc>
          <w:tcPr>
            <w:tcW w:w="100" w:type="dxa"/>
            <w:vAlign w:val="bottom"/>
          </w:tcPr>
          <w:p>
            <w:pPr>
              <w:spacing w:after="0"/>
              <w:rPr>
                <w:sz w:val="16"/>
                <w:szCs w:val="16"/>
                <w:color w:val="auto"/>
              </w:rPr>
            </w:pPr>
          </w:p>
        </w:tc>
        <w:tc>
          <w:tcPr>
            <w:tcW w:w="1120" w:type="dxa"/>
            <w:vAlign w:val="bottom"/>
          </w:tcPr>
          <w:p>
            <w:pPr>
              <w:jc w:val="right"/>
              <w:ind w:right="937"/>
              <w:spacing w:after="0" w:line="190" w:lineRule="exact"/>
              <w:rPr>
                <w:sz w:val="20"/>
                <w:szCs w:val="20"/>
                <w:color w:val="auto"/>
              </w:rPr>
            </w:pPr>
            <w:r>
              <w:rPr>
                <w:rFonts w:ascii="Arial" w:cs="Arial" w:eastAsia="Arial" w:hAnsi="Arial"/>
                <w:sz w:val="17"/>
                <w:szCs w:val="17"/>
                <w:color w:val="auto"/>
                <w:w w:val="84"/>
              </w:rPr>
              <w:t>$</w:t>
            </w:r>
          </w:p>
        </w:tc>
        <w:tc>
          <w:tcPr>
            <w:tcW w:w="400" w:type="dxa"/>
            <w:vAlign w:val="bottom"/>
          </w:tcPr>
          <w:p>
            <w:pPr>
              <w:jc w:val="right"/>
              <w:spacing w:after="0" w:line="190" w:lineRule="exact"/>
              <w:rPr>
                <w:sz w:val="20"/>
                <w:szCs w:val="20"/>
                <w:color w:val="auto"/>
              </w:rPr>
            </w:pPr>
            <w:r>
              <w:rPr>
                <w:rFonts w:ascii="Arial" w:cs="Arial" w:eastAsia="Arial" w:hAnsi="Arial"/>
                <w:sz w:val="17"/>
                <w:szCs w:val="17"/>
                <w:color w:val="auto"/>
              </w:rPr>
              <w:t>53</w:t>
            </w:r>
          </w:p>
        </w:tc>
        <w:tc>
          <w:tcPr>
            <w:tcW w:w="100" w:type="dxa"/>
            <w:vAlign w:val="bottom"/>
          </w:tcPr>
          <w:p>
            <w:pPr>
              <w:spacing w:after="0"/>
              <w:rPr>
                <w:sz w:val="16"/>
                <w:szCs w:val="16"/>
                <w:color w:val="auto"/>
              </w:rPr>
            </w:pPr>
          </w:p>
        </w:tc>
        <w:tc>
          <w:tcPr>
            <w:tcW w:w="220" w:type="dxa"/>
            <w:vAlign w:val="bottom"/>
          </w:tcPr>
          <w:p>
            <w:pPr>
              <w:jc w:val="right"/>
              <w:ind w:right="34"/>
              <w:spacing w:after="0" w:line="190" w:lineRule="exact"/>
              <w:rPr>
                <w:sz w:val="20"/>
                <w:szCs w:val="20"/>
                <w:color w:val="auto"/>
              </w:rPr>
            </w:pPr>
            <w:r>
              <w:rPr>
                <w:rFonts w:ascii="Arial" w:cs="Arial" w:eastAsia="Arial" w:hAnsi="Arial"/>
                <w:sz w:val="17"/>
                <w:szCs w:val="17"/>
                <w:color w:val="auto"/>
                <w:w w:val="84"/>
              </w:rPr>
              <w:t>$</w:t>
            </w:r>
          </w:p>
        </w:tc>
        <w:tc>
          <w:tcPr>
            <w:tcW w:w="1300" w:type="dxa"/>
            <w:vAlign w:val="bottom"/>
          </w:tcPr>
          <w:p>
            <w:pPr>
              <w:jc w:val="center"/>
              <w:ind w:left="897"/>
              <w:spacing w:after="0" w:line="190" w:lineRule="exact"/>
              <w:rPr>
                <w:sz w:val="20"/>
                <w:szCs w:val="20"/>
                <w:color w:val="auto"/>
              </w:rPr>
            </w:pPr>
            <w:r>
              <w:rPr>
                <w:rFonts w:ascii="Arial" w:cs="Arial" w:eastAsia="Arial" w:hAnsi="Arial"/>
                <w:sz w:val="17"/>
                <w:szCs w:val="17"/>
                <w:color w:val="auto"/>
                <w:w w:val="92"/>
              </w:rPr>
              <w:t>(25)</w:t>
            </w:r>
          </w:p>
        </w:tc>
        <w:tc>
          <w:tcPr>
            <w:tcW w:w="120" w:type="dxa"/>
            <w:vAlign w:val="bottom"/>
          </w:tcPr>
          <w:p>
            <w:pPr>
              <w:spacing w:after="0"/>
              <w:rPr>
                <w:sz w:val="16"/>
                <w:szCs w:val="16"/>
                <w:color w:val="auto"/>
              </w:rPr>
            </w:pPr>
          </w:p>
        </w:tc>
        <w:tc>
          <w:tcPr>
            <w:tcW w:w="340" w:type="dxa"/>
            <w:vAlign w:val="bottom"/>
          </w:tcPr>
          <w:p>
            <w:pPr>
              <w:jc w:val="right"/>
              <w:ind w:right="154"/>
              <w:spacing w:after="0" w:line="190" w:lineRule="exact"/>
              <w:rPr>
                <w:sz w:val="20"/>
                <w:szCs w:val="20"/>
                <w:color w:val="auto"/>
              </w:rPr>
            </w:pPr>
            <w:r>
              <w:rPr>
                <w:rFonts w:ascii="Arial" w:cs="Arial" w:eastAsia="Arial" w:hAnsi="Arial"/>
                <w:sz w:val="17"/>
                <w:szCs w:val="17"/>
                <w:color w:val="auto"/>
                <w:w w:val="84"/>
              </w:rPr>
              <w:t>$</w:t>
            </w:r>
          </w:p>
        </w:tc>
        <w:tc>
          <w:tcPr>
            <w:tcW w:w="1180" w:type="dxa"/>
            <w:vAlign w:val="bottom"/>
          </w:tcPr>
          <w:p>
            <w:pPr>
              <w:jc w:val="right"/>
              <w:spacing w:after="0" w:line="190" w:lineRule="exact"/>
              <w:rPr>
                <w:sz w:val="20"/>
                <w:szCs w:val="20"/>
                <w:color w:val="auto"/>
              </w:rPr>
            </w:pPr>
            <w:r>
              <w:rPr>
                <w:rFonts w:ascii="Arial" w:cs="Arial" w:eastAsia="Arial" w:hAnsi="Arial"/>
                <w:sz w:val="17"/>
                <w:szCs w:val="17"/>
                <w:color w:val="auto"/>
              </w:rPr>
              <w:t>261</w:t>
            </w:r>
          </w:p>
        </w:tc>
        <w:tc>
          <w:tcPr>
            <w:tcW w:w="0" w:type="dxa"/>
            <w:vAlign w:val="bottom"/>
          </w:tcPr>
          <w:p>
            <w:pPr>
              <w:spacing w:after="0"/>
              <w:rPr>
                <w:sz w:val="1"/>
                <w:szCs w:val="1"/>
                <w:color w:val="auto"/>
              </w:rPr>
            </w:pPr>
          </w:p>
        </w:tc>
      </w:tr>
      <w:tr>
        <w:trPr>
          <w:trHeight w:val="219"/>
        </w:trPr>
        <w:tc>
          <w:tcPr>
            <w:tcW w:w="484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Interest expense and other, net</w:t>
            </w:r>
          </w:p>
        </w:tc>
        <w:tc>
          <w:tcPr>
            <w:tcW w:w="106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center"/>
              <w:ind w:left="897"/>
              <w:spacing w:after="0"/>
              <w:rPr>
                <w:sz w:val="20"/>
                <w:szCs w:val="20"/>
                <w:color w:val="auto"/>
              </w:rPr>
            </w:pPr>
            <w:r>
              <w:rPr>
                <w:rFonts w:ascii="Arial" w:cs="Arial" w:eastAsia="Arial" w:hAnsi="Arial"/>
                <w:sz w:val="17"/>
                <w:szCs w:val="17"/>
                <w:color w:val="auto"/>
                <w:w w:val="92"/>
              </w:rPr>
              <w:t>(44)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820" w:type="dxa"/>
            <w:vAlign w:val="bottom"/>
            <w:gridSpan w:val="2"/>
          </w:tcPr>
          <w:p>
            <w:pPr>
              <w:ind w:left="460"/>
              <w:spacing w:after="0"/>
              <w:rPr>
                <w:sz w:val="20"/>
                <w:szCs w:val="20"/>
                <w:color w:val="auto"/>
              </w:rPr>
            </w:pPr>
            <w:r>
              <w:rPr>
                <w:rFonts w:ascii="Arial" w:cs="Arial" w:eastAsia="Arial" w:hAnsi="Arial"/>
                <w:sz w:val="17"/>
                <w:szCs w:val="17"/>
                <w:color w:val="auto"/>
              </w:rPr>
              <w:t>Income (loss) before income taxes</w:t>
            </w:r>
          </w:p>
        </w:tc>
        <w:tc>
          <w:tcPr>
            <w:tcW w:w="1060" w:type="dxa"/>
            <w:vAlign w:val="bottom"/>
            <w:tcBorders>
              <w:top w:val="single" w:sz="8" w:color="auto"/>
              <w:bottom w:val="single" w:sz="8" w:color="auto"/>
            </w:tcBorders>
          </w:tcPr>
          <w:p>
            <w:pPr>
              <w:jc w:val="right"/>
              <w:ind w:right="877"/>
              <w:spacing w:after="0"/>
              <w:rPr>
                <w:sz w:val="20"/>
                <w:szCs w:val="20"/>
                <w:color w:val="auto"/>
              </w:rPr>
            </w:pPr>
            <w:r>
              <w:rPr>
                <w:rFonts w:ascii="Arial" w:cs="Arial" w:eastAsia="Arial" w:hAnsi="Arial"/>
                <w:sz w:val="17"/>
                <w:szCs w:val="17"/>
                <w:color w:val="auto"/>
                <w:w w:val="84"/>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233</w:t>
            </w:r>
          </w:p>
        </w:tc>
        <w:tc>
          <w:tcPr>
            <w:tcW w:w="100" w:type="dxa"/>
            <w:vAlign w:val="bottom"/>
          </w:tcPr>
          <w:p>
            <w:pPr>
              <w:spacing w:after="0"/>
              <w:rPr>
                <w:sz w:val="18"/>
                <w:szCs w:val="18"/>
                <w:color w:val="auto"/>
              </w:rPr>
            </w:pPr>
          </w:p>
        </w:tc>
        <w:tc>
          <w:tcPr>
            <w:tcW w:w="1120" w:type="dxa"/>
            <w:vAlign w:val="bottom"/>
            <w:tcBorders>
              <w:top w:val="single" w:sz="8" w:color="auto"/>
              <w:bottom w:val="single" w:sz="8" w:color="auto"/>
            </w:tcBorders>
          </w:tcPr>
          <w:p>
            <w:pPr>
              <w:jc w:val="right"/>
              <w:ind w:right="937"/>
              <w:spacing w:after="0"/>
              <w:rPr>
                <w:sz w:val="20"/>
                <w:szCs w:val="20"/>
                <w:color w:val="auto"/>
              </w:rPr>
            </w:pPr>
            <w:r>
              <w:rPr>
                <w:rFonts w:ascii="Arial" w:cs="Arial" w:eastAsia="Arial" w:hAnsi="Arial"/>
                <w:sz w:val="17"/>
                <w:szCs w:val="17"/>
                <w:color w:val="auto"/>
                <w:w w:val="84"/>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53</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7"/>
                <w:szCs w:val="17"/>
                <w:color w:val="auto"/>
                <w:w w:val="84"/>
              </w:rPr>
              <w:t>$</w:t>
            </w:r>
          </w:p>
        </w:tc>
        <w:tc>
          <w:tcPr>
            <w:tcW w:w="1300" w:type="dxa"/>
            <w:vAlign w:val="bottom"/>
            <w:tcBorders>
              <w:top w:val="single" w:sz="8" w:color="auto"/>
              <w:bottom w:val="single" w:sz="8" w:color="auto"/>
            </w:tcBorders>
          </w:tcPr>
          <w:p>
            <w:pPr>
              <w:jc w:val="center"/>
              <w:ind w:left="897"/>
              <w:spacing w:after="0"/>
              <w:rPr>
                <w:sz w:val="20"/>
                <w:szCs w:val="20"/>
                <w:color w:val="auto"/>
              </w:rPr>
            </w:pPr>
            <w:r>
              <w:rPr>
                <w:rFonts w:ascii="Arial" w:cs="Arial" w:eastAsia="Arial" w:hAnsi="Arial"/>
                <w:sz w:val="17"/>
                <w:szCs w:val="17"/>
                <w:color w:val="auto"/>
                <w:w w:val="92"/>
              </w:rPr>
              <w:t>(69)</w:t>
            </w:r>
          </w:p>
        </w:tc>
        <w:tc>
          <w:tcPr>
            <w:tcW w:w="12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4"/>
              <w:spacing w:after="0"/>
              <w:rPr>
                <w:sz w:val="20"/>
                <w:szCs w:val="20"/>
                <w:color w:val="auto"/>
              </w:rPr>
            </w:pPr>
            <w:r>
              <w:rPr>
                <w:rFonts w:ascii="Arial" w:cs="Arial" w:eastAsia="Arial" w:hAnsi="Arial"/>
                <w:sz w:val="17"/>
                <w:szCs w:val="17"/>
                <w:color w:val="auto"/>
                <w:w w:val="84"/>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16" w:lineRule="exact"/>
        <w:rPr>
          <w:sz w:val="20"/>
          <w:szCs w:val="20"/>
          <w:color w:val="auto"/>
        </w:rPr>
      </w:pPr>
    </w:p>
    <w:p>
      <w:pPr>
        <w:ind w:left="620"/>
        <w:spacing w:after="0"/>
        <w:rPr>
          <w:sz w:val="20"/>
          <w:szCs w:val="20"/>
          <w:color w:val="auto"/>
        </w:rPr>
      </w:pPr>
      <w:r>
        <w:rPr>
          <w:rFonts w:ascii="Arial" w:cs="Arial" w:eastAsia="Arial" w:hAnsi="Arial"/>
          <w:sz w:val="17"/>
          <w:szCs w:val="17"/>
          <w:color w:val="auto"/>
        </w:rPr>
        <w:t>Segment financial information for the nine months ended September 30, 2023 is as follows: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vMerge w:val="restart"/>
          </w:tcPr>
          <w:p>
            <w:pPr>
              <w:ind w:left="60"/>
              <w:spacing w:after="0"/>
              <w:rPr>
                <w:sz w:val="20"/>
                <w:szCs w:val="20"/>
                <w:color w:val="auto"/>
              </w:rPr>
            </w:pPr>
            <w:r>
              <w:rPr>
                <w:rFonts w:ascii="Arial" w:cs="Arial" w:eastAsia="Arial" w:hAnsi="Arial"/>
                <w:sz w:val="15"/>
                <w:szCs w:val="15"/>
                <w:b w:val="1"/>
                <w:bCs w:val="1"/>
                <w:color w:val="auto"/>
              </w:rPr>
              <w:t>Freight Segment</w:t>
            </w:r>
          </w:p>
        </w:tc>
        <w:tc>
          <w:tcPr>
            <w:tcW w:w="160" w:type="dxa"/>
            <w:vAlign w:val="bottom"/>
          </w:tcPr>
          <w:p>
            <w:pPr>
              <w:spacing w:after="0"/>
              <w:rPr>
                <w:sz w:val="14"/>
                <w:szCs w:val="14"/>
                <w:color w:val="auto"/>
              </w:rPr>
            </w:pPr>
          </w:p>
        </w:tc>
        <w:tc>
          <w:tcPr>
            <w:tcW w:w="1460" w:type="dxa"/>
            <w:vAlign w:val="bottom"/>
            <w:gridSpan w:val="2"/>
            <w:vMerge w:val="restart"/>
          </w:tcPr>
          <w:p>
            <w:pPr>
              <w:ind w:left="60"/>
              <w:spacing w:after="0"/>
              <w:rPr>
                <w:sz w:val="20"/>
                <w:szCs w:val="20"/>
                <w:color w:val="auto"/>
              </w:rPr>
            </w:pPr>
            <w:r>
              <w:rPr>
                <w:rFonts w:ascii="Arial" w:cs="Arial" w:eastAsia="Arial" w:hAnsi="Arial"/>
                <w:sz w:val="15"/>
                <w:szCs w:val="15"/>
                <w:b w:val="1"/>
                <w:bCs w:val="1"/>
                <w:color w:val="auto"/>
              </w:rPr>
              <w:t>Transit Segment</w:t>
            </w:r>
          </w:p>
        </w:tc>
        <w:tc>
          <w:tcPr>
            <w:tcW w:w="1620" w:type="dxa"/>
            <w:vAlign w:val="bottom"/>
            <w:gridSpan w:val="3"/>
          </w:tcPr>
          <w:p>
            <w:pPr>
              <w:jc w:val="center"/>
              <w:ind w:right="100"/>
              <w:spacing w:after="0"/>
              <w:rPr>
                <w:sz w:val="20"/>
                <w:szCs w:val="20"/>
                <w:color w:val="auto"/>
              </w:rPr>
            </w:pPr>
            <w:r>
              <w:rPr>
                <w:rFonts w:ascii="Arial" w:cs="Arial" w:eastAsia="Arial" w:hAnsi="Arial"/>
                <w:sz w:val="15"/>
                <w:szCs w:val="15"/>
                <w:b w:val="1"/>
                <w:bCs w:val="1"/>
                <w:color w:val="auto"/>
                <w:w w:val="95"/>
              </w:rPr>
              <w:t>Corporate Activities</w:t>
            </w:r>
          </w:p>
        </w:tc>
        <w:tc>
          <w:tcPr>
            <w:tcW w:w="340" w:type="dxa"/>
            <w:vAlign w:val="bottom"/>
          </w:tcPr>
          <w:p>
            <w:pPr>
              <w:spacing w:after="0"/>
              <w:rPr>
                <w:sz w:val="14"/>
                <w:szCs w:val="14"/>
                <w:color w:val="auto"/>
              </w:rPr>
            </w:pPr>
          </w:p>
        </w:tc>
        <w:tc>
          <w:tcPr>
            <w:tcW w:w="1180" w:type="dxa"/>
            <w:vAlign w:val="bottom"/>
            <w:vMerge w:val="restart"/>
          </w:tcPr>
          <w:p>
            <w:pPr>
              <w:jc w:val="right"/>
              <w:ind w:right="515"/>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155"/>
        </w:trPr>
        <w:tc>
          <w:tcPr>
            <w:tcW w:w="4880" w:type="dxa"/>
            <w:vAlign w:val="bottom"/>
            <w:gridSpan w:val="3"/>
          </w:tcPr>
          <w:p>
            <w:pPr>
              <w:ind w:left="20"/>
              <w:spacing w:after="0" w:line="135" w:lineRule="exact"/>
              <w:rPr>
                <w:sz w:val="20"/>
                <w:szCs w:val="20"/>
                <w:color w:val="auto"/>
              </w:rPr>
            </w:pPr>
            <w:r>
              <w:rPr>
                <w:rFonts w:ascii="Arial" w:cs="Arial" w:eastAsia="Arial" w:hAnsi="Arial"/>
                <w:sz w:val="14"/>
                <w:szCs w:val="14"/>
                <w:b w:val="1"/>
                <w:bCs w:val="1"/>
                <w:i w:val="1"/>
                <w:iCs w:val="1"/>
                <w:color w:val="auto"/>
              </w:rPr>
              <w:t>In millions</w:t>
            </w:r>
          </w:p>
        </w:tc>
        <w:tc>
          <w:tcPr>
            <w:tcW w:w="160" w:type="dxa"/>
            <w:vAlign w:val="bottom"/>
          </w:tcPr>
          <w:p>
            <w:pPr>
              <w:spacing w:after="0"/>
              <w:rPr>
                <w:sz w:val="13"/>
                <w:szCs w:val="13"/>
                <w:color w:val="auto"/>
              </w:rPr>
            </w:pPr>
          </w:p>
        </w:tc>
        <w:tc>
          <w:tcPr>
            <w:tcW w:w="144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46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460" w:type="dxa"/>
            <w:vAlign w:val="bottom"/>
            <w:gridSpan w:val="2"/>
          </w:tcPr>
          <w:p>
            <w:pPr>
              <w:jc w:val="center"/>
              <w:ind w:right="260"/>
              <w:spacing w:after="0" w:line="135" w:lineRule="exact"/>
              <w:rPr>
                <w:sz w:val="20"/>
                <w:szCs w:val="20"/>
                <w:color w:val="auto"/>
              </w:rPr>
            </w:pPr>
            <w:r>
              <w:rPr>
                <w:rFonts w:ascii="Arial" w:cs="Arial" w:eastAsia="Arial" w:hAnsi="Arial"/>
                <w:sz w:val="15"/>
                <w:szCs w:val="15"/>
                <w:b w:val="1"/>
                <w:bCs w:val="1"/>
                <w:color w:val="auto"/>
                <w:w w:val="96"/>
              </w:rPr>
              <w:t>and Elimination</w:t>
            </w:r>
          </w:p>
        </w:tc>
        <w:tc>
          <w:tcPr>
            <w:tcW w:w="340" w:type="dxa"/>
            <w:vAlign w:val="bottom"/>
          </w:tcPr>
          <w:p>
            <w:pPr>
              <w:spacing w:after="0"/>
              <w:rPr>
                <w:sz w:val="13"/>
                <w:szCs w:val="13"/>
                <w:color w:val="auto"/>
              </w:rPr>
            </w:pPr>
          </w:p>
        </w:tc>
        <w:tc>
          <w:tcPr>
            <w:tcW w:w="11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2"/>
        </w:trPr>
        <w:tc>
          <w:tcPr>
            <w:tcW w:w="20" w:type="dxa"/>
            <w:vAlign w:val="bottom"/>
            <w:tcBorders>
              <w:bottom w:val="single" w:sz="8" w:color="CCEEFF"/>
            </w:tcBorders>
          </w:tcPr>
          <w:p>
            <w:pPr>
              <w:spacing w:after="0"/>
              <w:rPr>
                <w:sz w:val="2"/>
                <w:szCs w:val="2"/>
                <w:color w:val="auto"/>
              </w:rPr>
            </w:pPr>
          </w:p>
        </w:tc>
        <w:tc>
          <w:tcPr>
            <w:tcW w:w="620" w:type="dxa"/>
            <w:vAlign w:val="bottom"/>
            <w:tcBorders>
              <w:top w:val="single" w:sz="8" w:color="auto"/>
              <w:bottom w:val="single" w:sz="8" w:color="CCEEFF"/>
            </w:tcBorders>
          </w:tcPr>
          <w:p>
            <w:pPr>
              <w:spacing w:after="0"/>
              <w:rPr>
                <w:sz w:val="2"/>
                <w:szCs w:val="2"/>
                <w:color w:val="auto"/>
              </w:rPr>
            </w:pPr>
          </w:p>
        </w:tc>
        <w:tc>
          <w:tcPr>
            <w:tcW w:w="4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488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Sales to external customers</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5,164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1,987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60" w:type="dxa"/>
            <w:vAlign w:val="bottom"/>
            <w:gridSpan w:val="2"/>
            <w:shd w:val="clear" w:color="auto" w:fill="CCEEFF"/>
          </w:tcPr>
          <w:p>
            <w:pPr>
              <w:ind w:left="112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7,151</w:t>
            </w:r>
          </w:p>
        </w:tc>
        <w:tc>
          <w:tcPr>
            <w:tcW w:w="0" w:type="dxa"/>
            <w:vAlign w:val="bottom"/>
          </w:tcPr>
          <w:p>
            <w:pPr>
              <w:spacing w:after="0"/>
              <w:rPr>
                <w:sz w:val="1"/>
                <w:szCs w:val="1"/>
                <w:color w:val="auto"/>
              </w:rPr>
            </w:pPr>
          </w:p>
        </w:tc>
      </w:tr>
      <w:tr>
        <w:trPr>
          <w:trHeight w:val="218"/>
        </w:trPr>
        <w:tc>
          <w:tcPr>
            <w:tcW w:w="4880" w:type="dxa"/>
            <w:vAlign w:val="bottom"/>
            <w:tcBorders>
              <w:bottom w:val="single" w:sz="8" w:color="CCEEFF"/>
            </w:tcBorders>
            <w:gridSpan w:val="3"/>
          </w:tcPr>
          <w:p>
            <w:pPr>
              <w:ind w:left="20"/>
              <w:spacing w:after="0"/>
              <w:rPr>
                <w:sz w:val="20"/>
                <w:szCs w:val="20"/>
                <w:color w:val="auto"/>
              </w:rPr>
            </w:pPr>
            <w:r>
              <w:rPr>
                <w:rFonts w:ascii="Arial" w:cs="Arial" w:eastAsia="Arial" w:hAnsi="Arial"/>
                <w:sz w:val="17"/>
                <w:szCs w:val="17"/>
                <w:color w:val="auto"/>
              </w:rPr>
              <w:t>Intersegment sales/(elimination)</w:t>
            </w: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48</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(79)</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486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7"/>
                <w:szCs w:val="17"/>
                <w:color w:val="auto"/>
              </w:rPr>
              <w:t>Total sales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5,212</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2,018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(79)</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7,151</w:t>
            </w:r>
          </w:p>
        </w:tc>
        <w:tc>
          <w:tcPr>
            <w:tcW w:w="0" w:type="dxa"/>
            <w:vAlign w:val="bottom"/>
          </w:tcPr>
          <w:p>
            <w:pPr>
              <w:spacing w:after="0"/>
              <w:rPr>
                <w:sz w:val="1"/>
                <w:szCs w:val="1"/>
                <w:color w:val="auto"/>
              </w:rPr>
            </w:pPr>
          </w:p>
        </w:tc>
      </w:tr>
      <w:tr>
        <w:trPr>
          <w:trHeight w:val="20"/>
        </w:trPr>
        <w:tc>
          <w:tcPr>
            <w:tcW w:w="4880" w:type="dxa"/>
            <w:vAlign w:val="bottom"/>
            <w:tcBorders>
              <w:top w:val="single" w:sz="8" w:color="CCEEFF"/>
              <w:bottom w:val="single" w:sz="8" w:color="CCEEFF"/>
            </w:tcBorders>
            <w:gridSpan w:val="3"/>
            <w:vMerge w:val="restart"/>
          </w:tcPr>
          <w:p>
            <w:pPr>
              <w:ind w:left="20"/>
              <w:spacing w:after="0"/>
              <w:rPr>
                <w:sz w:val="20"/>
                <w:szCs w:val="20"/>
                <w:color w:val="auto"/>
              </w:rPr>
            </w:pPr>
            <w:r>
              <w:rPr>
                <w:rFonts w:ascii="Arial" w:cs="Arial" w:eastAsia="Arial" w:hAnsi="Arial"/>
                <w:sz w:val="17"/>
                <w:szCs w:val="17"/>
                <w:color w:val="auto"/>
              </w:rPr>
              <w:t>Income (loss) from operations</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880" w:type="dxa"/>
            <w:vAlign w:val="bottom"/>
            <w:gridSpan w:val="3"/>
            <w:vMerge w:val="continue"/>
          </w:tcPr>
          <w:p>
            <w:pPr>
              <w:spacing w:after="0"/>
              <w:rPr>
                <w:sz w:val="16"/>
                <w:szCs w:val="16"/>
                <w:color w:val="auto"/>
              </w:rPr>
            </w:pPr>
          </w:p>
        </w:tc>
        <w:tc>
          <w:tcPr>
            <w:tcW w:w="160" w:type="dxa"/>
            <w:vAlign w:val="bottom"/>
          </w:tcPr>
          <w:p>
            <w:pPr>
              <w:jc w:val="right"/>
              <w:spacing w:after="0" w:line="190" w:lineRule="exact"/>
              <w:rPr>
                <w:sz w:val="20"/>
                <w:szCs w:val="20"/>
                <w:color w:val="auto"/>
              </w:rPr>
            </w:pPr>
            <w:r>
              <w:rPr>
                <w:rFonts w:ascii="Arial" w:cs="Arial" w:eastAsia="Arial" w:hAnsi="Arial"/>
                <w:sz w:val="17"/>
                <w:szCs w:val="17"/>
                <w:color w:val="auto"/>
                <w:w w:val="84"/>
              </w:rPr>
              <w:t>$</w:t>
            </w:r>
          </w:p>
        </w:tc>
        <w:tc>
          <w:tcPr>
            <w:tcW w:w="1360" w:type="dxa"/>
            <w:vAlign w:val="bottom"/>
          </w:tcPr>
          <w:p>
            <w:pPr>
              <w:jc w:val="right"/>
              <w:spacing w:after="0" w:line="190" w:lineRule="exact"/>
              <w:rPr>
                <w:sz w:val="20"/>
                <w:szCs w:val="20"/>
                <w:color w:val="auto"/>
              </w:rPr>
            </w:pPr>
            <w:r>
              <w:rPr>
                <w:rFonts w:ascii="Arial" w:cs="Arial" w:eastAsia="Arial" w:hAnsi="Arial"/>
                <w:sz w:val="17"/>
                <w:szCs w:val="17"/>
                <w:color w:val="auto"/>
              </w:rPr>
              <w:t>825</w:t>
            </w:r>
          </w:p>
        </w:tc>
        <w:tc>
          <w:tcPr>
            <w:tcW w:w="80" w:type="dxa"/>
            <w:vAlign w:val="bottom"/>
          </w:tcPr>
          <w:p>
            <w:pPr>
              <w:spacing w:after="0"/>
              <w:rPr>
                <w:sz w:val="16"/>
                <w:szCs w:val="16"/>
                <w:color w:val="auto"/>
              </w:rPr>
            </w:pPr>
          </w:p>
        </w:tc>
        <w:tc>
          <w:tcPr>
            <w:tcW w:w="160" w:type="dxa"/>
            <w:vAlign w:val="bottom"/>
          </w:tcPr>
          <w:p>
            <w:pPr>
              <w:jc w:val="right"/>
              <w:spacing w:after="0" w:line="190" w:lineRule="exact"/>
              <w:rPr>
                <w:sz w:val="20"/>
                <w:szCs w:val="20"/>
                <w:color w:val="auto"/>
              </w:rPr>
            </w:pPr>
            <w:r>
              <w:rPr>
                <w:rFonts w:ascii="Arial" w:cs="Arial" w:eastAsia="Arial" w:hAnsi="Arial"/>
                <w:sz w:val="17"/>
                <w:szCs w:val="17"/>
                <w:color w:val="auto"/>
              </w:rPr>
              <w:t>$</w:t>
            </w:r>
          </w:p>
        </w:tc>
        <w:tc>
          <w:tcPr>
            <w:tcW w:w="1360" w:type="dxa"/>
            <w:vAlign w:val="bottom"/>
          </w:tcPr>
          <w:p>
            <w:pPr>
              <w:jc w:val="right"/>
              <w:spacing w:after="0" w:line="190" w:lineRule="exact"/>
              <w:rPr>
                <w:sz w:val="20"/>
                <w:szCs w:val="20"/>
                <w:color w:val="auto"/>
              </w:rPr>
            </w:pPr>
            <w:r>
              <w:rPr>
                <w:rFonts w:ascii="Arial" w:cs="Arial" w:eastAsia="Arial" w:hAnsi="Arial"/>
                <w:sz w:val="17"/>
                <w:szCs w:val="17"/>
                <w:color w:val="auto"/>
              </w:rPr>
              <w:t>203</w:t>
            </w:r>
          </w:p>
        </w:tc>
        <w:tc>
          <w:tcPr>
            <w:tcW w:w="100" w:type="dxa"/>
            <w:vAlign w:val="bottom"/>
          </w:tcPr>
          <w:p>
            <w:pPr>
              <w:spacing w:after="0"/>
              <w:rPr>
                <w:sz w:val="16"/>
                <w:szCs w:val="16"/>
                <w:color w:val="auto"/>
              </w:rPr>
            </w:pPr>
          </w:p>
        </w:tc>
        <w:tc>
          <w:tcPr>
            <w:tcW w:w="160" w:type="dxa"/>
            <w:vAlign w:val="bottom"/>
          </w:tcPr>
          <w:p>
            <w:pPr>
              <w:jc w:val="right"/>
              <w:spacing w:after="0" w:line="190" w:lineRule="exact"/>
              <w:rPr>
                <w:sz w:val="20"/>
                <w:szCs w:val="20"/>
                <w:color w:val="auto"/>
              </w:rPr>
            </w:pPr>
            <w:r>
              <w:rPr>
                <w:rFonts w:ascii="Arial" w:cs="Arial" w:eastAsia="Arial" w:hAnsi="Arial"/>
                <w:sz w:val="17"/>
                <w:szCs w:val="17"/>
                <w:color w:val="auto"/>
                <w:w w:val="84"/>
              </w:rPr>
              <w:t>$</w:t>
            </w:r>
          </w:p>
        </w:tc>
        <w:tc>
          <w:tcPr>
            <w:tcW w:w="1360" w:type="dxa"/>
            <w:vAlign w:val="bottom"/>
          </w:tcPr>
          <w:p>
            <w:pPr>
              <w:jc w:val="right"/>
              <w:spacing w:after="0" w:line="190" w:lineRule="exact"/>
              <w:rPr>
                <w:sz w:val="20"/>
                <w:szCs w:val="20"/>
                <w:color w:val="auto"/>
              </w:rPr>
            </w:pPr>
            <w:r>
              <w:rPr>
                <w:rFonts w:ascii="Arial" w:cs="Arial" w:eastAsia="Arial" w:hAnsi="Arial"/>
                <w:sz w:val="17"/>
                <w:szCs w:val="17"/>
                <w:color w:val="auto"/>
              </w:rPr>
              <w:t>(70)</w:t>
            </w:r>
          </w:p>
        </w:tc>
        <w:tc>
          <w:tcPr>
            <w:tcW w:w="100" w:type="dxa"/>
            <w:vAlign w:val="bottom"/>
          </w:tcPr>
          <w:p>
            <w:pPr>
              <w:spacing w:after="0"/>
              <w:rPr>
                <w:sz w:val="16"/>
                <w:szCs w:val="16"/>
                <w:color w:val="auto"/>
              </w:rPr>
            </w:pPr>
          </w:p>
        </w:tc>
        <w:tc>
          <w:tcPr>
            <w:tcW w:w="340" w:type="dxa"/>
            <w:vAlign w:val="bottom"/>
          </w:tcPr>
          <w:p>
            <w:pPr>
              <w:jc w:val="right"/>
              <w:ind w:right="154"/>
              <w:spacing w:after="0" w:line="190" w:lineRule="exact"/>
              <w:rPr>
                <w:sz w:val="20"/>
                <w:szCs w:val="20"/>
                <w:color w:val="auto"/>
              </w:rPr>
            </w:pPr>
            <w:r>
              <w:rPr>
                <w:rFonts w:ascii="Arial" w:cs="Arial" w:eastAsia="Arial" w:hAnsi="Arial"/>
                <w:sz w:val="17"/>
                <w:szCs w:val="17"/>
                <w:color w:val="auto"/>
                <w:w w:val="84"/>
              </w:rPr>
              <w:t>$</w:t>
            </w:r>
          </w:p>
        </w:tc>
        <w:tc>
          <w:tcPr>
            <w:tcW w:w="1180" w:type="dxa"/>
            <w:vAlign w:val="bottom"/>
          </w:tcPr>
          <w:p>
            <w:pPr>
              <w:jc w:val="right"/>
              <w:spacing w:after="0" w:line="190" w:lineRule="exact"/>
              <w:rPr>
                <w:sz w:val="20"/>
                <w:szCs w:val="20"/>
                <w:color w:val="auto"/>
              </w:rPr>
            </w:pPr>
            <w:r>
              <w:rPr>
                <w:rFonts w:ascii="Arial" w:cs="Arial" w:eastAsia="Arial" w:hAnsi="Arial"/>
                <w:sz w:val="17"/>
                <w:szCs w:val="17"/>
                <w:color w:val="auto"/>
              </w:rPr>
              <w:t>958</w:t>
            </w:r>
          </w:p>
        </w:tc>
        <w:tc>
          <w:tcPr>
            <w:tcW w:w="0" w:type="dxa"/>
            <w:vAlign w:val="bottom"/>
          </w:tcPr>
          <w:p>
            <w:pPr>
              <w:spacing w:after="0"/>
              <w:rPr>
                <w:sz w:val="1"/>
                <w:szCs w:val="1"/>
                <w:color w:val="auto"/>
              </w:rPr>
            </w:pPr>
          </w:p>
        </w:tc>
      </w:tr>
      <w:tr>
        <w:trPr>
          <w:trHeight w:val="219"/>
        </w:trPr>
        <w:tc>
          <w:tcPr>
            <w:tcW w:w="488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Interest expense and other, net</w:t>
            </w:r>
          </w:p>
        </w:tc>
        <w:tc>
          <w:tcPr>
            <w:tcW w:w="16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860" w:type="dxa"/>
            <w:vAlign w:val="bottom"/>
            <w:gridSpan w:val="2"/>
          </w:tcPr>
          <w:p>
            <w:pPr>
              <w:ind w:left="460"/>
              <w:spacing w:after="0"/>
              <w:rPr>
                <w:sz w:val="20"/>
                <w:szCs w:val="20"/>
                <w:color w:val="auto"/>
              </w:rPr>
            </w:pPr>
            <w:r>
              <w:rPr>
                <w:rFonts w:ascii="Arial" w:cs="Arial" w:eastAsia="Arial" w:hAnsi="Arial"/>
                <w:sz w:val="17"/>
                <w:szCs w:val="17"/>
                <w:color w:val="auto"/>
              </w:rPr>
              <w:t>Income (loss) before income taxes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825</w:t>
            </w: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203</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(216)</w:t>
            </w:r>
          </w:p>
        </w:tc>
        <w:tc>
          <w:tcPr>
            <w:tcW w:w="1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4"/>
              <w:spacing w:after="0"/>
              <w:rPr>
                <w:sz w:val="20"/>
                <w:szCs w:val="20"/>
                <w:color w:val="auto"/>
              </w:rPr>
            </w:pPr>
            <w:r>
              <w:rPr>
                <w:rFonts w:ascii="Arial" w:cs="Arial" w:eastAsia="Arial" w:hAnsi="Arial"/>
                <w:sz w:val="17"/>
                <w:szCs w:val="17"/>
                <w:color w:val="auto"/>
                <w:w w:val="84"/>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812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0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Segment financial information for the nine months ended September 30, 2022 is as follows: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40" w:type="dxa"/>
            <w:vAlign w:val="bottom"/>
            <w:gridSpan w:val="2"/>
            <w:vMerge w:val="restart"/>
          </w:tcPr>
          <w:p>
            <w:pPr>
              <w:ind w:left="60"/>
              <w:spacing w:after="0"/>
              <w:rPr>
                <w:sz w:val="20"/>
                <w:szCs w:val="20"/>
                <w:color w:val="auto"/>
              </w:rPr>
            </w:pPr>
            <w:r>
              <w:rPr>
                <w:rFonts w:ascii="Arial" w:cs="Arial" w:eastAsia="Arial" w:hAnsi="Arial"/>
                <w:sz w:val="15"/>
                <w:szCs w:val="15"/>
                <w:b w:val="1"/>
                <w:bCs w:val="1"/>
                <w:color w:val="auto"/>
              </w:rPr>
              <w:t>Freight Segment</w:t>
            </w:r>
          </w:p>
        </w:tc>
        <w:tc>
          <w:tcPr>
            <w:tcW w:w="160" w:type="dxa"/>
            <w:vAlign w:val="bottom"/>
          </w:tcPr>
          <w:p>
            <w:pPr>
              <w:spacing w:after="0"/>
              <w:rPr>
                <w:sz w:val="15"/>
                <w:szCs w:val="15"/>
                <w:color w:val="auto"/>
              </w:rPr>
            </w:pPr>
          </w:p>
        </w:tc>
        <w:tc>
          <w:tcPr>
            <w:tcW w:w="1460" w:type="dxa"/>
            <w:vAlign w:val="bottom"/>
            <w:gridSpan w:val="2"/>
            <w:vMerge w:val="restart"/>
          </w:tcPr>
          <w:p>
            <w:pPr>
              <w:ind w:left="60"/>
              <w:spacing w:after="0"/>
              <w:rPr>
                <w:sz w:val="20"/>
                <w:szCs w:val="20"/>
                <w:color w:val="auto"/>
              </w:rPr>
            </w:pPr>
            <w:r>
              <w:rPr>
                <w:rFonts w:ascii="Arial" w:cs="Arial" w:eastAsia="Arial" w:hAnsi="Arial"/>
                <w:sz w:val="15"/>
                <w:szCs w:val="15"/>
                <w:b w:val="1"/>
                <w:bCs w:val="1"/>
                <w:color w:val="auto"/>
              </w:rPr>
              <w:t>Transit Segment</w:t>
            </w:r>
          </w:p>
        </w:tc>
        <w:tc>
          <w:tcPr>
            <w:tcW w:w="1620" w:type="dxa"/>
            <w:vAlign w:val="bottom"/>
            <w:gridSpan w:val="3"/>
          </w:tcPr>
          <w:p>
            <w:pPr>
              <w:jc w:val="center"/>
              <w:ind w:right="100"/>
              <w:spacing w:after="0"/>
              <w:rPr>
                <w:sz w:val="20"/>
                <w:szCs w:val="20"/>
                <w:color w:val="auto"/>
              </w:rPr>
            </w:pPr>
            <w:r>
              <w:rPr>
                <w:rFonts w:ascii="Arial" w:cs="Arial" w:eastAsia="Arial" w:hAnsi="Arial"/>
                <w:sz w:val="15"/>
                <w:szCs w:val="15"/>
                <w:b w:val="1"/>
                <w:bCs w:val="1"/>
                <w:color w:val="auto"/>
                <w:w w:val="95"/>
              </w:rPr>
              <w:t>Corporate Activities</w:t>
            </w:r>
          </w:p>
        </w:tc>
        <w:tc>
          <w:tcPr>
            <w:tcW w:w="340" w:type="dxa"/>
            <w:vAlign w:val="bottom"/>
          </w:tcPr>
          <w:p>
            <w:pPr>
              <w:spacing w:after="0"/>
              <w:rPr>
                <w:sz w:val="15"/>
                <w:szCs w:val="15"/>
                <w:color w:val="auto"/>
              </w:rPr>
            </w:pPr>
          </w:p>
        </w:tc>
        <w:tc>
          <w:tcPr>
            <w:tcW w:w="1180" w:type="dxa"/>
            <w:vAlign w:val="bottom"/>
            <w:vMerge w:val="restart"/>
          </w:tcPr>
          <w:p>
            <w:pPr>
              <w:jc w:val="right"/>
              <w:ind w:right="515"/>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155"/>
        </w:trPr>
        <w:tc>
          <w:tcPr>
            <w:tcW w:w="4880" w:type="dxa"/>
            <w:vAlign w:val="bottom"/>
            <w:gridSpan w:val="3"/>
          </w:tcPr>
          <w:p>
            <w:pPr>
              <w:ind w:left="20"/>
              <w:spacing w:after="0" w:line="135" w:lineRule="exact"/>
              <w:rPr>
                <w:sz w:val="20"/>
                <w:szCs w:val="20"/>
                <w:color w:val="auto"/>
              </w:rPr>
            </w:pPr>
            <w:r>
              <w:rPr>
                <w:rFonts w:ascii="Arial" w:cs="Arial" w:eastAsia="Arial" w:hAnsi="Arial"/>
                <w:sz w:val="14"/>
                <w:szCs w:val="14"/>
                <w:b w:val="1"/>
                <w:bCs w:val="1"/>
                <w:i w:val="1"/>
                <w:iCs w:val="1"/>
                <w:color w:val="auto"/>
              </w:rPr>
              <w:t>In millions</w:t>
            </w:r>
          </w:p>
        </w:tc>
        <w:tc>
          <w:tcPr>
            <w:tcW w:w="160" w:type="dxa"/>
            <w:vAlign w:val="bottom"/>
          </w:tcPr>
          <w:p>
            <w:pPr>
              <w:spacing w:after="0"/>
              <w:rPr>
                <w:sz w:val="13"/>
                <w:szCs w:val="13"/>
                <w:color w:val="auto"/>
              </w:rPr>
            </w:pPr>
          </w:p>
        </w:tc>
        <w:tc>
          <w:tcPr>
            <w:tcW w:w="144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46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460" w:type="dxa"/>
            <w:vAlign w:val="bottom"/>
            <w:gridSpan w:val="2"/>
          </w:tcPr>
          <w:p>
            <w:pPr>
              <w:jc w:val="center"/>
              <w:ind w:right="260"/>
              <w:spacing w:after="0" w:line="135" w:lineRule="exact"/>
              <w:rPr>
                <w:sz w:val="20"/>
                <w:szCs w:val="20"/>
                <w:color w:val="auto"/>
              </w:rPr>
            </w:pPr>
            <w:r>
              <w:rPr>
                <w:rFonts w:ascii="Arial" w:cs="Arial" w:eastAsia="Arial" w:hAnsi="Arial"/>
                <w:sz w:val="15"/>
                <w:szCs w:val="15"/>
                <w:b w:val="1"/>
                <w:bCs w:val="1"/>
                <w:color w:val="auto"/>
                <w:w w:val="96"/>
              </w:rPr>
              <w:t>and Elimination</w:t>
            </w:r>
          </w:p>
        </w:tc>
        <w:tc>
          <w:tcPr>
            <w:tcW w:w="340" w:type="dxa"/>
            <w:vAlign w:val="bottom"/>
          </w:tcPr>
          <w:p>
            <w:pPr>
              <w:spacing w:after="0"/>
              <w:rPr>
                <w:sz w:val="13"/>
                <w:szCs w:val="13"/>
                <w:color w:val="auto"/>
              </w:rPr>
            </w:pPr>
          </w:p>
        </w:tc>
        <w:tc>
          <w:tcPr>
            <w:tcW w:w="11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2"/>
        </w:trPr>
        <w:tc>
          <w:tcPr>
            <w:tcW w:w="20" w:type="dxa"/>
            <w:vAlign w:val="bottom"/>
            <w:tcBorders>
              <w:bottom w:val="single" w:sz="8" w:color="CCEEFF"/>
            </w:tcBorders>
          </w:tcPr>
          <w:p>
            <w:pPr>
              <w:spacing w:after="0"/>
              <w:rPr>
                <w:sz w:val="2"/>
                <w:szCs w:val="2"/>
                <w:color w:val="auto"/>
              </w:rPr>
            </w:pPr>
          </w:p>
        </w:tc>
        <w:tc>
          <w:tcPr>
            <w:tcW w:w="620" w:type="dxa"/>
            <w:vAlign w:val="bottom"/>
            <w:tcBorders>
              <w:top w:val="single" w:sz="8" w:color="auto"/>
              <w:bottom w:val="single" w:sz="8" w:color="CCEEFF"/>
            </w:tcBorders>
          </w:tcPr>
          <w:p>
            <w:pPr>
              <w:spacing w:after="0"/>
              <w:rPr>
                <w:sz w:val="2"/>
                <w:szCs w:val="2"/>
                <w:color w:val="auto"/>
              </w:rPr>
            </w:pPr>
          </w:p>
        </w:tc>
        <w:tc>
          <w:tcPr>
            <w:tcW w:w="4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488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Sales to external customers</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4,343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1,713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60" w:type="dxa"/>
            <w:vAlign w:val="bottom"/>
            <w:gridSpan w:val="2"/>
            <w:shd w:val="clear" w:color="auto" w:fill="CCEEFF"/>
          </w:tcPr>
          <w:p>
            <w:pPr>
              <w:ind w:left="112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6,056</w:t>
            </w:r>
          </w:p>
        </w:tc>
        <w:tc>
          <w:tcPr>
            <w:tcW w:w="0" w:type="dxa"/>
            <w:vAlign w:val="bottom"/>
          </w:tcPr>
          <w:p>
            <w:pPr>
              <w:spacing w:after="0"/>
              <w:rPr>
                <w:sz w:val="1"/>
                <w:szCs w:val="1"/>
                <w:color w:val="auto"/>
              </w:rPr>
            </w:pPr>
          </w:p>
        </w:tc>
      </w:tr>
      <w:tr>
        <w:trPr>
          <w:trHeight w:val="218"/>
        </w:trPr>
        <w:tc>
          <w:tcPr>
            <w:tcW w:w="4880" w:type="dxa"/>
            <w:vAlign w:val="bottom"/>
            <w:tcBorders>
              <w:bottom w:val="single" w:sz="8" w:color="CCEEFF"/>
            </w:tcBorders>
            <w:gridSpan w:val="3"/>
          </w:tcPr>
          <w:p>
            <w:pPr>
              <w:ind w:left="20"/>
              <w:spacing w:after="0"/>
              <w:rPr>
                <w:sz w:val="20"/>
                <w:szCs w:val="20"/>
                <w:color w:val="auto"/>
              </w:rPr>
            </w:pPr>
            <w:r>
              <w:rPr>
                <w:rFonts w:ascii="Arial" w:cs="Arial" w:eastAsia="Arial" w:hAnsi="Arial"/>
                <w:sz w:val="17"/>
                <w:szCs w:val="17"/>
                <w:color w:val="auto"/>
              </w:rPr>
              <w:t>Intersegment sales/(elimination)</w:t>
            </w: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(62)</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486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7"/>
                <w:szCs w:val="17"/>
                <w:color w:val="auto"/>
              </w:rPr>
              <w:t>Total sales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4,381</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1,737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(62)</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6,056</w:t>
            </w:r>
          </w:p>
        </w:tc>
        <w:tc>
          <w:tcPr>
            <w:tcW w:w="0" w:type="dxa"/>
            <w:vAlign w:val="bottom"/>
          </w:tcPr>
          <w:p>
            <w:pPr>
              <w:spacing w:after="0"/>
              <w:rPr>
                <w:sz w:val="1"/>
                <w:szCs w:val="1"/>
                <w:color w:val="auto"/>
              </w:rPr>
            </w:pPr>
          </w:p>
        </w:tc>
      </w:tr>
      <w:tr>
        <w:trPr>
          <w:trHeight w:val="20"/>
        </w:trPr>
        <w:tc>
          <w:tcPr>
            <w:tcW w:w="4880" w:type="dxa"/>
            <w:vAlign w:val="bottom"/>
            <w:tcBorders>
              <w:top w:val="single" w:sz="8" w:color="CCEEFF"/>
              <w:bottom w:val="single" w:sz="8" w:color="CCEEFF"/>
            </w:tcBorders>
            <w:gridSpan w:val="3"/>
            <w:vMerge w:val="restart"/>
          </w:tcPr>
          <w:p>
            <w:pPr>
              <w:ind w:left="20"/>
              <w:spacing w:after="0"/>
              <w:rPr>
                <w:sz w:val="20"/>
                <w:szCs w:val="20"/>
                <w:color w:val="auto"/>
              </w:rPr>
            </w:pPr>
            <w:r>
              <w:rPr>
                <w:rFonts w:ascii="Arial" w:cs="Arial" w:eastAsia="Arial" w:hAnsi="Arial"/>
                <w:sz w:val="17"/>
                <w:szCs w:val="17"/>
                <w:color w:val="auto"/>
              </w:rPr>
              <w:t>Income (loss) from operations</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880" w:type="dxa"/>
            <w:vAlign w:val="bottom"/>
            <w:gridSpan w:val="3"/>
            <w:vMerge w:val="continue"/>
          </w:tcPr>
          <w:p>
            <w:pPr>
              <w:spacing w:after="0"/>
              <w:rPr>
                <w:sz w:val="16"/>
                <w:szCs w:val="16"/>
                <w:color w:val="auto"/>
              </w:rPr>
            </w:pPr>
          </w:p>
        </w:tc>
        <w:tc>
          <w:tcPr>
            <w:tcW w:w="160" w:type="dxa"/>
            <w:vAlign w:val="bottom"/>
          </w:tcPr>
          <w:p>
            <w:pPr>
              <w:jc w:val="right"/>
              <w:spacing w:after="0" w:line="190" w:lineRule="exact"/>
              <w:rPr>
                <w:sz w:val="20"/>
                <w:szCs w:val="20"/>
                <w:color w:val="auto"/>
              </w:rPr>
            </w:pPr>
            <w:r>
              <w:rPr>
                <w:rFonts w:ascii="Arial" w:cs="Arial" w:eastAsia="Arial" w:hAnsi="Arial"/>
                <w:sz w:val="17"/>
                <w:szCs w:val="17"/>
                <w:color w:val="auto"/>
                <w:w w:val="84"/>
              </w:rPr>
              <w:t>$</w:t>
            </w:r>
          </w:p>
        </w:tc>
        <w:tc>
          <w:tcPr>
            <w:tcW w:w="1360" w:type="dxa"/>
            <w:vAlign w:val="bottom"/>
          </w:tcPr>
          <w:p>
            <w:pPr>
              <w:jc w:val="right"/>
              <w:spacing w:after="0" w:line="190" w:lineRule="exact"/>
              <w:rPr>
                <w:sz w:val="20"/>
                <w:szCs w:val="20"/>
                <w:color w:val="auto"/>
              </w:rPr>
            </w:pPr>
            <w:r>
              <w:rPr>
                <w:rFonts w:ascii="Arial" w:cs="Arial" w:eastAsia="Arial" w:hAnsi="Arial"/>
                <w:sz w:val="17"/>
                <w:szCs w:val="17"/>
                <w:color w:val="auto"/>
              </w:rPr>
              <w:t>655</w:t>
            </w:r>
          </w:p>
        </w:tc>
        <w:tc>
          <w:tcPr>
            <w:tcW w:w="80" w:type="dxa"/>
            <w:vAlign w:val="bottom"/>
          </w:tcPr>
          <w:p>
            <w:pPr>
              <w:spacing w:after="0"/>
              <w:rPr>
                <w:sz w:val="16"/>
                <w:szCs w:val="16"/>
                <w:color w:val="auto"/>
              </w:rPr>
            </w:pPr>
          </w:p>
        </w:tc>
        <w:tc>
          <w:tcPr>
            <w:tcW w:w="160" w:type="dxa"/>
            <w:vAlign w:val="bottom"/>
          </w:tcPr>
          <w:p>
            <w:pPr>
              <w:jc w:val="right"/>
              <w:spacing w:after="0" w:line="190" w:lineRule="exact"/>
              <w:rPr>
                <w:sz w:val="20"/>
                <w:szCs w:val="20"/>
                <w:color w:val="auto"/>
              </w:rPr>
            </w:pPr>
            <w:r>
              <w:rPr>
                <w:rFonts w:ascii="Arial" w:cs="Arial" w:eastAsia="Arial" w:hAnsi="Arial"/>
                <w:sz w:val="17"/>
                <w:szCs w:val="17"/>
                <w:color w:val="auto"/>
              </w:rPr>
              <w:t>$</w:t>
            </w:r>
          </w:p>
        </w:tc>
        <w:tc>
          <w:tcPr>
            <w:tcW w:w="1360" w:type="dxa"/>
            <w:vAlign w:val="bottom"/>
          </w:tcPr>
          <w:p>
            <w:pPr>
              <w:jc w:val="right"/>
              <w:spacing w:after="0" w:line="190" w:lineRule="exact"/>
              <w:rPr>
                <w:sz w:val="20"/>
                <w:szCs w:val="20"/>
                <w:color w:val="auto"/>
              </w:rPr>
            </w:pPr>
            <w:r>
              <w:rPr>
                <w:rFonts w:ascii="Arial" w:cs="Arial" w:eastAsia="Arial" w:hAnsi="Arial"/>
                <w:sz w:val="17"/>
                <w:szCs w:val="17"/>
                <w:color w:val="auto"/>
              </w:rPr>
              <w:t>168</w:t>
            </w:r>
          </w:p>
        </w:tc>
        <w:tc>
          <w:tcPr>
            <w:tcW w:w="100" w:type="dxa"/>
            <w:vAlign w:val="bottom"/>
          </w:tcPr>
          <w:p>
            <w:pPr>
              <w:spacing w:after="0"/>
              <w:rPr>
                <w:sz w:val="16"/>
                <w:szCs w:val="16"/>
                <w:color w:val="auto"/>
              </w:rPr>
            </w:pPr>
          </w:p>
        </w:tc>
        <w:tc>
          <w:tcPr>
            <w:tcW w:w="160" w:type="dxa"/>
            <w:vAlign w:val="bottom"/>
          </w:tcPr>
          <w:p>
            <w:pPr>
              <w:jc w:val="right"/>
              <w:spacing w:after="0" w:line="190" w:lineRule="exact"/>
              <w:rPr>
                <w:sz w:val="20"/>
                <w:szCs w:val="20"/>
                <w:color w:val="auto"/>
              </w:rPr>
            </w:pPr>
            <w:r>
              <w:rPr>
                <w:rFonts w:ascii="Arial" w:cs="Arial" w:eastAsia="Arial" w:hAnsi="Arial"/>
                <w:sz w:val="17"/>
                <w:szCs w:val="17"/>
                <w:color w:val="auto"/>
                <w:w w:val="84"/>
              </w:rPr>
              <w:t>$</w:t>
            </w:r>
          </w:p>
        </w:tc>
        <w:tc>
          <w:tcPr>
            <w:tcW w:w="1360" w:type="dxa"/>
            <w:vAlign w:val="bottom"/>
          </w:tcPr>
          <w:p>
            <w:pPr>
              <w:jc w:val="right"/>
              <w:spacing w:after="0" w:line="190" w:lineRule="exact"/>
              <w:rPr>
                <w:sz w:val="20"/>
                <w:szCs w:val="20"/>
                <w:color w:val="auto"/>
              </w:rPr>
            </w:pPr>
            <w:r>
              <w:rPr>
                <w:rFonts w:ascii="Arial" w:cs="Arial" w:eastAsia="Arial" w:hAnsi="Arial"/>
                <w:sz w:val="17"/>
                <w:szCs w:val="17"/>
                <w:color w:val="auto"/>
              </w:rPr>
              <w:t>(59)</w:t>
            </w:r>
          </w:p>
        </w:tc>
        <w:tc>
          <w:tcPr>
            <w:tcW w:w="100" w:type="dxa"/>
            <w:vAlign w:val="bottom"/>
          </w:tcPr>
          <w:p>
            <w:pPr>
              <w:spacing w:after="0"/>
              <w:rPr>
                <w:sz w:val="16"/>
                <w:szCs w:val="16"/>
                <w:color w:val="auto"/>
              </w:rPr>
            </w:pPr>
          </w:p>
        </w:tc>
        <w:tc>
          <w:tcPr>
            <w:tcW w:w="340" w:type="dxa"/>
            <w:vAlign w:val="bottom"/>
          </w:tcPr>
          <w:p>
            <w:pPr>
              <w:jc w:val="right"/>
              <w:ind w:right="154"/>
              <w:spacing w:after="0" w:line="190" w:lineRule="exact"/>
              <w:rPr>
                <w:sz w:val="20"/>
                <w:szCs w:val="20"/>
                <w:color w:val="auto"/>
              </w:rPr>
            </w:pPr>
            <w:r>
              <w:rPr>
                <w:rFonts w:ascii="Arial" w:cs="Arial" w:eastAsia="Arial" w:hAnsi="Arial"/>
                <w:sz w:val="17"/>
                <w:szCs w:val="17"/>
                <w:color w:val="auto"/>
                <w:w w:val="84"/>
              </w:rPr>
              <w:t>$</w:t>
            </w:r>
          </w:p>
        </w:tc>
        <w:tc>
          <w:tcPr>
            <w:tcW w:w="1180" w:type="dxa"/>
            <w:vAlign w:val="bottom"/>
          </w:tcPr>
          <w:p>
            <w:pPr>
              <w:jc w:val="right"/>
              <w:spacing w:after="0" w:line="190" w:lineRule="exact"/>
              <w:rPr>
                <w:sz w:val="20"/>
                <w:szCs w:val="20"/>
                <w:color w:val="auto"/>
              </w:rPr>
            </w:pPr>
            <w:r>
              <w:rPr>
                <w:rFonts w:ascii="Arial" w:cs="Arial" w:eastAsia="Arial" w:hAnsi="Arial"/>
                <w:sz w:val="17"/>
                <w:szCs w:val="17"/>
                <w:color w:val="auto"/>
              </w:rPr>
              <w:t>764</w:t>
            </w:r>
          </w:p>
        </w:tc>
        <w:tc>
          <w:tcPr>
            <w:tcW w:w="0" w:type="dxa"/>
            <w:vAlign w:val="bottom"/>
          </w:tcPr>
          <w:p>
            <w:pPr>
              <w:spacing w:after="0"/>
              <w:rPr>
                <w:sz w:val="1"/>
                <w:szCs w:val="1"/>
                <w:color w:val="auto"/>
              </w:rPr>
            </w:pPr>
          </w:p>
        </w:tc>
      </w:tr>
      <w:tr>
        <w:trPr>
          <w:trHeight w:val="219"/>
        </w:trPr>
        <w:tc>
          <w:tcPr>
            <w:tcW w:w="488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Interest expense and other, net</w:t>
            </w:r>
          </w:p>
        </w:tc>
        <w:tc>
          <w:tcPr>
            <w:tcW w:w="16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860" w:type="dxa"/>
            <w:vAlign w:val="bottom"/>
            <w:gridSpan w:val="2"/>
          </w:tcPr>
          <w:p>
            <w:pPr>
              <w:ind w:left="460"/>
              <w:spacing w:after="0"/>
              <w:rPr>
                <w:sz w:val="20"/>
                <w:szCs w:val="20"/>
                <w:color w:val="auto"/>
              </w:rPr>
            </w:pPr>
            <w:r>
              <w:rPr>
                <w:rFonts w:ascii="Arial" w:cs="Arial" w:eastAsia="Arial" w:hAnsi="Arial"/>
                <w:sz w:val="17"/>
                <w:szCs w:val="17"/>
                <w:color w:val="auto"/>
              </w:rPr>
              <w:t>Income (loss) before income taxes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655</w:t>
            </w: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168</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(179)</w:t>
            </w:r>
          </w:p>
        </w:tc>
        <w:tc>
          <w:tcPr>
            <w:tcW w:w="1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4"/>
              <w:spacing w:after="0"/>
              <w:rPr>
                <w:sz w:val="20"/>
                <w:szCs w:val="20"/>
                <w:color w:val="auto"/>
              </w:rPr>
            </w:pPr>
            <w:r>
              <w:rPr>
                <w:rFonts w:ascii="Arial" w:cs="Arial" w:eastAsia="Arial" w:hAnsi="Arial"/>
                <w:sz w:val="17"/>
                <w:szCs w:val="17"/>
                <w:color w:val="auto"/>
                <w:w w:val="84"/>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4"/>
        </w:trPr>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jc w:val="right"/>
              <w:ind w:right="615"/>
              <w:spacing w:after="0"/>
              <w:rPr>
                <w:sz w:val="20"/>
                <w:szCs w:val="20"/>
                <w:color w:val="auto"/>
              </w:rPr>
            </w:pPr>
            <w:r>
              <w:rPr>
                <w:rFonts w:ascii="Arial" w:cs="Arial" w:eastAsia="Arial" w:hAnsi="Arial"/>
                <w:sz w:val="17"/>
                <w:szCs w:val="17"/>
                <w:color w:val="auto"/>
              </w:rPr>
              <w:t>23</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424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004" w:right="339" w:bottom="1440" w:gutter="0" w:footer="0" w:header="0"/>
        </w:sectPr>
      </w:pPr>
    </w:p>
    <w:bookmarkStart w:id="23" w:name="page24"/>
    <w:bookmarkEnd w:id="23"/>
    <w:p>
      <w:pPr>
        <w:ind w:left="460"/>
        <w:spacing w:after="0"/>
        <w:rPr>
          <w:sz w:val="20"/>
          <w:szCs w:val="20"/>
          <w:color w:val="auto"/>
        </w:rPr>
      </w:pPr>
      <w:r>
        <w:rPr>
          <w:rFonts w:ascii="Arial" w:cs="Arial" w:eastAsia="Arial" w:hAnsi="Arial"/>
          <w:sz w:val="17"/>
          <w:szCs w:val="17"/>
          <w:color w:val="auto"/>
        </w:rPr>
        <w:t>Sales to external customers by product line are as follows: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60" w:type="dxa"/>
            <w:vAlign w:val="bottom"/>
            <w:gridSpan w:val="7"/>
          </w:tcPr>
          <w:p>
            <w:pPr>
              <w:jc w:val="center"/>
              <w:ind w:right="440"/>
              <w:spacing w:after="0"/>
              <w:rPr>
                <w:sz w:val="20"/>
                <w:szCs w:val="20"/>
                <w:color w:val="auto"/>
              </w:rPr>
            </w:pPr>
            <w:r>
              <w:rPr>
                <w:rFonts w:ascii="Arial" w:cs="Arial" w:eastAsia="Arial" w:hAnsi="Arial"/>
                <w:sz w:val="15"/>
                <w:szCs w:val="15"/>
                <w:b w:val="1"/>
                <w:bCs w:val="1"/>
                <w:color w:val="auto"/>
                <w:w w:val="95"/>
              </w:rPr>
              <w:t>Three Months Ended</w:t>
            </w: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780" w:type="dxa"/>
            <w:vAlign w:val="bottom"/>
            <w:gridSpan w:val="4"/>
          </w:tcPr>
          <w:p>
            <w:pPr>
              <w:jc w:val="center"/>
              <w:ind w:right="255"/>
              <w:spacing w:after="0"/>
              <w:rPr>
                <w:sz w:val="20"/>
                <w:szCs w:val="20"/>
                <w:color w:val="auto"/>
              </w:rPr>
            </w:pPr>
            <w:r>
              <w:rPr>
                <w:rFonts w:ascii="Arial" w:cs="Arial" w:eastAsia="Arial" w:hAnsi="Arial"/>
                <w:sz w:val="15"/>
                <w:szCs w:val="15"/>
                <w:b w:val="1"/>
                <w:bCs w:val="1"/>
                <w:color w:val="auto"/>
                <w:w w:val="94"/>
              </w:rPr>
              <w:t>Nine Months Ended</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2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4"/>
          </w:tcPr>
          <w:p>
            <w:pPr>
              <w:jc w:val="center"/>
              <w:ind w:left="557"/>
              <w:spacing w:after="0"/>
              <w:rPr>
                <w:sz w:val="20"/>
                <w:szCs w:val="20"/>
                <w:color w:val="auto"/>
              </w:rPr>
            </w:pPr>
            <w:r>
              <w:rPr>
                <w:rFonts w:ascii="Arial" w:cs="Arial" w:eastAsia="Arial" w:hAnsi="Arial"/>
                <w:sz w:val="15"/>
                <w:szCs w:val="15"/>
                <w:b w:val="1"/>
                <w:bCs w:val="1"/>
                <w:color w:val="auto"/>
                <w:w w:val="91"/>
              </w:rPr>
              <w:t>September 30,</w:t>
            </w:r>
          </w:p>
        </w:tc>
        <w:tc>
          <w:tcPr>
            <w:tcW w:w="98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3"/>
          </w:tcPr>
          <w:p>
            <w:pPr>
              <w:jc w:val="center"/>
              <w:ind w:left="557"/>
              <w:spacing w:after="0"/>
              <w:rPr>
                <w:sz w:val="20"/>
                <w:szCs w:val="20"/>
                <w:color w:val="auto"/>
              </w:rPr>
            </w:pPr>
            <w:r>
              <w:rPr>
                <w:rFonts w:ascii="Arial" w:cs="Arial" w:eastAsia="Arial" w:hAnsi="Arial"/>
                <w:sz w:val="15"/>
                <w:szCs w:val="15"/>
                <w:b w:val="1"/>
                <w:bCs w:val="1"/>
                <w:color w:val="auto"/>
                <w:w w:val="91"/>
              </w:rPr>
              <w:t>September 30,</w:t>
            </w:r>
          </w:p>
        </w:tc>
        <w:tc>
          <w:tcPr>
            <w:tcW w:w="10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4880" w:type="dxa"/>
            <w:vAlign w:val="bottom"/>
            <w:gridSpan w:val="3"/>
          </w:tcPr>
          <w:p>
            <w:pPr>
              <w:ind w:left="20"/>
              <w:spacing w:after="0" w:line="135" w:lineRule="exact"/>
              <w:rPr>
                <w:sz w:val="20"/>
                <w:szCs w:val="20"/>
                <w:color w:val="auto"/>
              </w:rPr>
            </w:pPr>
            <w:r>
              <w:rPr>
                <w:rFonts w:ascii="Arial" w:cs="Arial" w:eastAsia="Arial" w:hAnsi="Arial"/>
                <w:sz w:val="14"/>
                <w:szCs w:val="14"/>
                <w:b w:val="1"/>
                <w:bCs w:val="1"/>
                <w:i w:val="1"/>
                <w:iCs w:val="1"/>
                <w:color w:val="auto"/>
              </w:rPr>
              <w:t>In millions</w:t>
            </w: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60" w:type="dxa"/>
            <w:vAlign w:val="bottom"/>
          </w:tcPr>
          <w:p>
            <w:pPr>
              <w:jc w:val="right"/>
              <w:ind w:right="517"/>
              <w:spacing w:after="0" w:line="135" w:lineRule="exact"/>
              <w:rPr>
                <w:sz w:val="20"/>
                <w:szCs w:val="20"/>
                <w:color w:val="auto"/>
              </w:rPr>
            </w:pPr>
            <w:r>
              <w:rPr>
                <w:rFonts w:ascii="Arial" w:cs="Arial" w:eastAsia="Arial" w:hAnsi="Arial"/>
                <w:sz w:val="15"/>
                <w:szCs w:val="15"/>
                <w:b w:val="1"/>
                <w:bCs w:val="1"/>
                <w:color w:val="auto"/>
              </w:rPr>
              <w:t>2023</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80" w:type="dxa"/>
            <w:vAlign w:val="bottom"/>
          </w:tcPr>
          <w:p>
            <w:pPr>
              <w:jc w:val="right"/>
              <w:ind w:right="515"/>
              <w:spacing w:after="0" w:line="135" w:lineRule="exact"/>
              <w:rPr>
                <w:sz w:val="20"/>
                <w:szCs w:val="20"/>
                <w:color w:val="auto"/>
              </w:rPr>
            </w:pPr>
            <w:r>
              <w:rPr>
                <w:rFonts w:ascii="Arial" w:cs="Arial" w:eastAsia="Arial" w:hAnsi="Arial"/>
                <w:sz w:val="15"/>
                <w:szCs w:val="15"/>
                <w:b w:val="1"/>
                <w:bCs w:val="1"/>
                <w:color w:val="auto"/>
              </w:rPr>
              <w:t>2022</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60" w:type="dxa"/>
            <w:vAlign w:val="bottom"/>
          </w:tcPr>
          <w:p>
            <w:pPr>
              <w:jc w:val="right"/>
              <w:ind w:right="517"/>
              <w:spacing w:after="0" w:line="135" w:lineRule="exact"/>
              <w:rPr>
                <w:sz w:val="20"/>
                <w:szCs w:val="20"/>
                <w:color w:val="auto"/>
              </w:rPr>
            </w:pPr>
            <w:r>
              <w:rPr>
                <w:rFonts w:ascii="Arial" w:cs="Arial" w:eastAsia="Arial" w:hAnsi="Arial"/>
                <w:sz w:val="15"/>
                <w:szCs w:val="15"/>
                <w:b w:val="1"/>
                <w:bCs w:val="1"/>
                <w:color w:val="auto"/>
              </w:rPr>
              <w:t>2023</w:t>
            </w: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0" w:type="dxa"/>
            <w:vAlign w:val="bottom"/>
          </w:tcPr>
          <w:p>
            <w:pPr>
              <w:jc w:val="right"/>
              <w:ind w:right="515"/>
              <w:spacing w:after="0" w:line="135" w:lineRule="exact"/>
              <w:rPr>
                <w:sz w:val="20"/>
                <w:szCs w:val="20"/>
                <w:color w:val="auto"/>
              </w:rPr>
            </w:pPr>
            <w:r>
              <w:rPr>
                <w:rFonts w:ascii="Arial" w:cs="Arial" w:eastAsia="Arial" w:hAnsi="Arial"/>
                <w:sz w:val="15"/>
                <w:szCs w:val="15"/>
                <w:b w:val="1"/>
                <w:bCs w:val="1"/>
                <w:color w:val="auto"/>
              </w:rPr>
              <w:t>2022</w:t>
            </w:r>
          </w:p>
        </w:tc>
        <w:tc>
          <w:tcPr>
            <w:tcW w:w="0" w:type="dxa"/>
            <w:vAlign w:val="bottom"/>
          </w:tcPr>
          <w:p>
            <w:pPr>
              <w:spacing w:after="0"/>
              <w:rPr>
                <w:sz w:val="1"/>
                <w:szCs w:val="1"/>
                <w:color w:val="auto"/>
              </w:rPr>
            </w:pPr>
          </w:p>
        </w:tc>
      </w:tr>
      <w:tr>
        <w:trPr>
          <w:trHeight w:val="32"/>
        </w:trPr>
        <w:tc>
          <w:tcPr>
            <w:tcW w:w="20" w:type="dxa"/>
            <w:vAlign w:val="bottom"/>
            <w:tcBorders>
              <w:bottom w:val="single" w:sz="8" w:color="CCEEFF"/>
            </w:tcBorders>
          </w:tcPr>
          <w:p>
            <w:pPr>
              <w:spacing w:after="0"/>
              <w:rPr>
                <w:sz w:val="2"/>
                <w:szCs w:val="2"/>
                <w:color w:val="auto"/>
              </w:rPr>
            </w:pPr>
          </w:p>
        </w:tc>
        <w:tc>
          <w:tcPr>
            <w:tcW w:w="620" w:type="dxa"/>
            <w:vAlign w:val="bottom"/>
            <w:tcBorders>
              <w:top w:val="single" w:sz="8" w:color="auto"/>
              <w:bottom w:val="single" w:sz="8" w:color="CCEEFF"/>
            </w:tcBorders>
          </w:tcPr>
          <w:p>
            <w:pPr>
              <w:spacing w:after="0"/>
              <w:rPr>
                <w:sz w:val="2"/>
                <w:szCs w:val="2"/>
                <w:color w:val="auto"/>
              </w:rPr>
            </w:pPr>
          </w:p>
        </w:tc>
        <w:tc>
          <w:tcPr>
            <w:tcW w:w="424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9"/>
        </w:trPr>
        <w:tc>
          <w:tcPr>
            <w:tcW w:w="488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Freight Segment:</w:t>
            </w: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860" w:type="dxa"/>
            <w:vAlign w:val="bottom"/>
            <w:gridSpan w:val="2"/>
          </w:tcPr>
          <w:p>
            <w:pPr>
              <w:ind w:left="100"/>
              <w:spacing w:after="0"/>
              <w:rPr>
                <w:sz w:val="20"/>
                <w:szCs w:val="20"/>
                <w:color w:val="auto"/>
              </w:rPr>
            </w:pPr>
            <w:r>
              <w:rPr>
                <w:rFonts w:ascii="Arial" w:cs="Arial" w:eastAsia="Arial" w:hAnsi="Arial"/>
                <w:sz w:val="17"/>
                <w:szCs w:val="17"/>
                <w:color w:val="auto"/>
              </w:rPr>
              <w:t>Services</w:t>
            </w:r>
          </w:p>
        </w:tc>
        <w:tc>
          <w:tcPr>
            <w:tcW w:w="36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787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ind w:right="334"/>
              <w:spacing w:after="0"/>
              <w:rPr>
                <w:sz w:val="20"/>
                <w:szCs w:val="20"/>
                <w:color w:val="auto"/>
              </w:rPr>
            </w:pPr>
            <w:r>
              <w:rPr>
                <w:rFonts w:ascii="Arial" w:cs="Arial" w:eastAsia="Arial" w:hAnsi="Arial"/>
                <w:sz w:val="17"/>
                <w:szCs w:val="17"/>
                <w:color w:val="auto"/>
                <w:w w:val="84"/>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669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gridSpan w:val="2"/>
          </w:tcPr>
          <w:p>
            <w:pPr>
              <w:jc w:val="right"/>
              <w:ind w:right="260"/>
              <w:spacing w:after="0"/>
              <w:rPr>
                <w:sz w:val="20"/>
                <w:szCs w:val="20"/>
                <w:color w:val="auto"/>
              </w:rPr>
            </w:pPr>
            <w:r>
              <w:rPr>
                <w:rFonts w:ascii="Arial" w:cs="Arial" w:eastAsia="Arial" w:hAnsi="Arial"/>
                <w:sz w:val="17"/>
                <w:szCs w:val="17"/>
                <w:color w:val="auto"/>
                <w:w w:val="84"/>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2,304</w:t>
            </w:r>
          </w:p>
        </w:tc>
        <w:tc>
          <w:tcPr>
            <w:tcW w:w="100" w:type="dxa"/>
            <w:vAlign w:val="bottom"/>
          </w:tcPr>
          <w:p>
            <w:pPr>
              <w:spacing w:after="0"/>
              <w:rPr>
                <w:sz w:val="18"/>
                <w:szCs w:val="18"/>
                <w:color w:val="auto"/>
              </w:rPr>
            </w:pPr>
          </w:p>
        </w:tc>
        <w:tc>
          <w:tcPr>
            <w:tcW w:w="520" w:type="dxa"/>
            <w:vAlign w:val="bottom"/>
          </w:tcPr>
          <w:p>
            <w:pPr>
              <w:jc w:val="right"/>
              <w:ind w:right="334"/>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2,046</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486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Equipment</w:t>
            </w: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1,423</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1,098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860" w:type="dxa"/>
            <w:vAlign w:val="bottom"/>
            <w:gridSpan w:val="2"/>
          </w:tcPr>
          <w:p>
            <w:pPr>
              <w:ind w:left="100"/>
              <w:spacing w:after="0"/>
              <w:rPr>
                <w:sz w:val="20"/>
                <w:szCs w:val="20"/>
                <w:color w:val="auto"/>
              </w:rPr>
            </w:pPr>
            <w:r>
              <w:rPr>
                <w:rFonts w:ascii="Arial" w:cs="Arial" w:eastAsia="Arial" w:hAnsi="Arial"/>
                <w:sz w:val="17"/>
                <w:szCs w:val="17"/>
                <w:color w:val="auto"/>
              </w:rPr>
              <w:t>Components</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307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232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874</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695</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486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Digital Intelligence</w:t>
            </w:r>
          </w:p>
        </w:tc>
        <w:tc>
          <w:tcPr>
            <w:tcW w:w="2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563</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860" w:type="dxa"/>
            <w:vAlign w:val="bottom"/>
            <w:gridSpan w:val="2"/>
          </w:tcPr>
          <w:p>
            <w:pPr>
              <w:ind w:left="200"/>
              <w:spacing w:after="0"/>
              <w:rPr>
                <w:sz w:val="20"/>
                <w:szCs w:val="20"/>
                <w:color w:val="auto"/>
              </w:rPr>
            </w:pPr>
            <w:r>
              <w:rPr>
                <w:rFonts w:ascii="Arial" w:cs="Arial" w:eastAsia="Arial" w:hAnsi="Arial"/>
                <w:sz w:val="17"/>
                <w:szCs w:val="17"/>
                <w:color w:val="auto"/>
              </w:rPr>
              <w:t>Total Freight Segment</w:t>
            </w:r>
          </w:p>
        </w:tc>
        <w:tc>
          <w:tcPr>
            <w:tcW w:w="36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1,890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Borders>
              <w:bottom w:val="single" w:sz="8" w:color="auto"/>
            </w:tcBorders>
          </w:tcPr>
          <w:p>
            <w:pPr>
              <w:jc w:val="right"/>
              <w:ind w:right="334"/>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1,531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5,164</w:t>
            </w:r>
          </w:p>
        </w:tc>
        <w:tc>
          <w:tcPr>
            <w:tcW w:w="100" w:type="dxa"/>
            <w:vAlign w:val="bottom"/>
          </w:tcPr>
          <w:p>
            <w:pPr>
              <w:spacing w:after="0"/>
              <w:rPr>
                <w:sz w:val="18"/>
                <w:szCs w:val="18"/>
                <w:color w:val="auto"/>
              </w:rPr>
            </w:pPr>
          </w:p>
        </w:tc>
        <w:tc>
          <w:tcPr>
            <w:tcW w:w="520" w:type="dxa"/>
            <w:vAlign w:val="bottom"/>
            <w:tcBorders>
              <w:bottom w:val="single" w:sz="8" w:color="auto"/>
            </w:tcBorders>
          </w:tcPr>
          <w:p>
            <w:pPr>
              <w:jc w:val="right"/>
              <w:ind w:right="334"/>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4,343</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42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2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4880" w:type="dxa"/>
            <w:vAlign w:val="bottom"/>
            <w:gridSpan w:val="3"/>
          </w:tcPr>
          <w:p>
            <w:pPr>
              <w:ind w:left="20"/>
              <w:spacing w:after="0"/>
              <w:rPr>
                <w:sz w:val="20"/>
                <w:szCs w:val="20"/>
                <w:color w:val="auto"/>
              </w:rPr>
            </w:pPr>
            <w:r>
              <w:rPr>
                <w:rFonts w:ascii="Arial" w:cs="Arial" w:eastAsia="Arial" w:hAnsi="Arial"/>
                <w:sz w:val="17"/>
                <w:szCs w:val="17"/>
                <w:color w:val="auto"/>
              </w:rPr>
              <w:t>Transit Segment:</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486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Original Equipment Manufacturer</w:t>
            </w:r>
          </w:p>
        </w:tc>
        <w:tc>
          <w:tcPr>
            <w:tcW w:w="3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4"/>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909</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4"/>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815</w:t>
            </w:r>
          </w:p>
        </w:tc>
        <w:tc>
          <w:tcPr>
            <w:tcW w:w="0" w:type="dxa"/>
            <w:vAlign w:val="bottom"/>
          </w:tcPr>
          <w:p>
            <w:pPr>
              <w:spacing w:after="0"/>
              <w:rPr>
                <w:sz w:val="1"/>
                <w:szCs w:val="1"/>
                <w:color w:val="auto"/>
              </w:rPr>
            </w:pPr>
          </w:p>
        </w:tc>
      </w:tr>
      <w:tr>
        <w:trPr>
          <w:trHeight w:val="218"/>
        </w:trPr>
        <w:tc>
          <w:tcPr>
            <w:tcW w:w="20" w:type="dxa"/>
            <w:vAlign w:val="bottom"/>
            <w:tcBorders>
              <w:bottom w:val="single" w:sz="8" w:color="CCEEFF"/>
            </w:tcBorders>
          </w:tcPr>
          <w:p>
            <w:pPr>
              <w:spacing w:after="0"/>
              <w:rPr>
                <w:sz w:val="18"/>
                <w:szCs w:val="18"/>
                <w:color w:val="auto"/>
              </w:rPr>
            </w:pPr>
          </w:p>
        </w:tc>
        <w:tc>
          <w:tcPr>
            <w:tcW w:w="4860" w:type="dxa"/>
            <w:vAlign w:val="bottom"/>
            <w:tcBorders>
              <w:bottom w:val="single" w:sz="8" w:color="CCEEFF"/>
            </w:tcBorders>
            <w:gridSpan w:val="2"/>
          </w:tcPr>
          <w:p>
            <w:pPr>
              <w:ind w:left="100"/>
              <w:spacing w:after="0"/>
              <w:rPr>
                <w:sz w:val="20"/>
                <w:szCs w:val="20"/>
                <w:color w:val="auto"/>
              </w:rPr>
            </w:pPr>
            <w:r>
              <w:rPr>
                <w:rFonts w:ascii="Arial" w:cs="Arial" w:eastAsia="Arial" w:hAnsi="Arial"/>
                <w:sz w:val="17"/>
                <w:szCs w:val="17"/>
                <w:color w:val="auto"/>
              </w:rPr>
              <w:t>Aftermarket</w:t>
            </w:r>
          </w:p>
        </w:tc>
        <w:tc>
          <w:tcPr>
            <w:tcW w:w="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358</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286</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1,078</w:t>
            </w: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898</w:t>
            </w:r>
          </w:p>
        </w:tc>
        <w:tc>
          <w:tcPr>
            <w:tcW w:w="0" w:type="dxa"/>
            <w:vAlign w:val="bottom"/>
          </w:tcPr>
          <w:p>
            <w:pPr>
              <w:spacing w:after="0"/>
              <w:rPr>
                <w:sz w:val="1"/>
                <w:szCs w:val="1"/>
                <w:color w:val="auto"/>
              </w:rPr>
            </w:pP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486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7"/>
                <w:szCs w:val="17"/>
                <w:color w:val="auto"/>
              </w:rPr>
              <w:t>Total Transit Segment</w:t>
            </w:r>
          </w:p>
        </w:tc>
        <w:tc>
          <w:tcPr>
            <w:tcW w:w="360" w:type="dxa"/>
            <w:vAlign w:val="bottom"/>
            <w:tcBorders>
              <w:bottom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660</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34"/>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550</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1,987</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34"/>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1,713</w:t>
            </w:r>
          </w:p>
        </w:tc>
        <w:tc>
          <w:tcPr>
            <w:tcW w:w="0" w:type="dxa"/>
            <w:vAlign w:val="bottom"/>
          </w:tcPr>
          <w:p>
            <w:pPr>
              <w:spacing w:after="0"/>
              <w:rPr>
                <w:sz w:val="1"/>
                <w:szCs w:val="1"/>
                <w:color w:val="auto"/>
              </w:rPr>
            </w:pPr>
          </w:p>
        </w:tc>
      </w:tr>
      <w:tr>
        <w:trPr>
          <w:trHeight w:val="20"/>
        </w:trPr>
        <w:tc>
          <w:tcPr>
            <w:tcW w:w="4880" w:type="dxa"/>
            <w:vAlign w:val="bottom"/>
            <w:tcBorders>
              <w:top w:val="single" w:sz="8" w:color="CCEEFF"/>
              <w:bottom w:val="single" w:sz="8" w:color="CCEEFF"/>
            </w:tcBorders>
            <w:gridSpan w:val="3"/>
            <w:vMerge w:val="restart"/>
          </w:tcPr>
          <w:p>
            <w:pPr>
              <w:spacing w:after="0"/>
              <w:rPr>
                <w:sz w:val="20"/>
                <w:szCs w:val="20"/>
                <w:color w:val="auto"/>
              </w:rPr>
            </w:pPr>
            <w:r>
              <w:rPr>
                <w:rFonts w:ascii="Arial" w:cs="Arial" w:eastAsia="Arial" w:hAnsi="Arial"/>
                <w:sz w:val="17"/>
                <w:szCs w:val="17"/>
                <w:b w:val="1"/>
                <w:bCs w:val="1"/>
                <w:color w:val="auto"/>
              </w:rPr>
              <w:t>16. OTHER INCOME, NET</w:t>
            </w: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9"/>
        </w:trPr>
        <w:tc>
          <w:tcPr>
            <w:tcW w:w="4880" w:type="dxa"/>
            <w:vAlign w:val="bottom"/>
            <w:gridSpan w:val="3"/>
            <w:vMerge w:val="continue"/>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4860" w:type="dxa"/>
            <w:vAlign w:val="bottom"/>
            <w:gridSpan w:val="2"/>
          </w:tcPr>
          <w:p>
            <w:pPr>
              <w:ind w:left="440"/>
              <w:spacing w:after="0"/>
              <w:rPr>
                <w:sz w:val="20"/>
                <w:szCs w:val="20"/>
                <w:color w:val="auto"/>
              </w:rPr>
            </w:pPr>
            <w:r>
              <w:rPr>
                <w:rFonts w:ascii="Arial" w:cs="Arial" w:eastAsia="Arial" w:hAnsi="Arial"/>
                <w:sz w:val="17"/>
                <w:szCs w:val="17"/>
                <w:color w:val="auto"/>
              </w:rPr>
              <w:t>The components of Other income, net are as follows:</w:t>
            </w: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60" w:type="dxa"/>
            <w:vAlign w:val="bottom"/>
            <w:gridSpan w:val="7"/>
          </w:tcPr>
          <w:p>
            <w:pPr>
              <w:jc w:val="center"/>
              <w:ind w:right="420"/>
              <w:spacing w:after="0"/>
              <w:rPr>
                <w:sz w:val="20"/>
                <w:szCs w:val="20"/>
                <w:color w:val="auto"/>
              </w:rPr>
            </w:pPr>
            <w:r>
              <w:rPr>
                <w:rFonts w:ascii="Arial" w:cs="Arial" w:eastAsia="Arial" w:hAnsi="Arial"/>
                <w:sz w:val="15"/>
                <w:szCs w:val="15"/>
                <w:b w:val="1"/>
                <w:bCs w:val="1"/>
                <w:color w:val="auto"/>
                <w:w w:val="94"/>
              </w:rPr>
              <w:t>Three Months Ended</w:t>
            </w: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780" w:type="dxa"/>
            <w:vAlign w:val="bottom"/>
            <w:gridSpan w:val="4"/>
          </w:tcPr>
          <w:p>
            <w:pPr>
              <w:jc w:val="center"/>
              <w:ind w:right="255"/>
              <w:spacing w:after="0"/>
              <w:rPr>
                <w:sz w:val="20"/>
                <w:szCs w:val="20"/>
                <w:color w:val="auto"/>
              </w:rPr>
            </w:pPr>
            <w:r>
              <w:rPr>
                <w:rFonts w:ascii="Arial" w:cs="Arial" w:eastAsia="Arial" w:hAnsi="Arial"/>
                <w:sz w:val="15"/>
                <w:szCs w:val="15"/>
                <w:b w:val="1"/>
                <w:bCs w:val="1"/>
                <w:color w:val="auto"/>
                <w:w w:val="94"/>
              </w:rPr>
              <w:t>Nine Months Ended</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4"/>
          </w:tcPr>
          <w:p>
            <w:pPr>
              <w:jc w:val="center"/>
              <w:ind w:left="577"/>
              <w:spacing w:after="0"/>
              <w:rPr>
                <w:sz w:val="20"/>
                <w:szCs w:val="20"/>
                <w:color w:val="auto"/>
              </w:rPr>
            </w:pPr>
            <w:r>
              <w:rPr>
                <w:rFonts w:ascii="Arial" w:cs="Arial" w:eastAsia="Arial" w:hAnsi="Arial"/>
                <w:sz w:val="15"/>
                <w:szCs w:val="15"/>
                <w:b w:val="1"/>
                <w:bCs w:val="1"/>
                <w:color w:val="auto"/>
                <w:w w:val="93"/>
              </w:rPr>
              <w:t>September 30,</w:t>
            </w:r>
          </w:p>
        </w:tc>
        <w:tc>
          <w:tcPr>
            <w:tcW w:w="9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3"/>
          </w:tcPr>
          <w:p>
            <w:pPr>
              <w:jc w:val="center"/>
              <w:ind w:left="577"/>
              <w:spacing w:after="0"/>
              <w:rPr>
                <w:sz w:val="20"/>
                <w:szCs w:val="20"/>
                <w:color w:val="auto"/>
              </w:rPr>
            </w:pPr>
            <w:r>
              <w:rPr>
                <w:rFonts w:ascii="Arial" w:cs="Arial" w:eastAsia="Arial" w:hAnsi="Arial"/>
                <w:sz w:val="15"/>
                <w:szCs w:val="15"/>
                <w:b w:val="1"/>
                <w:bCs w:val="1"/>
                <w:color w:val="auto"/>
                <w:w w:val="93"/>
              </w:rPr>
              <w:t>September 30,</w:t>
            </w:r>
          </w:p>
        </w:tc>
        <w:tc>
          <w:tcPr>
            <w:tcW w:w="10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4880" w:type="dxa"/>
            <w:vAlign w:val="bottom"/>
            <w:gridSpan w:val="3"/>
          </w:tcPr>
          <w:p>
            <w:pPr>
              <w:ind w:left="20"/>
              <w:spacing w:after="0" w:line="135" w:lineRule="exact"/>
              <w:rPr>
                <w:sz w:val="20"/>
                <w:szCs w:val="20"/>
                <w:color w:val="auto"/>
              </w:rPr>
            </w:pPr>
            <w:r>
              <w:rPr>
                <w:rFonts w:ascii="Arial" w:cs="Arial" w:eastAsia="Arial" w:hAnsi="Arial"/>
                <w:sz w:val="14"/>
                <w:szCs w:val="14"/>
                <w:b w:val="1"/>
                <w:bCs w:val="1"/>
                <w:i w:val="1"/>
                <w:iCs w:val="1"/>
                <w:color w:val="auto"/>
              </w:rPr>
              <w:t>In millions</w:t>
            </w: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60" w:type="dxa"/>
            <w:vAlign w:val="bottom"/>
          </w:tcPr>
          <w:p>
            <w:pPr>
              <w:jc w:val="right"/>
              <w:ind w:right="497"/>
              <w:spacing w:after="0" w:line="135" w:lineRule="exact"/>
              <w:rPr>
                <w:sz w:val="20"/>
                <w:szCs w:val="20"/>
                <w:color w:val="auto"/>
              </w:rPr>
            </w:pPr>
            <w:r>
              <w:rPr>
                <w:rFonts w:ascii="Arial" w:cs="Arial" w:eastAsia="Arial" w:hAnsi="Arial"/>
                <w:sz w:val="15"/>
                <w:szCs w:val="15"/>
                <w:b w:val="1"/>
                <w:bCs w:val="1"/>
                <w:color w:val="auto"/>
              </w:rPr>
              <w:t>2023</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80" w:type="dxa"/>
            <w:vAlign w:val="bottom"/>
          </w:tcPr>
          <w:p>
            <w:pPr>
              <w:jc w:val="right"/>
              <w:ind w:right="495"/>
              <w:spacing w:after="0" w:line="135" w:lineRule="exact"/>
              <w:rPr>
                <w:sz w:val="20"/>
                <w:szCs w:val="20"/>
                <w:color w:val="auto"/>
              </w:rPr>
            </w:pPr>
            <w:r>
              <w:rPr>
                <w:rFonts w:ascii="Arial" w:cs="Arial" w:eastAsia="Arial" w:hAnsi="Arial"/>
                <w:sz w:val="15"/>
                <w:szCs w:val="15"/>
                <w:b w:val="1"/>
                <w:bCs w:val="1"/>
                <w:color w:val="auto"/>
              </w:rPr>
              <w:t>2022</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60" w:type="dxa"/>
            <w:vAlign w:val="bottom"/>
          </w:tcPr>
          <w:p>
            <w:pPr>
              <w:jc w:val="right"/>
              <w:ind w:right="517"/>
              <w:spacing w:after="0" w:line="135" w:lineRule="exact"/>
              <w:rPr>
                <w:sz w:val="20"/>
                <w:szCs w:val="20"/>
                <w:color w:val="auto"/>
              </w:rPr>
            </w:pPr>
            <w:r>
              <w:rPr>
                <w:rFonts w:ascii="Arial" w:cs="Arial" w:eastAsia="Arial" w:hAnsi="Arial"/>
                <w:sz w:val="15"/>
                <w:szCs w:val="15"/>
                <w:b w:val="1"/>
                <w:bCs w:val="1"/>
                <w:color w:val="auto"/>
              </w:rPr>
              <w:t>2023</w:t>
            </w: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0" w:type="dxa"/>
            <w:vAlign w:val="bottom"/>
          </w:tcPr>
          <w:p>
            <w:pPr>
              <w:jc w:val="right"/>
              <w:ind w:right="515"/>
              <w:spacing w:after="0" w:line="135" w:lineRule="exact"/>
              <w:rPr>
                <w:sz w:val="20"/>
                <w:szCs w:val="20"/>
                <w:color w:val="auto"/>
              </w:rPr>
            </w:pPr>
            <w:r>
              <w:rPr>
                <w:rFonts w:ascii="Arial" w:cs="Arial" w:eastAsia="Arial" w:hAnsi="Arial"/>
                <w:sz w:val="15"/>
                <w:szCs w:val="15"/>
                <w:b w:val="1"/>
                <w:bCs w:val="1"/>
                <w:color w:val="auto"/>
              </w:rPr>
              <w:t>2022</w:t>
            </w:r>
          </w:p>
        </w:tc>
        <w:tc>
          <w:tcPr>
            <w:tcW w:w="0" w:type="dxa"/>
            <w:vAlign w:val="bottom"/>
          </w:tcPr>
          <w:p>
            <w:pPr>
              <w:spacing w:after="0"/>
              <w:rPr>
                <w:sz w:val="1"/>
                <w:szCs w:val="1"/>
                <w:color w:val="auto"/>
              </w:rPr>
            </w:pPr>
          </w:p>
        </w:tc>
      </w:tr>
      <w:tr>
        <w:trPr>
          <w:trHeight w:val="32"/>
        </w:trPr>
        <w:tc>
          <w:tcPr>
            <w:tcW w:w="20" w:type="dxa"/>
            <w:vAlign w:val="bottom"/>
            <w:tcBorders>
              <w:bottom w:val="single" w:sz="8" w:color="CCEEFF"/>
            </w:tcBorders>
          </w:tcPr>
          <w:p>
            <w:pPr>
              <w:spacing w:after="0"/>
              <w:rPr>
                <w:sz w:val="2"/>
                <w:szCs w:val="2"/>
                <w:color w:val="auto"/>
              </w:rPr>
            </w:pPr>
          </w:p>
        </w:tc>
        <w:tc>
          <w:tcPr>
            <w:tcW w:w="620" w:type="dxa"/>
            <w:vAlign w:val="bottom"/>
            <w:tcBorders>
              <w:top w:val="single" w:sz="8" w:color="auto"/>
              <w:bottom w:val="single" w:sz="8" w:color="CCEEFF"/>
            </w:tcBorders>
          </w:tcPr>
          <w:p>
            <w:pPr>
              <w:spacing w:after="0"/>
              <w:rPr>
                <w:sz w:val="2"/>
                <w:szCs w:val="2"/>
                <w:color w:val="auto"/>
              </w:rPr>
            </w:pPr>
          </w:p>
        </w:tc>
        <w:tc>
          <w:tcPr>
            <w:tcW w:w="42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488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Foreign currency loss</w:t>
            </w:r>
          </w:p>
        </w:tc>
        <w:tc>
          <w:tcPr>
            <w:tcW w:w="3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34"/>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34"/>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18"/>
        </w:trPr>
        <w:tc>
          <w:tcPr>
            <w:tcW w:w="4880" w:type="dxa"/>
            <w:vAlign w:val="bottom"/>
            <w:gridSpan w:val="3"/>
          </w:tcPr>
          <w:p>
            <w:pPr>
              <w:ind w:left="20"/>
              <w:spacing w:after="0"/>
              <w:rPr>
                <w:sz w:val="20"/>
                <w:szCs w:val="20"/>
                <w:color w:val="auto"/>
              </w:rPr>
            </w:pPr>
            <w:r>
              <w:rPr>
                <w:rFonts w:ascii="Arial" w:cs="Arial" w:eastAsia="Arial" w:hAnsi="Arial"/>
                <w:sz w:val="17"/>
                <w:szCs w:val="17"/>
                <w:color w:val="auto"/>
              </w:rPr>
              <w:t>Equity income</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23</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13</w:t>
            </w:r>
          </w:p>
        </w:tc>
        <w:tc>
          <w:tcPr>
            <w:tcW w:w="0" w:type="dxa"/>
            <w:vAlign w:val="bottom"/>
          </w:tcPr>
          <w:p>
            <w:pPr>
              <w:spacing w:after="0"/>
              <w:rPr>
                <w:sz w:val="1"/>
                <w:szCs w:val="1"/>
                <w:color w:val="auto"/>
              </w:rPr>
            </w:pPr>
          </w:p>
        </w:tc>
      </w:tr>
      <w:tr>
        <w:trPr>
          <w:trHeight w:val="220"/>
        </w:trPr>
        <w:tc>
          <w:tcPr>
            <w:tcW w:w="488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Expected return on pension assets/amortization</w:t>
            </w: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0" w:type="dxa"/>
            <w:vAlign w:val="bottom"/>
          </w:tcPr>
          <w:p>
            <w:pPr>
              <w:spacing w:after="0"/>
              <w:rPr>
                <w:sz w:val="1"/>
                <w:szCs w:val="1"/>
                <w:color w:val="auto"/>
              </w:rPr>
            </w:pPr>
          </w:p>
        </w:tc>
      </w:tr>
      <w:tr>
        <w:trPr>
          <w:trHeight w:val="218"/>
        </w:trPr>
        <w:tc>
          <w:tcPr>
            <w:tcW w:w="4880" w:type="dxa"/>
            <w:vAlign w:val="bottom"/>
            <w:tcBorders>
              <w:bottom w:val="single" w:sz="8" w:color="CCEEFF"/>
            </w:tcBorders>
            <w:gridSpan w:val="3"/>
          </w:tcPr>
          <w:p>
            <w:pPr>
              <w:ind w:left="20"/>
              <w:spacing w:after="0"/>
              <w:rPr>
                <w:sz w:val="20"/>
                <w:szCs w:val="20"/>
                <w:color w:val="auto"/>
              </w:rPr>
            </w:pPr>
            <w:r>
              <w:rPr>
                <w:rFonts w:ascii="Arial" w:cs="Arial" w:eastAsia="Arial" w:hAnsi="Arial"/>
                <w:sz w:val="17"/>
                <w:szCs w:val="17"/>
                <w:color w:val="auto"/>
              </w:rPr>
              <w:t>Other miscellaneous (expense) income, net</w:t>
            </w:r>
          </w:p>
        </w:tc>
        <w:tc>
          <w:tcPr>
            <w:tcW w:w="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w:t>
            </w: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3"/>
        </w:trPr>
        <w:tc>
          <w:tcPr>
            <w:tcW w:w="20" w:type="dxa"/>
            <w:vAlign w:val="bottom"/>
            <w:shd w:val="clear" w:color="auto" w:fill="CCEEFF"/>
          </w:tcPr>
          <w:p>
            <w:pPr>
              <w:spacing w:after="0"/>
              <w:rPr>
                <w:sz w:val="20"/>
                <w:szCs w:val="20"/>
                <w:color w:val="auto"/>
              </w:rPr>
            </w:pPr>
          </w:p>
        </w:tc>
        <w:tc>
          <w:tcPr>
            <w:tcW w:w="4860" w:type="dxa"/>
            <w:vAlign w:val="bottom"/>
            <w:gridSpan w:val="2"/>
            <w:shd w:val="clear" w:color="auto" w:fill="CCEEFF"/>
          </w:tcPr>
          <w:p>
            <w:pPr>
              <w:ind w:left="240"/>
              <w:spacing w:after="0"/>
              <w:rPr>
                <w:sz w:val="20"/>
                <w:szCs w:val="20"/>
                <w:color w:val="auto"/>
              </w:rPr>
            </w:pPr>
            <w:r>
              <w:rPr>
                <w:rFonts w:ascii="Arial" w:cs="Arial" w:eastAsia="Arial" w:hAnsi="Arial"/>
                <w:sz w:val="17"/>
                <w:szCs w:val="17"/>
                <w:color w:val="auto"/>
              </w:rPr>
              <w:t>Total Other income, net</w:t>
            </w:r>
          </w:p>
        </w:tc>
        <w:tc>
          <w:tcPr>
            <w:tcW w:w="3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20" w:type="dxa"/>
            <w:vAlign w:val="bottom"/>
            <w:shd w:val="clear" w:color="auto" w:fill="CCEEFF"/>
          </w:tcPr>
          <w:p>
            <w:pPr>
              <w:jc w:val="right"/>
              <w:ind w:right="334"/>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jc w:val="right"/>
              <w:ind w:right="334"/>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42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55" w:right="339" w:bottom="1440" w:gutter="0" w:footer="0" w:header="0"/>
        </w:sectPr>
      </w:pPr>
    </w:p>
    <w:bookmarkStart w:id="24" w:name="page25"/>
    <w:bookmarkEnd w:id="24"/>
    <w:p>
      <w:pPr>
        <w:spacing w:after="0"/>
        <w:rPr>
          <w:sz w:val="20"/>
          <w:szCs w:val="20"/>
          <w:color w:val="auto"/>
        </w:rPr>
      </w:pPr>
      <w:r>
        <w:rPr>
          <w:rFonts w:ascii="Arial" w:cs="Arial" w:eastAsia="Arial" w:hAnsi="Arial"/>
          <w:sz w:val="17"/>
          <w:szCs w:val="17"/>
          <w:b w:val="1"/>
          <w:bCs w:val="1"/>
          <w:color w:val="auto"/>
        </w:rPr>
        <w:t>17. RESTRUCTURING</w:t>
      </w:r>
    </w:p>
    <w:p>
      <w:pPr>
        <w:spacing w:after="0" w:line="107" w:lineRule="exact"/>
        <w:rPr>
          <w:sz w:val="20"/>
          <w:szCs w:val="20"/>
          <w:color w:val="auto"/>
        </w:rPr>
      </w:pPr>
    </w:p>
    <w:p>
      <w:pPr>
        <w:ind w:firstLine="464"/>
        <w:spacing w:after="0" w:line="244" w:lineRule="auto"/>
        <w:rPr>
          <w:sz w:val="20"/>
          <w:szCs w:val="20"/>
          <w:color w:val="auto"/>
        </w:rPr>
      </w:pPr>
      <w:r>
        <w:rPr>
          <w:rFonts w:ascii="Arial" w:cs="Arial" w:eastAsia="Arial" w:hAnsi="Arial"/>
          <w:sz w:val="17"/>
          <w:szCs w:val="17"/>
          <w:color w:val="auto"/>
        </w:rPr>
        <w:t>During the first quarter of 2022, Wabtec announced a three-year strategic initiative (“Integration 2.0”) to review and consolidate our operating footprint, reduce headcount, streamline the end-to-end manufacturing process, restructure the North America distribution channels, expand operations in low-cost countries, and simplify the business through systems enablement. Through this initiative, Management will also evaluate additional capital investments to further simplify and streamline the business. The Company anticipates that it will incur one-time restructuring charges related to Integration 2.0 of approximately $135 million to $165 million.</w:t>
      </w:r>
    </w:p>
    <w:p>
      <w:pPr>
        <w:spacing w:after="0" w:line="7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 summary of restructuring charges related to the Integration 2.0 initiative is as follows: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1740" w:type="dxa"/>
            <w:vAlign w:val="bottom"/>
          </w:tcPr>
          <w:p>
            <w:pPr>
              <w:jc w:val="right"/>
              <w:spacing w:after="0"/>
              <w:rPr>
                <w:sz w:val="20"/>
                <w:szCs w:val="20"/>
                <w:color w:val="auto"/>
              </w:rPr>
            </w:pPr>
            <w:r>
              <w:rPr>
                <w:rFonts w:ascii="Arial" w:cs="Arial" w:eastAsia="Arial" w:hAnsi="Arial"/>
                <w:sz w:val="15"/>
                <w:szCs w:val="15"/>
                <w:b w:val="1"/>
                <w:bCs w:val="1"/>
                <w:color w:val="auto"/>
              </w:rPr>
              <w:t>Three Months Ended</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80" w:type="dxa"/>
            <w:vAlign w:val="bottom"/>
          </w:tcPr>
          <w:p>
            <w:pPr>
              <w:jc w:val="right"/>
              <w:ind w:right="256"/>
              <w:spacing w:after="0"/>
              <w:rPr>
                <w:sz w:val="20"/>
                <w:szCs w:val="20"/>
                <w:color w:val="auto"/>
              </w:rPr>
            </w:pPr>
            <w:r>
              <w:rPr>
                <w:rFonts w:ascii="Arial" w:cs="Arial" w:eastAsia="Arial" w:hAnsi="Arial"/>
                <w:sz w:val="15"/>
                <w:szCs w:val="15"/>
                <w:b w:val="1"/>
                <w:bCs w:val="1"/>
                <w:color w:val="auto"/>
              </w:rPr>
              <w:t>Nine Months Ended</w:t>
            </w:r>
          </w:p>
        </w:tc>
      </w:tr>
      <w:tr>
        <w:trPr>
          <w:trHeight w:val="155"/>
        </w:trPr>
        <w:tc>
          <w:tcPr>
            <w:tcW w:w="6720" w:type="dxa"/>
            <w:vAlign w:val="bottom"/>
            <w:gridSpan w:val="3"/>
          </w:tcPr>
          <w:p>
            <w:pPr>
              <w:ind w:left="20"/>
              <w:spacing w:after="0" w:line="135" w:lineRule="exact"/>
              <w:rPr>
                <w:sz w:val="20"/>
                <w:szCs w:val="20"/>
                <w:color w:val="auto"/>
              </w:rPr>
            </w:pPr>
            <w:r>
              <w:rPr>
                <w:rFonts w:ascii="Arial" w:cs="Arial" w:eastAsia="Arial" w:hAnsi="Arial"/>
                <w:sz w:val="14"/>
                <w:szCs w:val="14"/>
                <w:b w:val="1"/>
                <w:bCs w:val="1"/>
                <w:i w:val="1"/>
                <w:iCs w:val="1"/>
                <w:color w:val="auto"/>
              </w:rPr>
              <w:t>In millions</w:t>
            </w:r>
          </w:p>
        </w:tc>
        <w:tc>
          <w:tcPr>
            <w:tcW w:w="1740" w:type="dxa"/>
            <w:vAlign w:val="bottom"/>
          </w:tcPr>
          <w:p>
            <w:pPr>
              <w:jc w:val="right"/>
              <w:spacing w:after="0" w:line="135" w:lineRule="exact"/>
              <w:rPr>
                <w:sz w:val="20"/>
                <w:szCs w:val="20"/>
                <w:color w:val="auto"/>
              </w:rPr>
            </w:pPr>
            <w:r>
              <w:rPr>
                <w:rFonts w:ascii="Arial" w:cs="Arial" w:eastAsia="Arial" w:hAnsi="Arial"/>
                <w:sz w:val="15"/>
                <w:szCs w:val="15"/>
                <w:b w:val="1"/>
                <w:bCs w:val="1"/>
                <w:color w:val="auto"/>
              </w:rPr>
              <w:t>September 30, 2023</w:t>
            </w: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80" w:type="dxa"/>
            <w:vAlign w:val="bottom"/>
          </w:tcPr>
          <w:p>
            <w:pPr>
              <w:jc w:val="right"/>
              <w:ind w:right="276"/>
              <w:spacing w:after="0" w:line="135" w:lineRule="exact"/>
              <w:rPr>
                <w:sz w:val="20"/>
                <w:szCs w:val="20"/>
                <w:color w:val="auto"/>
              </w:rPr>
            </w:pPr>
            <w:r>
              <w:rPr>
                <w:rFonts w:ascii="Arial" w:cs="Arial" w:eastAsia="Arial" w:hAnsi="Arial"/>
                <w:sz w:val="15"/>
                <w:szCs w:val="15"/>
                <w:b w:val="1"/>
                <w:bCs w:val="1"/>
                <w:color w:val="auto"/>
                <w:w w:val="99"/>
              </w:rPr>
              <w:t>September 30, 2023</w:t>
            </w:r>
          </w:p>
        </w:tc>
      </w:tr>
      <w:tr>
        <w:trPr>
          <w:trHeight w:val="32"/>
        </w:trPr>
        <w:tc>
          <w:tcPr>
            <w:tcW w:w="20" w:type="dxa"/>
            <w:vAlign w:val="bottom"/>
            <w:tcBorders>
              <w:bottom w:val="single" w:sz="8" w:color="CCEEFF"/>
            </w:tcBorders>
          </w:tcPr>
          <w:p>
            <w:pPr>
              <w:spacing w:after="0"/>
              <w:rPr>
                <w:sz w:val="2"/>
                <w:szCs w:val="2"/>
                <w:color w:val="auto"/>
              </w:rPr>
            </w:pPr>
          </w:p>
        </w:tc>
        <w:tc>
          <w:tcPr>
            <w:tcW w:w="620" w:type="dxa"/>
            <w:vAlign w:val="bottom"/>
            <w:tcBorders>
              <w:top w:val="single" w:sz="8" w:color="auto"/>
              <w:bottom w:val="single" w:sz="8" w:color="CCEEFF"/>
            </w:tcBorders>
          </w:tcPr>
          <w:p>
            <w:pPr>
              <w:spacing w:after="0"/>
              <w:rPr>
                <w:sz w:val="2"/>
                <w:szCs w:val="2"/>
                <w:color w:val="auto"/>
              </w:rPr>
            </w:pPr>
          </w:p>
        </w:tc>
        <w:tc>
          <w:tcPr>
            <w:tcW w:w="608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199"/>
        </w:trPr>
        <w:tc>
          <w:tcPr>
            <w:tcW w:w="672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Freight Segment:</w:t>
            </w:r>
          </w:p>
        </w:tc>
        <w:tc>
          <w:tcPr>
            <w:tcW w:w="1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r>
      <w:tr>
        <w:trPr>
          <w:trHeight w:val="218"/>
        </w:trPr>
        <w:tc>
          <w:tcPr>
            <w:tcW w:w="20" w:type="dxa"/>
            <w:vAlign w:val="bottom"/>
          </w:tcPr>
          <w:p>
            <w:pPr>
              <w:spacing w:after="0"/>
              <w:rPr>
                <w:sz w:val="18"/>
                <w:szCs w:val="18"/>
                <w:color w:val="auto"/>
              </w:rPr>
            </w:pPr>
          </w:p>
        </w:tc>
        <w:tc>
          <w:tcPr>
            <w:tcW w:w="6700" w:type="dxa"/>
            <w:vAlign w:val="bottom"/>
            <w:gridSpan w:val="2"/>
          </w:tcPr>
          <w:p>
            <w:pPr>
              <w:ind w:left="100"/>
              <w:spacing w:after="0"/>
              <w:rPr>
                <w:sz w:val="20"/>
                <w:szCs w:val="20"/>
                <w:color w:val="auto"/>
              </w:rPr>
            </w:pPr>
            <w:r>
              <w:rPr>
                <w:rFonts w:ascii="Arial" w:cs="Arial" w:eastAsia="Arial" w:hAnsi="Arial"/>
                <w:sz w:val="17"/>
                <w:szCs w:val="17"/>
                <w:color w:val="auto"/>
              </w:rPr>
              <w:t>Cost of goods sold</w:t>
            </w:r>
          </w:p>
        </w:tc>
        <w:tc>
          <w:tcPr>
            <w:tcW w:w="1740" w:type="dxa"/>
            <w:vAlign w:val="bottom"/>
          </w:tcPr>
          <w:p>
            <w:pPr>
              <w:jc w:val="right"/>
              <w:ind w:right="1557"/>
              <w:spacing w:after="0"/>
              <w:rPr>
                <w:sz w:val="20"/>
                <w:szCs w:val="20"/>
                <w:color w:val="auto"/>
              </w:rPr>
            </w:pPr>
            <w:r>
              <w:rPr>
                <w:rFonts w:ascii="Arial" w:cs="Arial" w:eastAsia="Arial" w:hAnsi="Arial"/>
                <w:sz w:val="17"/>
                <w:szCs w:val="17"/>
                <w:color w:val="auto"/>
                <w:w w:val="84"/>
              </w:rPr>
              <w:t>$</w:t>
            </w:r>
          </w:p>
        </w:tc>
        <w:tc>
          <w:tcPr>
            <w:tcW w:w="280" w:type="dxa"/>
            <w:vAlign w:val="bottom"/>
          </w:tcPr>
          <w:p>
            <w:pPr>
              <w:jc w:val="right"/>
              <w:spacing w:after="0"/>
              <w:rPr>
                <w:sz w:val="20"/>
                <w:szCs w:val="20"/>
                <w:color w:val="auto"/>
              </w:rPr>
            </w:pPr>
            <w:r>
              <w:rPr>
                <w:rFonts w:ascii="Arial" w:cs="Arial" w:eastAsia="Arial" w:hAnsi="Arial"/>
                <w:sz w:val="17"/>
                <w:szCs w:val="17"/>
                <w:color w:val="auto"/>
              </w:rPr>
              <w:t>2</w:t>
            </w:r>
          </w:p>
        </w:tc>
        <w:tc>
          <w:tcPr>
            <w:tcW w:w="140" w:type="dxa"/>
            <w:vAlign w:val="bottom"/>
          </w:tcPr>
          <w:p>
            <w:pPr>
              <w:spacing w:after="0"/>
              <w:rPr>
                <w:sz w:val="18"/>
                <w:szCs w:val="18"/>
                <w:color w:val="auto"/>
              </w:rPr>
            </w:pP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1780" w:type="dxa"/>
            <w:vAlign w:val="bottom"/>
          </w:tcPr>
          <w:p>
            <w:pPr>
              <w:jc w:val="right"/>
              <w:spacing w:after="0"/>
              <w:rPr>
                <w:sz w:val="20"/>
                <w:szCs w:val="20"/>
                <w:color w:val="auto"/>
              </w:rPr>
            </w:pPr>
            <w:r>
              <w:rPr>
                <w:rFonts w:ascii="Arial" w:cs="Arial" w:eastAsia="Arial" w:hAnsi="Arial"/>
                <w:sz w:val="17"/>
                <w:szCs w:val="17"/>
                <w:color w:val="auto"/>
              </w:rPr>
              <w:t>4</w:t>
            </w:r>
          </w:p>
        </w:tc>
      </w:tr>
      <w:tr>
        <w:trPr>
          <w:trHeight w:val="220"/>
        </w:trPr>
        <w:tc>
          <w:tcPr>
            <w:tcW w:w="20" w:type="dxa"/>
            <w:vAlign w:val="bottom"/>
            <w:shd w:val="clear" w:color="auto" w:fill="CCEEFF"/>
          </w:tcPr>
          <w:p>
            <w:pPr>
              <w:spacing w:after="0"/>
              <w:rPr>
                <w:sz w:val="19"/>
                <w:szCs w:val="19"/>
                <w:color w:val="auto"/>
              </w:rPr>
            </w:pPr>
          </w:p>
        </w:tc>
        <w:tc>
          <w:tcPr>
            <w:tcW w:w="670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Selling, general and administrative expenses</w:t>
            </w:r>
          </w:p>
        </w:tc>
        <w:tc>
          <w:tcPr>
            <w:tcW w:w="174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w:t>
            </w:r>
          </w:p>
        </w:tc>
      </w:tr>
      <w:tr>
        <w:trPr>
          <w:trHeight w:val="211"/>
        </w:trPr>
        <w:tc>
          <w:tcPr>
            <w:tcW w:w="20" w:type="dxa"/>
            <w:vAlign w:val="bottom"/>
          </w:tcPr>
          <w:p>
            <w:pPr>
              <w:spacing w:after="0"/>
              <w:rPr>
                <w:sz w:val="18"/>
                <w:szCs w:val="18"/>
                <w:color w:val="auto"/>
              </w:rPr>
            </w:pPr>
          </w:p>
        </w:tc>
        <w:tc>
          <w:tcPr>
            <w:tcW w:w="6700" w:type="dxa"/>
            <w:vAlign w:val="bottom"/>
            <w:gridSpan w:val="2"/>
          </w:tcPr>
          <w:p>
            <w:pPr>
              <w:ind w:left="200"/>
              <w:spacing w:after="0"/>
              <w:rPr>
                <w:sz w:val="20"/>
                <w:szCs w:val="20"/>
                <w:color w:val="auto"/>
              </w:rPr>
            </w:pPr>
            <w:r>
              <w:rPr>
                <w:rFonts w:ascii="Arial" w:cs="Arial" w:eastAsia="Arial" w:hAnsi="Arial"/>
                <w:sz w:val="17"/>
                <w:szCs w:val="17"/>
                <w:color w:val="auto"/>
              </w:rPr>
              <w:t>Total Freight Segment</w:t>
            </w:r>
          </w:p>
        </w:tc>
        <w:tc>
          <w:tcPr>
            <w:tcW w:w="1740" w:type="dxa"/>
            <w:vAlign w:val="bottom"/>
          </w:tcPr>
          <w:p>
            <w:pPr>
              <w:jc w:val="right"/>
              <w:ind w:right="1557"/>
              <w:spacing w:after="0"/>
              <w:rPr>
                <w:sz w:val="20"/>
                <w:szCs w:val="20"/>
                <w:color w:val="auto"/>
              </w:rPr>
            </w:pPr>
            <w:r>
              <w:rPr>
                <w:rFonts w:ascii="Arial" w:cs="Arial" w:eastAsia="Arial" w:hAnsi="Arial"/>
                <w:sz w:val="17"/>
                <w:szCs w:val="17"/>
                <w:color w:val="auto"/>
                <w:w w:val="84"/>
              </w:rPr>
              <w:t>$</w:t>
            </w:r>
          </w:p>
        </w:tc>
        <w:tc>
          <w:tcPr>
            <w:tcW w:w="280" w:type="dxa"/>
            <w:vAlign w:val="bottom"/>
          </w:tcPr>
          <w:p>
            <w:pPr>
              <w:jc w:val="right"/>
              <w:spacing w:after="0"/>
              <w:rPr>
                <w:sz w:val="20"/>
                <w:szCs w:val="20"/>
                <w:color w:val="auto"/>
              </w:rPr>
            </w:pPr>
            <w:r>
              <w:rPr>
                <w:rFonts w:ascii="Arial" w:cs="Arial" w:eastAsia="Arial" w:hAnsi="Arial"/>
                <w:sz w:val="17"/>
                <w:szCs w:val="17"/>
                <w:color w:val="auto"/>
              </w:rPr>
              <w:t>3</w:t>
            </w:r>
          </w:p>
        </w:tc>
        <w:tc>
          <w:tcPr>
            <w:tcW w:w="140" w:type="dxa"/>
            <w:vAlign w:val="bottom"/>
          </w:tcPr>
          <w:p>
            <w:pPr>
              <w:spacing w:after="0"/>
              <w:rPr>
                <w:sz w:val="18"/>
                <w:szCs w:val="18"/>
                <w:color w:val="auto"/>
              </w:rPr>
            </w:pP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1780" w:type="dxa"/>
            <w:vAlign w:val="bottom"/>
          </w:tcPr>
          <w:p>
            <w:pPr>
              <w:jc w:val="right"/>
              <w:spacing w:after="0"/>
              <w:rPr>
                <w:sz w:val="20"/>
                <w:szCs w:val="20"/>
                <w:color w:val="auto"/>
              </w:rPr>
            </w:pPr>
            <w:r>
              <w:rPr>
                <w:rFonts w:ascii="Arial" w:cs="Arial" w:eastAsia="Arial" w:hAnsi="Arial"/>
                <w:sz w:val="17"/>
                <w:szCs w:val="17"/>
                <w:color w:val="auto"/>
              </w:rPr>
              <w:t>7</w:t>
            </w:r>
          </w:p>
        </w:tc>
      </w:tr>
      <w:tr>
        <w:trPr>
          <w:trHeight w:val="104"/>
        </w:trPr>
        <w:tc>
          <w:tcPr>
            <w:tcW w:w="2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6080" w:type="dxa"/>
            <w:vAlign w:val="bottom"/>
            <w:shd w:val="clear" w:color="auto" w:fill="CCEEFF"/>
          </w:tcPr>
          <w:p>
            <w:pPr>
              <w:spacing w:after="0"/>
              <w:rPr>
                <w:sz w:val="9"/>
                <w:szCs w:val="9"/>
                <w:color w:val="auto"/>
              </w:rPr>
            </w:pPr>
          </w:p>
        </w:tc>
        <w:tc>
          <w:tcPr>
            <w:tcW w:w="174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780" w:type="dxa"/>
            <w:vAlign w:val="bottom"/>
            <w:shd w:val="clear" w:color="auto" w:fill="CCEEFF"/>
          </w:tcPr>
          <w:p>
            <w:pPr>
              <w:spacing w:after="0"/>
              <w:rPr>
                <w:sz w:val="9"/>
                <w:szCs w:val="9"/>
                <w:color w:val="auto"/>
              </w:rPr>
            </w:pPr>
          </w:p>
        </w:tc>
      </w:tr>
      <w:tr>
        <w:trPr>
          <w:trHeight w:val="218"/>
        </w:trPr>
        <w:tc>
          <w:tcPr>
            <w:tcW w:w="6720" w:type="dxa"/>
            <w:vAlign w:val="bottom"/>
            <w:gridSpan w:val="3"/>
          </w:tcPr>
          <w:p>
            <w:pPr>
              <w:ind w:left="20"/>
              <w:spacing w:after="0"/>
              <w:rPr>
                <w:sz w:val="20"/>
                <w:szCs w:val="20"/>
                <w:color w:val="auto"/>
              </w:rPr>
            </w:pPr>
            <w:r>
              <w:rPr>
                <w:rFonts w:ascii="Arial" w:cs="Arial" w:eastAsia="Arial" w:hAnsi="Arial"/>
                <w:sz w:val="17"/>
                <w:szCs w:val="17"/>
                <w:color w:val="auto"/>
              </w:rPr>
              <w:t>Transit Segment:</w:t>
            </w:r>
          </w:p>
        </w:tc>
        <w:tc>
          <w:tcPr>
            <w:tcW w:w="1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220"/>
        </w:trPr>
        <w:tc>
          <w:tcPr>
            <w:tcW w:w="20" w:type="dxa"/>
            <w:vAlign w:val="bottom"/>
            <w:shd w:val="clear" w:color="auto" w:fill="CCEEFF"/>
          </w:tcPr>
          <w:p>
            <w:pPr>
              <w:spacing w:after="0"/>
              <w:rPr>
                <w:sz w:val="19"/>
                <w:szCs w:val="19"/>
                <w:color w:val="auto"/>
              </w:rPr>
            </w:pPr>
          </w:p>
        </w:tc>
        <w:tc>
          <w:tcPr>
            <w:tcW w:w="670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Cost of goods sold</w:t>
            </w:r>
          </w:p>
        </w:tc>
        <w:tc>
          <w:tcPr>
            <w:tcW w:w="1740" w:type="dxa"/>
            <w:vAlign w:val="bottom"/>
            <w:shd w:val="clear" w:color="auto" w:fill="CCEEFF"/>
          </w:tcPr>
          <w:p>
            <w:pPr>
              <w:jc w:val="right"/>
              <w:ind w:right="1557"/>
              <w:spacing w:after="0"/>
              <w:rPr>
                <w:sz w:val="20"/>
                <w:szCs w:val="20"/>
                <w:color w:val="auto"/>
              </w:rPr>
            </w:pPr>
            <w:r>
              <w:rPr>
                <w:rFonts w:ascii="Arial" w:cs="Arial" w:eastAsia="Arial" w:hAnsi="Arial"/>
                <w:sz w:val="17"/>
                <w:szCs w:val="17"/>
                <w:color w:val="auto"/>
                <w:w w:val="84"/>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w:t>
            </w:r>
          </w:p>
        </w:tc>
      </w:tr>
      <w:tr>
        <w:trPr>
          <w:trHeight w:val="218"/>
        </w:trPr>
        <w:tc>
          <w:tcPr>
            <w:tcW w:w="20" w:type="dxa"/>
            <w:vAlign w:val="bottom"/>
          </w:tcPr>
          <w:p>
            <w:pPr>
              <w:spacing w:after="0"/>
              <w:rPr>
                <w:sz w:val="18"/>
                <w:szCs w:val="18"/>
                <w:color w:val="auto"/>
              </w:rPr>
            </w:pPr>
          </w:p>
        </w:tc>
        <w:tc>
          <w:tcPr>
            <w:tcW w:w="6700" w:type="dxa"/>
            <w:vAlign w:val="bottom"/>
            <w:gridSpan w:val="2"/>
          </w:tcPr>
          <w:p>
            <w:pPr>
              <w:ind w:left="100"/>
              <w:spacing w:after="0"/>
              <w:rPr>
                <w:sz w:val="20"/>
                <w:szCs w:val="20"/>
                <w:color w:val="auto"/>
              </w:rPr>
            </w:pPr>
            <w:r>
              <w:rPr>
                <w:rFonts w:ascii="Arial" w:cs="Arial" w:eastAsia="Arial" w:hAnsi="Arial"/>
                <w:sz w:val="17"/>
                <w:szCs w:val="17"/>
                <w:color w:val="auto"/>
              </w:rPr>
              <w:t>Selling, general and administrative expenses</w:t>
            </w:r>
          </w:p>
        </w:tc>
        <w:tc>
          <w:tcPr>
            <w:tcW w:w="174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7"/>
                <w:szCs w:val="17"/>
                <w:color w:val="auto"/>
              </w:rPr>
              <w:t>(1)</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7"/>
                <w:szCs w:val="17"/>
                <w:color w:val="auto"/>
              </w:rPr>
              <w:t>4</w:t>
            </w:r>
          </w:p>
        </w:tc>
      </w:tr>
      <w:tr>
        <w:trPr>
          <w:trHeight w:val="220"/>
        </w:trPr>
        <w:tc>
          <w:tcPr>
            <w:tcW w:w="20" w:type="dxa"/>
            <w:vAlign w:val="bottom"/>
            <w:shd w:val="clear" w:color="auto" w:fill="CCEEFF"/>
          </w:tcPr>
          <w:p>
            <w:pPr>
              <w:spacing w:after="0"/>
              <w:rPr>
                <w:sz w:val="19"/>
                <w:szCs w:val="19"/>
                <w:color w:val="auto"/>
              </w:rPr>
            </w:pPr>
          </w:p>
        </w:tc>
        <w:tc>
          <w:tcPr>
            <w:tcW w:w="670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Amortization expense</w:t>
            </w:r>
          </w:p>
        </w:tc>
        <w:tc>
          <w:tcPr>
            <w:tcW w:w="174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r>
      <w:tr>
        <w:trPr>
          <w:trHeight w:val="211"/>
        </w:trPr>
        <w:tc>
          <w:tcPr>
            <w:tcW w:w="20" w:type="dxa"/>
            <w:vAlign w:val="bottom"/>
            <w:tcBorders>
              <w:bottom w:val="single" w:sz="8" w:color="CCEEFF"/>
            </w:tcBorders>
          </w:tcPr>
          <w:p>
            <w:pPr>
              <w:spacing w:after="0"/>
              <w:rPr>
                <w:sz w:val="18"/>
                <w:szCs w:val="18"/>
                <w:color w:val="auto"/>
              </w:rPr>
            </w:pPr>
          </w:p>
        </w:tc>
        <w:tc>
          <w:tcPr>
            <w:tcW w:w="6700" w:type="dxa"/>
            <w:vAlign w:val="bottom"/>
            <w:tcBorders>
              <w:bottom w:val="single" w:sz="8" w:color="CCEEFF"/>
            </w:tcBorders>
            <w:gridSpan w:val="2"/>
          </w:tcPr>
          <w:p>
            <w:pPr>
              <w:ind w:left="200"/>
              <w:spacing w:after="0"/>
              <w:rPr>
                <w:sz w:val="20"/>
                <w:szCs w:val="20"/>
                <w:color w:val="auto"/>
              </w:rPr>
            </w:pPr>
            <w:r>
              <w:rPr>
                <w:rFonts w:ascii="Arial" w:cs="Arial" w:eastAsia="Arial" w:hAnsi="Arial"/>
                <w:sz w:val="17"/>
                <w:szCs w:val="17"/>
                <w:color w:val="auto"/>
              </w:rPr>
              <w:t>Total Transit Segment</w:t>
            </w:r>
          </w:p>
        </w:tc>
        <w:tc>
          <w:tcPr>
            <w:tcW w:w="1740" w:type="dxa"/>
            <w:vAlign w:val="bottom"/>
            <w:tcBorders>
              <w:top w:val="single" w:sz="8" w:color="auto"/>
              <w:bottom w:val="single" w:sz="8" w:color="auto"/>
            </w:tcBorders>
          </w:tcPr>
          <w:p>
            <w:pPr>
              <w:jc w:val="right"/>
              <w:ind w:right="1557"/>
              <w:spacing w:after="0"/>
              <w:rPr>
                <w:sz w:val="20"/>
                <w:szCs w:val="20"/>
                <w:color w:val="auto"/>
              </w:rPr>
            </w:pPr>
            <w:r>
              <w:rPr>
                <w:rFonts w:ascii="Arial" w:cs="Arial" w:eastAsia="Arial" w:hAnsi="Arial"/>
                <w:sz w:val="17"/>
                <w:szCs w:val="17"/>
                <w:color w:val="auto"/>
                <w:w w:val="84"/>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w:t>
            </w:r>
          </w:p>
        </w:tc>
        <w:tc>
          <w:tcPr>
            <w:tcW w:w="14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7"/>
                <w:szCs w:val="17"/>
                <w:color w:val="auto"/>
                <w:w w:val="84"/>
              </w:rPr>
              <w:t>$</w:t>
            </w:r>
          </w:p>
        </w:tc>
        <w:tc>
          <w:tcPr>
            <w:tcW w:w="1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23</w:t>
            </w:r>
          </w:p>
        </w:tc>
      </w:tr>
      <w:tr>
        <w:trPr>
          <w:trHeight w:val="238"/>
        </w:trPr>
        <w:tc>
          <w:tcPr>
            <w:tcW w:w="67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7"/>
                <w:szCs w:val="17"/>
                <w:color w:val="auto"/>
              </w:rPr>
              <w:t>Total Integration 2.0 restructuring charges</w:t>
            </w:r>
          </w:p>
        </w:tc>
        <w:tc>
          <w:tcPr>
            <w:tcW w:w="1740" w:type="dxa"/>
            <w:vAlign w:val="bottom"/>
            <w:tcBorders>
              <w:bottom w:val="single" w:sz="8" w:color="auto"/>
            </w:tcBorders>
            <w:shd w:val="clear" w:color="auto" w:fill="CCEEFF"/>
          </w:tcPr>
          <w:p>
            <w:pPr>
              <w:jc w:val="right"/>
              <w:ind w:right="1557"/>
              <w:spacing w:after="0"/>
              <w:rPr>
                <w:sz w:val="20"/>
                <w:szCs w:val="20"/>
                <w:color w:val="auto"/>
              </w:rPr>
            </w:pPr>
            <w:r>
              <w:rPr>
                <w:rFonts w:ascii="Arial" w:cs="Arial" w:eastAsia="Arial" w:hAnsi="Arial"/>
                <w:sz w:val="17"/>
                <w:szCs w:val="17"/>
                <w:color w:val="auto"/>
                <w:w w:val="84"/>
              </w:rPr>
              <w:t>$</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1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608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155" w:lineRule="exact"/>
        <w:rPr>
          <w:sz w:val="20"/>
          <w:szCs w:val="20"/>
          <w:color w:val="auto"/>
        </w:rPr>
      </w:pPr>
    </w:p>
    <w:p>
      <w:pPr>
        <w:ind w:right="20" w:firstLine="464"/>
        <w:spacing w:after="0" w:line="246" w:lineRule="auto"/>
        <w:rPr>
          <w:sz w:val="20"/>
          <w:szCs w:val="20"/>
          <w:color w:val="auto"/>
        </w:rPr>
      </w:pPr>
      <w:r>
        <w:rPr>
          <w:rFonts w:ascii="Arial" w:cs="Arial" w:eastAsia="Arial" w:hAnsi="Arial"/>
          <w:sz w:val="17"/>
          <w:szCs w:val="17"/>
          <w:color w:val="auto"/>
        </w:rPr>
        <w:t>Total one-time restructuring charges related to Integration 2.0 to date are approximately $99 million, which includes amounts recorded beginning in the fourth quarter 2021, and are primarily for employee-related costs and asset write downs associated with site consolidations in Europe. Programs approved to date are expected to result in approximately 15 facility closures and impact approximately 1,100 employees. Cash payments made during three and nine months ended September 30, 2023 or 2022 were not material.</w:t>
      </w:r>
    </w:p>
    <w:p>
      <w:pPr>
        <w:spacing w:after="0" w:line="7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No significant programs related to Integration 2.0 were initiated during the three and nine months ended September 30, 2022.</w:t>
      </w:r>
    </w:p>
    <w:p>
      <w:pPr>
        <w:spacing w:after="0" w:line="200" w:lineRule="exact"/>
        <w:rPr>
          <w:sz w:val="20"/>
          <w:szCs w:val="20"/>
          <w:color w:val="auto"/>
        </w:rPr>
      </w:pPr>
    </w:p>
    <w:p>
      <w:pPr>
        <w:spacing w:after="0" w:line="378"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60"/>
          </w:cols>
          <w:pgMar w:left="320" w:top="895" w:right="419" w:bottom="1440" w:gutter="0" w:footer="0" w:header="0"/>
        </w:sectPr>
      </w:pPr>
    </w:p>
    <w:bookmarkStart w:id="25" w:name="page26"/>
    <w:bookmarkEnd w:id="25"/>
    <w:p>
      <w:pPr>
        <w:spacing w:after="0"/>
        <w:tabs>
          <w:tab w:leader="none" w:pos="680" w:val="left"/>
        </w:tabs>
        <w:rPr>
          <w:sz w:val="20"/>
          <w:szCs w:val="20"/>
          <w:color w:val="auto"/>
        </w:rPr>
      </w:pPr>
      <w:r>
        <w:rPr>
          <w:rFonts w:ascii="Arial" w:cs="Arial" w:eastAsia="Arial" w:hAnsi="Arial"/>
          <w:sz w:val="17"/>
          <w:szCs w:val="17"/>
          <w:b w:val="1"/>
          <w:bCs w:val="1"/>
          <w:color w:val="auto"/>
        </w:rPr>
        <w:t>Item 2.</w:t>
        <w:tab/>
        <w:t>MANAGEMENT’S DISCUSSION AND ANALYSIS OF FINANCIAL CONDITION AND RESULTS OF OPERATIONS</w:t>
      </w:r>
    </w:p>
    <w:p>
      <w:pPr>
        <w:spacing w:after="0" w:line="124" w:lineRule="exact"/>
        <w:rPr>
          <w:sz w:val="20"/>
          <w:szCs w:val="20"/>
          <w:color w:val="auto"/>
        </w:rPr>
      </w:pPr>
    </w:p>
    <w:p>
      <w:pPr>
        <w:ind w:right="80" w:firstLine="464"/>
        <w:spacing w:after="0" w:line="304" w:lineRule="auto"/>
        <w:rPr>
          <w:sz w:val="20"/>
          <w:szCs w:val="20"/>
          <w:color w:val="auto"/>
        </w:rPr>
      </w:pPr>
      <w:r>
        <w:rPr>
          <w:rFonts w:ascii="Arial" w:cs="Arial" w:eastAsia="Arial" w:hAnsi="Arial"/>
          <w:sz w:val="14"/>
          <w:szCs w:val="14"/>
          <w:i w:val="1"/>
          <w:iCs w:val="1"/>
          <w:color w:val="auto"/>
        </w:rPr>
        <w:t>The following discussion should be read in conjunction with the information in the unaudited condensed consolidated financial statements and notes thereto included herein and Westinghouse Air Brake Technologies Corporation’s Financial Statements and Management’s Discussion and Analysis of Financial Condition and Results of Operations included in its Annual Report on Form 10-K for the year ended December 31, 2022, filed with the Securities and Exchange Commission on February 15, 2023.</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120" w:lineRule="exact"/>
        <w:rPr>
          <w:sz w:val="20"/>
          <w:szCs w:val="20"/>
          <w:color w:val="auto"/>
        </w:rPr>
      </w:pPr>
    </w:p>
    <w:p>
      <w:pPr>
        <w:ind w:right="240" w:firstLine="464"/>
        <w:spacing w:after="0" w:line="277" w:lineRule="auto"/>
        <w:rPr>
          <w:sz w:val="20"/>
          <w:szCs w:val="20"/>
          <w:color w:val="auto"/>
        </w:rPr>
      </w:pPr>
      <w:r>
        <w:rPr>
          <w:rFonts w:ascii="Arial" w:cs="Arial" w:eastAsia="Arial" w:hAnsi="Arial"/>
          <w:sz w:val="16"/>
          <w:szCs w:val="16"/>
          <w:color w:val="auto"/>
        </w:rPr>
        <w:t>Wabtec is one of the world’s largest providers of value-added, technology-based locomotives, equipment, systems, and services for the global freight rail and passenger transit industries, as well as the mining, marine and industrial markets. Our highly engineered products, which are intended to enhance safety, improve productivity and reduce maintenance costs for customers, can be found on most locomotives, freight cars, passenger transit cars and buses around the world. Our core products and services are essential in the safe and efficient operation of freight rail and passenger transit vehicles. Wabtec is a global company with operations in over 50 countries and our products can be found in more than 100 countries throughout the world. In the first nine months of 2023, approximately 55% of the Company’s Net sales came from customers outside the United States.</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Business Update</w:t>
      </w:r>
    </w:p>
    <w:p>
      <w:pPr>
        <w:spacing w:after="0" w:line="114" w:lineRule="exact"/>
        <w:rPr>
          <w:sz w:val="20"/>
          <w:szCs w:val="20"/>
          <w:color w:val="auto"/>
        </w:rPr>
      </w:pPr>
    </w:p>
    <w:p>
      <w:pPr>
        <w:ind w:firstLine="464"/>
        <w:spacing w:after="0" w:line="295" w:lineRule="auto"/>
        <w:rPr>
          <w:sz w:val="20"/>
          <w:szCs w:val="20"/>
          <w:color w:val="auto"/>
        </w:rPr>
      </w:pPr>
      <w:r>
        <w:rPr>
          <w:rFonts w:ascii="Arial" w:cs="Arial" w:eastAsia="Arial" w:hAnsi="Arial"/>
          <w:sz w:val="15"/>
          <w:szCs w:val="15"/>
          <w:color w:val="auto"/>
        </w:rPr>
        <w:t>During the nine months of 2023, Wabtec continued to execute on our value creation framework by signing strategic orders for new locomotives with a North American railroad, new locomotives in Brazil, and mining drive systems in high altitude applications. We announced our largest certified pre-owned order for 69 locomotives for a North American customer and won a contract to supply pantograph and Passenger Information Systems for up to 504 Stadler cars. Wabtec completed the strategic acquisition of L&amp;M Radiator, Inc., a leading manufacturer of heavy-duty equipment radiators and heat exchangers for the mining sector. During the third quarter of 2023, we delivered our 500th locomotive in Kazakhstan for the CIS region, and during the second quarter of 2023, we delivered our 500th locomotive to Indian Railways, which was a significant milestone in our 10-year contract. Our senior unsecured debt was upgraded by Moody's, which reflects resiliency of the business, our balance sheet strength and strong cash generation. Additionally, Wabtec rebranded our Digital Electronics product line to Digital Intelligence; a change that more accurately reflects the complete digital products and services portfolio offered to our customers.</w:t>
      </w:r>
    </w:p>
    <w:p>
      <w:pPr>
        <w:spacing w:after="0" w:line="57" w:lineRule="exact"/>
        <w:rPr>
          <w:sz w:val="20"/>
          <w:szCs w:val="20"/>
          <w:color w:val="auto"/>
        </w:rPr>
      </w:pPr>
    </w:p>
    <w:p>
      <w:pPr>
        <w:ind w:firstLine="464"/>
        <w:spacing w:after="0" w:line="293" w:lineRule="auto"/>
        <w:rPr>
          <w:sz w:val="20"/>
          <w:szCs w:val="20"/>
          <w:color w:val="auto"/>
        </w:rPr>
      </w:pPr>
      <w:r>
        <w:rPr>
          <w:rFonts w:ascii="Arial" w:cs="Arial" w:eastAsia="Arial" w:hAnsi="Arial"/>
          <w:sz w:val="15"/>
          <w:szCs w:val="15"/>
          <w:color w:val="auto"/>
        </w:rPr>
        <w:t>During the first quarter of 2022, Wabtec announced Integration 2.0, a three-year strategic initiative to target incremental run rate synergies estimated to be between $75 million and $90 million in 2025. The scope of the review includes consolidating our operating footprint, reducing headcount, streamlining the end-to-end manufacturing process, restructuring the North America distribution channels, expanding operations in low-cost countries and simplifying the business through systems enablement, including the source-to-pay process. Management will also consider additional capital investments to further simplify and streamline the business. The Company anticipates that it will incur one-time restructuring charges of approximately $135 million to $165 million related to this initiative, of which approximately $99 million has been incurred through September 30, 2023. Total estimated initiative charges could change based on the specific programs approved or changes to the scope of the review. During the three and nine months ended September 30, 2023, the Company incurred one-time restructuring charges for programs included in the initiative of approximately $13 million and $30 million, respectively, primarily for employee-related costs and asset write downs associated with site consolidations in Europe. Programs approved to date are expected to result in approximately 15 facility closures and impact approximately 1,100 employees. No significant charges related to Integration 2.0 were recorded during the three and nine months ended September 30, 2022.</w:t>
      </w:r>
    </w:p>
    <w:p>
      <w:pPr>
        <w:spacing w:after="0" w:line="60" w:lineRule="exact"/>
        <w:rPr>
          <w:sz w:val="20"/>
          <w:szCs w:val="20"/>
          <w:color w:val="auto"/>
        </w:rPr>
      </w:pPr>
    </w:p>
    <w:p>
      <w:pPr>
        <w:ind w:right="160" w:firstLine="464"/>
        <w:spacing w:after="0" w:line="259" w:lineRule="auto"/>
        <w:rPr>
          <w:sz w:val="20"/>
          <w:szCs w:val="20"/>
          <w:color w:val="auto"/>
        </w:rPr>
      </w:pPr>
      <w:r>
        <w:rPr>
          <w:rFonts w:ascii="Arial" w:cs="Arial" w:eastAsia="Arial" w:hAnsi="Arial"/>
          <w:sz w:val="17"/>
          <w:szCs w:val="17"/>
          <w:color w:val="auto"/>
        </w:rPr>
        <w:t>The Company continues to navigate macroeconomic volatility which is impacting our supply chain, results of operations and business results. Impacts for the three and nine months ended September 30, 2023 and 2022 are discussed in more detail in the Results of Operations section below. Future supply chain disruptions and labor availability could cause component and raw material shortages resulting in an adverse effect on the timing of the Company’s revenue and cash flows. Additionally, broad-based inflation, metals, energy and other commodity costs, transportation and logistics costs, labor costs, and foreign currency exchange rate fluctuations all continue to impact our results.</w:t>
      </w:r>
    </w:p>
    <w:p>
      <w:pPr>
        <w:spacing w:after="0" w:line="80" w:lineRule="exact"/>
        <w:rPr>
          <w:sz w:val="20"/>
          <w:szCs w:val="20"/>
          <w:color w:val="auto"/>
        </w:rPr>
      </w:pPr>
    </w:p>
    <w:p>
      <w:pPr>
        <w:ind w:right="40" w:firstLine="464"/>
        <w:spacing w:after="0" w:line="259" w:lineRule="auto"/>
        <w:rPr>
          <w:sz w:val="20"/>
          <w:szCs w:val="20"/>
          <w:color w:val="auto"/>
        </w:rPr>
      </w:pPr>
      <w:r>
        <w:rPr>
          <w:rFonts w:ascii="Arial" w:cs="Arial" w:eastAsia="Arial" w:hAnsi="Arial"/>
          <w:sz w:val="17"/>
          <w:szCs w:val="17"/>
          <w:color w:val="auto"/>
        </w:rPr>
        <w:t>The Russian invasion of Ukraine and the resultant sanctions related to Russia and Belarus have further impacted our supply and distribution channels and caused significant price inflation which had, and are expected to continue to have, adverse effects on Wabtec’s business results. As of September 30, 2023, Wabtec had approximately $2 million of cash related to Russian operations which will be utilized to settle remaining obligations in Russia. Management determined that inventory related to operations in Ukraine were not expected to be recoverable and were written off resulting in an insignificant charge during the first quarter of 2022. Remaining assets related to Ukraine and those in Belarus were not significant.</w:t>
      </w:r>
    </w:p>
    <w:p>
      <w:pPr>
        <w:spacing w:after="0" w:line="80" w:lineRule="exact"/>
        <w:rPr>
          <w:sz w:val="20"/>
          <w:szCs w:val="20"/>
          <w:color w:val="auto"/>
        </w:rPr>
      </w:pPr>
    </w:p>
    <w:p>
      <w:pPr>
        <w:ind w:right="440" w:firstLine="464"/>
        <w:spacing w:after="0" w:line="279" w:lineRule="auto"/>
        <w:rPr>
          <w:sz w:val="20"/>
          <w:szCs w:val="20"/>
          <w:color w:val="auto"/>
        </w:rPr>
      </w:pPr>
      <w:r>
        <w:rPr>
          <w:rFonts w:ascii="Arial" w:cs="Arial" w:eastAsia="Arial" w:hAnsi="Arial"/>
          <w:sz w:val="17"/>
          <w:szCs w:val="17"/>
          <w:color w:val="auto"/>
        </w:rPr>
        <w:t>The Company utilizes various mitigating actions intended to lessen the impact of macroeconomic volatility. These actions include implementing price escalations and surcharges, driving operational efficiencies through various cost mitigation</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26" w:name="page27"/>
    <w:bookmarkEnd w:id="26"/>
    <w:p>
      <w:pPr>
        <w:spacing w:after="0" w:line="279" w:lineRule="auto"/>
        <w:rPr>
          <w:sz w:val="20"/>
          <w:szCs w:val="20"/>
          <w:color w:val="auto"/>
        </w:rPr>
      </w:pPr>
      <w:r>
        <w:rPr>
          <w:rFonts w:ascii="Arial" w:cs="Arial" w:eastAsia="Arial" w:hAnsi="Arial"/>
          <w:sz w:val="17"/>
          <w:szCs w:val="17"/>
          <w:color w:val="auto"/>
        </w:rPr>
        <w:t>efforts and discretionary spend management, strategically sourcing materials, reviewing and modifying distribution logistics, and accelerating integration synergies through Integration 2.0.</w:t>
      </w:r>
    </w:p>
    <w:p>
      <w:pPr>
        <w:spacing w:after="0" w:line="61" w:lineRule="exact"/>
        <w:rPr>
          <w:sz w:val="20"/>
          <w:szCs w:val="20"/>
          <w:color w:val="auto"/>
        </w:rPr>
      </w:pPr>
    </w:p>
    <w:p>
      <w:pPr>
        <w:ind w:right="60" w:firstLine="464"/>
        <w:spacing w:after="0" w:line="279" w:lineRule="auto"/>
        <w:rPr>
          <w:sz w:val="20"/>
          <w:szCs w:val="20"/>
          <w:color w:val="auto"/>
        </w:rPr>
      </w:pPr>
      <w:r>
        <w:rPr>
          <w:rFonts w:ascii="Arial" w:cs="Arial" w:eastAsia="Arial" w:hAnsi="Arial"/>
          <w:sz w:val="16"/>
          <w:szCs w:val="16"/>
          <w:color w:val="auto"/>
        </w:rPr>
        <w:t>A portion of our workers are represented by labor unions. The United Electrical, Radio and Machine Workers of America (UE), Locals 506 and 618 collective bargaining agreement, covering approximately 1,400 locomotive manufacturing workers in Erie, Pennsylvania, expired on June 9, 2023. Negotiations with UE officially began on April 27, 2023 and an agreement between the Company and the UE was not reached before the contract expired. On June 22, 2023, the UE voted against ratification of the Company's proposed agreement and authorized a strike. The Company and the UE subsequently reached an agreement that was ratified by the UE on August 31, 2023, ending the labor strike. The Company continuously monitors its labor activity.</w:t>
      </w:r>
    </w:p>
    <w:p>
      <w:pPr>
        <w:spacing w:after="0" w:line="6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Cyber Incident</w:t>
      </w:r>
    </w:p>
    <w:p>
      <w:pPr>
        <w:spacing w:after="0" w:line="114" w:lineRule="exact"/>
        <w:rPr>
          <w:sz w:val="20"/>
          <w:szCs w:val="20"/>
          <w:color w:val="auto"/>
        </w:rPr>
      </w:pPr>
    </w:p>
    <w:p>
      <w:pPr>
        <w:ind w:right="100" w:firstLine="464"/>
        <w:spacing w:after="0" w:line="266" w:lineRule="auto"/>
        <w:rPr>
          <w:sz w:val="20"/>
          <w:szCs w:val="20"/>
          <w:color w:val="auto"/>
        </w:rPr>
      </w:pPr>
      <w:r>
        <w:rPr>
          <w:rFonts w:ascii="Arial" w:cs="Arial" w:eastAsia="Arial" w:hAnsi="Arial"/>
          <w:sz w:val="17"/>
          <w:szCs w:val="17"/>
          <w:color w:val="auto"/>
        </w:rPr>
        <w:t>As previously announced, on June 26, 2022, we detected a cyber security incident which impacted the Company’s network. The Company promptly activated incident response protocols, which included shutting down certain systems, and commenced an investigation of the incident. The Company also notified law enforcement and engaged legal counsel and other third-party incident response and cybersecurity professionals.</w:t>
      </w:r>
    </w:p>
    <w:p>
      <w:pPr>
        <w:spacing w:after="0" w:line="72" w:lineRule="exact"/>
        <w:rPr>
          <w:sz w:val="20"/>
          <w:szCs w:val="20"/>
          <w:color w:val="auto"/>
        </w:rPr>
      </w:pPr>
    </w:p>
    <w:p>
      <w:pPr>
        <w:jc w:val="both"/>
        <w:ind w:right="440" w:firstLine="464"/>
        <w:spacing w:after="0" w:line="266" w:lineRule="auto"/>
        <w:rPr>
          <w:sz w:val="20"/>
          <w:szCs w:val="20"/>
          <w:color w:val="auto"/>
        </w:rPr>
      </w:pPr>
      <w:r>
        <w:rPr>
          <w:rFonts w:ascii="Arial" w:cs="Arial" w:eastAsia="Arial" w:hAnsi="Arial"/>
          <w:sz w:val="17"/>
          <w:szCs w:val="17"/>
          <w:color w:val="auto"/>
        </w:rPr>
        <w:t>Based on the Company's assessment, the incident has not had a significant financial impact and the Company does not believe the incident will have a material impact on its business, operations or financial results. The Company maintains cyber insurance, subject to certain deductibles and policy limitations typical for its size and industry.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04" w:right="339" w:bottom="1440" w:gutter="0" w:footer="0" w:header="0"/>
        </w:sectPr>
      </w:pPr>
    </w:p>
    <w:bookmarkStart w:id="27" w:name="page28"/>
    <w:bookmarkEnd w:id="27"/>
    <w:p>
      <w:pPr>
        <w:spacing w:after="0"/>
        <w:rPr>
          <w:sz w:val="20"/>
          <w:szCs w:val="20"/>
          <w:color w:val="auto"/>
        </w:rPr>
      </w:pPr>
      <w:r>
        <w:rPr>
          <w:rFonts w:ascii="Arial" w:cs="Arial" w:eastAsia="Arial" w:hAnsi="Arial"/>
          <w:sz w:val="17"/>
          <w:szCs w:val="17"/>
          <w:b w:val="1"/>
          <w:bCs w:val="1"/>
          <w:color w:val="auto"/>
        </w:rPr>
        <w:t>RESULTS OF OPERATIONS</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Consolidated Results</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THIRD QUARTER 2023 COMPARED TO THIRD QUARTER 2022</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shows our Condensed Consolidated Statements of Operations for the periods indicated.</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780" w:type="dxa"/>
            <w:vAlign w:val="bottom"/>
            <w:gridSpan w:val="4"/>
          </w:tcPr>
          <w:p>
            <w:pPr>
              <w:jc w:val="right"/>
              <w:ind w:right="775"/>
              <w:spacing w:after="0"/>
              <w:rPr>
                <w:sz w:val="20"/>
                <w:szCs w:val="20"/>
                <w:color w:val="auto"/>
              </w:rPr>
            </w:pPr>
            <w:r>
              <w:rPr>
                <w:rFonts w:ascii="Arial" w:cs="Arial" w:eastAsia="Arial" w:hAnsi="Arial"/>
                <w:sz w:val="15"/>
                <w:szCs w:val="15"/>
                <w:b w:val="1"/>
                <w:bCs w:val="1"/>
                <w:color w:val="auto"/>
              </w:rPr>
              <w:t>Three Months Ended</w:t>
            </w:r>
          </w:p>
        </w:tc>
      </w:tr>
      <w:tr>
        <w:trPr>
          <w:trHeight w:val="204"/>
        </w:trPr>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5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3"/>
          </w:tcPr>
          <w:p>
            <w:pPr>
              <w:jc w:val="right"/>
              <w:ind w:right="14"/>
              <w:spacing w:after="0"/>
              <w:rPr>
                <w:sz w:val="20"/>
                <w:szCs w:val="20"/>
                <w:color w:val="auto"/>
              </w:rPr>
            </w:pPr>
            <w:r>
              <w:rPr>
                <w:rFonts w:ascii="Arial" w:cs="Arial" w:eastAsia="Arial" w:hAnsi="Arial"/>
                <w:sz w:val="15"/>
                <w:szCs w:val="15"/>
                <w:b w:val="1"/>
                <w:bCs w:val="1"/>
                <w:color w:val="auto"/>
              </w:rPr>
              <w:t>September 30,</w:t>
            </w:r>
          </w:p>
        </w:tc>
        <w:tc>
          <w:tcPr>
            <w:tcW w:w="1000" w:type="dxa"/>
            <w:vAlign w:val="bottom"/>
            <w:tcBorders>
              <w:bottom w:val="single" w:sz="8" w:color="auto"/>
            </w:tcBorders>
          </w:tcPr>
          <w:p>
            <w:pPr>
              <w:spacing w:after="0"/>
              <w:rPr>
                <w:sz w:val="17"/>
                <w:szCs w:val="17"/>
                <w:color w:val="auto"/>
              </w:rPr>
            </w:pPr>
          </w:p>
        </w:tc>
      </w:tr>
      <w:tr>
        <w:trPr>
          <w:trHeight w:val="150"/>
        </w:trPr>
        <w:tc>
          <w:tcPr>
            <w:tcW w:w="8100" w:type="dxa"/>
            <w:vAlign w:val="bottom"/>
            <w:gridSpan w:val="3"/>
          </w:tcPr>
          <w:p>
            <w:pPr>
              <w:ind w:left="20"/>
              <w:spacing w:after="0"/>
              <w:rPr>
                <w:sz w:val="20"/>
                <w:szCs w:val="20"/>
                <w:color w:val="auto"/>
              </w:rPr>
            </w:pPr>
            <w:r>
              <w:rPr>
                <w:rFonts w:ascii="Arial" w:cs="Arial" w:eastAsia="Arial" w:hAnsi="Arial"/>
                <w:sz w:val="13"/>
                <w:szCs w:val="13"/>
                <w:b w:val="1"/>
                <w:bCs w:val="1"/>
                <w:i w:val="1"/>
                <w:iCs w:val="1"/>
                <w:color w:val="auto"/>
              </w:rPr>
              <w:t>In millions</w:t>
            </w:r>
          </w:p>
        </w:tc>
        <w:tc>
          <w:tcPr>
            <w:tcW w:w="360" w:type="dxa"/>
            <w:vAlign w:val="bottom"/>
          </w:tcPr>
          <w:p>
            <w:pPr>
              <w:spacing w:after="0"/>
              <w:rPr>
                <w:sz w:val="13"/>
                <w:szCs w:val="13"/>
                <w:color w:val="auto"/>
              </w:rPr>
            </w:pPr>
          </w:p>
        </w:tc>
        <w:tc>
          <w:tcPr>
            <w:tcW w:w="1160" w:type="dxa"/>
            <w:vAlign w:val="bottom"/>
          </w:tcPr>
          <w:p>
            <w:pPr>
              <w:jc w:val="right"/>
              <w:ind w:right="536"/>
              <w:spacing w:after="0" w:line="150" w:lineRule="exact"/>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0" w:type="dxa"/>
            <w:vAlign w:val="bottom"/>
          </w:tcPr>
          <w:p>
            <w:pPr>
              <w:jc w:val="right"/>
              <w:ind w:right="535"/>
              <w:spacing w:after="0" w:line="150" w:lineRule="exact"/>
              <w:rPr>
                <w:sz w:val="20"/>
                <w:szCs w:val="20"/>
                <w:color w:val="auto"/>
              </w:rPr>
            </w:pPr>
            <w:r>
              <w:rPr>
                <w:rFonts w:ascii="Arial" w:cs="Arial" w:eastAsia="Arial" w:hAnsi="Arial"/>
                <w:sz w:val="14"/>
                <w:szCs w:val="14"/>
                <w:b w:val="1"/>
                <w:bCs w:val="1"/>
                <w:color w:val="auto"/>
              </w:rPr>
              <w:t>2022</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580" w:type="dxa"/>
            <w:vAlign w:val="bottom"/>
            <w:tcBorders>
              <w:top w:val="single" w:sz="8" w:color="auto"/>
              <w:bottom w:val="single" w:sz="8" w:color="CCEEFF"/>
            </w:tcBorders>
          </w:tcPr>
          <w:p>
            <w:pPr>
              <w:spacing w:after="0" w:line="20" w:lineRule="exact"/>
              <w:rPr>
                <w:sz w:val="1"/>
                <w:szCs w:val="1"/>
                <w:color w:val="auto"/>
              </w:rPr>
            </w:pPr>
          </w:p>
        </w:tc>
        <w:tc>
          <w:tcPr>
            <w:tcW w:w="75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98"/>
        </w:trPr>
        <w:tc>
          <w:tcPr>
            <w:tcW w:w="810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Net sales:</w:t>
            </w: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18"/>
        </w:trPr>
        <w:tc>
          <w:tcPr>
            <w:tcW w:w="20" w:type="dxa"/>
            <w:vAlign w:val="bottom"/>
          </w:tcPr>
          <w:p>
            <w:pPr>
              <w:spacing w:after="0"/>
              <w:rPr>
                <w:sz w:val="18"/>
                <w:szCs w:val="18"/>
                <w:color w:val="auto"/>
              </w:rPr>
            </w:pPr>
          </w:p>
        </w:tc>
        <w:tc>
          <w:tcPr>
            <w:tcW w:w="8080" w:type="dxa"/>
            <w:vAlign w:val="bottom"/>
            <w:gridSpan w:val="2"/>
          </w:tcPr>
          <w:p>
            <w:pPr>
              <w:ind w:left="200"/>
              <w:spacing w:after="0"/>
              <w:rPr>
                <w:sz w:val="20"/>
                <w:szCs w:val="20"/>
                <w:color w:val="auto"/>
              </w:rPr>
            </w:pPr>
            <w:r>
              <w:rPr>
                <w:rFonts w:ascii="Arial" w:cs="Arial" w:eastAsia="Arial" w:hAnsi="Arial"/>
                <w:sz w:val="17"/>
                <w:szCs w:val="17"/>
                <w:color w:val="auto"/>
              </w:rPr>
              <w:t>Sales of goods</w:t>
            </w:r>
          </w:p>
        </w:tc>
        <w:tc>
          <w:tcPr>
            <w:tcW w:w="360" w:type="dxa"/>
            <w:vAlign w:val="bottom"/>
          </w:tcPr>
          <w:p>
            <w:pPr>
              <w:jc w:val="right"/>
              <w:ind w:right="174"/>
              <w:spacing w:after="0"/>
              <w:rPr>
                <w:sz w:val="20"/>
                <w:szCs w:val="20"/>
                <w:color w:val="auto"/>
              </w:rPr>
            </w:pPr>
            <w:r>
              <w:rPr>
                <w:rFonts w:ascii="Arial" w:cs="Arial" w:eastAsia="Arial" w:hAnsi="Arial"/>
                <w:sz w:val="17"/>
                <w:szCs w:val="17"/>
                <w:color w:val="auto"/>
                <w:w w:val="84"/>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2,048</w:t>
            </w:r>
          </w:p>
        </w:tc>
        <w:tc>
          <w:tcPr>
            <w:tcW w:w="100" w:type="dxa"/>
            <w:vAlign w:val="bottom"/>
          </w:tcPr>
          <w:p>
            <w:pPr>
              <w:spacing w:after="0"/>
              <w:rPr>
                <w:sz w:val="18"/>
                <w:szCs w:val="18"/>
                <w:color w:val="auto"/>
              </w:rPr>
            </w:pPr>
          </w:p>
        </w:tc>
        <w:tc>
          <w:tcPr>
            <w:tcW w:w="520" w:type="dxa"/>
            <w:vAlign w:val="bottom"/>
          </w:tcPr>
          <w:p>
            <w:pPr>
              <w:jc w:val="right"/>
              <w:ind w:right="334"/>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1,625</w:t>
            </w:r>
          </w:p>
        </w:tc>
      </w:tr>
      <w:tr>
        <w:trPr>
          <w:trHeight w:val="220"/>
        </w:trPr>
        <w:tc>
          <w:tcPr>
            <w:tcW w:w="20" w:type="dxa"/>
            <w:vAlign w:val="bottom"/>
            <w:shd w:val="clear" w:color="auto" w:fill="CCEEFF"/>
          </w:tcPr>
          <w:p>
            <w:pPr>
              <w:spacing w:after="0"/>
              <w:rPr>
                <w:sz w:val="19"/>
                <w:szCs w:val="19"/>
                <w:color w:val="auto"/>
              </w:rPr>
            </w:pPr>
          </w:p>
        </w:tc>
        <w:tc>
          <w:tcPr>
            <w:tcW w:w="808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Sales of services</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502</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456</w:t>
            </w:r>
          </w:p>
        </w:tc>
      </w:tr>
      <w:tr>
        <w:trPr>
          <w:trHeight w:val="211"/>
        </w:trPr>
        <w:tc>
          <w:tcPr>
            <w:tcW w:w="20" w:type="dxa"/>
            <w:vAlign w:val="bottom"/>
          </w:tcPr>
          <w:p>
            <w:pPr>
              <w:spacing w:after="0"/>
              <w:rPr>
                <w:sz w:val="18"/>
                <w:szCs w:val="18"/>
                <w:color w:val="auto"/>
              </w:rPr>
            </w:pPr>
          </w:p>
        </w:tc>
        <w:tc>
          <w:tcPr>
            <w:tcW w:w="8080" w:type="dxa"/>
            <w:vAlign w:val="bottom"/>
            <w:gridSpan w:val="2"/>
          </w:tcPr>
          <w:p>
            <w:pPr>
              <w:ind w:left="320"/>
              <w:spacing w:after="0"/>
              <w:rPr>
                <w:sz w:val="20"/>
                <w:szCs w:val="20"/>
                <w:color w:val="auto"/>
              </w:rPr>
            </w:pPr>
            <w:r>
              <w:rPr>
                <w:rFonts w:ascii="Arial" w:cs="Arial" w:eastAsia="Arial" w:hAnsi="Arial"/>
                <w:sz w:val="17"/>
                <w:szCs w:val="17"/>
                <w:color w:val="auto"/>
              </w:rPr>
              <w:t>Total net sales</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2,550</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2,081</w:t>
            </w:r>
          </w:p>
        </w:tc>
      </w:tr>
      <w:tr>
        <w:trPr>
          <w:trHeight w:val="220"/>
        </w:trPr>
        <w:tc>
          <w:tcPr>
            <w:tcW w:w="810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Cost of sales: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8080" w:type="dxa"/>
            <w:vAlign w:val="bottom"/>
            <w:gridSpan w:val="2"/>
          </w:tcPr>
          <w:p>
            <w:pPr>
              <w:ind w:left="200"/>
              <w:spacing w:after="0"/>
              <w:rPr>
                <w:sz w:val="20"/>
                <w:szCs w:val="20"/>
                <w:color w:val="auto"/>
              </w:rPr>
            </w:pPr>
            <w:r>
              <w:rPr>
                <w:rFonts w:ascii="Arial" w:cs="Arial" w:eastAsia="Arial" w:hAnsi="Arial"/>
                <w:sz w:val="17"/>
                <w:szCs w:val="17"/>
                <w:color w:val="auto"/>
              </w:rPr>
              <w:t>Cost of goods</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(1,475)</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(1,200)</w:t>
            </w:r>
          </w:p>
        </w:tc>
      </w:tr>
      <w:tr>
        <w:trPr>
          <w:trHeight w:val="220"/>
        </w:trPr>
        <w:tc>
          <w:tcPr>
            <w:tcW w:w="20" w:type="dxa"/>
            <w:vAlign w:val="bottom"/>
            <w:shd w:val="clear" w:color="auto" w:fill="CCEEFF"/>
          </w:tcPr>
          <w:p>
            <w:pPr>
              <w:spacing w:after="0"/>
              <w:rPr>
                <w:sz w:val="19"/>
                <w:szCs w:val="19"/>
                <w:color w:val="auto"/>
              </w:rPr>
            </w:pPr>
          </w:p>
        </w:tc>
        <w:tc>
          <w:tcPr>
            <w:tcW w:w="808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Cost of services</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(283)</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(233)</w:t>
            </w:r>
          </w:p>
        </w:tc>
      </w:tr>
      <w:tr>
        <w:trPr>
          <w:trHeight w:val="211"/>
        </w:trPr>
        <w:tc>
          <w:tcPr>
            <w:tcW w:w="20" w:type="dxa"/>
            <w:vAlign w:val="bottom"/>
            <w:tcBorders>
              <w:bottom w:val="single" w:sz="8" w:color="CCEEFF"/>
            </w:tcBorders>
          </w:tcPr>
          <w:p>
            <w:pPr>
              <w:spacing w:after="0"/>
              <w:rPr>
                <w:sz w:val="18"/>
                <w:szCs w:val="18"/>
                <w:color w:val="auto"/>
              </w:rPr>
            </w:pPr>
          </w:p>
        </w:tc>
        <w:tc>
          <w:tcPr>
            <w:tcW w:w="8080" w:type="dxa"/>
            <w:vAlign w:val="bottom"/>
            <w:tcBorders>
              <w:bottom w:val="single" w:sz="8" w:color="CCEEFF"/>
            </w:tcBorders>
            <w:gridSpan w:val="2"/>
          </w:tcPr>
          <w:p>
            <w:pPr>
              <w:ind w:left="320"/>
              <w:spacing w:after="0"/>
              <w:rPr>
                <w:sz w:val="20"/>
                <w:szCs w:val="20"/>
                <w:color w:val="auto"/>
              </w:rPr>
            </w:pPr>
            <w:r>
              <w:rPr>
                <w:rFonts w:ascii="Arial" w:cs="Arial" w:eastAsia="Arial" w:hAnsi="Arial"/>
                <w:sz w:val="17"/>
                <w:szCs w:val="17"/>
                <w:color w:val="auto"/>
              </w:rPr>
              <w:t>Total cost of sales</w:t>
            </w: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(1,758)</w:t>
            </w: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(1,433)</w:t>
            </w:r>
          </w:p>
        </w:tc>
      </w:tr>
      <w:tr>
        <w:trPr>
          <w:trHeight w:val="213"/>
        </w:trPr>
        <w:tc>
          <w:tcPr>
            <w:tcW w:w="20" w:type="dxa"/>
            <w:vAlign w:val="bottom"/>
            <w:shd w:val="clear" w:color="auto" w:fill="CCEEFF"/>
          </w:tcPr>
          <w:p>
            <w:pPr>
              <w:spacing w:after="0"/>
              <w:rPr>
                <w:sz w:val="18"/>
                <w:szCs w:val="18"/>
                <w:color w:val="auto"/>
              </w:rPr>
            </w:pPr>
          </w:p>
        </w:tc>
        <w:tc>
          <w:tcPr>
            <w:tcW w:w="808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Gross profit</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792</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648</w:t>
            </w:r>
          </w:p>
        </w:tc>
      </w:tr>
      <w:tr>
        <w:trPr>
          <w:trHeight w:val="218"/>
        </w:trPr>
        <w:tc>
          <w:tcPr>
            <w:tcW w:w="8100" w:type="dxa"/>
            <w:vAlign w:val="bottom"/>
            <w:gridSpan w:val="3"/>
          </w:tcPr>
          <w:p>
            <w:pPr>
              <w:ind w:left="20"/>
              <w:spacing w:after="0"/>
              <w:rPr>
                <w:sz w:val="20"/>
                <w:szCs w:val="20"/>
                <w:color w:val="auto"/>
              </w:rPr>
            </w:pPr>
            <w:r>
              <w:rPr>
                <w:rFonts w:ascii="Arial" w:cs="Arial" w:eastAsia="Arial" w:hAnsi="Arial"/>
                <w:sz w:val="17"/>
                <w:szCs w:val="17"/>
                <w:color w:val="auto"/>
              </w:rPr>
              <w:t>Operating expenses:</w:t>
            </w: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20"/>
        </w:trPr>
        <w:tc>
          <w:tcPr>
            <w:tcW w:w="20" w:type="dxa"/>
            <w:vAlign w:val="bottom"/>
            <w:shd w:val="clear" w:color="auto" w:fill="CCEEFF"/>
          </w:tcPr>
          <w:p>
            <w:pPr>
              <w:spacing w:after="0"/>
              <w:rPr>
                <w:sz w:val="19"/>
                <w:szCs w:val="19"/>
                <w:color w:val="auto"/>
              </w:rPr>
            </w:pPr>
          </w:p>
        </w:tc>
        <w:tc>
          <w:tcPr>
            <w:tcW w:w="808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Selling, general and administrative expenses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(295)</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(260)</w:t>
            </w:r>
          </w:p>
        </w:tc>
      </w:tr>
      <w:tr>
        <w:trPr>
          <w:trHeight w:val="218"/>
        </w:trPr>
        <w:tc>
          <w:tcPr>
            <w:tcW w:w="20" w:type="dxa"/>
            <w:vAlign w:val="bottom"/>
          </w:tcPr>
          <w:p>
            <w:pPr>
              <w:spacing w:after="0"/>
              <w:rPr>
                <w:sz w:val="18"/>
                <w:szCs w:val="18"/>
                <w:color w:val="auto"/>
              </w:rPr>
            </w:pPr>
          </w:p>
        </w:tc>
        <w:tc>
          <w:tcPr>
            <w:tcW w:w="8080" w:type="dxa"/>
            <w:vAlign w:val="bottom"/>
            <w:gridSpan w:val="2"/>
          </w:tcPr>
          <w:p>
            <w:pPr>
              <w:ind w:left="200"/>
              <w:spacing w:after="0"/>
              <w:rPr>
                <w:sz w:val="20"/>
                <w:szCs w:val="20"/>
                <w:color w:val="auto"/>
              </w:rPr>
            </w:pPr>
            <w:r>
              <w:rPr>
                <w:rFonts w:ascii="Arial" w:cs="Arial" w:eastAsia="Arial" w:hAnsi="Arial"/>
                <w:sz w:val="17"/>
                <w:szCs w:val="17"/>
                <w:color w:val="auto"/>
              </w:rPr>
              <w:t>Engineering expenses</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(53)</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(54)</w:t>
            </w:r>
          </w:p>
        </w:tc>
      </w:tr>
      <w:tr>
        <w:trPr>
          <w:trHeight w:val="220"/>
        </w:trPr>
        <w:tc>
          <w:tcPr>
            <w:tcW w:w="20" w:type="dxa"/>
            <w:vAlign w:val="bottom"/>
            <w:shd w:val="clear" w:color="auto" w:fill="CCEEFF"/>
          </w:tcPr>
          <w:p>
            <w:pPr>
              <w:spacing w:after="0"/>
              <w:rPr>
                <w:sz w:val="19"/>
                <w:szCs w:val="19"/>
                <w:color w:val="auto"/>
              </w:rPr>
            </w:pPr>
          </w:p>
        </w:tc>
        <w:tc>
          <w:tcPr>
            <w:tcW w:w="808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Amortization expense</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(74)</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(73)</w:t>
            </w:r>
          </w:p>
        </w:tc>
      </w:tr>
      <w:tr>
        <w:trPr>
          <w:trHeight w:val="211"/>
        </w:trPr>
        <w:tc>
          <w:tcPr>
            <w:tcW w:w="20" w:type="dxa"/>
            <w:vAlign w:val="bottom"/>
            <w:tcBorders>
              <w:bottom w:val="single" w:sz="8" w:color="CCEEFF"/>
            </w:tcBorders>
          </w:tcPr>
          <w:p>
            <w:pPr>
              <w:spacing w:after="0"/>
              <w:rPr>
                <w:sz w:val="18"/>
                <w:szCs w:val="18"/>
                <w:color w:val="auto"/>
              </w:rPr>
            </w:pPr>
          </w:p>
        </w:tc>
        <w:tc>
          <w:tcPr>
            <w:tcW w:w="8080" w:type="dxa"/>
            <w:vAlign w:val="bottom"/>
            <w:tcBorders>
              <w:bottom w:val="single" w:sz="8" w:color="CCEEFF"/>
            </w:tcBorders>
            <w:gridSpan w:val="2"/>
          </w:tcPr>
          <w:p>
            <w:pPr>
              <w:ind w:left="320"/>
              <w:spacing w:after="0"/>
              <w:rPr>
                <w:sz w:val="20"/>
                <w:szCs w:val="20"/>
                <w:color w:val="auto"/>
              </w:rPr>
            </w:pPr>
            <w:r>
              <w:rPr>
                <w:rFonts w:ascii="Arial" w:cs="Arial" w:eastAsia="Arial" w:hAnsi="Arial"/>
                <w:sz w:val="17"/>
                <w:szCs w:val="17"/>
                <w:color w:val="auto"/>
              </w:rPr>
              <w:t>Total operating expenses</w:t>
            </w: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(422)</w:t>
            </w: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(387)</w:t>
            </w:r>
          </w:p>
        </w:tc>
      </w:tr>
      <w:tr>
        <w:trPr>
          <w:trHeight w:val="213"/>
        </w:trPr>
        <w:tc>
          <w:tcPr>
            <w:tcW w:w="20" w:type="dxa"/>
            <w:vAlign w:val="bottom"/>
            <w:shd w:val="clear" w:color="auto" w:fill="CCEEFF"/>
          </w:tcPr>
          <w:p>
            <w:pPr>
              <w:spacing w:after="0"/>
              <w:rPr>
                <w:sz w:val="18"/>
                <w:szCs w:val="18"/>
                <w:color w:val="auto"/>
              </w:rPr>
            </w:pPr>
          </w:p>
        </w:tc>
        <w:tc>
          <w:tcPr>
            <w:tcW w:w="808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Income from operations</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370</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261</w:t>
            </w:r>
          </w:p>
        </w:tc>
      </w:tr>
      <w:tr>
        <w:trPr>
          <w:trHeight w:val="218"/>
        </w:trPr>
        <w:tc>
          <w:tcPr>
            <w:tcW w:w="8100" w:type="dxa"/>
            <w:vAlign w:val="bottom"/>
            <w:gridSpan w:val="3"/>
          </w:tcPr>
          <w:p>
            <w:pPr>
              <w:ind w:left="20"/>
              <w:spacing w:after="0"/>
              <w:rPr>
                <w:sz w:val="20"/>
                <w:szCs w:val="20"/>
                <w:color w:val="auto"/>
              </w:rPr>
            </w:pPr>
            <w:r>
              <w:rPr>
                <w:rFonts w:ascii="Arial" w:cs="Arial" w:eastAsia="Arial" w:hAnsi="Arial"/>
                <w:sz w:val="17"/>
                <w:szCs w:val="17"/>
                <w:color w:val="auto"/>
              </w:rPr>
              <w:t>Other income and expenses:</w:t>
            </w: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20"/>
        </w:trPr>
        <w:tc>
          <w:tcPr>
            <w:tcW w:w="20" w:type="dxa"/>
            <w:vAlign w:val="bottom"/>
            <w:shd w:val="clear" w:color="auto" w:fill="CCEEFF"/>
          </w:tcPr>
          <w:p>
            <w:pPr>
              <w:spacing w:after="0"/>
              <w:rPr>
                <w:sz w:val="19"/>
                <w:szCs w:val="19"/>
                <w:color w:val="auto"/>
              </w:rPr>
            </w:pPr>
          </w:p>
        </w:tc>
        <w:tc>
          <w:tcPr>
            <w:tcW w:w="808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Interest expense, net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w:t>
            </w:r>
          </w:p>
        </w:tc>
      </w:tr>
      <w:tr>
        <w:trPr>
          <w:trHeight w:val="218"/>
        </w:trPr>
        <w:tc>
          <w:tcPr>
            <w:tcW w:w="20" w:type="dxa"/>
            <w:vAlign w:val="bottom"/>
            <w:tcBorders>
              <w:bottom w:val="single" w:sz="8" w:color="CCEEFF"/>
            </w:tcBorders>
          </w:tcPr>
          <w:p>
            <w:pPr>
              <w:spacing w:after="0"/>
              <w:rPr>
                <w:sz w:val="18"/>
                <w:szCs w:val="18"/>
                <w:color w:val="auto"/>
              </w:rPr>
            </w:pPr>
          </w:p>
        </w:tc>
        <w:tc>
          <w:tcPr>
            <w:tcW w:w="8080" w:type="dxa"/>
            <w:vAlign w:val="bottom"/>
            <w:tcBorders>
              <w:bottom w:val="single" w:sz="8" w:color="CCEEFF"/>
            </w:tcBorders>
            <w:gridSpan w:val="2"/>
          </w:tcPr>
          <w:p>
            <w:pPr>
              <w:ind w:left="200"/>
              <w:spacing w:after="0"/>
              <w:rPr>
                <w:sz w:val="20"/>
                <w:szCs w:val="20"/>
                <w:color w:val="auto"/>
              </w:rPr>
            </w:pPr>
            <w:r>
              <w:rPr>
                <w:rFonts w:ascii="Arial" w:cs="Arial" w:eastAsia="Arial" w:hAnsi="Arial"/>
                <w:sz w:val="17"/>
                <w:szCs w:val="17"/>
                <w:color w:val="auto"/>
              </w:rPr>
              <w:t>Other income, net</w:t>
            </w: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w:t>
            </w: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w:t>
            </w:r>
          </w:p>
        </w:tc>
      </w:tr>
      <w:tr>
        <w:trPr>
          <w:trHeight w:val="213"/>
        </w:trPr>
        <w:tc>
          <w:tcPr>
            <w:tcW w:w="20" w:type="dxa"/>
            <w:vAlign w:val="bottom"/>
            <w:shd w:val="clear" w:color="auto" w:fill="CCEEFF"/>
          </w:tcPr>
          <w:p>
            <w:pPr>
              <w:spacing w:after="0"/>
              <w:rPr>
                <w:sz w:val="18"/>
                <w:szCs w:val="18"/>
                <w:color w:val="auto"/>
              </w:rPr>
            </w:pPr>
          </w:p>
        </w:tc>
        <w:tc>
          <w:tcPr>
            <w:tcW w:w="808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Income before income taxes</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320</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217</w:t>
            </w:r>
          </w:p>
        </w:tc>
      </w:tr>
      <w:tr>
        <w:trPr>
          <w:trHeight w:val="218"/>
        </w:trPr>
        <w:tc>
          <w:tcPr>
            <w:tcW w:w="20" w:type="dxa"/>
            <w:vAlign w:val="bottom"/>
            <w:tcBorders>
              <w:bottom w:val="single" w:sz="8" w:color="CCEEFF"/>
            </w:tcBorders>
          </w:tcPr>
          <w:p>
            <w:pPr>
              <w:spacing w:after="0"/>
              <w:rPr>
                <w:sz w:val="18"/>
                <w:szCs w:val="18"/>
                <w:color w:val="auto"/>
              </w:rPr>
            </w:pPr>
          </w:p>
        </w:tc>
        <w:tc>
          <w:tcPr>
            <w:tcW w:w="8080" w:type="dxa"/>
            <w:vAlign w:val="bottom"/>
            <w:tcBorders>
              <w:bottom w:val="single" w:sz="8" w:color="CCEEFF"/>
            </w:tcBorders>
            <w:gridSpan w:val="2"/>
          </w:tcPr>
          <w:p>
            <w:pPr>
              <w:ind w:left="200"/>
              <w:spacing w:after="0"/>
              <w:rPr>
                <w:sz w:val="20"/>
                <w:szCs w:val="20"/>
                <w:color w:val="auto"/>
              </w:rPr>
            </w:pPr>
            <w:r>
              <w:rPr>
                <w:rFonts w:ascii="Arial" w:cs="Arial" w:eastAsia="Arial" w:hAnsi="Arial"/>
                <w:sz w:val="17"/>
                <w:szCs w:val="17"/>
                <w:color w:val="auto"/>
              </w:rPr>
              <w:t>Income tax expense</w:t>
            </w: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(78)</w:t>
            </w: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(54)</w:t>
            </w:r>
          </w:p>
        </w:tc>
      </w:tr>
      <w:tr>
        <w:trPr>
          <w:trHeight w:val="213"/>
        </w:trPr>
        <w:tc>
          <w:tcPr>
            <w:tcW w:w="20" w:type="dxa"/>
            <w:vAlign w:val="bottom"/>
            <w:shd w:val="clear" w:color="auto" w:fill="CCEEFF"/>
          </w:tcPr>
          <w:p>
            <w:pPr>
              <w:spacing w:after="0"/>
              <w:rPr>
                <w:sz w:val="18"/>
                <w:szCs w:val="18"/>
                <w:color w:val="auto"/>
              </w:rPr>
            </w:pPr>
          </w:p>
        </w:tc>
        <w:tc>
          <w:tcPr>
            <w:tcW w:w="808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Net income</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242</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163</w:t>
            </w:r>
          </w:p>
        </w:tc>
      </w:tr>
      <w:tr>
        <w:trPr>
          <w:trHeight w:val="218"/>
        </w:trPr>
        <w:tc>
          <w:tcPr>
            <w:tcW w:w="20" w:type="dxa"/>
            <w:vAlign w:val="bottom"/>
            <w:tcBorders>
              <w:bottom w:val="single" w:sz="8" w:color="CCEEFF"/>
            </w:tcBorders>
          </w:tcPr>
          <w:p>
            <w:pPr>
              <w:spacing w:after="0"/>
              <w:rPr>
                <w:sz w:val="18"/>
                <w:szCs w:val="18"/>
                <w:color w:val="auto"/>
              </w:rPr>
            </w:pPr>
          </w:p>
        </w:tc>
        <w:tc>
          <w:tcPr>
            <w:tcW w:w="8080" w:type="dxa"/>
            <w:vAlign w:val="bottom"/>
            <w:tcBorders>
              <w:bottom w:val="single" w:sz="8" w:color="CCEEFF"/>
            </w:tcBorders>
            <w:gridSpan w:val="2"/>
          </w:tcPr>
          <w:p>
            <w:pPr>
              <w:ind w:left="200"/>
              <w:spacing w:after="0"/>
              <w:rPr>
                <w:sz w:val="20"/>
                <w:szCs w:val="20"/>
                <w:color w:val="auto"/>
              </w:rPr>
            </w:pPr>
            <w:r>
              <w:rPr>
                <w:rFonts w:ascii="Arial" w:cs="Arial" w:eastAsia="Arial" w:hAnsi="Arial"/>
                <w:sz w:val="17"/>
                <w:szCs w:val="17"/>
                <w:color w:val="auto"/>
              </w:rPr>
              <w:t>Less: Net income attributable to noncontrolling interest</w:t>
            </w: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w:t>
            </w: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w:t>
            </w: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80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7"/>
                <w:szCs w:val="17"/>
                <w:color w:val="auto"/>
              </w:rPr>
              <w:t>Net income attributable to Wabtec shareholders</w:t>
            </w: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240</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34"/>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75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following table shows the major components of the change in Net sales in the three months ended September 30, 2023 from the three months ended</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color w:val="auto"/>
        </w:rPr>
        <w:t>September 30, 2022:</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60" w:type="dxa"/>
            <w:vAlign w:val="bottom"/>
            <w:gridSpan w:val="3"/>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200" w:type="dxa"/>
            <w:vAlign w:val="bottom"/>
          </w:tcPr>
          <w:p>
            <w:pPr>
              <w:spacing w:after="0"/>
              <w:rPr>
                <w:sz w:val="14"/>
                <w:szCs w:val="14"/>
                <w:color w:val="auto"/>
              </w:rPr>
            </w:pPr>
          </w:p>
        </w:tc>
        <w:tc>
          <w:tcPr>
            <w:tcW w:w="1420" w:type="dxa"/>
            <w:vAlign w:val="bottom"/>
            <w:gridSpan w:val="2"/>
          </w:tcPr>
          <w:p>
            <w:pPr>
              <w:ind w:left="80"/>
              <w:spacing w:after="0"/>
              <w:rPr>
                <w:sz w:val="20"/>
                <w:szCs w:val="20"/>
                <w:color w:val="auto"/>
              </w:rPr>
            </w:pPr>
            <w:r>
              <w:rPr>
                <w:rFonts w:ascii="Arial" w:cs="Arial" w:eastAsia="Arial" w:hAnsi="Arial"/>
                <w:sz w:val="14"/>
                <w:szCs w:val="14"/>
                <w:b w:val="1"/>
                <w:bCs w:val="1"/>
                <w:color w:val="auto"/>
              </w:rPr>
              <w:t>Freight Segment</w:t>
            </w:r>
          </w:p>
        </w:tc>
        <w:tc>
          <w:tcPr>
            <w:tcW w:w="200" w:type="dxa"/>
            <w:vAlign w:val="bottom"/>
          </w:tcPr>
          <w:p>
            <w:pPr>
              <w:spacing w:after="0"/>
              <w:rPr>
                <w:sz w:val="14"/>
                <w:szCs w:val="14"/>
                <w:color w:val="auto"/>
              </w:rPr>
            </w:pPr>
          </w:p>
        </w:tc>
        <w:tc>
          <w:tcPr>
            <w:tcW w:w="1440" w:type="dxa"/>
            <w:vAlign w:val="bottom"/>
            <w:gridSpan w:val="2"/>
          </w:tcPr>
          <w:p>
            <w:pPr>
              <w:ind w:left="80"/>
              <w:spacing w:after="0"/>
              <w:rPr>
                <w:sz w:val="20"/>
                <w:szCs w:val="20"/>
                <w:color w:val="auto"/>
              </w:rPr>
            </w:pPr>
            <w:r>
              <w:rPr>
                <w:rFonts w:ascii="Arial" w:cs="Arial" w:eastAsia="Arial" w:hAnsi="Arial"/>
                <w:sz w:val="14"/>
                <w:szCs w:val="14"/>
                <w:b w:val="1"/>
                <w:bCs w:val="1"/>
                <w:color w:val="auto"/>
              </w:rPr>
              <w:t>Transit Segment</w:t>
            </w:r>
          </w:p>
        </w:tc>
        <w:tc>
          <w:tcPr>
            <w:tcW w:w="360" w:type="dxa"/>
            <w:vAlign w:val="bottom"/>
          </w:tcPr>
          <w:p>
            <w:pPr>
              <w:spacing w:after="0"/>
              <w:rPr>
                <w:sz w:val="14"/>
                <w:szCs w:val="14"/>
                <w:color w:val="auto"/>
              </w:rPr>
            </w:pPr>
          </w:p>
        </w:tc>
        <w:tc>
          <w:tcPr>
            <w:tcW w:w="1160" w:type="dxa"/>
            <w:vAlign w:val="bottom"/>
          </w:tcPr>
          <w:p>
            <w:pPr>
              <w:jc w:val="right"/>
              <w:ind w:right="537"/>
              <w:spacing w:after="0"/>
              <w:rPr>
                <w:sz w:val="20"/>
                <w:szCs w:val="20"/>
                <w:color w:val="auto"/>
              </w:rPr>
            </w:pPr>
            <w:r>
              <w:rPr>
                <w:rFonts w:ascii="Arial" w:cs="Arial" w:eastAsia="Arial" w:hAnsi="Arial"/>
                <w:sz w:val="14"/>
                <w:szCs w:val="14"/>
                <w:b w:val="1"/>
                <w:bCs w:val="1"/>
                <w:color w:val="auto"/>
              </w:rPr>
              <w:t>Total</w:t>
            </w:r>
          </w:p>
        </w:tc>
      </w:tr>
      <w:tr>
        <w:trPr>
          <w:trHeight w:val="32"/>
        </w:trPr>
        <w:tc>
          <w:tcPr>
            <w:tcW w:w="20" w:type="dxa"/>
            <w:vAlign w:val="bottom"/>
            <w:tcBorders>
              <w:bottom w:val="single" w:sz="8" w:color="CCEEFF"/>
            </w:tcBorders>
          </w:tcPr>
          <w:p>
            <w:pPr>
              <w:spacing w:after="0"/>
              <w:rPr>
                <w:sz w:val="2"/>
                <w:szCs w:val="2"/>
                <w:color w:val="auto"/>
              </w:rPr>
            </w:pPr>
          </w:p>
        </w:tc>
        <w:tc>
          <w:tcPr>
            <w:tcW w:w="620" w:type="dxa"/>
            <w:vAlign w:val="bottom"/>
            <w:tcBorders>
              <w:top w:val="single" w:sz="8" w:color="auto"/>
              <w:bottom w:val="single" w:sz="8" w:color="CCEEFF"/>
            </w:tcBorders>
          </w:tcPr>
          <w:p>
            <w:pPr>
              <w:spacing w:after="0"/>
              <w:rPr>
                <w:sz w:val="2"/>
                <w:szCs w:val="2"/>
                <w:color w:val="auto"/>
              </w:rPr>
            </w:pPr>
          </w:p>
        </w:tc>
        <w:tc>
          <w:tcPr>
            <w:tcW w:w="58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12"/>
        </w:trPr>
        <w:tc>
          <w:tcPr>
            <w:tcW w:w="646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Third Quarter 2022 Net sales</w:t>
            </w: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1,531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550</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2,081</w:t>
            </w:r>
          </w:p>
        </w:tc>
      </w:tr>
      <w:tr>
        <w:trPr>
          <w:trHeight w:val="218"/>
        </w:trPr>
        <w:tc>
          <w:tcPr>
            <w:tcW w:w="20" w:type="dxa"/>
            <w:vAlign w:val="bottom"/>
          </w:tcPr>
          <w:p>
            <w:pPr>
              <w:spacing w:after="0"/>
              <w:rPr>
                <w:sz w:val="18"/>
                <w:szCs w:val="18"/>
                <w:color w:val="auto"/>
              </w:rPr>
            </w:pPr>
          </w:p>
        </w:tc>
        <w:tc>
          <w:tcPr>
            <w:tcW w:w="6440" w:type="dxa"/>
            <w:vAlign w:val="bottom"/>
            <w:gridSpan w:val="2"/>
          </w:tcPr>
          <w:p>
            <w:pPr>
              <w:ind w:left="100"/>
              <w:spacing w:after="0"/>
              <w:rPr>
                <w:sz w:val="20"/>
                <w:szCs w:val="20"/>
                <w:color w:val="auto"/>
              </w:rPr>
            </w:pPr>
            <w:r>
              <w:rPr>
                <w:rFonts w:ascii="Arial" w:cs="Arial" w:eastAsia="Arial" w:hAnsi="Arial"/>
                <w:sz w:val="17"/>
                <w:szCs w:val="17"/>
                <w:color w:val="auto"/>
              </w:rPr>
              <w:t>Acquisitions</w:t>
            </w: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45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45</w:t>
            </w:r>
          </w:p>
        </w:tc>
      </w:tr>
      <w:tr>
        <w:trPr>
          <w:trHeight w:val="220"/>
        </w:trPr>
        <w:tc>
          <w:tcPr>
            <w:tcW w:w="20" w:type="dxa"/>
            <w:vAlign w:val="bottom"/>
            <w:shd w:val="clear" w:color="auto" w:fill="CCEEFF"/>
          </w:tcPr>
          <w:p>
            <w:pPr>
              <w:spacing w:after="0"/>
              <w:rPr>
                <w:sz w:val="19"/>
                <w:szCs w:val="19"/>
                <w:color w:val="auto"/>
              </w:rPr>
            </w:pPr>
          </w:p>
        </w:tc>
        <w:tc>
          <w:tcPr>
            <w:tcW w:w="644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Foreign Exchange</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w:t>
            </w:r>
          </w:p>
        </w:tc>
      </w:tr>
      <w:tr>
        <w:trPr>
          <w:trHeight w:val="218"/>
        </w:trPr>
        <w:tc>
          <w:tcPr>
            <w:tcW w:w="20" w:type="dxa"/>
            <w:vAlign w:val="bottom"/>
            <w:tcBorders>
              <w:bottom w:val="single" w:sz="8" w:color="CCEEFF"/>
            </w:tcBorders>
          </w:tcPr>
          <w:p>
            <w:pPr>
              <w:spacing w:after="0"/>
              <w:rPr>
                <w:sz w:val="18"/>
                <w:szCs w:val="18"/>
                <w:color w:val="auto"/>
              </w:rPr>
            </w:pPr>
          </w:p>
        </w:tc>
        <w:tc>
          <w:tcPr>
            <w:tcW w:w="6440" w:type="dxa"/>
            <w:vAlign w:val="bottom"/>
            <w:tcBorders>
              <w:bottom w:val="single" w:sz="8" w:color="CCEEFF"/>
            </w:tcBorders>
            <w:gridSpan w:val="2"/>
          </w:tcPr>
          <w:p>
            <w:pPr>
              <w:ind w:left="100"/>
              <w:spacing w:after="0"/>
              <w:rPr>
                <w:sz w:val="20"/>
                <w:szCs w:val="20"/>
                <w:color w:val="auto"/>
              </w:rPr>
            </w:pPr>
            <w:r>
              <w:rPr>
                <w:rFonts w:ascii="Arial" w:cs="Arial" w:eastAsia="Arial" w:hAnsi="Arial"/>
                <w:sz w:val="17"/>
                <w:szCs w:val="17"/>
                <w:color w:val="auto"/>
              </w:rPr>
              <w:t>Organic</w:t>
            </w: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312</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80</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392</w:t>
            </w:r>
          </w:p>
        </w:tc>
      </w:tr>
      <w:tr>
        <w:trPr>
          <w:trHeight w:val="238"/>
        </w:trPr>
        <w:tc>
          <w:tcPr>
            <w:tcW w:w="64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7"/>
                <w:szCs w:val="17"/>
                <w:color w:val="auto"/>
              </w:rPr>
              <w:t>Third Quarter 2023 Net sales</w:t>
            </w: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1,890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660</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2,550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58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8" w:name="page29"/>
    <w:bookmarkEnd w:id="28"/>
    <w:p>
      <w:pPr>
        <w:spacing w:after="0"/>
        <w:rPr>
          <w:sz w:val="20"/>
          <w:szCs w:val="20"/>
          <w:color w:val="auto"/>
        </w:rPr>
      </w:pPr>
      <w:r>
        <w:rPr>
          <w:rFonts w:ascii="Arial" w:cs="Arial" w:eastAsia="Arial" w:hAnsi="Arial"/>
          <w:sz w:val="17"/>
          <w:szCs w:val="17"/>
          <w:b w:val="1"/>
          <w:bCs w:val="1"/>
          <w:color w:val="auto"/>
        </w:rPr>
        <w:t>Net sales</w:t>
      </w:r>
    </w:p>
    <w:p>
      <w:pPr>
        <w:spacing w:after="0" w:line="120" w:lineRule="exact"/>
        <w:rPr>
          <w:sz w:val="20"/>
          <w:szCs w:val="20"/>
          <w:color w:val="auto"/>
        </w:rPr>
      </w:pPr>
    </w:p>
    <w:p>
      <w:pPr>
        <w:ind w:right="20" w:firstLine="464"/>
        <w:spacing w:after="0" w:line="257" w:lineRule="auto"/>
        <w:rPr>
          <w:sz w:val="20"/>
          <w:szCs w:val="20"/>
          <w:color w:val="auto"/>
        </w:rPr>
      </w:pPr>
      <w:r>
        <w:rPr>
          <w:rFonts w:ascii="Arial" w:cs="Arial" w:eastAsia="Arial" w:hAnsi="Arial"/>
          <w:sz w:val="17"/>
          <w:szCs w:val="17"/>
          <w:color w:val="auto"/>
        </w:rPr>
        <w:t>Net sales for the three months ended September 30, 2023 increased by $469 million, or 22.5%, to $2.55 billion compared to the same period in 2022. Organic sales increased $392 million which was attributable to both Freight and Transit Segments driven by an increase across most product lines. Equipment sales increased from higher North American and international locomotive sales and increased mining sales. Services sales increased from higher deliveries of locomotive modernizations and overhauls and higher parts sales. Components sales increased from higher original equipment railcar build and increased demand for industrial products. Transit sales increased from higher demand for Aftermarket and Original Equipment products driven by increased infrastructure investment and the easing of supply chain disruptions. Additionally, Transit sales during the third quarter of 2022 were unfavorably impacted by the previously disclosed cyber incident. Sales from acquisitions contributed $45 million in the Freight Segment and favorable changes in foreign exchange rates increased sales by $32 million, primarily in the Transit Segment.</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Cost of sales</w:t>
      </w:r>
    </w:p>
    <w:p>
      <w:pPr>
        <w:spacing w:after="0" w:line="18" w:lineRule="exact"/>
        <w:rPr>
          <w:sz w:val="20"/>
          <w:szCs w:val="20"/>
          <w:color w:val="auto"/>
        </w:rPr>
      </w:pPr>
    </w:p>
    <w:p>
      <w:pPr>
        <w:ind w:firstLine="464"/>
        <w:spacing w:after="0" w:line="257" w:lineRule="auto"/>
        <w:rPr>
          <w:sz w:val="20"/>
          <w:szCs w:val="20"/>
          <w:color w:val="auto"/>
        </w:rPr>
      </w:pPr>
      <w:r>
        <w:rPr>
          <w:rFonts w:ascii="Arial" w:cs="Arial" w:eastAsia="Arial" w:hAnsi="Arial"/>
          <w:sz w:val="16"/>
          <w:szCs w:val="16"/>
          <w:color w:val="auto"/>
        </w:rPr>
        <w:t>Cost of sales for the three months ended September 30, 2023 increased by $325 million, or 22.7%, to $1.76 billion compared to the same period in 2022. The increase is primarily due to the increase in Net sales. Cost of sales as a percentage of Net sales was 69.0% and 68.9% for the three months ended September 30, 2023 and 2022, respectively. The increase was due to manufacturing inefficiencies primarily related to the strike at our Erie facility, and higher restructuring costs, partially offset by benefits from structured cost actions taken through Integration 2.0 and prior years’ restructuring and integration projects. Costs of sales for the three months ended September 30, 2023 and 2022 included $13 million and $5 million, respectively, of restructuring costs, primarily for headcount actions and footprint rationalization, with the amounts in 2023 primarily being related to Integration 2.0.</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Operating expenses</w:t>
      </w:r>
    </w:p>
    <w:p>
      <w:pPr>
        <w:spacing w:after="0" w:line="18" w:lineRule="exact"/>
        <w:rPr>
          <w:sz w:val="20"/>
          <w:szCs w:val="20"/>
          <w:color w:val="auto"/>
        </w:rPr>
      </w:pPr>
    </w:p>
    <w:p>
      <w:pPr>
        <w:ind w:right="120" w:firstLine="464"/>
        <w:spacing w:after="0" w:line="239" w:lineRule="auto"/>
        <w:rPr>
          <w:sz w:val="20"/>
          <w:szCs w:val="20"/>
          <w:color w:val="auto"/>
        </w:rPr>
      </w:pPr>
      <w:r>
        <w:rPr>
          <w:rFonts w:ascii="Arial" w:cs="Arial" w:eastAsia="Arial" w:hAnsi="Arial"/>
          <w:sz w:val="17"/>
          <w:szCs w:val="17"/>
          <w:color w:val="auto"/>
        </w:rPr>
        <w:t>Total operating expenses increased $35 million, or 9.0%, for the three months ended September 30, 2023 compared to the same period in 2022 primarily due to the increase in net sales. Operating expenses as a percentage of sales was 16.5% and 18.6% for the three months ended September 30, 2023 and 2022, respectively. Selling, general and administrative expenses ("SG&amp;A") increased $35 million for the three months ended September 30, 2023 compared to the same period in 2022. The increase is primarily from costs incurred to support the higher sales volume and higher employee compensation and benefit costs, partially offset by the impacts of Integration 2.0 and prior years’ restructuring actions. Restructuring costs included in SG&amp;A were $4 million for the three months ended September 30, 2022, primarily for headcount actions and footprint rationalization programs. There were no restructuring amounts recorded for the three months ended September 30, 2023.</w:t>
      </w:r>
    </w:p>
    <w:p>
      <w:pPr>
        <w:spacing w:after="0" w:line="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Interest expense, net</w:t>
      </w:r>
    </w:p>
    <w:p>
      <w:pPr>
        <w:spacing w:after="0" w:line="120" w:lineRule="exact"/>
        <w:rPr>
          <w:sz w:val="20"/>
          <w:szCs w:val="20"/>
          <w:color w:val="auto"/>
        </w:rPr>
      </w:pPr>
    </w:p>
    <w:p>
      <w:pPr>
        <w:ind w:right="260" w:firstLine="464"/>
        <w:spacing w:after="0" w:line="279" w:lineRule="auto"/>
        <w:rPr>
          <w:sz w:val="20"/>
          <w:szCs w:val="20"/>
          <w:color w:val="auto"/>
        </w:rPr>
      </w:pPr>
      <w:r>
        <w:rPr>
          <w:rFonts w:ascii="Arial" w:cs="Arial" w:eastAsia="Arial" w:hAnsi="Arial"/>
          <w:sz w:val="17"/>
          <w:szCs w:val="17"/>
          <w:color w:val="auto"/>
        </w:rPr>
        <w:t>Interest expense, net, increased $12 million for the three months ended September 30, 2023 compared to the same period in 2022 primarily due to higher effective interest rates and higher average overall debt balances in the current period.</w:t>
      </w:r>
    </w:p>
    <w:p>
      <w:pPr>
        <w:spacing w:after="0" w:line="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Income, net</w:t>
      </w:r>
    </w:p>
    <w:p>
      <w:pPr>
        <w:spacing w:after="0" w:line="120" w:lineRule="exact"/>
        <w:rPr>
          <w:sz w:val="20"/>
          <w:szCs w:val="20"/>
          <w:color w:val="auto"/>
        </w:rPr>
      </w:pPr>
    </w:p>
    <w:p>
      <w:pPr>
        <w:ind w:right="40" w:firstLine="464"/>
        <w:spacing w:after="0" w:line="279" w:lineRule="auto"/>
        <w:rPr>
          <w:sz w:val="20"/>
          <w:szCs w:val="20"/>
          <w:color w:val="auto"/>
        </w:rPr>
      </w:pPr>
      <w:r>
        <w:rPr>
          <w:rFonts w:ascii="Arial" w:cs="Arial" w:eastAsia="Arial" w:hAnsi="Arial"/>
          <w:sz w:val="17"/>
          <w:szCs w:val="17"/>
          <w:color w:val="auto"/>
        </w:rPr>
        <w:t>Other income, net, increased $6 million for the three months ended September 30, 2023 compared to the same period in 2022 primarily due to higher equity earnings in the current year compared to the prior year.</w:t>
      </w:r>
    </w:p>
    <w:p>
      <w:pPr>
        <w:spacing w:after="0" w:line="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Income taxes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effective income tax rate was 24.5% and 24.7% for the three months ended September 30, 2023 and 2022, respectively.</w:t>
      </w: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46" w:right="339" w:bottom="1440" w:gutter="0" w:footer="0" w:header="0"/>
        </w:sectPr>
      </w:pPr>
    </w:p>
    <w:bookmarkStart w:id="29" w:name="page30"/>
    <w:bookmarkEnd w:id="29"/>
    <w:p>
      <w:pPr>
        <w:spacing w:after="0"/>
        <w:rPr>
          <w:sz w:val="20"/>
          <w:szCs w:val="20"/>
          <w:color w:val="auto"/>
        </w:rPr>
      </w:pPr>
      <w:r>
        <w:rPr>
          <w:rFonts w:ascii="Arial" w:cs="Arial" w:eastAsia="Arial" w:hAnsi="Arial"/>
          <w:sz w:val="17"/>
          <w:szCs w:val="17"/>
          <w:b w:val="1"/>
          <w:bCs w:val="1"/>
          <w:color w:val="auto"/>
        </w:rPr>
        <w:t>Freight Segment</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shows our Condensed Consolidated Statements of Operations for our Freight Segment for the periods indicated:</w:t>
      </w:r>
    </w:p>
    <w:p>
      <w:pPr>
        <w:spacing w:after="0" w:line="48" w:lineRule="exact"/>
        <w:rPr>
          <w:sz w:val="20"/>
          <w:szCs w:val="20"/>
          <w:color w:val="auto"/>
        </w:rPr>
      </w:pPr>
    </w:p>
    <w:p>
      <w:pPr>
        <w:jc w:val="center"/>
        <w:ind w:left="1360"/>
        <w:spacing w:after="0"/>
        <w:rPr>
          <w:sz w:val="20"/>
          <w:szCs w:val="20"/>
          <w:color w:val="auto"/>
        </w:rPr>
      </w:pPr>
      <w:r>
        <w:rPr>
          <w:rFonts w:ascii="Arial" w:cs="Arial" w:eastAsia="Arial" w:hAnsi="Arial"/>
          <w:sz w:val="15"/>
          <w:szCs w:val="15"/>
          <w:b w:val="1"/>
          <w:bCs w:val="1"/>
          <w:color w:val="auto"/>
        </w:rPr>
        <w:t>Three Months Ended</w:t>
      </w:r>
    </w:p>
    <w:p>
      <w:pPr>
        <w:jc w:val="center"/>
        <w:ind w:left="1360"/>
        <w:spacing w:after="0"/>
        <w:rPr>
          <w:sz w:val="20"/>
          <w:szCs w:val="20"/>
          <w:color w:val="auto"/>
        </w:rPr>
      </w:pPr>
      <w:r>
        <w:rPr>
          <w:rFonts w:ascii="Arial" w:cs="Arial" w:eastAsia="Arial" w:hAnsi="Arial"/>
          <w:sz w:val="15"/>
          <w:szCs w:val="15"/>
          <w:b w:val="1"/>
          <w:bCs w:val="1"/>
          <w:color w:val="auto"/>
        </w:rPr>
        <w:t>September 30,</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4640" w:type="dxa"/>
            <w:vAlign w:val="bottom"/>
            <w:gridSpan w:val="3"/>
          </w:tcPr>
          <w:p>
            <w:pPr>
              <w:ind w:left="20"/>
              <w:spacing w:after="0" w:line="153" w:lineRule="exact"/>
              <w:rPr>
                <w:sz w:val="20"/>
                <w:szCs w:val="20"/>
                <w:color w:val="auto"/>
              </w:rPr>
            </w:pPr>
            <w:r>
              <w:rPr>
                <w:rFonts w:ascii="Arial" w:cs="Arial" w:eastAsia="Arial" w:hAnsi="Arial"/>
                <w:sz w:val="14"/>
                <w:szCs w:val="14"/>
                <w:b w:val="1"/>
                <w:bCs w:val="1"/>
                <w:i w:val="1"/>
                <w:iCs w:val="1"/>
                <w:color w:val="auto"/>
              </w:rPr>
              <w:t>In millions</w:t>
            </w:r>
          </w:p>
        </w:tc>
        <w:tc>
          <w:tcPr>
            <w:tcW w:w="38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jc w:val="right"/>
              <w:ind w:right="575"/>
              <w:spacing w:after="0" w:line="154" w:lineRule="exact"/>
              <w:rPr>
                <w:sz w:val="20"/>
                <w:szCs w:val="20"/>
                <w:color w:val="auto"/>
              </w:rPr>
            </w:pPr>
            <w:r>
              <w:rPr>
                <w:rFonts w:ascii="Arial" w:cs="Arial" w:eastAsia="Arial" w:hAnsi="Arial"/>
                <w:sz w:val="15"/>
                <w:szCs w:val="15"/>
                <w:b w:val="1"/>
                <w:bCs w:val="1"/>
                <w:color w:val="auto"/>
              </w:rPr>
              <w:t>2023</w:t>
            </w:r>
          </w:p>
        </w:tc>
        <w:tc>
          <w:tcPr>
            <w:tcW w:w="10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tcPr>
          <w:p>
            <w:pPr>
              <w:jc w:val="right"/>
              <w:ind w:right="615"/>
              <w:spacing w:after="0" w:line="154" w:lineRule="exact"/>
              <w:rPr>
                <w:sz w:val="20"/>
                <w:szCs w:val="20"/>
                <w:color w:val="auto"/>
              </w:rPr>
            </w:pPr>
            <w:r>
              <w:rPr>
                <w:rFonts w:ascii="Arial" w:cs="Arial" w:eastAsia="Arial" w:hAnsi="Arial"/>
                <w:sz w:val="15"/>
                <w:szCs w:val="15"/>
                <w:b w:val="1"/>
                <w:bCs w:val="1"/>
                <w:color w:val="auto"/>
              </w:rPr>
              <w:t>2022</w:t>
            </w:r>
          </w:p>
        </w:tc>
        <w:tc>
          <w:tcPr>
            <w:tcW w:w="340" w:type="dxa"/>
            <w:vAlign w:val="bottom"/>
            <w:tcBorders>
              <w:top w:val="single" w:sz="8" w:color="auto"/>
            </w:tcBorders>
          </w:tcPr>
          <w:p>
            <w:pPr>
              <w:spacing w:after="0"/>
              <w:rPr>
                <w:sz w:val="13"/>
                <w:szCs w:val="13"/>
                <w:color w:val="auto"/>
              </w:rPr>
            </w:pPr>
          </w:p>
        </w:tc>
        <w:tc>
          <w:tcPr>
            <w:tcW w:w="1600" w:type="dxa"/>
            <w:vAlign w:val="bottom"/>
            <w:tcBorders>
              <w:top w:val="single" w:sz="8" w:color="auto"/>
            </w:tcBorders>
            <w:gridSpan w:val="2"/>
          </w:tcPr>
          <w:p>
            <w:pPr>
              <w:jc w:val="right"/>
              <w:ind w:right="920"/>
              <w:spacing w:after="0" w:line="154" w:lineRule="exact"/>
              <w:rPr>
                <w:sz w:val="20"/>
                <w:szCs w:val="20"/>
                <w:color w:val="auto"/>
              </w:rPr>
            </w:pPr>
            <w:r>
              <w:rPr>
                <w:rFonts w:ascii="Arial" w:cs="Arial" w:eastAsia="Arial" w:hAnsi="Arial"/>
                <w:sz w:val="15"/>
                <w:szCs w:val="15"/>
                <w:b w:val="1"/>
                <w:bCs w:val="1"/>
                <w:color w:val="auto"/>
              </w:rPr>
              <w:t>Change</w:t>
            </w:r>
          </w:p>
        </w:tc>
        <w:tc>
          <w:tcPr>
            <w:tcW w:w="1280" w:type="dxa"/>
            <w:vAlign w:val="bottom"/>
            <w:tcBorders>
              <w:top w:val="single" w:sz="8" w:color="auto"/>
            </w:tcBorders>
          </w:tcPr>
          <w:p>
            <w:pPr>
              <w:jc w:val="right"/>
              <w:ind w:right="375"/>
              <w:spacing w:after="0" w:line="154" w:lineRule="exact"/>
              <w:rPr>
                <w:sz w:val="20"/>
                <w:szCs w:val="20"/>
                <w:color w:val="auto"/>
              </w:rPr>
            </w:pPr>
            <w:r>
              <w:rPr>
                <w:rFonts w:ascii="Arial" w:cs="Arial" w:eastAsia="Arial" w:hAnsi="Arial"/>
                <w:sz w:val="15"/>
                <w:szCs w:val="15"/>
                <w:b w:val="1"/>
                <w:bCs w:val="1"/>
                <w:color w:val="auto"/>
              </w:rPr>
              <w:t>% Change</w:t>
            </w:r>
          </w:p>
        </w:tc>
      </w:tr>
      <w:tr>
        <w:trPr>
          <w:trHeight w:val="32"/>
        </w:trPr>
        <w:tc>
          <w:tcPr>
            <w:tcW w:w="20" w:type="dxa"/>
            <w:vAlign w:val="bottom"/>
            <w:tcBorders>
              <w:bottom w:val="single" w:sz="8" w:color="CCEEFF"/>
            </w:tcBorders>
          </w:tcPr>
          <w:p>
            <w:pPr>
              <w:spacing w:after="0"/>
              <w:rPr>
                <w:sz w:val="2"/>
                <w:szCs w:val="2"/>
                <w:color w:val="auto"/>
              </w:rPr>
            </w:pPr>
          </w:p>
        </w:tc>
        <w:tc>
          <w:tcPr>
            <w:tcW w:w="620" w:type="dxa"/>
            <w:vAlign w:val="bottom"/>
            <w:tcBorders>
              <w:top w:val="single" w:sz="8" w:color="auto"/>
              <w:bottom w:val="single" w:sz="8" w:color="CCEEFF"/>
            </w:tcBorders>
          </w:tcPr>
          <w:p>
            <w:pPr>
              <w:spacing w:after="0"/>
              <w:rPr>
                <w:sz w:val="2"/>
                <w:szCs w:val="2"/>
                <w:color w:val="auto"/>
              </w:rPr>
            </w:pPr>
          </w:p>
        </w:tc>
        <w:tc>
          <w:tcPr>
            <w:tcW w:w="40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99"/>
        </w:trPr>
        <w:tc>
          <w:tcPr>
            <w:tcW w:w="464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Net sales:</w:t>
            </w: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218"/>
        </w:trPr>
        <w:tc>
          <w:tcPr>
            <w:tcW w:w="20" w:type="dxa"/>
            <w:vAlign w:val="bottom"/>
          </w:tcPr>
          <w:p>
            <w:pPr>
              <w:spacing w:after="0"/>
              <w:rPr>
                <w:sz w:val="18"/>
                <w:szCs w:val="18"/>
                <w:color w:val="auto"/>
              </w:rPr>
            </w:pPr>
          </w:p>
        </w:tc>
        <w:tc>
          <w:tcPr>
            <w:tcW w:w="4620" w:type="dxa"/>
            <w:vAlign w:val="bottom"/>
            <w:gridSpan w:val="2"/>
          </w:tcPr>
          <w:p>
            <w:pPr>
              <w:ind w:left="200"/>
              <w:spacing w:after="0"/>
              <w:rPr>
                <w:sz w:val="20"/>
                <w:szCs w:val="20"/>
                <w:color w:val="auto"/>
              </w:rPr>
            </w:pPr>
            <w:r>
              <w:rPr>
                <w:rFonts w:ascii="Arial" w:cs="Arial" w:eastAsia="Arial" w:hAnsi="Arial"/>
                <w:sz w:val="17"/>
                <w:szCs w:val="17"/>
                <w:color w:val="auto"/>
              </w:rPr>
              <w:t>Sales of goods</w:t>
            </w:r>
          </w:p>
        </w:tc>
        <w:tc>
          <w:tcPr>
            <w:tcW w:w="380" w:type="dxa"/>
            <w:vAlign w:val="bottom"/>
          </w:tcPr>
          <w:p>
            <w:pPr>
              <w:jc w:val="right"/>
              <w:ind w:right="194"/>
              <w:spacing w:after="0"/>
              <w:rPr>
                <w:sz w:val="20"/>
                <w:szCs w:val="20"/>
                <w:color w:val="auto"/>
              </w:rPr>
            </w:pPr>
            <w:r>
              <w:rPr>
                <w:rFonts w:ascii="Arial" w:cs="Arial" w:eastAsia="Arial" w:hAnsi="Arial"/>
                <w:sz w:val="17"/>
                <w:szCs w:val="17"/>
                <w:color w:val="auto"/>
                <w:w w:val="84"/>
              </w:rPr>
              <w:t>$</w:t>
            </w:r>
          </w:p>
        </w:tc>
        <w:tc>
          <w:tcPr>
            <w:tcW w:w="1240" w:type="dxa"/>
            <w:vAlign w:val="bottom"/>
          </w:tcPr>
          <w:p>
            <w:pPr>
              <w:jc w:val="right"/>
              <w:ind w:right="135"/>
              <w:spacing w:after="0"/>
              <w:rPr>
                <w:sz w:val="20"/>
                <w:szCs w:val="20"/>
                <w:color w:val="auto"/>
              </w:rPr>
            </w:pPr>
            <w:r>
              <w:rPr>
                <w:rFonts w:ascii="Arial" w:cs="Arial" w:eastAsia="Arial" w:hAnsi="Arial"/>
                <w:sz w:val="17"/>
                <w:szCs w:val="17"/>
                <w:color w:val="auto"/>
              </w:rPr>
              <w:t>1,391</w:t>
            </w:r>
          </w:p>
        </w:tc>
        <w:tc>
          <w:tcPr>
            <w:tcW w:w="100" w:type="dxa"/>
            <w:vAlign w:val="bottom"/>
          </w:tcPr>
          <w:p>
            <w:pPr>
              <w:spacing w:after="0"/>
              <w:rPr>
                <w:sz w:val="18"/>
                <w:szCs w:val="18"/>
                <w:color w:val="auto"/>
              </w:rPr>
            </w:pPr>
          </w:p>
        </w:tc>
        <w:tc>
          <w:tcPr>
            <w:tcW w:w="380" w:type="dxa"/>
            <w:vAlign w:val="bottom"/>
          </w:tcPr>
          <w:p>
            <w:pPr>
              <w:jc w:val="right"/>
              <w:ind w:right="194"/>
              <w:spacing w:after="0"/>
              <w:rPr>
                <w:sz w:val="20"/>
                <w:szCs w:val="20"/>
                <w:color w:val="auto"/>
              </w:rPr>
            </w:pPr>
            <w:r>
              <w:rPr>
                <w:rFonts w:ascii="Arial" w:cs="Arial" w:eastAsia="Arial" w:hAnsi="Arial"/>
                <w:sz w:val="17"/>
                <w:szCs w:val="17"/>
                <w:color w:val="auto"/>
                <w:w w:val="84"/>
              </w:rPr>
              <w:t>$</w:t>
            </w:r>
          </w:p>
        </w:tc>
        <w:tc>
          <w:tcPr>
            <w:tcW w:w="1280" w:type="dxa"/>
            <w:vAlign w:val="bottom"/>
          </w:tcPr>
          <w:p>
            <w:pPr>
              <w:jc w:val="right"/>
              <w:ind w:right="175"/>
              <w:spacing w:after="0"/>
              <w:rPr>
                <w:sz w:val="20"/>
                <w:szCs w:val="20"/>
                <w:color w:val="auto"/>
              </w:rPr>
            </w:pPr>
            <w:r>
              <w:rPr>
                <w:rFonts w:ascii="Arial" w:cs="Arial" w:eastAsia="Arial" w:hAnsi="Arial"/>
                <w:sz w:val="17"/>
                <w:szCs w:val="17"/>
                <w:color w:val="auto"/>
              </w:rPr>
              <w:t>1,079</w:t>
            </w:r>
          </w:p>
        </w:tc>
        <w:tc>
          <w:tcPr>
            <w:tcW w:w="340" w:type="dxa"/>
            <w:vAlign w:val="bottom"/>
          </w:tcPr>
          <w:p>
            <w:pPr>
              <w:jc w:val="right"/>
              <w:ind w:right="114"/>
              <w:spacing w:after="0"/>
              <w:rPr>
                <w:sz w:val="20"/>
                <w:szCs w:val="20"/>
                <w:color w:val="auto"/>
              </w:rPr>
            </w:pPr>
            <w:r>
              <w:rPr>
                <w:rFonts w:ascii="Arial" w:cs="Arial" w:eastAsia="Arial" w:hAnsi="Arial"/>
                <w:sz w:val="17"/>
                <w:szCs w:val="17"/>
                <w:color w:val="auto"/>
              </w:rPr>
              <w:t>$</w:t>
            </w:r>
          </w:p>
        </w:tc>
        <w:tc>
          <w:tcPr>
            <w:tcW w:w="1360" w:type="dxa"/>
            <w:vAlign w:val="bottom"/>
          </w:tcPr>
          <w:p>
            <w:pPr>
              <w:jc w:val="right"/>
              <w:ind w:right="175"/>
              <w:spacing w:after="0"/>
              <w:rPr>
                <w:sz w:val="20"/>
                <w:szCs w:val="20"/>
                <w:color w:val="auto"/>
              </w:rPr>
            </w:pPr>
            <w:r>
              <w:rPr>
                <w:rFonts w:ascii="Arial" w:cs="Arial" w:eastAsia="Arial" w:hAnsi="Arial"/>
                <w:sz w:val="17"/>
                <w:szCs w:val="17"/>
                <w:color w:val="auto"/>
              </w:rPr>
              <w:t>312</w:t>
            </w:r>
          </w:p>
        </w:tc>
        <w:tc>
          <w:tcPr>
            <w:tcW w:w="240" w:type="dxa"/>
            <w:vAlign w:val="bottom"/>
          </w:tcPr>
          <w:p>
            <w:pPr>
              <w:spacing w:after="0"/>
              <w:rPr>
                <w:sz w:val="18"/>
                <w:szCs w:val="18"/>
                <w:color w:val="auto"/>
              </w:rPr>
            </w:pPr>
          </w:p>
        </w:tc>
        <w:tc>
          <w:tcPr>
            <w:tcW w:w="1280" w:type="dxa"/>
            <w:vAlign w:val="bottom"/>
          </w:tcPr>
          <w:p>
            <w:pPr>
              <w:jc w:val="center"/>
              <w:ind w:left="675"/>
              <w:spacing w:after="0"/>
              <w:rPr>
                <w:sz w:val="20"/>
                <w:szCs w:val="20"/>
                <w:color w:val="auto"/>
              </w:rPr>
            </w:pPr>
            <w:r>
              <w:rPr>
                <w:rFonts w:ascii="Arial" w:cs="Arial" w:eastAsia="Arial" w:hAnsi="Arial"/>
                <w:sz w:val="17"/>
                <w:szCs w:val="17"/>
                <w:color w:val="auto"/>
                <w:w w:val="90"/>
              </w:rPr>
              <w:t>28.9 %</w:t>
            </w:r>
          </w:p>
        </w:tc>
      </w:tr>
      <w:tr>
        <w:trPr>
          <w:trHeight w:val="220"/>
        </w:trPr>
        <w:tc>
          <w:tcPr>
            <w:tcW w:w="20" w:type="dxa"/>
            <w:vAlign w:val="bottom"/>
            <w:shd w:val="clear" w:color="auto" w:fill="CCEEFF"/>
          </w:tcPr>
          <w:p>
            <w:pPr>
              <w:spacing w:after="0"/>
              <w:rPr>
                <w:sz w:val="19"/>
                <w:szCs w:val="19"/>
                <w:color w:val="auto"/>
              </w:rPr>
            </w:pPr>
          </w:p>
        </w:tc>
        <w:tc>
          <w:tcPr>
            <w:tcW w:w="462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Sales of services</w:t>
            </w: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color w:val="auto"/>
              </w:rPr>
              <w:t>499</w:t>
            </w:r>
          </w:p>
        </w:tc>
        <w:tc>
          <w:tcPr>
            <w:tcW w:w="10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75"/>
              <w:spacing w:after="0"/>
              <w:rPr>
                <w:sz w:val="20"/>
                <w:szCs w:val="20"/>
                <w:color w:val="auto"/>
              </w:rPr>
            </w:pPr>
            <w:r>
              <w:rPr>
                <w:rFonts w:ascii="Arial" w:cs="Arial" w:eastAsia="Arial" w:hAnsi="Arial"/>
                <w:sz w:val="17"/>
                <w:szCs w:val="17"/>
                <w:color w:val="auto"/>
              </w:rPr>
              <w:t>452</w:t>
            </w:r>
          </w:p>
        </w:tc>
        <w:tc>
          <w:tcPr>
            <w:tcW w:w="3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175"/>
              <w:spacing w:after="0"/>
              <w:rPr>
                <w:sz w:val="20"/>
                <w:szCs w:val="20"/>
                <w:color w:val="auto"/>
              </w:rPr>
            </w:pPr>
            <w:r>
              <w:rPr>
                <w:rFonts w:ascii="Arial" w:cs="Arial" w:eastAsia="Arial" w:hAnsi="Arial"/>
                <w:sz w:val="17"/>
                <w:szCs w:val="17"/>
                <w:color w:val="auto"/>
              </w:rPr>
              <w:t>47</w:t>
            </w: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center"/>
              <w:ind w:left="675"/>
              <w:spacing w:after="0"/>
              <w:rPr>
                <w:sz w:val="20"/>
                <w:szCs w:val="20"/>
                <w:color w:val="auto"/>
              </w:rPr>
            </w:pPr>
            <w:r>
              <w:rPr>
                <w:rFonts w:ascii="Arial" w:cs="Arial" w:eastAsia="Arial" w:hAnsi="Arial"/>
                <w:sz w:val="17"/>
                <w:szCs w:val="17"/>
                <w:color w:val="auto"/>
                <w:w w:val="90"/>
              </w:rPr>
              <w:t>10.4 %</w:t>
            </w:r>
          </w:p>
        </w:tc>
      </w:tr>
      <w:tr>
        <w:trPr>
          <w:trHeight w:val="211"/>
        </w:trPr>
        <w:tc>
          <w:tcPr>
            <w:tcW w:w="20" w:type="dxa"/>
            <w:vAlign w:val="bottom"/>
          </w:tcPr>
          <w:p>
            <w:pPr>
              <w:spacing w:after="0"/>
              <w:rPr>
                <w:sz w:val="18"/>
                <w:szCs w:val="18"/>
                <w:color w:val="auto"/>
              </w:rPr>
            </w:pPr>
          </w:p>
        </w:tc>
        <w:tc>
          <w:tcPr>
            <w:tcW w:w="4620" w:type="dxa"/>
            <w:vAlign w:val="bottom"/>
            <w:gridSpan w:val="2"/>
          </w:tcPr>
          <w:p>
            <w:pPr>
              <w:ind w:left="320"/>
              <w:spacing w:after="0"/>
              <w:rPr>
                <w:sz w:val="20"/>
                <w:szCs w:val="20"/>
                <w:color w:val="auto"/>
              </w:rPr>
            </w:pPr>
            <w:r>
              <w:rPr>
                <w:rFonts w:ascii="Arial" w:cs="Arial" w:eastAsia="Arial" w:hAnsi="Arial"/>
                <w:sz w:val="17"/>
                <w:szCs w:val="17"/>
                <w:color w:val="auto"/>
              </w:rPr>
              <w:t>Total net sales</w:t>
            </w:r>
          </w:p>
        </w:tc>
        <w:tc>
          <w:tcPr>
            <w:tcW w:w="380" w:type="dxa"/>
            <w:vAlign w:val="bottom"/>
          </w:tcPr>
          <w:p>
            <w:pPr>
              <w:jc w:val="right"/>
              <w:ind w:right="194"/>
              <w:spacing w:after="0"/>
              <w:rPr>
                <w:sz w:val="20"/>
                <w:szCs w:val="20"/>
                <w:color w:val="auto"/>
              </w:rPr>
            </w:pPr>
            <w:r>
              <w:rPr>
                <w:rFonts w:ascii="Arial" w:cs="Arial" w:eastAsia="Arial" w:hAnsi="Arial"/>
                <w:sz w:val="17"/>
                <w:szCs w:val="17"/>
                <w:color w:val="auto"/>
                <w:w w:val="84"/>
              </w:rPr>
              <w:t>$</w:t>
            </w:r>
          </w:p>
        </w:tc>
        <w:tc>
          <w:tcPr>
            <w:tcW w:w="1240" w:type="dxa"/>
            <w:vAlign w:val="bottom"/>
          </w:tcPr>
          <w:p>
            <w:pPr>
              <w:jc w:val="right"/>
              <w:ind w:right="135"/>
              <w:spacing w:after="0"/>
              <w:rPr>
                <w:sz w:val="20"/>
                <w:szCs w:val="20"/>
                <w:color w:val="auto"/>
              </w:rPr>
            </w:pPr>
            <w:r>
              <w:rPr>
                <w:rFonts w:ascii="Arial" w:cs="Arial" w:eastAsia="Arial" w:hAnsi="Arial"/>
                <w:sz w:val="17"/>
                <w:szCs w:val="17"/>
                <w:color w:val="auto"/>
              </w:rPr>
              <w:t>1,890</w:t>
            </w:r>
          </w:p>
        </w:tc>
        <w:tc>
          <w:tcPr>
            <w:tcW w:w="100" w:type="dxa"/>
            <w:vAlign w:val="bottom"/>
          </w:tcPr>
          <w:p>
            <w:pPr>
              <w:spacing w:after="0"/>
              <w:rPr>
                <w:sz w:val="18"/>
                <w:szCs w:val="18"/>
                <w:color w:val="auto"/>
              </w:rPr>
            </w:pPr>
          </w:p>
        </w:tc>
        <w:tc>
          <w:tcPr>
            <w:tcW w:w="380" w:type="dxa"/>
            <w:vAlign w:val="bottom"/>
          </w:tcPr>
          <w:p>
            <w:pPr>
              <w:jc w:val="right"/>
              <w:ind w:right="194"/>
              <w:spacing w:after="0"/>
              <w:rPr>
                <w:sz w:val="20"/>
                <w:szCs w:val="20"/>
                <w:color w:val="auto"/>
              </w:rPr>
            </w:pPr>
            <w:r>
              <w:rPr>
                <w:rFonts w:ascii="Arial" w:cs="Arial" w:eastAsia="Arial" w:hAnsi="Arial"/>
                <w:sz w:val="17"/>
                <w:szCs w:val="17"/>
                <w:color w:val="auto"/>
                <w:w w:val="84"/>
              </w:rPr>
              <w:t>$</w:t>
            </w:r>
          </w:p>
        </w:tc>
        <w:tc>
          <w:tcPr>
            <w:tcW w:w="1280" w:type="dxa"/>
            <w:vAlign w:val="bottom"/>
          </w:tcPr>
          <w:p>
            <w:pPr>
              <w:jc w:val="right"/>
              <w:ind w:right="175"/>
              <w:spacing w:after="0"/>
              <w:rPr>
                <w:sz w:val="20"/>
                <w:szCs w:val="20"/>
                <w:color w:val="auto"/>
              </w:rPr>
            </w:pPr>
            <w:r>
              <w:rPr>
                <w:rFonts w:ascii="Arial" w:cs="Arial" w:eastAsia="Arial" w:hAnsi="Arial"/>
                <w:sz w:val="17"/>
                <w:szCs w:val="17"/>
                <w:color w:val="auto"/>
              </w:rPr>
              <w:t>1,531</w:t>
            </w:r>
          </w:p>
        </w:tc>
        <w:tc>
          <w:tcPr>
            <w:tcW w:w="340" w:type="dxa"/>
            <w:vAlign w:val="bottom"/>
          </w:tcPr>
          <w:p>
            <w:pPr>
              <w:jc w:val="right"/>
              <w:ind w:right="114"/>
              <w:spacing w:after="0"/>
              <w:rPr>
                <w:sz w:val="20"/>
                <w:szCs w:val="20"/>
                <w:color w:val="auto"/>
              </w:rPr>
            </w:pPr>
            <w:r>
              <w:rPr>
                <w:rFonts w:ascii="Arial" w:cs="Arial" w:eastAsia="Arial" w:hAnsi="Arial"/>
                <w:sz w:val="17"/>
                <w:szCs w:val="17"/>
                <w:color w:val="auto"/>
              </w:rPr>
              <w:t>$</w:t>
            </w:r>
          </w:p>
        </w:tc>
        <w:tc>
          <w:tcPr>
            <w:tcW w:w="1360" w:type="dxa"/>
            <w:vAlign w:val="bottom"/>
          </w:tcPr>
          <w:p>
            <w:pPr>
              <w:jc w:val="right"/>
              <w:ind w:right="175"/>
              <w:spacing w:after="0"/>
              <w:rPr>
                <w:sz w:val="20"/>
                <w:szCs w:val="20"/>
                <w:color w:val="auto"/>
              </w:rPr>
            </w:pPr>
            <w:r>
              <w:rPr>
                <w:rFonts w:ascii="Arial" w:cs="Arial" w:eastAsia="Arial" w:hAnsi="Arial"/>
                <w:sz w:val="17"/>
                <w:szCs w:val="17"/>
                <w:color w:val="auto"/>
              </w:rPr>
              <w:t>359</w:t>
            </w:r>
          </w:p>
        </w:tc>
        <w:tc>
          <w:tcPr>
            <w:tcW w:w="240" w:type="dxa"/>
            <w:vAlign w:val="bottom"/>
          </w:tcPr>
          <w:p>
            <w:pPr>
              <w:spacing w:after="0"/>
              <w:rPr>
                <w:sz w:val="18"/>
                <w:szCs w:val="18"/>
                <w:color w:val="auto"/>
              </w:rPr>
            </w:pPr>
          </w:p>
        </w:tc>
        <w:tc>
          <w:tcPr>
            <w:tcW w:w="1280" w:type="dxa"/>
            <w:vAlign w:val="bottom"/>
          </w:tcPr>
          <w:p>
            <w:pPr>
              <w:jc w:val="center"/>
              <w:ind w:left="675"/>
              <w:spacing w:after="0"/>
              <w:rPr>
                <w:sz w:val="20"/>
                <w:szCs w:val="20"/>
                <w:color w:val="auto"/>
              </w:rPr>
            </w:pPr>
            <w:r>
              <w:rPr>
                <w:rFonts w:ascii="Arial" w:cs="Arial" w:eastAsia="Arial" w:hAnsi="Arial"/>
                <w:sz w:val="17"/>
                <w:szCs w:val="17"/>
                <w:color w:val="auto"/>
                <w:w w:val="90"/>
              </w:rPr>
              <w:t>23.4 %</w:t>
            </w:r>
          </w:p>
        </w:tc>
      </w:tr>
      <w:tr>
        <w:trPr>
          <w:trHeight w:val="220"/>
        </w:trPr>
        <w:tc>
          <w:tcPr>
            <w:tcW w:w="464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Cost of sales:</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4620" w:type="dxa"/>
            <w:vAlign w:val="bottom"/>
            <w:gridSpan w:val="2"/>
          </w:tcPr>
          <w:p>
            <w:pPr>
              <w:ind w:left="200"/>
              <w:spacing w:after="0"/>
              <w:rPr>
                <w:sz w:val="20"/>
                <w:szCs w:val="20"/>
                <w:color w:val="auto"/>
              </w:rPr>
            </w:pPr>
            <w:r>
              <w:rPr>
                <w:rFonts w:ascii="Arial" w:cs="Arial" w:eastAsia="Arial" w:hAnsi="Arial"/>
                <w:sz w:val="17"/>
                <w:szCs w:val="17"/>
                <w:color w:val="auto"/>
              </w:rPr>
              <w:t>Cost of goods</w:t>
            </w:r>
          </w:p>
        </w:tc>
        <w:tc>
          <w:tcPr>
            <w:tcW w:w="380" w:type="dxa"/>
            <w:vAlign w:val="bottom"/>
          </w:tcPr>
          <w:p>
            <w:pPr>
              <w:jc w:val="right"/>
              <w:ind w:right="194"/>
              <w:spacing w:after="0"/>
              <w:rPr>
                <w:sz w:val="20"/>
                <w:szCs w:val="20"/>
                <w:color w:val="auto"/>
              </w:rPr>
            </w:pPr>
            <w:r>
              <w:rPr>
                <w:rFonts w:ascii="Arial" w:cs="Arial" w:eastAsia="Arial" w:hAnsi="Arial"/>
                <w:sz w:val="17"/>
                <w:szCs w:val="17"/>
                <w:color w:val="auto"/>
                <w:w w:val="84"/>
              </w:rPr>
              <w:t>$</w:t>
            </w:r>
          </w:p>
        </w:tc>
        <w:tc>
          <w:tcPr>
            <w:tcW w:w="1240" w:type="dxa"/>
            <w:vAlign w:val="bottom"/>
          </w:tcPr>
          <w:p>
            <w:pPr>
              <w:jc w:val="right"/>
              <w:ind w:right="95"/>
              <w:spacing w:after="0"/>
              <w:rPr>
                <w:sz w:val="20"/>
                <w:szCs w:val="20"/>
                <w:color w:val="auto"/>
              </w:rPr>
            </w:pPr>
            <w:r>
              <w:rPr>
                <w:rFonts w:ascii="Arial" w:cs="Arial" w:eastAsia="Arial" w:hAnsi="Arial"/>
                <w:sz w:val="17"/>
                <w:szCs w:val="17"/>
                <w:color w:val="auto"/>
              </w:rPr>
              <w:t>(998)</w:t>
            </w:r>
          </w:p>
        </w:tc>
        <w:tc>
          <w:tcPr>
            <w:tcW w:w="100" w:type="dxa"/>
            <w:vAlign w:val="bottom"/>
          </w:tcPr>
          <w:p>
            <w:pPr>
              <w:spacing w:after="0"/>
              <w:rPr>
                <w:sz w:val="18"/>
                <w:szCs w:val="18"/>
                <w:color w:val="auto"/>
              </w:rPr>
            </w:pPr>
          </w:p>
        </w:tc>
        <w:tc>
          <w:tcPr>
            <w:tcW w:w="380" w:type="dxa"/>
            <w:vAlign w:val="bottom"/>
          </w:tcPr>
          <w:p>
            <w:pPr>
              <w:jc w:val="right"/>
              <w:ind w:right="194"/>
              <w:spacing w:after="0"/>
              <w:rPr>
                <w:sz w:val="20"/>
                <w:szCs w:val="20"/>
                <w:color w:val="auto"/>
              </w:rPr>
            </w:pPr>
            <w:r>
              <w:rPr>
                <w:rFonts w:ascii="Arial" w:cs="Arial" w:eastAsia="Arial" w:hAnsi="Arial"/>
                <w:sz w:val="17"/>
                <w:szCs w:val="17"/>
                <w:color w:val="auto"/>
                <w:w w:val="84"/>
              </w:rPr>
              <w:t>$</w:t>
            </w:r>
          </w:p>
        </w:tc>
        <w:tc>
          <w:tcPr>
            <w:tcW w:w="1280" w:type="dxa"/>
            <w:vAlign w:val="bottom"/>
          </w:tcPr>
          <w:p>
            <w:pPr>
              <w:jc w:val="right"/>
              <w:ind w:right="135"/>
              <w:spacing w:after="0"/>
              <w:rPr>
                <w:sz w:val="20"/>
                <w:szCs w:val="20"/>
                <w:color w:val="auto"/>
              </w:rPr>
            </w:pPr>
            <w:r>
              <w:rPr>
                <w:rFonts w:ascii="Arial" w:cs="Arial" w:eastAsia="Arial" w:hAnsi="Arial"/>
                <w:sz w:val="17"/>
                <w:szCs w:val="17"/>
                <w:color w:val="auto"/>
              </w:rPr>
              <w:t>(804)</w:t>
            </w:r>
          </w:p>
        </w:tc>
        <w:tc>
          <w:tcPr>
            <w:tcW w:w="340" w:type="dxa"/>
            <w:vAlign w:val="bottom"/>
          </w:tcPr>
          <w:p>
            <w:pPr>
              <w:jc w:val="right"/>
              <w:ind w:right="114"/>
              <w:spacing w:after="0"/>
              <w:rPr>
                <w:sz w:val="20"/>
                <w:szCs w:val="20"/>
                <w:color w:val="auto"/>
              </w:rPr>
            </w:pPr>
            <w:r>
              <w:rPr>
                <w:rFonts w:ascii="Arial" w:cs="Arial" w:eastAsia="Arial" w:hAnsi="Arial"/>
                <w:sz w:val="17"/>
                <w:szCs w:val="17"/>
                <w:color w:val="auto"/>
              </w:rPr>
              <w:t>$</w:t>
            </w:r>
          </w:p>
        </w:tc>
        <w:tc>
          <w:tcPr>
            <w:tcW w:w="1360" w:type="dxa"/>
            <w:vAlign w:val="bottom"/>
          </w:tcPr>
          <w:p>
            <w:pPr>
              <w:jc w:val="right"/>
              <w:ind w:right="175"/>
              <w:spacing w:after="0"/>
              <w:rPr>
                <w:sz w:val="20"/>
                <w:szCs w:val="20"/>
                <w:color w:val="auto"/>
              </w:rPr>
            </w:pPr>
            <w:r>
              <w:rPr>
                <w:rFonts w:ascii="Arial" w:cs="Arial" w:eastAsia="Arial" w:hAnsi="Arial"/>
                <w:sz w:val="17"/>
                <w:szCs w:val="17"/>
                <w:color w:val="auto"/>
              </w:rPr>
              <w:t>194</w:t>
            </w:r>
          </w:p>
        </w:tc>
        <w:tc>
          <w:tcPr>
            <w:tcW w:w="240" w:type="dxa"/>
            <w:vAlign w:val="bottom"/>
          </w:tcPr>
          <w:p>
            <w:pPr>
              <w:spacing w:after="0"/>
              <w:rPr>
                <w:sz w:val="18"/>
                <w:szCs w:val="18"/>
                <w:color w:val="auto"/>
              </w:rPr>
            </w:pPr>
          </w:p>
        </w:tc>
        <w:tc>
          <w:tcPr>
            <w:tcW w:w="1280" w:type="dxa"/>
            <w:vAlign w:val="bottom"/>
          </w:tcPr>
          <w:p>
            <w:pPr>
              <w:jc w:val="center"/>
              <w:ind w:left="675"/>
              <w:spacing w:after="0"/>
              <w:rPr>
                <w:sz w:val="20"/>
                <w:szCs w:val="20"/>
                <w:color w:val="auto"/>
              </w:rPr>
            </w:pPr>
            <w:r>
              <w:rPr>
                <w:rFonts w:ascii="Arial" w:cs="Arial" w:eastAsia="Arial" w:hAnsi="Arial"/>
                <w:sz w:val="17"/>
                <w:szCs w:val="17"/>
                <w:color w:val="auto"/>
                <w:w w:val="90"/>
              </w:rPr>
              <w:t>24.1 %</w:t>
            </w:r>
          </w:p>
        </w:tc>
      </w:tr>
      <w:tr>
        <w:trPr>
          <w:trHeight w:val="220"/>
        </w:trPr>
        <w:tc>
          <w:tcPr>
            <w:tcW w:w="20" w:type="dxa"/>
            <w:vAlign w:val="bottom"/>
            <w:shd w:val="clear" w:color="auto" w:fill="CCEEFF"/>
          </w:tcPr>
          <w:p>
            <w:pPr>
              <w:spacing w:after="0"/>
              <w:rPr>
                <w:sz w:val="19"/>
                <w:szCs w:val="19"/>
                <w:color w:val="auto"/>
              </w:rPr>
            </w:pPr>
          </w:p>
        </w:tc>
        <w:tc>
          <w:tcPr>
            <w:tcW w:w="462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Cost of services</w:t>
            </w: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color w:val="auto"/>
              </w:rPr>
              <w:t>(281)</w:t>
            </w:r>
          </w:p>
        </w:tc>
        <w:tc>
          <w:tcPr>
            <w:tcW w:w="10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color w:val="auto"/>
              </w:rPr>
              <w:t>(230)</w:t>
            </w:r>
          </w:p>
        </w:tc>
        <w:tc>
          <w:tcPr>
            <w:tcW w:w="3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175"/>
              <w:spacing w:after="0"/>
              <w:rPr>
                <w:sz w:val="20"/>
                <w:szCs w:val="20"/>
                <w:color w:val="auto"/>
              </w:rPr>
            </w:pPr>
            <w:r>
              <w:rPr>
                <w:rFonts w:ascii="Arial" w:cs="Arial" w:eastAsia="Arial" w:hAnsi="Arial"/>
                <w:sz w:val="17"/>
                <w:szCs w:val="17"/>
                <w:color w:val="auto"/>
              </w:rPr>
              <w:t>51</w:t>
            </w: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center"/>
              <w:ind w:left="675"/>
              <w:spacing w:after="0"/>
              <w:rPr>
                <w:sz w:val="20"/>
                <w:szCs w:val="20"/>
                <w:color w:val="auto"/>
              </w:rPr>
            </w:pPr>
            <w:r>
              <w:rPr>
                <w:rFonts w:ascii="Arial" w:cs="Arial" w:eastAsia="Arial" w:hAnsi="Arial"/>
                <w:sz w:val="17"/>
                <w:szCs w:val="17"/>
                <w:color w:val="auto"/>
                <w:w w:val="90"/>
              </w:rPr>
              <w:t>22.2 %</w:t>
            </w:r>
          </w:p>
        </w:tc>
      </w:tr>
      <w:tr>
        <w:trPr>
          <w:trHeight w:val="211"/>
        </w:trPr>
        <w:tc>
          <w:tcPr>
            <w:tcW w:w="20" w:type="dxa"/>
            <w:vAlign w:val="bottom"/>
            <w:tcBorders>
              <w:bottom w:val="single" w:sz="8" w:color="CCEEFF"/>
            </w:tcBorders>
          </w:tcPr>
          <w:p>
            <w:pPr>
              <w:spacing w:after="0"/>
              <w:rPr>
                <w:sz w:val="18"/>
                <w:szCs w:val="18"/>
                <w:color w:val="auto"/>
              </w:rPr>
            </w:pPr>
          </w:p>
        </w:tc>
        <w:tc>
          <w:tcPr>
            <w:tcW w:w="4620" w:type="dxa"/>
            <w:vAlign w:val="bottom"/>
            <w:tcBorders>
              <w:bottom w:val="single" w:sz="8" w:color="CCEEFF"/>
            </w:tcBorders>
            <w:gridSpan w:val="2"/>
          </w:tcPr>
          <w:p>
            <w:pPr>
              <w:ind w:left="320"/>
              <w:spacing w:after="0"/>
              <w:rPr>
                <w:sz w:val="20"/>
                <w:szCs w:val="20"/>
                <w:color w:val="auto"/>
              </w:rPr>
            </w:pPr>
            <w:r>
              <w:rPr>
                <w:rFonts w:ascii="Arial" w:cs="Arial" w:eastAsia="Arial" w:hAnsi="Arial"/>
                <w:sz w:val="17"/>
                <w:szCs w:val="17"/>
                <w:color w:val="auto"/>
              </w:rPr>
              <w:t>Total cost of sales</w:t>
            </w:r>
          </w:p>
        </w:tc>
        <w:tc>
          <w:tcPr>
            <w:tcW w:w="380" w:type="dxa"/>
            <w:vAlign w:val="bottom"/>
            <w:tcBorders>
              <w:bottom w:val="single" w:sz="8" w:color="auto"/>
            </w:tcBorders>
          </w:tcPr>
          <w:p>
            <w:pPr>
              <w:jc w:val="right"/>
              <w:ind w:right="194"/>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(1,279)</w:t>
            </w:r>
          </w:p>
        </w:tc>
        <w:tc>
          <w:tcPr>
            <w:tcW w:w="1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ind w:right="194"/>
              <w:spacing w:after="0"/>
              <w:rPr>
                <w:sz w:val="20"/>
                <w:szCs w:val="20"/>
                <w:color w:val="auto"/>
              </w:rPr>
            </w:pPr>
            <w:r>
              <w:rPr>
                <w:rFonts w:ascii="Arial" w:cs="Arial" w:eastAsia="Arial" w:hAnsi="Arial"/>
                <w:sz w:val="17"/>
                <w:szCs w:val="17"/>
                <w:color w:val="auto"/>
                <w:w w:val="84"/>
              </w:rPr>
              <w:t>$</w:t>
            </w:r>
          </w:p>
        </w:tc>
        <w:tc>
          <w:tcPr>
            <w:tcW w:w="128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rPr>
              <w:t>(1,034)</w:t>
            </w:r>
          </w:p>
        </w:tc>
        <w:tc>
          <w:tcPr>
            <w:tcW w:w="34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rPr>
              <w:t>$</w:t>
            </w:r>
          </w:p>
        </w:tc>
        <w:tc>
          <w:tcPr>
            <w:tcW w:w="136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color w:val="auto"/>
              </w:rPr>
              <w:t>245</w:t>
            </w: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ind w:left="675"/>
              <w:spacing w:after="0"/>
              <w:rPr>
                <w:sz w:val="20"/>
                <w:szCs w:val="20"/>
                <w:color w:val="auto"/>
              </w:rPr>
            </w:pPr>
            <w:r>
              <w:rPr>
                <w:rFonts w:ascii="Arial" w:cs="Arial" w:eastAsia="Arial" w:hAnsi="Arial"/>
                <w:sz w:val="17"/>
                <w:szCs w:val="17"/>
                <w:color w:val="auto"/>
                <w:w w:val="90"/>
              </w:rPr>
              <w:t>23.7 %</w:t>
            </w:r>
          </w:p>
        </w:tc>
      </w:tr>
      <w:tr>
        <w:trPr>
          <w:trHeight w:val="213"/>
        </w:trPr>
        <w:tc>
          <w:tcPr>
            <w:tcW w:w="4640" w:type="dxa"/>
            <w:vAlign w:val="bottom"/>
            <w:gridSpan w:val="3"/>
            <w:shd w:val="clear" w:color="auto" w:fill="CCEEFF"/>
          </w:tcPr>
          <w:p>
            <w:pPr>
              <w:ind w:left="20"/>
              <w:spacing w:after="0"/>
              <w:rPr>
                <w:sz w:val="20"/>
                <w:szCs w:val="20"/>
                <w:color w:val="auto"/>
              </w:rPr>
            </w:pPr>
            <w:r>
              <w:rPr>
                <w:rFonts w:ascii="Arial" w:cs="Arial" w:eastAsia="Arial" w:hAnsi="Arial"/>
                <w:sz w:val="17"/>
                <w:szCs w:val="17"/>
                <w:i w:val="1"/>
                <w:iCs w:val="1"/>
                <w:color w:val="auto"/>
              </w:rPr>
              <w:t>Cost of Sales (% of net sales)</w:t>
            </w: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i w:val="1"/>
                <w:iCs w:val="1"/>
                <w:color w:val="auto"/>
              </w:rPr>
              <w:t>67.7 %</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i w:val="1"/>
                <w:iCs w:val="1"/>
                <w:color w:val="auto"/>
              </w:rPr>
              <w:t>67.5 %</w:t>
            </w:r>
          </w:p>
        </w:tc>
        <w:tc>
          <w:tcPr>
            <w:tcW w:w="34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15"/>
              <w:spacing w:after="0"/>
              <w:rPr>
                <w:sz w:val="20"/>
                <w:szCs w:val="20"/>
                <w:color w:val="auto"/>
              </w:rPr>
            </w:pPr>
            <w:r>
              <w:rPr>
                <w:rFonts w:ascii="Arial" w:cs="Arial" w:eastAsia="Arial" w:hAnsi="Arial"/>
                <w:sz w:val="17"/>
                <w:szCs w:val="17"/>
                <w:i w:val="1"/>
                <w:iCs w:val="1"/>
                <w:color w:val="auto"/>
              </w:rPr>
              <w:t>0.2</w:t>
            </w: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103"/>
        </w:trPr>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80" w:type="dxa"/>
            <w:vAlign w:val="bottom"/>
          </w:tcPr>
          <w:p>
            <w:pPr>
              <w:spacing w:after="0"/>
              <w:rPr>
                <w:sz w:val="8"/>
                <w:szCs w:val="8"/>
                <w:color w:val="auto"/>
              </w:rPr>
            </w:pPr>
          </w:p>
        </w:tc>
      </w:tr>
      <w:tr>
        <w:trPr>
          <w:trHeight w:val="219"/>
        </w:trPr>
        <w:tc>
          <w:tcPr>
            <w:tcW w:w="464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Gross profit</w:t>
            </w:r>
          </w:p>
        </w:tc>
        <w:tc>
          <w:tcPr>
            <w:tcW w:w="38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611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128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497</w:t>
            </w:r>
          </w:p>
        </w:tc>
        <w:tc>
          <w:tcPr>
            <w:tcW w:w="34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136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114</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center"/>
              <w:ind w:left="675"/>
              <w:spacing w:after="0"/>
              <w:rPr>
                <w:sz w:val="20"/>
                <w:szCs w:val="20"/>
                <w:color w:val="auto"/>
              </w:rPr>
            </w:pPr>
            <w:r>
              <w:rPr>
                <w:rFonts w:ascii="Arial" w:cs="Arial" w:eastAsia="Arial" w:hAnsi="Arial"/>
                <w:sz w:val="17"/>
                <w:szCs w:val="17"/>
                <w:color w:val="auto"/>
                <w:w w:val="90"/>
              </w:rPr>
              <w:t>22.9 %</w:t>
            </w:r>
          </w:p>
        </w:tc>
      </w:tr>
      <w:tr>
        <w:trPr>
          <w:trHeight w:val="103"/>
        </w:trPr>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80" w:type="dxa"/>
            <w:vAlign w:val="bottom"/>
          </w:tcPr>
          <w:p>
            <w:pPr>
              <w:spacing w:after="0"/>
              <w:rPr>
                <w:sz w:val="8"/>
                <w:szCs w:val="8"/>
                <w:color w:val="auto"/>
              </w:rPr>
            </w:pPr>
          </w:p>
        </w:tc>
      </w:tr>
      <w:tr>
        <w:trPr>
          <w:trHeight w:val="218"/>
        </w:trPr>
        <w:tc>
          <w:tcPr>
            <w:tcW w:w="464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Operating expenses</w:t>
            </w:r>
          </w:p>
        </w:tc>
        <w:tc>
          <w:tcPr>
            <w:tcW w:w="38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color w:val="auto"/>
              </w:rPr>
              <w:t>(284)</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128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color w:val="auto"/>
              </w:rPr>
              <w:t>(264)</w:t>
            </w:r>
          </w:p>
        </w:tc>
        <w:tc>
          <w:tcPr>
            <w:tcW w:w="34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1360" w:type="dxa"/>
            <w:vAlign w:val="bottom"/>
            <w:tcBorders>
              <w:bottom w:val="single" w:sz="8" w:color="auto"/>
            </w:tcBorders>
            <w:shd w:val="clear" w:color="auto" w:fill="CCEEFF"/>
          </w:tcPr>
          <w:p>
            <w:pPr>
              <w:jc w:val="right"/>
              <w:ind w:right="175"/>
              <w:spacing w:after="0"/>
              <w:rPr>
                <w:sz w:val="20"/>
                <w:szCs w:val="20"/>
                <w:color w:val="auto"/>
              </w:rPr>
            </w:pPr>
            <w:r>
              <w:rPr>
                <w:rFonts w:ascii="Arial" w:cs="Arial" w:eastAsia="Arial" w:hAnsi="Arial"/>
                <w:sz w:val="17"/>
                <w:szCs w:val="17"/>
                <w:color w:val="auto"/>
              </w:rPr>
              <w:t>20</w:t>
            </w:r>
          </w:p>
        </w:tc>
        <w:tc>
          <w:tcPr>
            <w:tcW w:w="2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7.6 %</w:t>
            </w:r>
          </w:p>
        </w:tc>
      </w:tr>
      <w:tr>
        <w:trPr>
          <w:trHeight w:val="84"/>
        </w:trPr>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0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3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80" w:type="dxa"/>
            <w:vAlign w:val="bottom"/>
          </w:tcPr>
          <w:p>
            <w:pPr>
              <w:spacing w:after="0"/>
              <w:rPr>
                <w:sz w:val="7"/>
                <w:szCs w:val="7"/>
                <w:color w:val="auto"/>
              </w:rPr>
            </w:pPr>
          </w:p>
        </w:tc>
      </w:tr>
      <w:tr>
        <w:trPr>
          <w:trHeight w:val="244"/>
        </w:trPr>
        <w:tc>
          <w:tcPr>
            <w:tcW w:w="46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7"/>
                <w:szCs w:val="17"/>
                <w:color w:val="auto"/>
              </w:rPr>
              <w:t>Income from operations</w:t>
            </w:r>
          </w:p>
        </w:tc>
        <w:tc>
          <w:tcPr>
            <w:tcW w:w="38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color w:val="auto"/>
              </w:rPr>
              <w:t>327</w:t>
            </w:r>
          </w:p>
        </w:tc>
        <w:tc>
          <w:tcPr>
            <w:tcW w:w="100" w:type="dxa"/>
            <w:vAlign w:val="bottom"/>
            <w:tcBorders>
              <w:bottom w:val="single" w:sz="8" w:color="auto"/>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1280" w:type="dxa"/>
            <w:vAlign w:val="bottom"/>
            <w:tcBorders>
              <w:bottom w:val="single" w:sz="8" w:color="auto"/>
            </w:tcBorders>
            <w:shd w:val="clear" w:color="auto" w:fill="CCEEFF"/>
          </w:tcPr>
          <w:p>
            <w:pPr>
              <w:jc w:val="right"/>
              <w:ind w:right="175"/>
              <w:spacing w:after="0"/>
              <w:rPr>
                <w:sz w:val="20"/>
                <w:szCs w:val="20"/>
                <w:color w:val="auto"/>
              </w:rPr>
            </w:pPr>
            <w:r>
              <w:rPr>
                <w:rFonts w:ascii="Arial" w:cs="Arial" w:eastAsia="Arial" w:hAnsi="Arial"/>
                <w:sz w:val="17"/>
                <w:szCs w:val="17"/>
                <w:color w:val="auto"/>
              </w:rPr>
              <w:t>233</w:t>
            </w:r>
          </w:p>
        </w:tc>
        <w:tc>
          <w:tcPr>
            <w:tcW w:w="34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1360" w:type="dxa"/>
            <w:vAlign w:val="bottom"/>
            <w:tcBorders>
              <w:bottom w:val="single" w:sz="8" w:color="auto"/>
            </w:tcBorders>
            <w:shd w:val="clear" w:color="auto" w:fill="CCEEFF"/>
          </w:tcPr>
          <w:p>
            <w:pPr>
              <w:jc w:val="right"/>
              <w:ind w:right="175"/>
              <w:spacing w:after="0"/>
              <w:rPr>
                <w:sz w:val="20"/>
                <w:szCs w:val="20"/>
                <w:color w:val="auto"/>
              </w:rPr>
            </w:pPr>
            <w:r>
              <w:rPr>
                <w:rFonts w:ascii="Arial" w:cs="Arial" w:eastAsia="Arial" w:hAnsi="Arial"/>
                <w:sz w:val="17"/>
                <w:szCs w:val="17"/>
                <w:color w:val="auto"/>
              </w:rPr>
              <w:t>94</w:t>
            </w:r>
          </w:p>
        </w:tc>
        <w:tc>
          <w:tcPr>
            <w:tcW w:w="24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center"/>
              <w:ind w:left="675"/>
              <w:spacing w:after="0"/>
              <w:rPr>
                <w:sz w:val="20"/>
                <w:szCs w:val="20"/>
                <w:color w:val="auto"/>
              </w:rPr>
            </w:pPr>
            <w:r>
              <w:rPr>
                <w:rFonts w:ascii="Arial" w:cs="Arial" w:eastAsia="Arial" w:hAnsi="Arial"/>
                <w:sz w:val="17"/>
                <w:szCs w:val="17"/>
                <w:color w:val="auto"/>
                <w:w w:val="90"/>
              </w:rPr>
              <w:t>40.3 %</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40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191"/>
        </w:trPr>
        <w:tc>
          <w:tcPr>
            <w:tcW w:w="4640" w:type="dxa"/>
            <w:vAlign w:val="bottom"/>
            <w:gridSpan w:val="3"/>
          </w:tcPr>
          <w:p>
            <w:pPr>
              <w:ind w:left="20"/>
              <w:spacing w:after="0" w:line="191" w:lineRule="exact"/>
              <w:rPr>
                <w:sz w:val="20"/>
                <w:szCs w:val="20"/>
                <w:color w:val="auto"/>
              </w:rPr>
            </w:pPr>
            <w:r>
              <w:rPr>
                <w:rFonts w:ascii="Arial" w:cs="Arial" w:eastAsia="Arial" w:hAnsi="Arial"/>
                <w:sz w:val="17"/>
                <w:szCs w:val="17"/>
                <w:color w:val="auto"/>
              </w:rPr>
              <w:t>Income from operations (% of net sales)</w:t>
            </w: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line="191" w:lineRule="exact"/>
              <w:rPr>
                <w:sz w:val="20"/>
                <w:szCs w:val="20"/>
                <w:color w:val="auto"/>
              </w:rPr>
            </w:pPr>
            <w:r>
              <w:rPr>
                <w:rFonts w:ascii="Arial" w:cs="Arial" w:eastAsia="Arial" w:hAnsi="Arial"/>
                <w:sz w:val="17"/>
                <w:szCs w:val="17"/>
                <w:color w:val="auto"/>
              </w:rPr>
              <w:t>17.3 %</w:t>
            </w: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line="191" w:lineRule="exact"/>
              <w:rPr>
                <w:sz w:val="20"/>
                <w:szCs w:val="20"/>
                <w:color w:val="auto"/>
              </w:rPr>
            </w:pPr>
            <w:r>
              <w:rPr>
                <w:rFonts w:ascii="Arial" w:cs="Arial" w:eastAsia="Arial" w:hAnsi="Arial"/>
                <w:sz w:val="17"/>
                <w:szCs w:val="17"/>
                <w:color w:val="auto"/>
              </w:rPr>
              <w:t>15.2 %</w:t>
            </w:r>
          </w:p>
        </w:tc>
        <w:tc>
          <w:tcPr>
            <w:tcW w:w="3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115"/>
              <w:spacing w:after="0" w:line="191" w:lineRule="exact"/>
              <w:rPr>
                <w:sz w:val="20"/>
                <w:szCs w:val="20"/>
                <w:color w:val="auto"/>
              </w:rPr>
            </w:pPr>
            <w:r>
              <w:rPr>
                <w:rFonts w:ascii="Arial" w:cs="Arial" w:eastAsia="Arial" w:hAnsi="Arial"/>
                <w:sz w:val="17"/>
                <w:szCs w:val="17"/>
                <w:color w:val="auto"/>
              </w:rPr>
              <w:t>2.1</w:t>
            </w:r>
          </w:p>
        </w:tc>
        <w:tc>
          <w:tcPr>
            <w:tcW w:w="2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620" w:type="dxa"/>
            <w:vAlign w:val="bottom"/>
            <w:tcBorders>
              <w:bottom w:val="single" w:sz="8" w:color="auto"/>
            </w:tcBorders>
            <w:gridSpan w:val="2"/>
          </w:tcPr>
          <w:p>
            <w:pPr>
              <w:spacing w:after="0" w:line="20" w:lineRule="exact"/>
              <w:rPr>
                <w:sz w:val="1"/>
                <w:szCs w:val="1"/>
                <w:color w:val="auto"/>
              </w:rPr>
            </w:pPr>
          </w:p>
        </w:tc>
        <w:tc>
          <w:tcPr>
            <w:tcW w:w="3460" w:type="dxa"/>
            <w:vAlign w:val="bottom"/>
            <w:tcBorders>
              <w:bottom w:val="single" w:sz="8" w:color="auto"/>
            </w:tcBorders>
            <w:gridSpan w:val="5"/>
          </w:tcPr>
          <w:p>
            <w:pPr>
              <w:spacing w:after="0" w:line="20" w:lineRule="exact"/>
              <w:rPr>
                <w:sz w:val="1"/>
                <w:szCs w:val="1"/>
                <w:color w:val="auto"/>
              </w:rPr>
            </w:pPr>
          </w:p>
        </w:tc>
        <w:tc>
          <w:tcPr>
            <w:tcW w:w="1520" w:type="dxa"/>
            <w:vAlign w:val="bottom"/>
            <w:tcBorders>
              <w:bottom w:val="single" w:sz="8" w:color="auto"/>
            </w:tcBorders>
            <w:gridSpan w:val="2"/>
          </w:tcPr>
          <w:p>
            <w:pPr>
              <w:spacing w:after="0" w:line="20" w:lineRule="exact"/>
              <w:rPr>
                <w:sz w:val="1"/>
                <w:szCs w:val="1"/>
                <w:color w:val="auto"/>
              </w:rPr>
            </w:pPr>
          </w:p>
        </w:tc>
      </w:tr>
      <w:tr>
        <w:trPr>
          <w:trHeight w:val="379"/>
        </w:trPr>
        <w:tc>
          <w:tcPr>
            <w:tcW w:w="20" w:type="dxa"/>
            <w:vAlign w:val="bottom"/>
          </w:tcPr>
          <w:p>
            <w:pPr>
              <w:spacing w:after="0"/>
              <w:rPr>
                <w:sz w:val="24"/>
                <w:szCs w:val="24"/>
                <w:color w:val="auto"/>
              </w:rPr>
            </w:pPr>
          </w:p>
        </w:tc>
        <w:tc>
          <w:tcPr>
            <w:tcW w:w="11220" w:type="dxa"/>
            <w:vAlign w:val="bottom"/>
            <w:gridSpan w:val="11"/>
          </w:tcPr>
          <w:p>
            <w:pPr>
              <w:ind w:left="440"/>
              <w:spacing w:after="0"/>
              <w:rPr>
                <w:sz w:val="20"/>
                <w:szCs w:val="20"/>
                <w:color w:val="auto"/>
              </w:rPr>
            </w:pPr>
            <w:r>
              <w:rPr>
                <w:rFonts w:ascii="Arial" w:cs="Arial" w:eastAsia="Arial" w:hAnsi="Arial"/>
                <w:sz w:val="17"/>
                <w:szCs w:val="17"/>
                <w:color w:val="auto"/>
                <w:w w:val="94"/>
              </w:rPr>
              <w:t>The following table shows the major components of the change in Net sales for the Freight Segment in the third quarter of 2023 from the third quarter of</w:t>
            </w:r>
          </w:p>
        </w:tc>
      </w:tr>
      <w:tr>
        <w:trPr>
          <w:trHeight w:val="217"/>
        </w:trPr>
        <w:tc>
          <w:tcPr>
            <w:tcW w:w="640" w:type="dxa"/>
            <w:vAlign w:val="bottom"/>
            <w:gridSpan w:val="2"/>
          </w:tcPr>
          <w:p>
            <w:pPr>
              <w:spacing w:after="0"/>
              <w:rPr>
                <w:sz w:val="20"/>
                <w:szCs w:val="20"/>
                <w:color w:val="auto"/>
              </w:rPr>
            </w:pPr>
            <w:r>
              <w:rPr>
                <w:rFonts w:ascii="Arial" w:cs="Arial" w:eastAsia="Arial" w:hAnsi="Arial"/>
                <w:sz w:val="17"/>
                <w:szCs w:val="17"/>
                <w:color w:val="auto"/>
              </w:rPr>
              <w:t>2022:</w:t>
            </w:r>
          </w:p>
        </w:tc>
        <w:tc>
          <w:tcPr>
            <w:tcW w:w="4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169"/>
        </w:trPr>
        <w:tc>
          <w:tcPr>
            <w:tcW w:w="4640" w:type="dxa"/>
            <w:vAlign w:val="bottom"/>
            <w:gridSpan w:val="3"/>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3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32"/>
        </w:trPr>
        <w:tc>
          <w:tcPr>
            <w:tcW w:w="20" w:type="dxa"/>
            <w:vAlign w:val="bottom"/>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4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19"/>
        </w:trPr>
        <w:tc>
          <w:tcPr>
            <w:tcW w:w="464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Third Quarter 2022 Net sales</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center"/>
              <w:ind w:left="675"/>
              <w:spacing w:after="0"/>
              <w:rPr>
                <w:sz w:val="20"/>
                <w:szCs w:val="20"/>
                <w:color w:val="auto"/>
              </w:rPr>
            </w:pPr>
            <w:r>
              <w:rPr>
                <w:rFonts w:ascii="Arial" w:cs="Arial" w:eastAsia="Arial" w:hAnsi="Arial"/>
                <w:sz w:val="17"/>
                <w:szCs w:val="17"/>
                <w:color w:val="auto"/>
                <w:w w:val="93"/>
              </w:rPr>
              <w:t>1,531</w:t>
            </w:r>
          </w:p>
        </w:tc>
      </w:tr>
      <w:tr>
        <w:trPr>
          <w:trHeight w:val="218"/>
        </w:trPr>
        <w:tc>
          <w:tcPr>
            <w:tcW w:w="20" w:type="dxa"/>
            <w:vAlign w:val="bottom"/>
          </w:tcPr>
          <w:p>
            <w:pPr>
              <w:spacing w:after="0"/>
              <w:rPr>
                <w:sz w:val="18"/>
                <w:szCs w:val="18"/>
                <w:color w:val="auto"/>
              </w:rPr>
            </w:pPr>
          </w:p>
        </w:tc>
        <w:tc>
          <w:tcPr>
            <w:tcW w:w="4620" w:type="dxa"/>
            <w:vAlign w:val="bottom"/>
            <w:gridSpan w:val="2"/>
          </w:tcPr>
          <w:p>
            <w:pPr>
              <w:ind w:left="100"/>
              <w:spacing w:after="0"/>
              <w:rPr>
                <w:sz w:val="20"/>
                <w:szCs w:val="20"/>
                <w:color w:val="auto"/>
              </w:rPr>
            </w:pPr>
            <w:r>
              <w:rPr>
                <w:rFonts w:ascii="Arial" w:cs="Arial" w:eastAsia="Arial" w:hAnsi="Arial"/>
                <w:sz w:val="17"/>
                <w:szCs w:val="17"/>
                <w:color w:val="auto"/>
              </w:rPr>
              <w:t>Acquisitions</w:t>
            </w: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45</w:t>
            </w:r>
          </w:p>
        </w:tc>
      </w:tr>
      <w:tr>
        <w:trPr>
          <w:trHeight w:val="220"/>
        </w:trPr>
        <w:tc>
          <w:tcPr>
            <w:tcW w:w="20" w:type="dxa"/>
            <w:vAlign w:val="bottom"/>
            <w:shd w:val="clear" w:color="auto" w:fill="CCEEFF"/>
          </w:tcPr>
          <w:p>
            <w:pPr>
              <w:spacing w:after="0"/>
              <w:rPr>
                <w:sz w:val="19"/>
                <w:szCs w:val="19"/>
                <w:color w:val="auto"/>
              </w:rPr>
            </w:pPr>
          </w:p>
        </w:tc>
        <w:tc>
          <w:tcPr>
            <w:tcW w:w="462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Foreign Exchange</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r>
      <w:tr>
        <w:trPr>
          <w:trHeight w:val="218"/>
        </w:trPr>
        <w:tc>
          <w:tcPr>
            <w:tcW w:w="20" w:type="dxa"/>
            <w:vAlign w:val="bottom"/>
          </w:tcPr>
          <w:p>
            <w:pPr>
              <w:spacing w:after="0"/>
              <w:rPr>
                <w:sz w:val="18"/>
                <w:szCs w:val="18"/>
                <w:color w:val="auto"/>
              </w:rPr>
            </w:pPr>
          </w:p>
        </w:tc>
        <w:tc>
          <w:tcPr>
            <w:tcW w:w="4620" w:type="dxa"/>
            <w:vAlign w:val="bottom"/>
            <w:gridSpan w:val="2"/>
          </w:tcPr>
          <w:p>
            <w:pPr>
              <w:ind w:left="100"/>
              <w:spacing w:after="0"/>
              <w:rPr>
                <w:sz w:val="20"/>
                <w:szCs w:val="20"/>
                <w:color w:val="auto"/>
              </w:rPr>
            </w:pPr>
            <w:r>
              <w:rPr>
                <w:rFonts w:ascii="Arial" w:cs="Arial" w:eastAsia="Arial" w:hAnsi="Arial"/>
                <w:sz w:val="17"/>
                <w:szCs w:val="17"/>
                <w:color w:val="auto"/>
              </w:rPr>
              <w:t>Organic changes in Net sales by Product Line:</w:t>
            </w: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20"/>
        </w:trPr>
        <w:tc>
          <w:tcPr>
            <w:tcW w:w="20" w:type="dxa"/>
            <w:vAlign w:val="bottom"/>
            <w:shd w:val="clear" w:color="auto" w:fill="CCEEFF"/>
          </w:tcPr>
          <w:p>
            <w:pPr>
              <w:spacing w:after="0"/>
              <w:rPr>
                <w:sz w:val="19"/>
                <w:szCs w:val="19"/>
                <w:color w:val="auto"/>
              </w:rPr>
            </w:pPr>
          </w:p>
        </w:tc>
        <w:tc>
          <w:tcPr>
            <w:tcW w:w="462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Equipment</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172</w:t>
            </w:r>
          </w:p>
        </w:tc>
      </w:tr>
      <w:tr>
        <w:trPr>
          <w:trHeight w:val="218"/>
        </w:trPr>
        <w:tc>
          <w:tcPr>
            <w:tcW w:w="20" w:type="dxa"/>
            <w:vAlign w:val="bottom"/>
          </w:tcPr>
          <w:p>
            <w:pPr>
              <w:spacing w:after="0"/>
              <w:rPr>
                <w:sz w:val="18"/>
                <w:szCs w:val="18"/>
                <w:color w:val="auto"/>
              </w:rPr>
            </w:pPr>
          </w:p>
        </w:tc>
        <w:tc>
          <w:tcPr>
            <w:tcW w:w="4620" w:type="dxa"/>
            <w:vAlign w:val="bottom"/>
            <w:gridSpan w:val="2"/>
          </w:tcPr>
          <w:p>
            <w:pPr>
              <w:ind w:left="200"/>
              <w:spacing w:after="0"/>
              <w:rPr>
                <w:sz w:val="20"/>
                <w:szCs w:val="20"/>
                <w:color w:val="auto"/>
              </w:rPr>
            </w:pPr>
            <w:r>
              <w:rPr>
                <w:rFonts w:ascii="Arial" w:cs="Arial" w:eastAsia="Arial" w:hAnsi="Arial"/>
                <w:sz w:val="17"/>
                <w:szCs w:val="17"/>
                <w:color w:val="auto"/>
              </w:rPr>
              <w:t>Services</w:t>
            </w: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115</w:t>
            </w:r>
          </w:p>
        </w:tc>
      </w:tr>
      <w:tr>
        <w:trPr>
          <w:trHeight w:val="220"/>
        </w:trPr>
        <w:tc>
          <w:tcPr>
            <w:tcW w:w="20" w:type="dxa"/>
            <w:vAlign w:val="bottom"/>
            <w:shd w:val="clear" w:color="auto" w:fill="CCEEFF"/>
          </w:tcPr>
          <w:p>
            <w:pPr>
              <w:spacing w:after="0"/>
              <w:rPr>
                <w:sz w:val="19"/>
                <w:szCs w:val="19"/>
                <w:color w:val="auto"/>
              </w:rPr>
            </w:pPr>
          </w:p>
        </w:tc>
        <w:tc>
          <w:tcPr>
            <w:tcW w:w="462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Components</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w:t>
            </w:r>
          </w:p>
        </w:tc>
      </w:tr>
      <w:tr>
        <w:trPr>
          <w:trHeight w:val="218"/>
        </w:trPr>
        <w:tc>
          <w:tcPr>
            <w:tcW w:w="20" w:type="dxa"/>
            <w:vAlign w:val="bottom"/>
            <w:tcBorders>
              <w:bottom w:val="single" w:sz="8" w:color="CCEEFF"/>
            </w:tcBorders>
          </w:tcPr>
          <w:p>
            <w:pPr>
              <w:spacing w:after="0"/>
              <w:rPr>
                <w:sz w:val="18"/>
                <w:szCs w:val="18"/>
                <w:color w:val="auto"/>
              </w:rPr>
            </w:pPr>
          </w:p>
        </w:tc>
        <w:tc>
          <w:tcPr>
            <w:tcW w:w="4620" w:type="dxa"/>
            <w:vAlign w:val="bottom"/>
            <w:tcBorders>
              <w:bottom w:val="single" w:sz="8" w:color="CCEEFF"/>
            </w:tcBorders>
            <w:gridSpan w:val="2"/>
          </w:tcPr>
          <w:p>
            <w:pPr>
              <w:ind w:left="200"/>
              <w:spacing w:after="0"/>
              <w:rPr>
                <w:sz w:val="20"/>
                <w:szCs w:val="20"/>
                <w:color w:val="auto"/>
              </w:rPr>
            </w:pPr>
            <w:r>
              <w:rPr>
                <w:rFonts w:ascii="Arial" w:cs="Arial" w:eastAsia="Arial" w:hAnsi="Arial"/>
                <w:sz w:val="17"/>
                <w:szCs w:val="17"/>
                <w:color w:val="auto"/>
              </w:rPr>
              <w:t>Digital Intelligence</w:t>
            </w:r>
          </w:p>
        </w:tc>
        <w:tc>
          <w:tcPr>
            <w:tcW w:w="380" w:type="dxa"/>
            <w:vAlign w:val="bottom"/>
            <w:tcBorders>
              <w:bottom w:val="single" w:sz="8" w:color="CCEEFF"/>
            </w:tcBorders>
          </w:tcPr>
          <w:p>
            <w:pPr>
              <w:spacing w:after="0"/>
              <w:rPr>
                <w:sz w:val="18"/>
                <w:szCs w:val="18"/>
                <w:color w:val="auto"/>
              </w:rPr>
            </w:pPr>
          </w:p>
        </w:tc>
        <w:tc>
          <w:tcPr>
            <w:tcW w:w="12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CCEEFF"/>
            </w:tcBorders>
          </w:tcPr>
          <w:p>
            <w:pPr>
              <w:spacing w:after="0"/>
              <w:rPr>
                <w:sz w:val="18"/>
                <w:szCs w:val="18"/>
                <w:color w:val="auto"/>
              </w:rPr>
            </w:pPr>
          </w:p>
        </w:tc>
        <w:tc>
          <w:tcPr>
            <w:tcW w:w="128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13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w:t>
            </w:r>
          </w:p>
        </w:tc>
      </w:tr>
      <w:tr>
        <w:trPr>
          <w:trHeight w:val="233"/>
        </w:trPr>
        <w:tc>
          <w:tcPr>
            <w:tcW w:w="464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Third Quarter 2023 Net sales</w:t>
            </w:r>
          </w:p>
        </w:tc>
        <w:tc>
          <w:tcPr>
            <w:tcW w:w="38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6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center"/>
              <w:ind w:left="675"/>
              <w:spacing w:after="0"/>
              <w:rPr>
                <w:sz w:val="20"/>
                <w:szCs w:val="20"/>
                <w:color w:val="auto"/>
              </w:rPr>
            </w:pPr>
            <w:r>
              <w:rPr>
                <w:rFonts w:ascii="Arial" w:cs="Arial" w:eastAsia="Arial" w:hAnsi="Arial"/>
                <w:sz w:val="17"/>
                <w:szCs w:val="17"/>
                <w:color w:val="auto"/>
                <w:w w:val="93"/>
              </w:rPr>
              <w:t>1,890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40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Net sales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Freight Segment organic sales increased by $312 million driven primarily by:</w:t>
      </w:r>
    </w:p>
    <w:p>
      <w:pPr>
        <w:spacing w:after="0" w:line="49" w:lineRule="exact"/>
        <w:rPr>
          <w:sz w:val="20"/>
          <w:szCs w:val="20"/>
          <w:color w:val="auto"/>
        </w:rPr>
      </w:pPr>
    </w:p>
    <w:p>
      <w:pPr>
        <w:ind w:left="620" w:hanging="307"/>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Equipment sales from higher North America and international locomotive sales and increased mining sales</w:t>
      </w:r>
    </w:p>
    <w:p>
      <w:pPr>
        <w:spacing w:after="0" w:line="49" w:lineRule="exact"/>
        <w:rPr>
          <w:rFonts w:ascii="Arial" w:cs="Arial" w:eastAsia="Arial" w:hAnsi="Arial"/>
          <w:sz w:val="17"/>
          <w:szCs w:val="17"/>
          <w:color w:val="auto"/>
        </w:rPr>
      </w:pPr>
    </w:p>
    <w:p>
      <w:pPr>
        <w:ind w:left="620" w:hanging="307"/>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Services sales from higher deliveries of locomotive modernizations and overhauls and higher parts sales</w:t>
      </w:r>
    </w:p>
    <w:p>
      <w:pPr>
        <w:spacing w:after="0" w:line="36" w:lineRule="exact"/>
        <w:rPr>
          <w:rFonts w:ascii="Arial" w:cs="Arial" w:eastAsia="Arial" w:hAnsi="Arial"/>
          <w:sz w:val="17"/>
          <w:szCs w:val="17"/>
          <w:color w:val="auto"/>
        </w:rPr>
      </w:pPr>
    </w:p>
    <w:p>
      <w:pPr>
        <w:ind w:left="620" w:right="160" w:hanging="307"/>
        <w:spacing w:after="0" w:line="276" w:lineRule="auto"/>
        <w:tabs>
          <w:tab w:leader="none" w:pos="616" w:val="left"/>
        </w:tabs>
        <w:numPr>
          <w:ilvl w:val="0"/>
          <w:numId w:val="3"/>
        </w:numPr>
        <w:rPr>
          <w:rFonts w:ascii="Arial" w:cs="Arial" w:eastAsia="Arial" w:hAnsi="Arial"/>
          <w:sz w:val="17"/>
          <w:szCs w:val="17"/>
          <w:color w:val="auto"/>
        </w:rPr>
      </w:pPr>
      <w:r>
        <w:rPr>
          <w:rFonts w:ascii="Arial" w:cs="Arial" w:eastAsia="Arial" w:hAnsi="Arial"/>
          <w:sz w:val="17"/>
          <w:szCs w:val="17"/>
          <w:color w:val="auto"/>
        </w:rPr>
        <w:t>Components sales from higher original equipment railcar build and increased market share for certain products due to product availability and increased demand for industrial products</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Additionally, Freight Segment sales also benefited from our recently completed strategic acquisitions, primarily from L&amp;M Radiator Inc., by $45 million.</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Cost of sales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color w:val="auto"/>
        </w:rPr>
        <w:t>Freight Segment Cost of sales increased $245 million and Cost of sales as a percentage of Net sales increased 0.2 percentage points due to:</w:t>
      </w:r>
    </w:p>
    <w:p>
      <w:pPr>
        <w:spacing w:after="0" w:line="49" w:lineRule="exact"/>
        <w:rPr>
          <w:sz w:val="20"/>
          <w:szCs w:val="20"/>
          <w:color w:val="auto"/>
        </w:rPr>
      </w:pPr>
    </w:p>
    <w:p>
      <w:pPr>
        <w:ind w:left="620" w:hanging="307"/>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Higher sales volume</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1" w:right="339" w:bottom="1440" w:gutter="0" w:footer="0" w:header="0"/>
        </w:sectPr>
      </w:pPr>
    </w:p>
    <w:bookmarkStart w:id="30" w:name="page31"/>
    <w:bookmarkEnd w:id="30"/>
    <w:p>
      <w:pPr>
        <w:ind w:right="5240" w:firstLine="313"/>
        <w:spacing w:after="0" w:line="284" w:lineRule="auto"/>
        <w:tabs>
          <w:tab w:leader="none" w:pos="614" w:val="left"/>
        </w:tabs>
        <w:numPr>
          <w:ilvl w:val="0"/>
          <w:numId w:val="5"/>
        </w:numPr>
        <w:rPr>
          <w:rFonts w:ascii="Arial" w:cs="Arial" w:eastAsia="Arial" w:hAnsi="Arial"/>
          <w:sz w:val="17"/>
          <w:szCs w:val="17"/>
          <w:color w:val="auto"/>
        </w:rPr>
      </w:pPr>
      <w:r>
        <w:rPr>
          <w:rFonts w:ascii="Arial" w:cs="Arial" w:eastAsia="Arial" w:hAnsi="Arial"/>
          <w:sz w:val="17"/>
          <w:szCs w:val="17"/>
          <w:color w:val="auto"/>
        </w:rPr>
        <w:t xml:space="preserve">Manufacturing inefficiencies primarily related to the strike at our Erie facility </w:t>
      </w:r>
      <w:r>
        <w:rPr>
          <w:rFonts w:ascii="Arial" w:cs="Arial" w:eastAsia="Arial" w:hAnsi="Arial"/>
          <w:sz w:val="17"/>
          <w:szCs w:val="17"/>
          <w:i w:val="1"/>
          <w:iCs w:val="1"/>
          <w:color w:val="auto"/>
        </w:rPr>
        <w:t>Partially offset by:</w:t>
      </w:r>
    </w:p>
    <w:p>
      <w:pPr>
        <w:spacing w:after="0" w:line="1" w:lineRule="exact"/>
        <w:rPr>
          <w:rFonts w:ascii="Arial" w:cs="Arial" w:eastAsia="Arial" w:hAnsi="Arial"/>
          <w:sz w:val="17"/>
          <w:szCs w:val="17"/>
          <w:color w:val="auto"/>
        </w:rPr>
      </w:pPr>
    </w:p>
    <w:p>
      <w:pPr>
        <w:ind w:left="620" w:hanging="307"/>
        <w:spacing w:after="0"/>
        <w:tabs>
          <w:tab w:leader="none" w:pos="620" w:val="left"/>
        </w:tabs>
        <w:numPr>
          <w:ilvl w:val="0"/>
          <w:numId w:val="5"/>
        </w:numPr>
        <w:rPr>
          <w:rFonts w:ascii="Arial" w:cs="Arial" w:eastAsia="Arial" w:hAnsi="Arial"/>
          <w:sz w:val="17"/>
          <w:szCs w:val="17"/>
          <w:color w:val="auto"/>
        </w:rPr>
      </w:pPr>
      <w:r>
        <w:rPr>
          <w:rFonts w:ascii="Arial" w:cs="Arial" w:eastAsia="Arial" w:hAnsi="Arial"/>
          <w:sz w:val="17"/>
          <w:szCs w:val="17"/>
          <w:color w:val="auto"/>
        </w:rPr>
        <w:t>Favorable mix within the Freight Segment product lines</w:t>
      </w:r>
    </w:p>
    <w:p>
      <w:pPr>
        <w:spacing w:after="0" w:line="101" w:lineRule="exact"/>
        <w:rPr>
          <w:sz w:val="20"/>
          <w:szCs w:val="20"/>
          <w:color w:val="auto"/>
        </w:rPr>
      </w:pPr>
    </w:p>
    <w:p>
      <w:pPr>
        <w:spacing w:after="0" w:line="264" w:lineRule="auto"/>
        <w:rPr>
          <w:sz w:val="20"/>
          <w:szCs w:val="20"/>
          <w:color w:val="auto"/>
        </w:rPr>
      </w:pPr>
      <w:r>
        <w:rPr>
          <w:rFonts w:ascii="Arial" w:cs="Arial" w:eastAsia="Arial" w:hAnsi="Arial"/>
          <w:sz w:val="17"/>
          <w:szCs w:val="17"/>
          <w:color w:val="auto"/>
        </w:rPr>
        <w:t>Cost of sales for the three months ended September 30, 2023 and 2022 included $2 million and $4 million, respectively, of restructuring costs, with the amounts in 2023 being related to Integration 2.0.</w:t>
      </w:r>
    </w:p>
    <w:p>
      <w:pPr>
        <w:spacing w:after="0" w:line="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Operating expenses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color w:val="auto"/>
        </w:rPr>
        <w:t>Freight Segment operating expenses increased by $20 million primarily driven by:</w:t>
      </w:r>
    </w:p>
    <w:p>
      <w:pPr>
        <w:spacing w:after="0" w:line="37" w:lineRule="exact"/>
        <w:rPr>
          <w:sz w:val="20"/>
          <w:szCs w:val="20"/>
          <w:color w:val="auto"/>
        </w:rPr>
      </w:pPr>
    </w:p>
    <w:p>
      <w:pPr>
        <w:ind w:left="620" w:right="200" w:hanging="307"/>
        <w:spacing w:after="0" w:line="276" w:lineRule="auto"/>
        <w:tabs>
          <w:tab w:leader="none" w:pos="616" w:val="left"/>
        </w:tabs>
        <w:numPr>
          <w:ilvl w:val="0"/>
          <w:numId w:val="6"/>
        </w:numPr>
        <w:rPr>
          <w:rFonts w:ascii="Arial" w:cs="Arial" w:eastAsia="Arial" w:hAnsi="Arial"/>
          <w:sz w:val="17"/>
          <w:szCs w:val="17"/>
          <w:color w:val="auto"/>
        </w:rPr>
      </w:pPr>
      <w:r>
        <w:rPr>
          <w:rFonts w:ascii="Arial" w:cs="Arial" w:eastAsia="Arial" w:hAnsi="Arial"/>
          <w:sz w:val="17"/>
          <w:szCs w:val="17"/>
          <w:color w:val="auto"/>
        </w:rPr>
        <w:t>Higher SG&amp;A expenses of $22 million resulting from higher costs to support increased sales volume, higher employee compensation and benefit costs and incremental expense from acquisitions</w:t>
      </w:r>
    </w:p>
    <w:p>
      <w:pPr>
        <w:spacing w:after="0" w:line="1" w:lineRule="exact"/>
        <w:rPr>
          <w:rFonts w:ascii="Arial" w:cs="Arial" w:eastAsia="Arial" w:hAnsi="Arial"/>
          <w:sz w:val="17"/>
          <w:szCs w:val="17"/>
          <w:color w:val="auto"/>
        </w:rPr>
      </w:pPr>
    </w:p>
    <w:p>
      <w:pPr>
        <w:ind w:left="620" w:hanging="307"/>
        <w:spacing w:after="0"/>
        <w:tabs>
          <w:tab w:leader="none" w:pos="620" w:val="left"/>
        </w:tabs>
        <w:numPr>
          <w:ilvl w:val="0"/>
          <w:numId w:val="6"/>
        </w:numPr>
        <w:rPr>
          <w:rFonts w:ascii="Arial" w:cs="Arial" w:eastAsia="Arial" w:hAnsi="Arial"/>
          <w:sz w:val="17"/>
          <w:szCs w:val="17"/>
          <w:color w:val="auto"/>
        </w:rPr>
      </w:pPr>
      <w:r>
        <w:rPr>
          <w:rFonts w:ascii="Arial" w:cs="Arial" w:eastAsia="Arial" w:hAnsi="Arial"/>
          <w:sz w:val="17"/>
          <w:szCs w:val="17"/>
          <w:color w:val="auto"/>
        </w:rPr>
        <w:t>A decrease in Engineering expense of $2 million due to the timing of the investment spend</w:t>
      </w:r>
    </w:p>
    <w:p>
      <w:pPr>
        <w:spacing w:after="0" w:line="101" w:lineRule="exact"/>
        <w:rPr>
          <w:sz w:val="20"/>
          <w:szCs w:val="20"/>
          <w:color w:val="auto"/>
        </w:rPr>
      </w:pPr>
    </w:p>
    <w:p>
      <w:pPr>
        <w:ind w:right="820"/>
        <w:spacing w:after="0" w:line="264" w:lineRule="auto"/>
        <w:rPr>
          <w:sz w:val="20"/>
          <w:szCs w:val="20"/>
          <w:color w:val="auto"/>
        </w:rPr>
      </w:pPr>
      <w:r>
        <w:rPr>
          <w:rFonts w:ascii="Arial" w:cs="Arial" w:eastAsia="Arial" w:hAnsi="Arial"/>
          <w:sz w:val="17"/>
          <w:szCs w:val="17"/>
          <w:color w:val="auto"/>
        </w:rPr>
        <w:t>Operating expenses as a percentage of sales for the Freight Segment were 15.0% and 17.2% for the three months ended September 30, 2023 and 2022, respectively.</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80"/>
          </w:cols>
          <w:pgMar w:left="320" w:top="939" w:right="399" w:bottom="1440" w:gutter="0" w:footer="0" w:header="0"/>
        </w:sectPr>
      </w:pPr>
    </w:p>
    <w:bookmarkStart w:id="31" w:name="page32"/>
    <w:bookmarkEnd w:id="31"/>
    <w:p>
      <w:pPr>
        <w:spacing w:after="0"/>
        <w:rPr>
          <w:sz w:val="20"/>
          <w:szCs w:val="20"/>
          <w:color w:val="auto"/>
        </w:rPr>
      </w:pPr>
      <w:r>
        <w:rPr>
          <w:rFonts w:ascii="Arial" w:cs="Arial" w:eastAsia="Arial" w:hAnsi="Arial"/>
          <w:sz w:val="17"/>
          <w:szCs w:val="17"/>
          <w:b w:val="1"/>
          <w:bCs w:val="1"/>
          <w:color w:val="auto"/>
        </w:rPr>
        <w:t>Transit Segment</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shows our Condensed Consolidated Statements of Operations for our Transit Segment for the periods indicated:</w:t>
      </w:r>
    </w:p>
    <w:p>
      <w:pPr>
        <w:spacing w:after="0" w:line="48" w:lineRule="exact"/>
        <w:rPr>
          <w:sz w:val="20"/>
          <w:szCs w:val="20"/>
          <w:color w:val="auto"/>
        </w:rPr>
      </w:pPr>
    </w:p>
    <w:p>
      <w:pPr>
        <w:jc w:val="center"/>
        <w:ind w:left="1360"/>
        <w:spacing w:after="0"/>
        <w:rPr>
          <w:sz w:val="20"/>
          <w:szCs w:val="20"/>
          <w:color w:val="auto"/>
        </w:rPr>
      </w:pPr>
      <w:r>
        <w:rPr>
          <w:rFonts w:ascii="Arial" w:cs="Arial" w:eastAsia="Arial" w:hAnsi="Arial"/>
          <w:sz w:val="15"/>
          <w:szCs w:val="15"/>
          <w:b w:val="1"/>
          <w:bCs w:val="1"/>
          <w:color w:val="auto"/>
        </w:rPr>
        <w:t>Three Months Ended</w:t>
      </w:r>
    </w:p>
    <w:p>
      <w:pPr>
        <w:jc w:val="center"/>
        <w:ind w:left="1360"/>
        <w:spacing w:after="0"/>
        <w:rPr>
          <w:sz w:val="20"/>
          <w:szCs w:val="20"/>
          <w:color w:val="auto"/>
        </w:rPr>
      </w:pPr>
      <w:r>
        <w:rPr>
          <w:rFonts w:ascii="Arial" w:cs="Arial" w:eastAsia="Arial" w:hAnsi="Arial"/>
          <w:sz w:val="15"/>
          <w:szCs w:val="15"/>
          <w:b w:val="1"/>
          <w:bCs w:val="1"/>
          <w:color w:val="auto"/>
        </w:rPr>
        <w:t>September 30,</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4660" w:type="dxa"/>
            <w:vAlign w:val="bottom"/>
            <w:gridSpan w:val="3"/>
          </w:tcPr>
          <w:p>
            <w:pPr>
              <w:ind w:left="20"/>
              <w:spacing w:after="0" w:line="153" w:lineRule="exact"/>
              <w:rPr>
                <w:sz w:val="20"/>
                <w:szCs w:val="20"/>
                <w:color w:val="auto"/>
              </w:rPr>
            </w:pPr>
            <w:r>
              <w:rPr>
                <w:rFonts w:ascii="Arial" w:cs="Arial" w:eastAsia="Arial" w:hAnsi="Arial"/>
                <w:sz w:val="14"/>
                <w:szCs w:val="14"/>
                <w:b w:val="1"/>
                <w:bCs w:val="1"/>
                <w:i w:val="1"/>
                <w:iCs w:val="1"/>
                <w:color w:val="auto"/>
              </w:rPr>
              <w:t>In millions</w:t>
            </w:r>
          </w:p>
        </w:tc>
        <w:tc>
          <w:tcPr>
            <w:tcW w:w="38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jc w:val="right"/>
              <w:ind w:right="555"/>
              <w:spacing w:after="0" w:line="154" w:lineRule="exact"/>
              <w:rPr>
                <w:sz w:val="20"/>
                <w:szCs w:val="20"/>
                <w:color w:val="auto"/>
              </w:rPr>
            </w:pPr>
            <w:r>
              <w:rPr>
                <w:rFonts w:ascii="Arial" w:cs="Arial" w:eastAsia="Arial" w:hAnsi="Arial"/>
                <w:sz w:val="15"/>
                <w:szCs w:val="15"/>
                <w:b w:val="1"/>
                <w:bCs w:val="1"/>
                <w:color w:val="auto"/>
              </w:rPr>
              <w:t>2023</w:t>
            </w:r>
          </w:p>
        </w:tc>
        <w:tc>
          <w:tcPr>
            <w:tcW w:w="10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jc w:val="right"/>
              <w:ind w:right="575"/>
              <w:spacing w:after="0" w:line="154" w:lineRule="exact"/>
              <w:rPr>
                <w:sz w:val="20"/>
                <w:szCs w:val="20"/>
                <w:color w:val="auto"/>
              </w:rPr>
            </w:pPr>
            <w:r>
              <w:rPr>
                <w:rFonts w:ascii="Arial" w:cs="Arial" w:eastAsia="Arial" w:hAnsi="Arial"/>
                <w:sz w:val="15"/>
                <w:szCs w:val="15"/>
                <w:b w:val="1"/>
                <w:bCs w:val="1"/>
                <w:color w:val="auto"/>
              </w:rPr>
              <w:t>2022</w:t>
            </w:r>
          </w:p>
        </w:tc>
        <w:tc>
          <w:tcPr>
            <w:tcW w:w="8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600" w:type="dxa"/>
            <w:vAlign w:val="bottom"/>
            <w:tcBorders>
              <w:top w:val="single" w:sz="8" w:color="auto"/>
            </w:tcBorders>
            <w:gridSpan w:val="2"/>
          </w:tcPr>
          <w:p>
            <w:pPr>
              <w:jc w:val="right"/>
              <w:ind w:right="920"/>
              <w:spacing w:after="0" w:line="154" w:lineRule="exact"/>
              <w:rPr>
                <w:sz w:val="20"/>
                <w:szCs w:val="20"/>
                <w:color w:val="auto"/>
              </w:rPr>
            </w:pPr>
            <w:r>
              <w:rPr>
                <w:rFonts w:ascii="Arial" w:cs="Arial" w:eastAsia="Arial" w:hAnsi="Arial"/>
                <w:sz w:val="15"/>
                <w:szCs w:val="15"/>
                <w:b w:val="1"/>
                <w:bCs w:val="1"/>
                <w:color w:val="auto"/>
              </w:rPr>
              <w:t>Change</w:t>
            </w:r>
          </w:p>
        </w:tc>
        <w:tc>
          <w:tcPr>
            <w:tcW w:w="1280" w:type="dxa"/>
            <w:vAlign w:val="bottom"/>
            <w:tcBorders>
              <w:top w:val="single" w:sz="8" w:color="auto"/>
            </w:tcBorders>
          </w:tcPr>
          <w:p>
            <w:pPr>
              <w:jc w:val="right"/>
              <w:ind w:right="375"/>
              <w:spacing w:after="0" w:line="154" w:lineRule="exact"/>
              <w:rPr>
                <w:sz w:val="20"/>
                <w:szCs w:val="20"/>
                <w:color w:val="auto"/>
              </w:rPr>
            </w:pPr>
            <w:r>
              <w:rPr>
                <w:rFonts w:ascii="Arial" w:cs="Arial" w:eastAsia="Arial" w:hAnsi="Arial"/>
                <w:sz w:val="15"/>
                <w:szCs w:val="15"/>
                <w:b w:val="1"/>
                <w:bCs w:val="1"/>
                <w:color w:val="auto"/>
              </w:rPr>
              <w:t>% Change</w:t>
            </w:r>
          </w:p>
        </w:tc>
      </w:tr>
      <w:tr>
        <w:trPr>
          <w:trHeight w:val="32"/>
        </w:trPr>
        <w:tc>
          <w:tcPr>
            <w:tcW w:w="20" w:type="dxa"/>
            <w:vAlign w:val="bottom"/>
            <w:tcBorders>
              <w:bottom w:val="single" w:sz="8" w:color="CCEEFF"/>
            </w:tcBorders>
          </w:tcPr>
          <w:p>
            <w:pPr>
              <w:spacing w:after="0"/>
              <w:rPr>
                <w:sz w:val="2"/>
                <w:szCs w:val="2"/>
                <w:color w:val="auto"/>
              </w:rPr>
            </w:pPr>
          </w:p>
        </w:tc>
        <w:tc>
          <w:tcPr>
            <w:tcW w:w="620" w:type="dxa"/>
            <w:vAlign w:val="bottom"/>
            <w:tcBorders>
              <w:top w:val="single" w:sz="8" w:color="auto"/>
              <w:bottom w:val="single" w:sz="8" w:color="CCEEFF"/>
            </w:tcBorders>
          </w:tcPr>
          <w:p>
            <w:pPr>
              <w:spacing w:after="0"/>
              <w:rPr>
                <w:sz w:val="2"/>
                <w:szCs w:val="2"/>
                <w:color w:val="auto"/>
              </w:rPr>
            </w:pPr>
          </w:p>
        </w:tc>
        <w:tc>
          <w:tcPr>
            <w:tcW w:w="40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12"/>
        </w:trPr>
        <w:tc>
          <w:tcPr>
            <w:tcW w:w="466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Net sales</w:t>
            </w:r>
          </w:p>
        </w:tc>
        <w:tc>
          <w:tcPr>
            <w:tcW w:w="38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660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550</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36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110</w:t>
            </w: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20.0 %</w:t>
            </w:r>
          </w:p>
        </w:tc>
      </w:tr>
      <w:tr>
        <w:trPr>
          <w:trHeight w:val="218"/>
        </w:trPr>
        <w:tc>
          <w:tcPr>
            <w:tcW w:w="4660" w:type="dxa"/>
            <w:vAlign w:val="bottom"/>
            <w:tcBorders>
              <w:bottom w:val="single" w:sz="8" w:color="CCEEFF"/>
            </w:tcBorders>
            <w:gridSpan w:val="3"/>
          </w:tcPr>
          <w:p>
            <w:pPr>
              <w:ind w:left="20"/>
              <w:spacing w:after="0"/>
              <w:rPr>
                <w:sz w:val="20"/>
                <w:szCs w:val="20"/>
                <w:color w:val="auto"/>
              </w:rPr>
            </w:pPr>
            <w:r>
              <w:rPr>
                <w:rFonts w:ascii="Arial" w:cs="Arial" w:eastAsia="Arial" w:hAnsi="Arial"/>
                <w:sz w:val="17"/>
                <w:szCs w:val="17"/>
                <w:color w:val="auto"/>
              </w:rPr>
              <w:t>Cost of sales</w:t>
            </w: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(479)</w:t>
            </w:r>
          </w:p>
        </w:tc>
        <w:tc>
          <w:tcPr>
            <w:tcW w:w="1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(399)</w:t>
            </w:r>
          </w:p>
        </w:tc>
        <w:tc>
          <w:tcPr>
            <w:tcW w:w="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color w:val="auto"/>
              </w:rPr>
              <w:t>80</w:t>
            </w: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20.1 %</w:t>
            </w:r>
          </w:p>
        </w:tc>
      </w:tr>
      <w:tr>
        <w:trPr>
          <w:trHeight w:val="213"/>
        </w:trPr>
        <w:tc>
          <w:tcPr>
            <w:tcW w:w="4660" w:type="dxa"/>
            <w:vAlign w:val="bottom"/>
            <w:gridSpan w:val="3"/>
            <w:shd w:val="clear" w:color="auto" w:fill="CCEEFF"/>
          </w:tcPr>
          <w:p>
            <w:pPr>
              <w:ind w:left="20"/>
              <w:spacing w:after="0"/>
              <w:rPr>
                <w:sz w:val="20"/>
                <w:szCs w:val="20"/>
                <w:color w:val="auto"/>
              </w:rPr>
            </w:pPr>
            <w:r>
              <w:rPr>
                <w:rFonts w:ascii="Arial" w:cs="Arial" w:eastAsia="Arial" w:hAnsi="Arial"/>
                <w:sz w:val="17"/>
                <w:szCs w:val="17"/>
                <w:i w:val="1"/>
                <w:iCs w:val="1"/>
                <w:color w:val="auto"/>
              </w:rPr>
              <w:t>Cost of sales (% of net sales)</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72.6 %</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72.5 %</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15"/>
              <w:spacing w:after="0"/>
              <w:rPr>
                <w:sz w:val="20"/>
                <w:szCs w:val="20"/>
                <w:color w:val="auto"/>
              </w:rPr>
            </w:pPr>
            <w:r>
              <w:rPr>
                <w:rFonts w:ascii="Arial" w:cs="Arial" w:eastAsia="Arial" w:hAnsi="Arial"/>
                <w:sz w:val="17"/>
                <w:szCs w:val="17"/>
                <w:i w:val="1"/>
                <w:iCs w:val="1"/>
                <w:color w:val="auto"/>
              </w:rPr>
              <w:t>0.1</w:t>
            </w: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103"/>
        </w:trPr>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80" w:type="dxa"/>
            <w:vAlign w:val="bottom"/>
          </w:tcPr>
          <w:p>
            <w:pPr>
              <w:spacing w:after="0"/>
              <w:rPr>
                <w:sz w:val="8"/>
                <w:szCs w:val="8"/>
                <w:color w:val="auto"/>
              </w:rPr>
            </w:pPr>
          </w:p>
        </w:tc>
      </w:tr>
      <w:tr>
        <w:trPr>
          <w:trHeight w:val="219"/>
        </w:trPr>
        <w:tc>
          <w:tcPr>
            <w:tcW w:w="466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Gross profit</w:t>
            </w:r>
          </w:p>
        </w:tc>
        <w:tc>
          <w:tcPr>
            <w:tcW w:w="38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181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151</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36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30</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19.9 %</w:t>
            </w:r>
          </w:p>
        </w:tc>
      </w:tr>
      <w:tr>
        <w:trPr>
          <w:trHeight w:val="103"/>
        </w:trPr>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80" w:type="dxa"/>
            <w:vAlign w:val="bottom"/>
          </w:tcPr>
          <w:p>
            <w:pPr>
              <w:spacing w:after="0"/>
              <w:rPr>
                <w:sz w:val="8"/>
                <w:szCs w:val="8"/>
                <w:color w:val="auto"/>
              </w:rPr>
            </w:pPr>
          </w:p>
        </w:tc>
      </w:tr>
      <w:tr>
        <w:trPr>
          <w:trHeight w:val="218"/>
        </w:trPr>
        <w:tc>
          <w:tcPr>
            <w:tcW w:w="466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Operating expenses</w:t>
            </w:r>
          </w:p>
        </w:tc>
        <w:tc>
          <w:tcPr>
            <w:tcW w:w="3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color w:val="auto"/>
              </w:rPr>
              <w:t>(113)</w:t>
            </w:r>
          </w:p>
        </w:tc>
        <w:tc>
          <w:tcPr>
            <w:tcW w:w="10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color w:val="auto"/>
              </w:rPr>
              <w:t>(98)</w:t>
            </w:r>
          </w:p>
        </w:tc>
        <w:tc>
          <w:tcPr>
            <w:tcW w:w="8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175"/>
              <w:spacing w:after="0"/>
              <w:rPr>
                <w:sz w:val="20"/>
                <w:szCs w:val="20"/>
                <w:color w:val="auto"/>
              </w:rPr>
            </w:pPr>
            <w:r>
              <w:rPr>
                <w:rFonts w:ascii="Arial" w:cs="Arial" w:eastAsia="Arial" w:hAnsi="Arial"/>
                <w:sz w:val="17"/>
                <w:szCs w:val="17"/>
                <w:color w:val="auto"/>
              </w:rPr>
              <w:t>15</w:t>
            </w:r>
          </w:p>
        </w:tc>
        <w:tc>
          <w:tcPr>
            <w:tcW w:w="2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15.3 %</w:t>
            </w:r>
          </w:p>
        </w:tc>
      </w:tr>
      <w:tr>
        <w:trPr>
          <w:trHeight w:val="84"/>
        </w:trPr>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2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4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3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80" w:type="dxa"/>
            <w:vAlign w:val="bottom"/>
          </w:tcPr>
          <w:p>
            <w:pPr>
              <w:spacing w:after="0"/>
              <w:rPr>
                <w:sz w:val="7"/>
                <w:szCs w:val="7"/>
                <w:color w:val="auto"/>
              </w:rPr>
            </w:pPr>
          </w:p>
        </w:tc>
      </w:tr>
      <w:tr>
        <w:trPr>
          <w:trHeight w:val="244"/>
        </w:trPr>
        <w:tc>
          <w:tcPr>
            <w:tcW w:w="46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7"/>
                <w:szCs w:val="17"/>
                <w:color w:val="auto"/>
              </w:rPr>
              <w:t>Income from operations</w:t>
            </w:r>
          </w:p>
        </w:tc>
        <w:tc>
          <w:tcPr>
            <w:tcW w:w="38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color w:val="auto"/>
              </w:rPr>
              <w:t>68</w:t>
            </w:r>
          </w:p>
        </w:tc>
        <w:tc>
          <w:tcPr>
            <w:tcW w:w="100" w:type="dxa"/>
            <w:vAlign w:val="bottom"/>
            <w:tcBorders>
              <w:bottom w:val="single" w:sz="8" w:color="auto"/>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color w:val="auto"/>
              </w:rPr>
              <w:t>53</w:t>
            </w:r>
          </w:p>
        </w:tc>
        <w:tc>
          <w:tcPr>
            <w:tcW w:w="80" w:type="dxa"/>
            <w:vAlign w:val="bottom"/>
            <w:tcBorders>
              <w:bottom w:val="single" w:sz="8" w:color="auto"/>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360" w:type="dxa"/>
            <w:vAlign w:val="bottom"/>
            <w:tcBorders>
              <w:bottom w:val="single" w:sz="8" w:color="auto"/>
            </w:tcBorders>
            <w:shd w:val="clear" w:color="auto" w:fill="CCEEFF"/>
          </w:tcPr>
          <w:p>
            <w:pPr>
              <w:jc w:val="right"/>
              <w:ind w:right="175"/>
              <w:spacing w:after="0"/>
              <w:rPr>
                <w:sz w:val="20"/>
                <w:szCs w:val="20"/>
                <w:color w:val="auto"/>
              </w:rPr>
            </w:pPr>
            <w:r>
              <w:rPr>
                <w:rFonts w:ascii="Arial" w:cs="Arial" w:eastAsia="Arial" w:hAnsi="Arial"/>
                <w:sz w:val="17"/>
                <w:szCs w:val="17"/>
                <w:color w:val="auto"/>
              </w:rPr>
              <w:t>15</w:t>
            </w:r>
          </w:p>
        </w:tc>
        <w:tc>
          <w:tcPr>
            <w:tcW w:w="24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28.3 %</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40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191"/>
        </w:trPr>
        <w:tc>
          <w:tcPr>
            <w:tcW w:w="4660" w:type="dxa"/>
            <w:vAlign w:val="bottom"/>
            <w:gridSpan w:val="3"/>
          </w:tcPr>
          <w:p>
            <w:pPr>
              <w:ind w:left="20"/>
              <w:spacing w:after="0" w:line="191" w:lineRule="exact"/>
              <w:rPr>
                <w:sz w:val="20"/>
                <w:szCs w:val="20"/>
                <w:color w:val="auto"/>
              </w:rPr>
            </w:pPr>
            <w:r>
              <w:rPr>
                <w:rFonts w:ascii="Arial" w:cs="Arial" w:eastAsia="Arial" w:hAnsi="Arial"/>
                <w:sz w:val="17"/>
                <w:szCs w:val="17"/>
                <w:color w:val="auto"/>
              </w:rPr>
              <w:t>Income from operations (% of net sales)</w:t>
            </w: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line="191" w:lineRule="exact"/>
              <w:rPr>
                <w:sz w:val="20"/>
                <w:szCs w:val="20"/>
                <w:color w:val="auto"/>
              </w:rPr>
            </w:pPr>
            <w:r>
              <w:rPr>
                <w:rFonts w:ascii="Arial" w:cs="Arial" w:eastAsia="Arial" w:hAnsi="Arial"/>
                <w:sz w:val="17"/>
                <w:szCs w:val="17"/>
                <w:color w:val="auto"/>
              </w:rPr>
              <w:t>10.3 %</w:t>
            </w: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line="191" w:lineRule="exact"/>
              <w:rPr>
                <w:sz w:val="20"/>
                <w:szCs w:val="20"/>
                <w:color w:val="auto"/>
              </w:rPr>
            </w:pPr>
            <w:r>
              <w:rPr>
                <w:rFonts w:ascii="Arial" w:cs="Arial" w:eastAsia="Arial" w:hAnsi="Arial"/>
                <w:sz w:val="17"/>
                <w:szCs w:val="17"/>
                <w:color w:val="auto"/>
              </w:rPr>
              <w:t>9.6 %</w:t>
            </w:r>
          </w:p>
        </w:tc>
        <w:tc>
          <w:tcPr>
            <w:tcW w:w="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115"/>
              <w:spacing w:after="0" w:line="191" w:lineRule="exact"/>
              <w:rPr>
                <w:sz w:val="20"/>
                <w:szCs w:val="20"/>
                <w:color w:val="auto"/>
              </w:rPr>
            </w:pPr>
            <w:r>
              <w:rPr>
                <w:rFonts w:ascii="Arial" w:cs="Arial" w:eastAsia="Arial" w:hAnsi="Arial"/>
                <w:sz w:val="17"/>
                <w:szCs w:val="17"/>
                <w:color w:val="auto"/>
              </w:rPr>
              <w:t>0.7</w:t>
            </w:r>
          </w:p>
        </w:tc>
        <w:tc>
          <w:tcPr>
            <w:tcW w:w="2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600" w:type="dxa"/>
            <w:vAlign w:val="bottom"/>
            <w:tcBorders>
              <w:bottom w:val="single" w:sz="8" w:color="auto"/>
            </w:tcBorders>
            <w:gridSpan w:val="2"/>
          </w:tcPr>
          <w:p>
            <w:pPr>
              <w:spacing w:after="0" w:line="20" w:lineRule="exact"/>
              <w:rPr>
                <w:sz w:val="1"/>
                <w:szCs w:val="1"/>
                <w:color w:val="auto"/>
              </w:rPr>
            </w:pPr>
          </w:p>
        </w:tc>
        <w:tc>
          <w:tcPr>
            <w:tcW w:w="1720" w:type="dxa"/>
            <w:vAlign w:val="bottom"/>
            <w:tcBorders>
              <w:bottom w:val="single" w:sz="8" w:color="auto"/>
            </w:tcBorders>
            <w:gridSpan w:val="3"/>
          </w:tcPr>
          <w:p>
            <w:pPr>
              <w:spacing w:after="0" w:line="20" w:lineRule="exact"/>
              <w:rPr>
                <w:sz w:val="1"/>
                <w:szCs w:val="1"/>
                <w:color w:val="auto"/>
              </w:rPr>
            </w:pPr>
          </w:p>
        </w:tc>
        <w:tc>
          <w:tcPr>
            <w:tcW w:w="1740" w:type="dxa"/>
            <w:vAlign w:val="bottom"/>
            <w:tcBorders>
              <w:bottom w:val="single" w:sz="8" w:color="auto"/>
            </w:tcBorders>
            <w:gridSpan w:val="3"/>
          </w:tcPr>
          <w:p>
            <w:pPr>
              <w:spacing w:after="0" w:line="20" w:lineRule="exact"/>
              <w:rPr>
                <w:sz w:val="1"/>
                <w:szCs w:val="1"/>
                <w:color w:val="auto"/>
              </w:rPr>
            </w:pPr>
          </w:p>
        </w:tc>
        <w:tc>
          <w:tcPr>
            <w:tcW w:w="1520" w:type="dxa"/>
            <w:vAlign w:val="bottom"/>
            <w:tcBorders>
              <w:bottom w:val="single" w:sz="8" w:color="auto"/>
            </w:tcBorders>
            <w:gridSpan w:val="2"/>
          </w:tcPr>
          <w:p>
            <w:pPr>
              <w:spacing w:after="0" w:line="20" w:lineRule="exact"/>
              <w:rPr>
                <w:sz w:val="1"/>
                <w:szCs w:val="1"/>
                <w:color w:val="auto"/>
              </w:rPr>
            </w:pPr>
          </w:p>
        </w:tc>
      </w:tr>
      <w:tr>
        <w:trPr>
          <w:trHeight w:val="379"/>
        </w:trPr>
        <w:tc>
          <w:tcPr>
            <w:tcW w:w="20" w:type="dxa"/>
            <w:vAlign w:val="bottom"/>
          </w:tcPr>
          <w:p>
            <w:pPr>
              <w:spacing w:after="0"/>
              <w:rPr>
                <w:sz w:val="24"/>
                <w:szCs w:val="24"/>
                <w:color w:val="auto"/>
              </w:rPr>
            </w:pPr>
          </w:p>
        </w:tc>
        <w:tc>
          <w:tcPr>
            <w:tcW w:w="11220" w:type="dxa"/>
            <w:vAlign w:val="bottom"/>
            <w:gridSpan w:val="12"/>
          </w:tcPr>
          <w:p>
            <w:pPr>
              <w:jc w:val="right"/>
              <w:ind w:right="195"/>
              <w:spacing w:after="0"/>
              <w:rPr>
                <w:sz w:val="20"/>
                <w:szCs w:val="20"/>
                <w:color w:val="auto"/>
              </w:rPr>
            </w:pPr>
            <w:r>
              <w:rPr>
                <w:rFonts w:ascii="Arial" w:cs="Arial" w:eastAsia="Arial" w:hAnsi="Arial"/>
                <w:sz w:val="17"/>
                <w:szCs w:val="17"/>
                <w:color w:val="auto"/>
                <w:w w:val="95"/>
              </w:rPr>
              <w:t>The following table shows the major components of the change in Net sales for the Transit Segment in the third quarter of 2023 from the third quarter of</w:t>
            </w:r>
          </w:p>
        </w:tc>
      </w:tr>
      <w:tr>
        <w:trPr>
          <w:trHeight w:val="217"/>
        </w:trPr>
        <w:tc>
          <w:tcPr>
            <w:tcW w:w="640" w:type="dxa"/>
            <w:vAlign w:val="bottom"/>
            <w:gridSpan w:val="2"/>
          </w:tcPr>
          <w:p>
            <w:pPr>
              <w:spacing w:after="0"/>
              <w:rPr>
                <w:sz w:val="20"/>
                <w:szCs w:val="20"/>
                <w:color w:val="auto"/>
              </w:rPr>
            </w:pPr>
            <w:r>
              <w:rPr>
                <w:rFonts w:ascii="Arial" w:cs="Arial" w:eastAsia="Arial" w:hAnsi="Arial"/>
                <w:sz w:val="17"/>
                <w:szCs w:val="17"/>
                <w:color w:val="auto"/>
              </w:rPr>
              <w:t>2022:</w:t>
            </w:r>
          </w:p>
        </w:tc>
        <w:tc>
          <w:tcPr>
            <w:tcW w:w="4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169"/>
        </w:trPr>
        <w:tc>
          <w:tcPr>
            <w:tcW w:w="4660" w:type="dxa"/>
            <w:vAlign w:val="bottom"/>
            <w:gridSpan w:val="3"/>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32"/>
        </w:trPr>
        <w:tc>
          <w:tcPr>
            <w:tcW w:w="20" w:type="dxa"/>
            <w:vAlign w:val="bottom"/>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4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19"/>
        </w:trPr>
        <w:tc>
          <w:tcPr>
            <w:tcW w:w="466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Third Quarter 2022 Net sales</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550</w:t>
            </w:r>
          </w:p>
        </w:tc>
      </w:tr>
      <w:tr>
        <w:trPr>
          <w:trHeight w:val="218"/>
        </w:trPr>
        <w:tc>
          <w:tcPr>
            <w:tcW w:w="20" w:type="dxa"/>
            <w:vAlign w:val="bottom"/>
          </w:tcPr>
          <w:p>
            <w:pPr>
              <w:spacing w:after="0"/>
              <w:rPr>
                <w:sz w:val="18"/>
                <w:szCs w:val="18"/>
                <w:color w:val="auto"/>
              </w:rPr>
            </w:pPr>
          </w:p>
        </w:tc>
        <w:tc>
          <w:tcPr>
            <w:tcW w:w="4640" w:type="dxa"/>
            <w:vAlign w:val="bottom"/>
            <w:gridSpan w:val="2"/>
          </w:tcPr>
          <w:p>
            <w:pPr>
              <w:ind w:left="100"/>
              <w:spacing w:after="0"/>
              <w:rPr>
                <w:sz w:val="20"/>
                <w:szCs w:val="20"/>
                <w:color w:val="auto"/>
              </w:rPr>
            </w:pPr>
            <w:r>
              <w:rPr>
                <w:rFonts w:ascii="Arial" w:cs="Arial" w:eastAsia="Arial" w:hAnsi="Arial"/>
                <w:sz w:val="17"/>
                <w:szCs w:val="17"/>
                <w:color w:val="auto"/>
              </w:rPr>
              <w:t>Foreign Exchange</w:t>
            </w: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30</w:t>
            </w:r>
          </w:p>
        </w:tc>
      </w:tr>
      <w:tr>
        <w:trPr>
          <w:trHeight w:val="220"/>
        </w:trPr>
        <w:tc>
          <w:tcPr>
            <w:tcW w:w="20" w:type="dxa"/>
            <w:vAlign w:val="bottom"/>
            <w:shd w:val="clear" w:color="auto" w:fill="CCEEFF"/>
          </w:tcPr>
          <w:p>
            <w:pPr>
              <w:spacing w:after="0"/>
              <w:rPr>
                <w:sz w:val="19"/>
                <w:szCs w:val="19"/>
                <w:color w:val="auto"/>
              </w:rPr>
            </w:pPr>
          </w:p>
        </w:tc>
        <w:tc>
          <w:tcPr>
            <w:tcW w:w="464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Organic changes in Net sales by Product Line:</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4640" w:type="dxa"/>
            <w:vAlign w:val="bottom"/>
            <w:gridSpan w:val="2"/>
          </w:tcPr>
          <w:p>
            <w:pPr>
              <w:ind w:left="200"/>
              <w:spacing w:after="0"/>
              <w:rPr>
                <w:sz w:val="20"/>
                <w:szCs w:val="20"/>
                <w:color w:val="auto"/>
              </w:rPr>
            </w:pPr>
            <w:r>
              <w:rPr>
                <w:rFonts w:ascii="Arial" w:cs="Arial" w:eastAsia="Arial" w:hAnsi="Arial"/>
                <w:sz w:val="17"/>
                <w:szCs w:val="17"/>
                <w:color w:val="auto"/>
              </w:rPr>
              <w:t>Aftermarket</w:t>
            </w: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60</w:t>
            </w:r>
          </w:p>
        </w:tc>
      </w:tr>
      <w:tr>
        <w:trPr>
          <w:trHeight w:val="219"/>
        </w:trPr>
        <w:tc>
          <w:tcPr>
            <w:tcW w:w="20" w:type="dxa"/>
            <w:vAlign w:val="bottom"/>
            <w:shd w:val="clear" w:color="auto" w:fill="CCEEFF"/>
          </w:tcPr>
          <w:p>
            <w:pPr>
              <w:spacing w:after="0"/>
              <w:rPr>
                <w:sz w:val="19"/>
                <w:szCs w:val="19"/>
                <w:color w:val="auto"/>
              </w:rPr>
            </w:pPr>
          </w:p>
        </w:tc>
        <w:tc>
          <w:tcPr>
            <w:tcW w:w="464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Original Equipment Manufacturing</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w:t>
            </w:r>
          </w:p>
        </w:tc>
      </w:tr>
      <w:tr>
        <w:trPr>
          <w:trHeight w:val="213"/>
        </w:trPr>
        <w:tc>
          <w:tcPr>
            <w:tcW w:w="4660" w:type="dxa"/>
            <w:vAlign w:val="bottom"/>
            <w:gridSpan w:val="3"/>
          </w:tcPr>
          <w:p>
            <w:pPr>
              <w:ind w:left="20"/>
              <w:spacing w:after="0"/>
              <w:rPr>
                <w:sz w:val="20"/>
                <w:szCs w:val="20"/>
                <w:color w:val="auto"/>
              </w:rPr>
            </w:pPr>
            <w:r>
              <w:rPr>
                <w:rFonts w:ascii="Arial" w:cs="Arial" w:eastAsia="Arial" w:hAnsi="Arial"/>
                <w:sz w:val="17"/>
                <w:szCs w:val="17"/>
                <w:color w:val="auto"/>
              </w:rPr>
              <w:t>Third Quarter 2023 Net sales</w:t>
            </w: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660</w:t>
            </w:r>
          </w:p>
        </w:tc>
      </w:tr>
      <w:tr>
        <w:trPr>
          <w:trHeight w:val="20"/>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Net sales</w:t>
      </w:r>
    </w:p>
    <w:p>
      <w:pPr>
        <w:spacing w:after="0" w:line="171" w:lineRule="exact"/>
        <w:rPr>
          <w:sz w:val="20"/>
          <w:szCs w:val="20"/>
          <w:color w:val="auto"/>
        </w:rPr>
      </w:pPr>
    </w:p>
    <w:p>
      <w:pPr>
        <w:ind w:right="140"/>
        <w:spacing w:after="0" w:line="262" w:lineRule="auto"/>
        <w:rPr>
          <w:sz w:val="20"/>
          <w:szCs w:val="20"/>
          <w:color w:val="auto"/>
        </w:rPr>
      </w:pPr>
      <w:r>
        <w:rPr>
          <w:rFonts w:ascii="Arial" w:cs="Arial" w:eastAsia="Arial" w:hAnsi="Arial"/>
          <w:sz w:val="17"/>
          <w:szCs w:val="17"/>
          <w:color w:val="auto"/>
        </w:rPr>
        <w:t>Transit Segment organic sales increased by $80 million driven by strong Aftermarket and Original Equipment Manufacturing sales primarily as a result of increased demand for heating, ventilation and air conditioning (HVAC) and brake systems, increased infrastructure investment, and the easing of supply chain disruptions. Additionally, Transit sales during the third quarter of 2022 were unfavorably impacted by the previously disclosed cyber incident. Favorable changes in foreign exchange rates also increased sales by $30 million.</w:t>
      </w:r>
    </w:p>
    <w:p>
      <w:pPr>
        <w:spacing w:after="0" w:line="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Cost of sales</w:t>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color w:val="auto"/>
        </w:rPr>
        <w:t>Transit Segment Cost of sales increased by $80 million and Costs of sales as a percentage of sales increased by 0.1 percentage points primarily due to:</w:t>
      </w:r>
    </w:p>
    <w:p>
      <w:pPr>
        <w:spacing w:after="0" w:line="61" w:lineRule="exact"/>
        <w:rPr>
          <w:sz w:val="20"/>
          <w:szCs w:val="20"/>
          <w:color w:val="auto"/>
        </w:rPr>
      </w:pPr>
    </w:p>
    <w:p>
      <w:pPr>
        <w:ind w:left="620" w:hanging="307"/>
        <w:spacing w:after="0"/>
        <w:tabs>
          <w:tab w:leader="none" w:pos="620" w:val="left"/>
        </w:tabs>
        <w:numPr>
          <w:ilvl w:val="0"/>
          <w:numId w:val="7"/>
        </w:numPr>
        <w:rPr>
          <w:rFonts w:ascii="Arial" w:cs="Arial" w:eastAsia="Arial" w:hAnsi="Arial"/>
          <w:sz w:val="17"/>
          <w:szCs w:val="17"/>
          <w:color w:val="auto"/>
        </w:rPr>
      </w:pPr>
      <w:r>
        <w:rPr>
          <w:rFonts w:ascii="Arial" w:cs="Arial" w:eastAsia="Arial" w:hAnsi="Arial"/>
          <w:sz w:val="17"/>
          <w:szCs w:val="17"/>
          <w:color w:val="auto"/>
        </w:rPr>
        <w:t>Higher sales volume</w:t>
      </w:r>
    </w:p>
    <w:p>
      <w:pPr>
        <w:spacing w:after="0" w:line="49" w:lineRule="exact"/>
        <w:rPr>
          <w:rFonts w:ascii="Arial" w:cs="Arial" w:eastAsia="Arial" w:hAnsi="Arial"/>
          <w:sz w:val="17"/>
          <w:szCs w:val="17"/>
          <w:color w:val="auto"/>
        </w:rPr>
      </w:pPr>
    </w:p>
    <w:p>
      <w:pPr>
        <w:ind w:right="8840" w:firstLine="313"/>
        <w:spacing w:after="0" w:line="292" w:lineRule="auto"/>
        <w:tabs>
          <w:tab w:leader="none" w:pos="614" w:val="left"/>
        </w:tabs>
        <w:numPr>
          <w:ilvl w:val="0"/>
          <w:numId w:val="7"/>
        </w:numPr>
        <w:rPr>
          <w:rFonts w:ascii="Arial" w:cs="Arial" w:eastAsia="Arial" w:hAnsi="Arial"/>
          <w:sz w:val="17"/>
          <w:szCs w:val="17"/>
          <w:color w:val="auto"/>
        </w:rPr>
      </w:pPr>
      <w:r>
        <w:rPr>
          <w:rFonts w:ascii="Arial" w:cs="Arial" w:eastAsia="Arial" w:hAnsi="Arial"/>
          <w:sz w:val="17"/>
          <w:szCs w:val="17"/>
          <w:color w:val="auto"/>
        </w:rPr>
        <w:t xml:space="preserve">Higher restructuring costs </w:t>
      </w:r>
      <w:r>
        <w:rPr>
          <w:rFonts w:ascii="Arial" w:cs="Arial" w:eastAsia="Arial" w:hAnsi="Arial"/>
          <w:sz w:val="17"/>
          <w:szCs w:val="17"/>
          <w:i w:val="1"/>
          <w:iCs w:val="1"/>
          <w:color w:val="auto"/>
        </w:rPr>
        <w:t>Partially offset by:</w:t>
      </w:r>
    </w:p>
    <w:p>
      <w:pPr>
        <w:spacing w:after="0" w:line="1" w:lineRule="exact"/>
        <w:rPr>
          <w:rFonts w:ascii="Arial" w:cs="Arial" w:eastAsia="Arial" w:hAnsi="Arial"/>
          <w:sz w:val="17"/>
          <w:szCs w:val="17"/>
          <w:color w:val="auto"/>
        </w:rPr>
      </w:pPr>
    </w:p>
    <w:p>
      <w:pPr>
        <w:ind w:left="620" w:hanging="307"/>
        <w:spacing w:after="0"/>
        <w:tabs>
          <w:tab w:leader="none" w:pos="620" w:val="left"/>
        </w:tabs>
        <w:numPr>
          <w:ilvl w:val="0"/>
          <w:numId w:val="7"/>
        </w:numPr>
        <w:rPr>
          <w:rFonts w:ascii="Arial" w:cs="Arial" w:eastAsia="Arial" w:hAnsi="Arial"/>
          <w:sz w:val="17"/>
          <w:szCs w:val="17"/>
          <w:color w:val="auto"/>
        </w:rPr>
      </w:pPr>
      <w:r>
        <w:rPr>
          <w:rFonts w:ascii="Arial" w:cs="Arial" w:eastAsia="Arial" w:hAnsi="Arial"/>
          <w:sz w:val="17"/>
          <w:szCs w:val="17"/>
          <w:color w:val="auto"/>
        </w:rPr>
        <w:t>Benefits from structured cost actions taken through Integration 2.0 and prior years' restructuring and integration projects</w:t>
      </w:r>
    </w:p>
    <w:p>
      <w:pPr>
        <w:spacing w:after="0" w:line="165"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Transit Cost of sales for the three months ended September 30, 2023 and 2022 includes $11 million and $1 million, respectively, of restructuring costs, primarily for footprint rationalization and headcount actions in Europe, with the amounts in 2023 related to Integration 2.0.</w:t>
      </w:r>
    </w:p>
    <w:p>
      <w:pPr>
        <w:spacing w:after="0" w:line="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Operating expenses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color w:val="auto"/>
        </w:rPr>
        <w:t>Transit Segment operating expenses increased by $15 million primarily driven by:</w:t>
      </w:r>
    </w:p>
    <w:p>
      <w:pPr>
        <w:spacing w:after="0" w:line="62" w:lineRule="exact"/>
        <w:rPr>
          <w:sz w:val="20"/>
          <w:szCs w:val="20"/>
          <w:color w:val="auto"/>
        </w:rPr>
      </w:pPr>
    </w:p>
    <w:p>
      <w:pPr>
        <w:ind w:right="3140" w:firstLine="313"/>
        <w:spacing w:after="0" w:line="316" w:lineRule="auto"/>
        <w:tabs>
          <w:tab w:leader="none" w:pos="614" w:val="left"/>
        </w:tabs>
        <w:numPr>
          <w:ilvl w:val="0"/>
          <w:numId w:val="8"/>
        </w:numPr>
        <w:rPr>
          <w:rFonts w:ascii="Arial" w:cs="Arial" w:eastAsia="Arial" w:hAnsi="Arial"/>
          <w:sz w:val="17"/>
          <w:szCs w:val="17"/>
          <w:color w:val="auto"/>
        </w:rPr>
      </w:pPr>
      <w:r>
        <w:rPr>
          <w:rFonts w:ascii="Arial" w:cs="Arial" w:eastAsia="Arial" w:hAnsi="Arial"/>
          <w:sz w:val="17"/>
          <w:szCs w:val="17"/>
          <w:color w:val="auto"/>
        </w:rPr>
        <w:t xml:space="preserve">Higher SG&amp;A expenses to support higher sales volume and higher employee compensation and benefit costs </w:t>
      </w:r>
      <w:r>
        <w:rPr>
          <w:rFonts w:ascii="Arial" w:cs="Arial" w:eastAsia="Arial" w:hAnsi="Arial"/>
          <w:sz w:val="17"/>
          <w:szCs w:val="17"/>
          <w:i w:val="1"/>
          <w:iCs w:val="1"/>
          <w:color w:val="auto"/>
        </w:rPr>
        <w:t>Partially offset by:</w:t>
      </w:r>
    </w:p>
    <w:p>
      <w:pPr>
        <w:ind w:left="620" w:hanging="307"/>
        <w:spacing w:after="0"/>
        <w:tabs>
          <w:tab w:leader="none" w:pos="620" w:val="left"/>
        </w:tabs>
        <w:numPr>
          <w:ilvl w:val="0"/>
          <w:numId w:val="8"/>
        </w:numPr>
        <w:rPr>
          <w:rFonts w:ascii="Arial" w:cs="Arial" w:eastAsia="Arial" w:hAnsi="Arial"/>
          <w:sz w:val="17"/>
          <w:szCs w:val="17"/>
          <w:color w:val="auto"/>
        </w:rPr>
      </w:pPr>
      <w:r>
        <w:rPr>
          <w:rFonts w:ascii="Arial" w:cs="Arial" w:eastAsia="Arial" w:hAnsi="Arial"/>
          <w:sz w:val="17"/>
          <w:szCs w:val="17"/>
          <w:color w:val="auto"/>
        </w:rPr>
        <w:t>Benefits from structured cost actions taken through restructuring actions</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88" w:right="339" w:bottom="1440" w:gutter="0" w:footer="0" w:header="0"/>
        </w:sectPr>
      </w:pPr>
    </w:p>
    <w:bookmarkStart w:id="32" w:name="page33"/>
    <w:bookmarkEnd w:id="32"/>
    <w:p>
      <w:pPr>
        <w:spacing w:after="0" w:line="264" w:lineRule="auto"/>
        <w:rPr>
          <w:sz w:val="20"/>
          <w:szCs w:val="20"/>
          <w:color w:val="auto"/>
        </w:rPr>
      </w:pPr>
      <w:r>
        <w:rPr>
          <w:rFonts w:ascii="Arial" w:cs="Arial" w:eastAsia="Arial" w:hAnsi="Arial"/>
          <w:sz w:val="17"/>
          <w:szCs w:val="17"/>
          <w:color w:val="auto"/>
        </w:rPr>
        <w:t>Transit Operating expenses for the three months ended September 30, 2022, includes $2 million, of restructuring costs, primarily for footprint rationalization and headcount actions in Europe. The amounts recorded in the three months ended September 30, 2023 were not significant.</w:t>
      </w:r>
    </w:p>
    <w:p>
      <w:pPr>
        <w:spacing w:after="0" w:line="60" w:lineRule="exact"/>
        <w:rPr>
          <w:sz w:val="20"/>
          <w:szCs w:val="20"/>
          <w:color w:val="auto"/>
        </w:rPr>
      </w:pPr>
    </w:p>
    <w:p>
      <w:pPr>
        <w:ind w:right="740"/>
        <w:spacing w:after="0" w:line="264" w:lineRule="auto"/>
        <w:rPr>
          <w:sz w:val="20"/>
          <w:szCs w:val="20"/>
          <w:color w:val="auto"/>
        </w:rPr>
      </w:pPr>
      <w:r>
        <w:rPr>
          <w:rFonts w:ascii="Arial" w:cs="Arial" w:eastAsia="Arial" w:hAnsi="Arial"/>
          <w:sz w:val="17"/>
          <w:szCs w:val="17"/>
          <w:color w:val="auto"/>
        </w:rPr>
        <w:t>Operating expenses as a percentage of sales for the Transit Segment were 17.1% and 17.8% for the three months ended September 30, 2023 and 2022, respectively.</w:t>
      </w:r>
    </w:p>
    <w:p>
      <w:pPr>
        <w:spacing w:after="0" w:line="200" w:lineRule="exact"/>
        <w:rPr>
          <w:sz w:val="20"/>
          <w:szCs w:val="20"/>
          <w:color w:val="auto"/>
        </w:rPr>
      </w:pPr>
    </w:p>
    <w:p>
      <w:pPr>
        <w:spacing w:after="0" w:line="337"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080"/>
          </w:cols>
          <w:pgMar w:left="320" w:top="991" w:right="499" w:bottom="1440" w:gutter="0" w:footer="0" w:header="0"/>
        </w:sectPr>
      </w:pPr>
    </w:p>
    <w:bookmarkStart w:id="33" w:name="page34"/>
    <w:bookmarkEnd w:id="33"/>
    <w:p>
      <w:pPr>
        <w:spacing w:after="0"/>
        <w:rPr>
          <w:sz w:val="20"/>
          <w:szCs w:val="20"/>
          <w:color w:val="auto"/>
        </w:rPr>
      </w:pPr>
      <w:r>
        <w:rPr>
          <w:rFonts w:ascii="Arial" w:cs="Arial" w:eastAsia="Arial" w:hAnsi="Arial"/>
          <w:sz w:val="17"/>
          <w:szCs w:val="17"/>
          <w:b w:val="1"/>
          <w:bCs w:val="1"/>
          <w:color w:val="auto"/>
        </w:rPr>
        <w:t>FIRST NINE MONTHS OF 2023 COMPARED TO FIRST NINE MONTHS OF 2022</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shows our Condensed Consolidated Statements of Operations for the periods indicated.</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3"/>
          </w:tcPr>
          <w:p>
            <w:pPr>
              <w:jc w:val="right"/>
              <w:spacing w:after="0"/>
              <w:rPr>
                <w:sz w:val="20"/>
                <w:szCs w:val="20"/>
                <w:color w:val="auto"/>
              </w:rPr>
            </w:pPr>
            <w:r>
              <w:rPr>
                <w:rFonts w:ascii="Arial" w:cs="Arial" w:eastAsia="Arial" w:hAnsi="Arial"/>
                <w:sz w:val="15"/>
                <w:szCs w:val="15"/>
                <w:b w:val="1"/>
                <w:bCs w:val="1"/>
                <w:color w:val="auto"/>
              </w:rPr>
              <w:t>Nine Months Ended</w:t>
            </w:r>
          </w:p>
        </w:tc>
        <w:tc>
          <w:tcPr>
            <w:tcW w:w="900" w:type="dxa"/>
            <w:vAlign w:val="bottom"/>
          </w:tcPr>
          <w:p>
            <w:pPr>
              <w:spacing w:after="0"/>
              <w:rPr>
                <w:sz w:val="14"/>
                <w:szCs w:val="14"/>
                <w:color w:val="auto"/>
              </w:rPr>
            </w:pPr>
          </w:p>
        </w:tc>
      </w:tr>
      <w:tr>
        <w:trPr>
          <w:trHeight w:val="204"/>
        </w:trPr>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5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gridSpan w:val="3"/>
          </w:tcPr>
          <w:p>
            <w:pPr>
              <w:jc w:val="right"/>
              <w:ind w:right="114"/>
              <w:spacing w:after="0"/>
              <w:rPr>
                <w:sz w:val="20"/>
                <w:szCs w:val="20"/>
                <w:color w:val="auto"/>
              </w:rPr>
            </w:pPr>
            <w:r>
              <w:rPr>
                <w:rFonts w:ascii="Arial" w:cs="Arial" w:eastAsia="Arial" w:hAnsi="Arial"/>
                <w:sz w:val="15"/>
                <w:szCs w:val="15"/>
                <w:b w:val="1"/>
                <w:bCs w:val="1"/>
                <w:color w:val="auto"/>
              </w:rPr>
              <w:t>September 30,</w:t>
            </w:r>
          </w:p>
        </w:tc>
        <w:tc>
          <w:tcPr>
            <w:tcW w:w="900" w:type="dxa"/>
            <w:vAlign w:val="bottom"/>
            <w:tcBorders>
              <w:bottom w:val="single" w:sz="8" w:color="auto"/>
            </w:tcBorders>
          </w:tcPr>
          <w:p>
            <w:pPr>
              <w:spacing w:after="0"/>
              <w:rPr>
                <w:sz w:val="17"/>
                <w:szCs w:val="17"/>
                <w:color w:val="auto"/>
              </w:rPr>
            </w:pPr>
          </w:p>
        </w:tc>
      </w:tr>
      <w:tr>
        <w:trPr>
          <w:trHeight w:val="150"/>
        </w:trPr>
        <w:tc>
          <w:tcPr>
            <w:tcW w:w="8100" w:type="dxa"/>
            <w:vAlign w:val="bottom"/>
            <w:gridSpan w:val="3"/>
          </w:tcPr>
          <w:p>
            <w:pPr>
              <w:ind w:left="20"/>
              <w:spacing w:after="0"/>
              <w:rPr>
                <w:sz w:val="20"/>
                <w:szCs w:val="20"/>
                <w:color w:val="auto"/>
              </w:rPr>
            </w:pPr>
            <w:r>
              <w:rPr>
                <w:rFonts w:ascii="Arial" w:cs="Arial" w:eastAsia="Arial" w:hAnsi="Arial"/>
                <w:sz w:val="13"/>
                <w:szCs w:val="13"/>
                <w:b w:val="1"/>
                <w:bCs w:val="1"/>
                <w:i w:val="1"/>
                <w:iCs w:val="1"/>
                <w:color w:val="auto"/>
              </w:rPr>
              <w:t>In millions</w:t>
            </w:r>
          </w:p>
        </w:tc>
        <w:tc>
          <w:tcPr>
            <w:tcW w:w="360" w:type="dxa"/>
            <w:vAlign w:val="bottom"/>
          </w:tcPr>
          <w:p>
            <w:pPr>
              <w:spacing w:after="0"/>
              <w:rPr>
                <w:sz w:val="13"/>
                <w:szCs w:val="13"/>
                <w:color w:val="auto"/>
              </w:rPr>
            </w:pPr>
          </w:p>
        </w:tc>
        <w:tc>
          <w:tcPr>
            <w:tcW w:w="1160" w:type="dxa"/>
            <w:vAlign w:val="bottom"/>
          </w:tcPr>
          <w:p>
            <w:pPr>
              <w:jc w:val="right"/>
              <w:ind w:right="536"/>
              <w:spacing w:after="0" w:line="150" w:lineRule="exact"/>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00" w:type="dxa"/>
            <w:vAlign w:val="bottom"/>
          </w:tcPr>
          <w:p>
            <w:pPr>
              <w:jc w:val="right"/>
              <w:ind w:right="535"/>
              <w:spacing w:after="0" w:line="150" w:lineRule="exact"/>
              <w:rPr>
                <w:sz w:val="20"/>
                <w:szCs w:val="20"/>
                <w:color w:val="auto"/>
              </w:rPr>
            </w:pPr>
            <w:r>
              <w:rPr>
                <w:rFonts w:ascii="Arial" w:cs="Arial" w:eastAsia="Arial" w:hAnsi="Arial"/>
                <w:sz w:val="14"/>
                <w:szCs w:val="14"/>
                <w:b w:val="1"/>
                <w:bCs w:val="1"/>
                <w:color w:val="auto"/>
                <w:w w:val="83"/>
              </w:rPr>
              <w:t>2022</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580" w:type="dxa"/>
            <w:vAlign w:val="bottom"/>
            <w:tcBorders>
              <w:top w:val="single" w:sz="8" w:color="auto"/>
              <w:bottom w:val="single" w:sz="8" w:color="CCEEFF"/>
            </w:tcBorders>
          </w:tcPr>
          <w:p>
            <w:pPr>
              <w:spacing w:after="0" w:line="20" w:lineRule="exact"/>
              <w:rPr>
                <w:sz w:val="1"/>
                <w:szCs w:val="1"/>
                <w:color w:val="auto"/>
              </w:rPr>
            </w:pPr>
          </w:p>
        </w:tc>
        <w:tc>
          <w:tcPr>
            <w:tcW w:w="75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98"/>
        </w:trPr>
        <w:tc>
          <w:tcPr>
            <w:tcW w:w="810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Net sales:</w:t>
            </w: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18"/>
        </w:trPr>
        <w:tc>
          <w:tcPr>
            <w:tcW w:w="20" w:type="dxa"/>
            <w:vAlign w:val="bottom"/>
          </w:tcPr>
          <w:p>
            <w:pPr>
              <w:spacing w:after="0"/>
              <w:rPr>
                <w:sz w:val="18"/>
                <w:szCs w:val="18"/>
                <w:color w:val="auto"/>
              </w:rPr>
            </w:pPr>
          </w:p>
        </w:tc>
        <w:tc>
          <w:tcPr>
            <w:tcW w:w="8080" w:type="dxa"/>
            <w:vAlign w:val="bottom"/>
            <w:gridSpan w:val="2"/>
          </w:tcPr>
          <w:p>
            <w:pPr>
              <w:ind w:left="200"/>
              <w:spacing w:after="0"/>
              <w:rPr>
                <w:sz w:val="20"/>
                <w:szCs w:val="20"/>
                <w:color w:val="auto"/>
              </w:rPr>
            </w:pPr>
            <w:r>
              <w:rPr>
                <w:rFonts w:ascii="Arial" w:cs="Arial" w:eastAsia="Arial" w:hAnsi="Arial"/>
                <w:sz w:val="17"/>
                <w:szCs w:val="17"/>
                <w:color w:val="auto"/>
              </w:rPr>
              <w:t>Sales of goods</w:t>
            </w:r>
          </w:p>
        </w:tc>
        <w:tc>
          <w:tcPr>
            <w:tcW w:w="360" w:type="dxa"/>
            <w:vAlign w:val="bottom"/>
          </w:tcPr>
          <w:p>
            <w:pPr>
              <w:jc w:val="right"/>
              <w:ind w:right="174"/>
              <w:spacing w:after="0"/>
              <w:rPr>
                <w:sz w:val="20"/>
                <w:szCs w:val="20"/>
                <w:color w:val="auto"/>
              </w:rPr>
            </w:pPr>
            <w:r>
              <w:rPr>
                <w:rFonts w:ascii="Arial" w:cs="Arial" w:eastAsia="Arial" w:hAnsi="Arial"/>
                <w:sz w:val="17"/>
                <w:szCs w:val="17"/>
                <w:color w:val="auto"/>
                <w:w w:val="84"/>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5,631</w:t>
            </w:r>
          </w:p>
        </w:tc>
        <w:tc>
          <w:tcPr>
            <w:tcW w:w="100" w:type="dxa"/>
            <w:vAlign w:val="bottom"/>
          </w:tcPr>
          <w:p>
            <w:pPr>
              <w:spacing w:after="0"/>
              <w:rPr>
                <w:sz w:val="18"/>
                <w:szCs w:val="18"/>
                <w:color w:val="auto"/>
              </w:rPr>
            </w:pPr>
          </w:p>
        </w:tc>
        <w:tc>
          <w:tcPr>
            <w:tcW w:w="620" w:type="dxa"/>
            <w:vAlign w:val="bottom"/>
          </w:tcPr>
          <w:p>
            <w:pPr>
              <w:jc w:val="right"/>
              <w:ind w:right="434"/>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4,714</w:t>
            </w:r>
          </w:p>
        </w:tc>
      </w:tr>
      <w:tr>
        <w:trPr>
          <w:trHeight w:val="220"/>
        </w:trPr>
        <w:tc>
          <w:tcPr>
            <w:tcW w:w="20" w:type="dxa"/>
            <w:vAlign w:val="bottom"/>
            <w:shd w:val="clear" w:color="auto" w:fill="CCEEFF"/>
          </w:tcPr>
          <w:p>
            <w:pPr>
              <w:spacing w:after="0"/>
              <w:rPr>
                <w:sz w:val="19"/>
                <w:szCs w:val="19"/>
                <w:color w:val="auto"/>
              </w:rPr>
            </w:pPr>
          </w:p>
        </w:tc>
        <w:tc>
          <w:tcPr>
            <w:tcW w:w="808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Sales of services</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1,520</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1,342</w:t>
            </w:r>
          </w:p>
        </w:tc>
      </w:tr>
      <w:tr>
        <w:trPr>
          <w:trHeight w:val="211"/>
        </w:trPr>
        <w:tc>
          <w:tcPr>
            <w:tcW w:w="20" w:type="dxa"/>
            <w:vAlign w:val="bottom"/>
          </w:tcPr>
          <w:p>
            <w:pPr>
              <w:spacing w:after="0"/>
              <w:rPr>
                <w:sz w:val="18"/>
                <w:szCs w:val="18"/>
                <w:color w:val="auto"/>
              </w:rPr>
            </w:pPr>
          </w:p>
        </w:tc>
        <w:tc>
          <w:tcPr>
            <w:tcW w:w="8080" w:type="dxa"/>
            <w:vAlign w:val="bottom"/>
            <w:gridSpan w:val="2"/>
          </w:tcPr>
          <w:p>
            <w:pPr>
              <w:ind w:left="320"/>
              <w:spacing w:after="0"/>
              <w:rPr>
                <w:sz w:val="20"/>
                <w:szCs w:val="20"/>
                <w:color w:val="auto"/>
              </w:rPr>
            </w:pPr>
            <w:r>
              <w:rPr>
                <w:rFonts w:ascii="Arial" w:cs="Arial" w:eastAsia="Arial" w:hAnsi="Arial"/>
                <w:sz w:val="17"/>
                <w:szCs w:val="17"/>
                <w:color w:val="auto"/>
              </w:rPr>
              <w:t>Total net sales</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7,151</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6,056</w:t>
            </w:r>
          </w:p>
        </w:tc>
      </w:tr>
      <w:tr>
        <w:trPr>
          <w:trHeight w:val="220"/>
        </w:trPr>
        <w:tc>
          <w:tcPr>
            <w:tcW w:w="810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Cost of sales: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8080" w:type="dxa"/>
            <w:vAlign w:val="bottom"/>
            <w:gridSpan w:val="2"/>
          </w:tcPr>
          <w:p>
            <w:pPr>
              <w:ind w:left="200"/>
              <w:spacing w:after="0"/>
              <w:rPr>
                <w:sz w:val="20"/>
                <w:szCs w:val="20"/>
                <w:color w:val="auto"/>
              </w:rPr>
            </w:pPr>
            <w:r>
              <w:rPr>
                <w:rFonts w:ascii="Arial" w:cs="Arial" w:eastAsia="Arial" w:hAnsi="Arial"/>
                <w:sz w:val="17"/>
                <w:szCs w:val="17"/>
                <w:color w:val="auto"/>
              </w:rPr>
              <w:t>Cost of goods</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(4,132)</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(3,431)</w:t>
            </w:r>
          </w:p>
        </w:tc>
      </w:tr>
      <w:tr>
        <w:trPr>
          <w:trHeight w:val="220"/>
        </w:trPr>
        <w:tc>
          <w:tcPr>
            <w:tcW w:w="20" w:type="dxa"/>
            <w:vAlign w:val="bottom"/>
            <w:shd w:val="clear" w:color="auto" w:fill="CCEEFF"/>
          </w:tcPr>
          <w:p>
            <w:pPr>
              <w:spacing w:after="0"/>
              <w:rPr>
                <w:sz w:val="19"/>
                <w:szCs w:val="19"/>
                <w:color w:val="auto"/>
              </w:rPr>
            </w:pPr>
          </w:p>
        </w:tc>
        <w:tc>
          <w:tcPr>
            <w:tcW w:w="808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Cost of services</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(839)</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(737)</w:t>
            </w:r>
          </w:p>
        </w:tc>
      </w:tr>
      <w:tr>
        <w:trPr>
          <w:trHeight w:val="211"/>
        </w:trPr>
        <w:tc>
          <w:tcPr>
            <w:tcW w:w="20" w:type="dxa"/>
            <w:vAlign w:val="bottom"/>
            <w:tcBorders>
              <w:bottom w:val="single" w:sz="8" w:color="CCEEFF"/>
            </w:tcBorders>
          </w:tcPr>
          <w:p>
            <w:pPr>
              <w:spacing w:after="0"/>
              <w:rPr>
                <w:sz w:val="18"/>
                <w:szCs w:val="18"/>
                <w:color w:val="auto"/>
              </w:rPr>
            </w:pPr>
          </w:p>
        </w:tc>
        <w:tc>
          <w:tcPr>
            <w:tcW w:w="8080" w:type="dxa"/>
            <w:vAlign w:val="bottom"/>
            <w:tcBorders>
              <w:bottom w:val="single" w:sz="8" w:color="CCEEFF"/>
            </w:tcBorders>
            <w:gridSpan w:val="2"/>
          </w:tcPr>
          <w:p>
            <w:pPr>
              <w:ind w:left="320"/>
              <w:spacing w:after="0"/>
              <w:rPr>
                <w:sz w:val="20"/>
                <w:szCs w:val="20"/>
                <w:color w:val="auto"/>
              </w:rPr>
            </w:pPr>
            <w:r>
              <w:rPr>
                <w:rFonts w:ascii="Arial" w:cs="Arial" w:eastAsia="Arial" w:hAnsi="Arial"/>
                <w:sz w:val="17"/>
                <w:szCs w:val="17"/>
                <w:color w:val="auto"/>
              </w:rPr>
              <w:t>Total cost of sales</w:t>
            </w: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(4,971)</w:t>
            </w:r>
          </w:p>
        </w:tc>
        <w:tc>
          <w:tcPr>
            <w:tcW w:w="10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(4,168)</w:t>
            </w:r>
          </w:p>
        </w:tc>
      </w:tr>
      <w:tr>
        <w:trPr>
          <w:trHeight w:val="213"/>
        </w:trPr>
        <w:tc>
          <w:tcPr>
            <w:tcW w:w="20" w:type="dxa"/>
            <w:vAlign w:val="bottom"/>
            <w:shd w:val="clear" w:color="auto" w:fill="CCEEFF"/>
          </w:tcPr>
          <w:p>
            <w:pPr>
              <w:spacing w:after="0"/>
              <w:rPr>
                <w:sz w:val="18"/>
                <w:szCs w:val="18"/>
                <w:color w:val="auto"/>
              </w:rPr>
            </w:pPr>
          </w:p>
        </w:tc>
        <w:tc>
          <w:tcPr>
            <w:tcW w:w="808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Gross profit</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2,180</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1,888</w:t>
            </w:r>
          </w:p>
        </w:tc>
      </w:tr>
      <w:tr>
        <w:trPr>
          <w:trHeight w:val="218"/>
        </w:trPr>
        <w:tc>
          <w:tcPr>
            <w:tcW w:w="8100" w:type="dxa"/>
            <w:vAlign w:val="bottom"/>
            <w:gridSpan w:val="3"/>
          </w:tcPr>
          <w:p>
            <w:pPr>
              <w:ind w:left="20"/>
              <w:spacing w:after="0"/>
              <w:rPr>
                <w:sz w:val="20"/>
                <w:szCs w:val="20"/>
                <w:color w:val="auto"/>
              </w:rPr>
            </w:pPr>
            <w:r>
              <w:rPr>
                <w:rFonts w:ascii="Arial" w:cs="Arial" w:eastAsia="Arial" w:hAnsi="Arial"/>
                <w:sz w:val="17"/>
                <w:szCs w:val="17"/>
                <w:color w:val="auto"/>
              </w:rPr>
              <w:t>Operating expenses:</w:t>
            </w: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0"/>
        </w:trPr>
        <w:tc>
          <w:tcPr>
            <w:tcW w:w="20" w:type="dxa"/>
            <w:vAlign w:val="bottom"/>
            <w:shd w:val="clear" w:color="auto" w:fill="CCEEFF"/>
          </w:tcPr>
          <w:p>
            <w:pPr>
              <w:spacing w:after="0"/>
              <w:rPr>
                <w:sz w:val="19"/>
                <w:szCs w:val="19"/>
                <w:color w:val="auto"/>
              </w:rPr>
            </w:pPr>
          </w:p>
        </w:tc>
        <w:tc>
          <w:tcPr>
            <w:tcW w:w="808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Selling, general and administrative expenses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(843)</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(757)</w:t>
            </w:r>
          </w:p>
        </w:tc>
      </w:tr>
      <w:tr>
        <w:trPr>
          <w:trHeight w:val="218"/>
        </w:trPr>
        <w:tc>
          <w:tcPr>
            <w:tcW w:w="20" w:type="dxa"/>
            <w:vAlign w:val="bottom"/>
          </w:tcPr>
          <w:p>
            <w:pPr>
              <w:spacing w:after="0"/>
              <w:rPr>
                <w:sz w:val="18"/>
                <w:szCs w:val="18"/>
                <w:color w:val="auto"/>
              </w:rPr>
            </w:pPr>
          </w:p>
        </w:tc>
        <w:tc>
          <w:tcPr>
            <w:tcW w:w="8080" w:type="dxa"/>
            <w:vAlign w:val="bottom"/>
            <w:gridSpan w:val="2"/>
          </w:tcPr>
          <w:p>
            <w:pPr>
              <w:ind w:left="200"/>
              <w:spacing w:after="0"/>
              <w:rPr>
                <w:sz w:val="20"/>
                <w:szCs w:val="20"/>
                <w:color w:val="auto"/>
              </w:rPr>
            </w:pPr>
            <w:r>
              <w:rPr>
                <w:rFonts w:ascii="Arial" w:cs="Arial" w:eastAsia="Arial" w:hAnsi="Arial"/>
                <w:sz w:val="17"/>
                <w:szCs w:val="17"/>
                <w:color w:val="auto"/>
              </w:rPr>
              <w:t>Engineering expenses</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(157)</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(149)</w:t>
            </w:r>
          </w:p>
        </w:tc>
      </w:tr>
      <w:tr>
        <w:trPr>
          <w:trHeight w:val="220"/>
        </w:trPr>
        <w:tc>
          <w:tcPr>
            <w:tcW w:w="20" w:type="dxa"/>
            <w:vAlign w:val="bottom"/>
            <w:shd w:val="clear" w:color="auto" w:fill="CCEEFF"/>
          </w:tcPr>
          <w:p>
            <w:pPr>
              <w:spacing w:after="0"/>
              <w:rPr>
                <w:sz w:val="19"/>
                <w:szCs w:val="19"/>
                <w:color w:val="auto"/>
              </w:rPr>
            </w:pPr>
          </w:p>
        </w:tc>
        <w:tc>
          <w:tcPr>
            <w:tcW w:w="808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Amortization expense</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(222)</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(218)</w:t>
            </w:r>
          </w:p>
        </w:tc>
      </w:tr>
      <w:tr>
        <w:trPr>
          <w:trHeight w:val="211"/>
        </w:trPr>
        <w:tc>
          <w:tcPr>
            <w:tcW w:w="20" w:type="dxa"/>
            <w:vAlign w:val="bottom"/>
            <w:tcBorders>
              <w:bottom w:val="single" w:sz="8" w:color="CCEEFF"/>
            </w:tcBorders>
          </w:tcPr>
          <w:p>
            <w:pPr>
              <w:spacing w:after="0"/>
              <w:rPr>
                <w:sz w:val="18"/>
                <w:szCs w:val="18"/>
                <w:color w:val="auto"/>
              </w:rPr>
            </w:pPr>
          </w:p>
        </w:tc>
        <w:tc>
          <w:tcPr>
            <w:tcW w:w="8080" w:type="dxa"/>
            <w:vAlign w:val="bottom"/>
            <w:tcBorders>
              <w:bottom w:val="single" w:sz="8" w:color="CCEEFF"/>
            </w:tcBorders>
            <w:gridSpan w:val="2"/>
          </w:tcPr>
          <w:p>
            <w:pPr>
              <w:ind w:left="320"/>
              <w:spacing w:after="0"/>
              <w:rPr>
                <w:sz w:val="20"/>
                <w:szCs w:val="20"/>
                <w:color w:val="auto"/>
              </w:rPr>
            </w:pPr>
            <w:r>
              <w:rPr>
                <w:rFonts w:ascii="Arial" w:cs="Arial" w:eastAsia="Arial" w:hAnsi="Arial"/>
                <w:sz w:val="17"/>
                <w:szCs w:val="17"/>
                <w:color w:val="auto"/>
              </w:rPr>
              <w:t>Total operating expenses</w:t>
            </w: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(1,222)</w:t>
            </w:r>
          </w:p>
        </w:tc>
        <w:tc>
          <w:tcPr>
            <w:tcW w:w="10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(1,124)</w:t>
            </w:r>
          </w:p>
        </w:tc>
      </w:tr>
      <w:tr>
        <w:trPr>
          <w:trHeight w:val="213"/>
        </w:trPr>
        <w:tc>
          <w:tcPr>
            <w:tcW w:w="20" w:type="dxa"/>
            <w:vAlign w:val="bottom"/>
            <w:shd w:val="clear" w:color="auto" w:fill="CCEEFF"/>
          </w:tcPr>
          <w:p>
            <w:pPr>
              <w:spacing w:after="0"/>
              <w:rPr>
                <w:sz w:val="18"/>
                <w:szCs w:val="18"/>
                <w:color w:val="auto"/>
              </w:rPr>
            </w:pPr>
          </w:p>
        </w:tc>
        <w:tc>
          <w:tcPr>
            <w:tcW w:w="808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Income from operations</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958</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764</w:t>
            </w:r>
          </w:p>
        </w:tc>
      </w:tr>
      <w:tr>
        <w:trPr>
          <w:trHeight w:val="218"/>
        </w:trPr>
        <w:tc>
          <w:tcPr>
            <w:tcW w:w="8100" w:type="dxa"/>
            <w:vAlign w:val="bottom"/>
            <w:gridSpan w:val="3"/>
          </w:tcPr>
          <w:p>
            <w:pPr>
              <w:ind w:left="20"/>
              <w:spacing w:after="0"/>
              <w:rPr>
                <w:sz w:val="20"/>
                <w:szCs w:val="20"/>
                <w:color w:val="auto"/>
              </w:rPr>
            </w:pPr>
            <w:r>
              <w:rPr>
                <w:rFonts w:ascii="Arial" w:cs="Arial" w:eastAsia="Arial" w:hAnsi="Arial"/>
                <w:sz w:val="17"/>
                <w:szCs w:val="17"/>
                <w:color w:val="auto"/>
              </w:rPr>
              <w:t>Other income and expenses:</w:t>
            </w: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0"/>
        </w:trPr>
        <w:tc>
          <w:tcPr>
            <w:tcW w:w="20" w:type="dxa"/>
            <w:vAlign w:val="bottom"/>
            <w:shd w:val="clear" w:color="auto" w:fill="CCEEFF"/>
          </w:tcPr>
          <w:p>
            <w:pPr>
              <w:spacing w:after="0"/>
              <w:rPr>
                <w:sz w:val="19"/>
                <w:szCs w:val="19"/>
                <w:color w:val="auto"/>
              </w:rPr>
            </w:pPr>
          </w:p>
        </w:tc>
        <w:tc>
          <w:tcPr>
            <w:tcW w:w="808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Interest expense, net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(163)</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(135)</w:t>
            </w:r>
          </w:p>
        </w:tc>
      </w:tr>
      <w:tr>
        <w:trPr>
          <w:trHeight w:val="218"/>
        </w:trPr>
        <w:tc>
          <w:tcPr>
            <w:tcW w:w="20" w:type="dxa"/>
            <w:vAlign w:val="bottom"/>
            <w:tcBorders>
              <w:bottom w:val="single" w:sz="8" w:color="CCEEFF"/>
            </w:tcBorders>
          </w:tcPr>
          <w:p>
            <w:pPr>
              <w:spacing w:after="0"/>
              <w:rPr>
                <w:sz w:val="18"/>
                <w:szCs w:val="18"/>
                <w:color w:val="auto"/>
              </w:rPr>
            </w:pPr>
          </w:p>
        </w:tc>
        <w:tc>
          <w:tcPr>
            <w:tcW w:w="8080" w:type="dxa"/>
            <w:vAlign w:val="bottom"/>
            <w:tcBorders>
              <w:bottom w:val="single" w:sz="8" w:color="CCEEFF"/>
            </w:tcBorders>
            <w:gridSpan w:val="2"/>
          </w:tcPr>
          <w:p>
            <w:pPr>
              <w:ind w:left="200"/>
              <w:spacing w:after="0"/>
              <w:rPr>
                <w:sz w:val="20"/>
                <w:szCs w:val="20"/>
                <w:color w:val="auto"/>
              </w:rPr>
            </w:pPr>
            <w:r>
              <w:rPr>
                <w:rFonts w:ascii="Arial" w:cs="Arial" w:eastAsia="Arial" w:hAnsi="Arial"/>
                <w:sz w:val="17"/>
                <w:szCs w:val="17"/>
                <w:color w:val="auto"/>
              </w:rPr>
              <w:t>Other income, net</w:t>
            </w: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w:t>
            </w:r>
          </w:p>
        </w:tc>
        <w:tc>
          <w:tcPr>
            <w:tcW w:w="10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w:t>
            </w:r>
          </w:p>
        </w:tc>
      </w:tr>
      <w:tr>
        <w:trPr>
          <w:trHeight w:val="213"/>
        </w:trPr>
        <w:tc>
          <w:tcPr>
            <w:tcW w:w="20" w:type="dxa"/>
            <w:vAlign w:val="bottom"/>
            <w:shd w:val="clear" w:color="auto" w:fill="CCEEFF"/>
          </w:tcPr>
          <w:p>
            <w:pPr>
              <w:spacing w:after="0"/>
              <w:rPr>
                <w:sz w:val="18"/>
                <w:szCs w:val="18"/>
                <w:color w:val="auto"/>
              </w:rPr>
            </w:pPr>
          </w:p>
        </w:tc>
        <w:tc>
          <w:tcPr>
            <w:tcW w:w="808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Income before income taxes</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812</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644</w:t>
            </w:r>
          </w:p>
        </w:tc>
      </w:tr>
      <w:tr>
        <w:trPr>
          <w:trHeight w:val="218"/>
        </w:trPr>
        <w:tc>
          <w:tcPr>
            <w:tcW w:w="20" w:type="dxa"/>
            <w:vAlign w:val="bottom"/>
            <w:tcBorders>
              <w:bottom w:val="single" w:sz="8" w:color="CCEEFF"/>
            </w:tcBorders>
          </w:tcPr>
          <w:p>
            <w:pPr>
              <w:spacing w:after="0"/>
              <w:rPr>
                <w:sz w:val="18"/>
                <w:szCs w:val="18"/>
                <w:color w:val="auto"/>
              </w:rPr>
            </w:pPr>
          </w:p>
        </w:tc>
        <w:tc>
          <w:tcPr>
            <w:tcW w:w="8080" w:type="dxa"/>
            <w:vAlign w:val="bottom"/>
            <w:tcBorders>
              <w:bottom w:val="single" w:sz="8" w:color="CCEEFF"/>
            </w:tcBorders>
            <w:gridSpan w:val="2"/>
          </w:tcPr>
          <w:p>
            <w:pPr>
              <w:ind w:left="200"/>
              <w:spacing w:after="0"/>
              <w:rPr>
                <w:sz w:val="20"/>
                <w:szCs w:val="20"/>
                <w:color w:val="auto"/>
              </w:rPr>
            </w:pPr>
            <w:r>
              <w:rPr>
                <w:rFonts w:ascii="Arial" w:cs="Arial" w:eastAsia="Arial" w:hAnsi="Arial"/>
                <w:sz w:val="17"/>
                <w:szCs w:val="17"/>
                <w:color w:val="auto"/>
              </w:rPr>
              <w:t>Income tax expense</w:t>
            </w: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(204)</w:t>
            </w:r>
          </w:p>
        </w:tc>
        <w:tc>
          <w:tcPr>
            <w:tcW w:w="10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(162)</w:t>
            </w:r>
          </w:p>
        </w:tc>
      </w:tr>
      <w:tr>
        <w:trPr>
          <w:trHeight w:val="213"/>
        </w:trPr>
        <w:tc>
          <w:tcPr>
            <w:tcW w:w="20" w:type="dxa"/>
            <w:vAlign w:val="bottom"/>
            <w:shd w:val="clear" w:color="auto" w:fill="CCEEFF"/>
          </w:tcPr>
          <w:p>
            <w:pPr>
              <w:spacing w:after="0"/>
              <w:rPr>
                <w:sz w:val="18"/>
                <w:szCs w:val="18"/>
                <w:color w:val="auto"/>
              </w:rPr>
            </w:pPr>
          </w:p>
        </w:tc>
        <w:tc>
          <w:tcPr>
            <w:tcW w:w="808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Net income</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608</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482</w:t>
            </w:r>
          </w:p>
        </w:tc>
      </w:tr>
      <w:tr>
        <w:trPr>
          <w:trHeight w:val="218"/>
        </w:trPr>
        <w:tc>
          <w:tcPr>
            <w:tcW w:w="20" w:type="dxa"/>
            <w:vAlign w:val="bottom"/>
            <w:tcBorders>
              <w:bottom w:val="single" w:sz="8" w:color="CCEEFF"/>
            </w:tcBorders>
          </w:tcPr>
          <w:p>
            <w:pPr>
              <w:spacing w:after="0"/>
              <w:rPr>
                <w:sz w:val="18"/>
                <w:szCs w:val="18"/>
                <w:color w:val="auto"/>
              </w:rPr>
            </w:pPr>
          </w:p>
        </w:tc>
        <w:tc>
          <w:tcPr>
            <w:tcW w:w="8080" w:type="dxa"/>
            <w:vAlign w:val="bottom"/>
            <w:tcBorders>
              <w:bottom w:val="single" w:sz="8" w:color="CCEEFF"/>
            </w:tcBorders>
            <w:gridSpan w:val="2"/>
          </w:tcPr>
          <w:p>
            <w:pPr>
              <w:ind w:left="200"/>
              <w:spacing w:after="0"/>
              <w:rPr>
                <w:sz w:val="20"/>
                <w:szCs w:val="20"/>
                <w:color w:val="auto"/>
              </w:rPr>
            </w:pPr>
            <w:r>
              <w:rPr>
                <w:rFonts w:ascii="Arial" w:cs="Arial" w:eastAsia="Arial" w:hAnsi="Arial"/>
                <w:sz w:val="17"/>
                <w:szCs w:val="17"/>
                <w:color w:val="auto"/>
              </w:rPr>
              <w:t>Less: Net income attributable to noncontrolling interest</w:t>
            </w: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w:t>
            </w:r>
          </w:p>
        </w:tc>
        <w:tc>
          <w:tcPr>
            <w:tcW w:w="10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w:t>
            </w: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80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7"/>
                <w:szCs w:val="17"/>
                <w:color w:val="auto"/>
              </w:rPr>
              <w:t>Net income attributable to Wabtec shareholders</w:t>
            </w: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600</w:t>
            </w:r>
          </w:p>
        </w:tc>
        <w:tc>
          <w:tcPr>
            <w:tcW w:w="1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ind w:right="434"/>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475</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75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shows the major components of the change in Net sales in the nine months ended September 30, 2023 from the nine months ended</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color w:val="auto"/>
        </w:rPr>
        <w:t>September 30, 2022:</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60" w:type="dxa"/>
            <w:vAlign w:val="bottom"/>
            <w:gridSpan w:val="3"/>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200" w:type="dxa"/>
            <w:vAlign w:val="bottom"/>
          </w:tcPr>
          <w:p>
            <w:pPr>
              <w:spacing w:after="0"/>
              <w:rPr>
                <w:sz w:val="14"/>
                <w:szCs w:val="14"/>
                <w:color w:val="auto"/>
              </w:rPr>
            </w:pPr>
          </w:p>
        </w:tc>
        <w:tc>
          <w:tcPr>
            <w:tcW w:w="1420" w:type="dxa"/>
            <w:vAlign w:val="bottom"/>
            <w:gridSpan w:val="2"/>
          </w:tcPr>
          <w:p>
            <w:pPr>
              <w:ind w:left="80"/>
              <w:spacing w:after="0"/>
              <w:rPr>
                <w:sz w:val="20"/>
                <w:szCs w:val="20"/>
                <w:color w:val="auto"/>
              </w:rPr>
            </w:pPr>
            <w:r>
              <w:rPr>
                <w:rFonts w:ascii="Arial" w:cs="Arial" w:eastAsia="Arial" w:hAnsi="Arial"/>
                <w:sz w:val="14"/>
                <w:szCs w:val="14"/>
                <w:b w:val="1"/>
                <w:bCs w:val="1"/>
                <w:color w:val="auto"/>
              </w:rPr>
              <w:t>Freight Segment</w:t>
            </w:r>
          </w:p>
        </w:tc>
        <w:tc>
          <w:tcPr>
            <w:tcW w:w="200" w:type="dxa"/>
            <w:vAlign w:val="bottom"/>
          </w:tcPr>
          <w:p>
            <w:pPr>
              <w:spacing w:after="0"/>
              <w:rPr>
                <w:sz w:val="14"/>
                <w:szCs w:val="14"/>
                <w:color w:val="auto"/>
              </w:rPr>
            </w:pPr>
          </w:p>
        </w:tc>
        <w:tc>
          <w:tcPr>
            <w:tcW w:w="1440" w:type="dxa"/>
            <w:vAlign w:val="bottom"/>
            <w:gridSpan w:val="2"/>
          </w:tcPr>
          <w:p>
            <w:pPr>
              <w:ind w:left="80"/>
              <w:spacing w:after="0"/>
              <w:rPr>
                <w:sz w:val="20"/>
                <w:szCs w:val="20"/>
                <w:color w:val="auto"/>
              </w:rPr>
            </w:pPr>
            <w:r>
              <w:rPr>
                <w:rFonts w:ascii="Arial" w:cs="Arial" w:eastAsia="Arial" w:hAnsi="Arial"/>
                <w:sz w:val="14"/>
                <w:szCs w:val="14"/>
                <w:b w:val="1"/>
                <w:bCs w:val="1"/>
                <w:color w:val="auto"/>
              </w:rPr>
              <w:t>Transit Segment</w:t>
            </w:r>
          </w:p>
        </w:tc>
        <w:tc>
          <w:tcPr>
            <w:tcW w:w="360" w:type="dxa"/>
            <w:vAlign w:val="bottom"/>
          </w:tcPr>
          <w:p>
            <w:pPr>
              <w:spacing w:after="0"/>
              <w:rPr>
                <w:sz w:val="14"/>
                <w:szCs w:val="14"/>
                <w:color w:val="auto"/>
              </w:rPr>
            </w:pPr>
          </w:p>
        </w:tc>
        <w:tc>
          <w:tcPr>
            <w:tcW w:w="1160" w:type="dxa"/>
            <w:vAlign w:val="bottom"/>
          </w:tcPr>
          <w:p>
            <w:pPr>
              <w:jc w:val="right"/>
              <w:ind w:right="537"/>
              <w:spacing w:after="0"/>
              <w:rPr>
                <w:sz w:val="20"/>
                <w:szCs w:val="20"/>
                <w:color w:val="auto"/>
              </w:rPr>
            </w:pPr>
            <w:r>
              <w:rPr>
                <w:rFonts w:ascii="Arial" w:cs="Arial" w:eastAsia="Arial" w:hAnsi="Arial"/>
                <w:sz w:val="14"/>
                <w:szCs w:val="14"/>
                <w:b w:val="1"/>
                <w:bCs w:val="1"/>
                <w:color w:val="auto"/>
              </w:rPr>
              <w:t>Total</w:t>
            </w:r>
          </w:p>
        </w:tc>
      </w:tr>
      <w:tr>
        <w:trPr>
          <w:trHeight w:val="32"/>
        </w:trPr>
        <w:tc>
          <w:tcPr>
            <w:tcW w:w="20" w:type="dxa"/>
            <w:vAlign w:val="bottom"/>
            <w:tcBorders>
              <w:bottom w:val="single" w:sz="8" w:color="CCEEFF"/>
            </w:tcBorders>
          </w:tcPr>
          <w:p>
            <w:pPr>
              <w:spacing w:after="0"/>
              <w:rPr>
                <w:sz w:val="2"/>
                <w:szCs w:val="2"/>
                <w:color w:val="auto"/>
              </w:rPr>
            </w:pPr>
          </w:p>
        </w:tc>
        <w:tc>
          <w:tcPr>
            <w:tcW w:w="620" w:type="dxa"/>
            <w:vAlign w:val="bottom"/>
            <w:tcBorders>
              <w:top w:val="single" w:sz="8" w:color="auto"/>
              <w:bottom w:val="single" w:sz="8" w:color="CCEEFF"/>
            </w:tcBorders>
          </w:tcPr>
          <w:p>
            <w:pPr>
              <w:spacing w:after="0"/>
              <w:rPr>
                <w:sz w:val="2"/>
                <w:szCs w:val="2"/>
                <w:color w:val="auto"/>
              </w:rPr>
            </w:pPr>
          </w:p>
        </w:tc>
        <w:tc>
          <w:tcPr>
            <w:tcW w:w="58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12"/>
        </w:trPr>
        <w:tc>
          <w:tcPr>
            <w:tcW w:w="646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First Nine Months of 2022 Net sales</w:t>
            </w: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4,343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1,713</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6,056</w:t>
            </w:r>
          </w:p>
        </w:tc>
      </w:tr>
      <w:tr>
        <w:trPr>
          <w:trHeight w:val="218"/>
        </w:trPr>
        <w:tc>
          <w:tcPr>
            <w:tcW w:w="20" w:type="dxa"/>
            <w:vAlign w:val="bottom"/>
          </w:tcPr>
          <w:p>
            <w:pPr>
              <w:spacing w:after="0"/>
              <w:rPr>
                <w:sz w:val="18"/>
                <w:szCs w:val="18"/>
                <w:color w:val="auto"/>
              </w:rPr>
            </w:pPr>
          </w:p>
        </w:tc>
        <w:tc>
          <w:tcPr>
            <w:tcW w:w="6440" w:type="dxa"/>
            <w:vAlign w:val="bottom"/>
            <w:gridSpan w:val="2"/>
          </w:tcPr>
          <w:p>
            <w:pPr>
              <w:ind w:left="100"/>
              <w:spacing w:after="0"/>
              <w:rPr>
                <w:sz w:val="20"/>
                <w:szCs w:val="20"/>
                <w:color w:val="auto"/>
              </w:rPr>
            </w:pPr>
            <w:r>
              <w:rPr>
                <w:rFonts w:ascii="Arial" w:cs="Arial" w:eastAsia="Arial" w:hAnsi="Arial"/>
                <w:sz w:val="17"/>
                <w:szCs w:val="17"/>
                <w:color w:val="auto"/>
              </w:rPr>
              <w:t>Acquisitions</w:t>
            </w: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77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77</w:t>
            </w:r>
          </w:p>
        </w:tc>
      </w:tr>
      <w:tr>
        <w:trPr>
          <w:trHeight w:val="220"/>
        </w:trPr>
        <w:tc>
          <w:tcPr>
            <w:tcW w:w="20" w:type="dxa"/>
            <w:vAlign w:val="bottom"/>
            <w:shd w:val="clear" w:color="auto" w:fill="CCEEFF"/>
          </w:tcPr>
          <w:p>
            <w:pPr>
              <w:spacing w:after="0"/>
              <w:rPr>
                <w:sz w:val="19"/>
                <w:szCs w:val="19"/>
                <w:color w:val="auto"/>
              </w:rPr>
            </w:pPr>
          </w:p>
        </w:tc>
        <w:tc>
          <w:tcPr>
            <w:tcW w:w="644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Foreign Exchange</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w:t>
            </w:r>
          </w:p>
        </w:tc>
      </w:tr>
      <w:tr>
        <w:trPr>
          <w:trHeight w:val="218"/>
        </w:trPr>
        <w:tc>
          <w:tcPr>
            <w:tcW w:w="20" w:type="dxa"/>
            <w:vAlign w:val="bottom"/>
            <w:tcBorders>
              <w:bottom w:val="single" w:sz="8" w:color="CCEEFF"/>
            </w:tcBorders>
          </w:tcPr>
          <w:p>
            <w:pPr>
              <w:spacing w:after="0"/>
              <w:rPr>
                <w:sz w:val="18"/>
                <w:szCs w:val="18"/>
                <w:color w:val="auto"/>
              </w:rPr>
            </w:pPr>
          </w:p>
        </w:tc>
        <w:tc>
          <w:tcPr>
            <w:tcW w:w="6440" w:type="dxa"/>
            <w:vAlign w:val="bottom"/>
            <w:tcBorders>
              <w:bottom w:val="single" w:sz="8" w:color="CCEEFF"/>
            </w:tcBorders>
            <w:gridSpan w:val="2"/>
          </w:tcPr>
          <w:p>
            <w:pPr>
              <w:ind w:left="100"/>
              <w:spacing w:after="0"/>
              <w:rPr>
                <w:sz w:val="20"/>
                <w:szCs w:val="20"/>
                <w:color w:val="auto"/>
              </w:rPr>
            </w:pPr>
            <w:r>
              <w:rPr>
                <w:rFonts w:ascii="Arial" w:cs="Arial" w:eastAsia="Arial" w:hAnsi="Arial"/>
                <w:sz w:val="17"/>
                <w:szCs w:val="17"/>
                <w:color w:val="auto"/>
              </w:rPr>
              <w:t>Organic</w:t>
            </w: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772</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277</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1,049</w:t>
            </w:r>
          </w:p>
        </w:tc>
      </w:tr>
      <w:tr>
        <w:trPr>
          <w:trHeight w:val="238"/>
        </w:trPr>
        <w:tc>
          <w:tcPr>
            <w:tcW w:w="64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7"/>
                <w:szCs w:val="17"/>
                <w:color w:val="auto"/>
              </w:rPr>
              <w:t>First Nine Months of 2023 Net sales</w:t>
            </w: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5,164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1,987</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7,151</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58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33" w:right="339" w:bottom="1440" w:gutter="0" w:footer="0" w:header="0"/>
        </w:sectPr>
      </w:pPr>
    </w:p>
    <w:bookmarkStart w:id="34" w:name="page35"/>
    <w:bookmarkEnd w:id="34"/>
    <w:p>
      <w:pPr>
        <w:spacing w:after="0"/>
        <w:rPr>
          <w:sz w:val="20"/>
          <w:szCs w:val="20"/>
          <w:color w:val="auto"/>
        </w:rPr>
      </w:pPr>
      <w:r>
        <w:rPr>
          <w:rFonts w:ascii="Arial" w:cs="Arial" w:eastAsia="Arial" w:hAnsi="Arial"/>
          <w:sz w:val="17"/>
          <w:szCs w:val="17"/>
          <w:b w:val="1"/>
          <w:bCs w:val="1"/>
          <w:color w:val="auto"/>
        </w:rPr>
        <w:t>Net sales</w:t>
      </w:r>
    </w:p>
    <w:p>
      <w:pPr>
        <w:spacing w:after="0" w:line="120" w:lineRule="exact"/>
        <w:rPr>
          <w:sz w:val="20"/>
          <w:szCs w:val="20"/>
          <w:color w:val="auto"/>
        </w:rPr>
      </w:pPr>
    </w:p>
    <w:p>
      <w:pPr>
        <w:ind w:right="40" w:firstLine="464"/>
        <w:spacing w:after="0" w:line="295" w:lineRule="auto"/>
        <w:rPr>
          <w:sz w:val="20"/>
          <w:szCs w:val="20"/>
          <w:color w:val="auto"/>
        </w:rPr>
      </w:pPr>
      <w:r>
        <w:rPr>
          <w:rFonts w:ascii="Arial" w:cs="Arial" w:eastAsia="Arial" w:hAnsi="Arial"/>
          <w:sz w:val="15"/>
          <w:szCs w:val="15"/>
          <w:color w:val="auto"/>
        </w:rPr>
        <w:t>Net sales for the nine months ended September 30, 2023 increased by $1.10 billion, or 18.1%, to $7.15 billion compared to the same period in 2022. Organic sales increased $1.05 billion which was attributable to both the Freight and Transit Segments driven by an increase across all product lines. Equipment sales increased due to higher North American and international locomotive sales and increased mining sales, and Services sales increased from higher parts sales, and higher deliveries of locomotive modernizations and overhauls. In addition, Components sales increased due to a higher railcar build, and growth in industrial end-markets, and Digital Intelligence sales increased due to higher demand for on-board locomotive and mining solutions, international Positive Train Control (PTC) sales and technology upgrades. Transit Segment organic sales increased by $277 million primarily as a result of increased demand for Aftermarket and Original Equipment Manufacturing products driven by increased infrastructure investment. Sales from acquisitions contributed $77 million in the Freight Segment and unfavorable changes in foreign exchange rates decreased sales by $31 million, primarily in the Freight Segment.</w:t>
      </w:r>
    </w:p>
    <w:p>
      <w:pPr>
        <w:spacing w:after="0" w:line="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Cost of sales</w:t>
      </w:r>
    </w:p>
    <w:p>
      <w:pPr>
        <w:spacing w:after="0" w:line="120" w:lineRule="exact"/>
        <w:rPr>
          <w:sz w:val="20"/>
          <w:szCs w:val="20"/>
          <w:color w:val="auto"/>
        </w:rPr>
      </w:pPr>
    </w:p>
    <w:p>
      <w:pPr>
        <w:ind w:firstLine="464"/>
        <w:spacing w:after="0" w:line="297" w:lineRule="auto"/>
        <w:rPr>
          <w:sz w:val="20"/>
          <w:szCs w:val="20"/>
          <w:color w:val="auto"/>
        </w:rPr>
      </w:pPr>
      <w:r>
        <w:rPr>
          <w:rFonts w:ascii="Arial" w:cs="Arial" w:eastAsia="Arial" w:hAnsi="Arial"/>
          <w:sz w:val="15"/>
          <w:szCs w:val="15"/>
          <w:color w:val="auto"/>
        </w:rPr>
        <w:t>Cost of sales for the nine months ended September 30, 2023 increased by $803 million, or 19.3%, to $4.97 billion compared to the same period in 2022. The increase is primarily due to the increase in Net sales. Cost of sales as a percentage of net sales was 69.5% and 68.8% for the nine months ended September 30, 2023 and 2022, respectively. The increase was due to unfavorable product mix between and within business groups, higher next generation product development costs in Digital Intelligence, manufacturing inefficiencies primarily related to the strike at our Erie facility, and increased restructuring costs in the current year, partially offset by benefits from structured cost actions taken through Integration 2.0 and prior years' restructuring and integration projects, and the effects of foreign exchange rates. Costs of sales for the nine months ended September 30, 2023 and 2022 included $25 million and $12 million, respectively, of restructuring costs, primarily for headcount actions and footprint rationalization, with the amounts in 2023 primarily being related to Integration 2.0.</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Operating expenses</w:t>
      </w:r>
    </w:p>
    <w:p>
      <w:pPr>
        <w:spacing w:after="0" w:line="120" w:lineRule="exact"/>
        <w:rPr>
          <w:sz w:val="20"/>
          <w:szCs w:val="20"/>
          <w:color w:val="auto"/>
        </w:rPr>
      </w:pPr>
    </w:p>
    <w:p>
      <w:pPr>
        <w:ind w:right="40" w:firstLine="464"/>
        <w:spacing w:after="0" w:line="257" w:lineRule="auto"/>
        <w:rPr>
          <w:sz w:val="20"/>
          <w:szCs w:val="20"/>
          <w:color w:val="auto"/>
        </w:rPr>
      </w:pPr>
      <w:r>
        <w:rPr>
          <w:rFonts w:ascii="Arial" w:cs="Arial" w:eastAsia="Arial" w:hAnsi="Arial"/>
          <w:sz w:val="17"/>
          <w:szCs w:val="17"/>
          <w:color w:val="auto"/>
        </w:rPr>
        <w:t>Total operating expenses increased $98 million, or 8.7%, for the nine months ended September 30, 2023 compared to the same period in 2022. Operating expenses as a percentage of sales was 17.1% and 18.6% for the nine months ended September 30, 2023 and 2022, respectively. SG&amp;A increased $86 million primarily from costs incurred to support the higher sales volume, higher employee compensation and benefit costs, and higher professional services spend. Restructuring costs included in SG&amp;A were $7 million and $8 million for the nine months ended September 30, 2023 and 2022, respectively, and were primarily for headcount actions and footprint rationalization programs, with the amounts in 2023 primarily related to Integration 2.0. Engineering expenses increased $8 million primarily due to investments in new technology. Amortization expense increased $4 million due to accelerated amortization related to restructuring actions and incremental expense from acquisitions.</w:t>
      </w:r>
    </w:p>
    <w:p>
      <w:pPr>
        <w:spacing w:after="0" w:line="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Interest expense, net</w:t>
      </w:r>
    </w:p>
    <w:p>
      <w:pPr>
        <w:spacing w:after="0" w:line="120" w:lineRule="exact"/>
        <w:rPr>
          <w:sz w:val="20"/>
          <w:szCs w:val="20"/>
          <w:color w:val="auto"/>
        </w:rPr>
      </w:pPr>
    </w:p>
    <w:p>
      <w:pPr>
        <w:ind w:right="300" w:firstLine="464"/>
        <w:spacing w:after="0" w:line="279" w:lineRule="auto"/>
        <w:rPr>
          <w:sz w:val="20"/>
          <w:szCs w:val="20"/>
          <w:color w:val="auto"/>
        </w:rPr>
      </w:pPr>
      <w:r>
        <w:rPr>
          <w:rFonts w:ascii="Arial" w:cs="Arial" w:eastAsia="Arial" w:hAnsi="Arial"/>
          <w:sz w:val="17"/>
          <w:szCs w:val="17"/>
          <w:color w:val="auto"/>
        </w:rPr>
        <w:t>Interest expense, net, increased $28 million for the nine months ended September 30, 2023 compared to the same period in 2022 primarily due to higher effective interest rates and higher average overall debt balances in the current period.</w:t>
      </w:r>
    </w:p>
    <w:p>
      <w:pPr>
        <w:spacing w:after="0" w:line="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Income, net</w:t>
      </w:r>
    </w:p>
    <w:p>
      <w:pPr>
        <w:spacing w:after="0" w:line="120" w:lineRule="exact"/>
        <w:rPr>
          <w:sz w:val="20"/>
          <w:szCs w:val="20"/>
          <w:color w:val="auto"/>
        </w:rPr>
      </w:pPr>
    </w:p>
    <w:p>
      <w:pPr>
        <w:ind w:right="100" w:firstLine="464"/>
        <w:spacing w:after="0" w:line="279" w:lineRule="auto"/>
        <w:rPr>
          <w:sz w:val="20"/>
          <w:szCs w:val="20"/>
          <w:color w:val="auto"/>
        </w:rPr>
      </w:pPr>
      <w:r>
        <w:rPr>
          <w:rFonts w:ascii="Arial" w:cs="Arial" w:eastAsia="Arial" w:hAnsi="Arial"/>
          <w:sz w:val="17"/>
          <w:szCs w:val="17"/>
          <w:color w:val="auto"/>
        </w:rPr>
        <w:t>Other income, net, increased $2 million for the nine months ended September 30, 2023 compared to the same period in 2022 primarily due to higher equity earnings in the current year compared to the prior year which were partially offset by unfavorable changes in foreign currency loss.</w:t>
      </w:r>
    </w:p>
    <w:p>
      <w:pPr>
        <w:spacing w:after="0" w:line="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Income taxes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effective income tax rate was 25.1% for both the nine months ended September 30, 2023 and 2022.</w:t>
      </w: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46" w:right="339" w:bottom="1440" w:gutter="0" w:footer="0" w:header="0"/>
        </w:sectPr>
      </w:pPr>
    </w:p>
    <w:bookmarkStart w:id="35" w:name="page36"/>
    <w:bookmarkEnd w:id="35"/>
    <w:p>
      <w:pPr>
        <w:spacing w:after="0"/>
        <w:rPr>
          <w:sz w:val="20"/>
          <w:szCs w:val="20"/>
          <w:color w:val="auto"/>
        </w:rPr>
      </w:pPr>
      <w:r>
        <w:rPr>
          <w:rFonts w:ascii="Arial" w:cs="Arial" w:eastAsia="Arial" w:hAnsi="Arial"/>
          <w:sz w:val="17"/>
          <w:szCs w:val="17"/>
          <w:b w:val="1"/>
          <w:bCs w:val="1"/>
          <w:color w:val="auto"/>
        </w:rPr>
        <w:t>Freight Segment</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shows our Condensed Consolidated Statements of Operations for our Freight Segment for the periods indicated:</w:t>
      </w:r>
    </w:p>
    <w:p>
      <w:pPr>
        <w:spacing w:after="0" w:line="48" w:lineRule="exact"/>
        <w:rPr>
          <w:sz w:val="20"/>
          <w:szCs w:val="20"/>
          <w:color w:val="auto"/>
        </w:rPr>
      </w:pPr>
    </w:p>
    <w:p>
      <w:pPr>
        <w:jc w:val="center"/>
        <w:ind w:left="1360"/>
        <w:spacing w:after="0"/>
        <w:rPr>
          <w:sz w:val="20"/>
          <w:szCs w:val="20"/>
          <w:color w:val="auto"/>
        </w:rPr>
      </w:pPr>
      <w:r>
        <w:rPr>
          <w:rFonts w:ascii="Arial" w:cs="Arial" w:eastAsia="Arial" w:hAnsi="Arial"/>
          <w:sz w:val="15"/>
          <w:szCs w:val="15"/>
          <w:b w:val="1"/>
          <w:bCs w:val="1"/>
          <w:color w:val="auto"/>
        </w:rPr>
        <w:t>Nine Months Ended</w:t>
      </w:r>
    </w:p>
    <w:p>
      <w:pPr>
        <w:jc w:val="center"/>
        <w:ind w:left="1360"/>
        <w:spacing w:after="0"/>
        <w:rPr>
          <w:sz w:val="20"/>
          <w:szCs w:val="20"/>
          <w:color w:val="auto"/>
        </w:rPr>
      </w:pPr>
      <w:r>
        <w:rPr>
          <w:rFonts w:ascii="Arial" w:cs="Arial" w:eastAsia="Arial" w:hAnsi="Arial"/>
          <w:sz w:val="15"/>
          <w:szCs w:val="15"/>
          <w:b w:val="1"/>
          <w:bCs w:val="1"/>
          <w:color w:val="auto"/>
        </w:rPr>
        <w:t>September 30,</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4640" w:type="dxa"/>
            <w:vAlign w:val="bottom"/>
            <w:gridSpan w:val="3"/>
          </w:tcPr>
          <w:p>
            <w:pPr>
              <w:ind w:left="20"/>
              <w:spacing w:after="0" w:line="153" w:lineRule="exact"/>
              <w:rPr>
                <w:sz w:val="20"/>
                <w:szCs w:val="20"/>
                <w:color w:val="auto"/>
              </w:rPr>
            </w:pPr>
            <w:r>
              <w:rPr>
                <w:rFonts w:ascii="Arial" w:cs="Arial" w:eastAsia="Arial" w:hAnsi="Arial"/>
                <w:sz w:val="14"/>
                <w:szCs w:val="14"/>
                <w:b w:val="1"/>
                <w:bCs w:val="1"/>
                <w:i w:val="1"/>
                <w:iCs w:val="1"/>
                <w:color w:val="auto"/>
              </w:rPr>
              <w:t>In millions</w:t>
            </w:r>
          </w:p>
        </w:tc>
        <w:tc>
          <w:tcPr>
            <w:tcW w:w="38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jc w:val="right"/>
              <w:ind w:right="575"/>
              <w:spacing w:after="0" w:line="154" w:lineRule="exact"/>
              <w:rPr>
                <w:sz w:val="20"/>
                <w:szCs w:val="20"/>
                <w:color w:val="auto"/>
              </w:rPr>
            </w:pPr>
            <w:r>
              <w:rPr>
                <w:rFonts w:ascii="Arial" w:cs="Arial" w:eastAsia="Arial" w:hAnsi="Arial"/>
                <w:sz w:val="15"/>
                <w:szCs w:val="15"/>
                <w:b w:val="1"/>
                <w:bCs w:val="1"/>
                <w:color w:val="auto"/>
              </w:rPr>
              <w:t>2023</w:t>
            </w:r>
          </w:p>
        </w:tc>
        <w:tc>
          <w:tcPr>
            <w:tcW w:w="10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tcPr>
          <w:p>
            <w:pPr>
              <w:jc w:val="right"/>
              <w:ind w:right="615"/>
              <w:spacing w:after="0" w:line="154" w:lineRule="exact"/>
              <w:rPr>
                <w:sz w:val="20"/>
                <w:szCs w:val="20"/>
                <w:color w:val="auto"/>
              </w:rPr>
            </w:pPr>
            <w:r>
              <w:rPr>
                <w:rFonts w:ascii="Arial" w:cs="Arial" w:eastAsia="Arial" w:hAnsi="Arial"/>
                <w:sz w:val="15"/>
                <w:szCs w:val="15"/>
                <w:b w:val="1"/>
                <w:bCs w:val="1"/>
                <w:color w:val="auto"/>
              </w:rPr>
              <w:t>2022</w:t>
            </w:r>
          </w:p>
        </w:tc>
        <w:tc>
          <w:tcPr>
            <w:tcW w:w="340" w:type="dxa"/>
            <w:vAlign w:val="bottom"/>
            <w:tcBorders>
              <w:top w:val="single" w:sz="8" w:color="auto"/>
            </w:tcBorders>
          </w:tcPr>
          <w:p>
            <w:pPr>
              <w:spacing w:after="0"/>
              <w:rPr>
                <w:sz w:val="13"/>
                <w:szCs w:val="13"/>
                <w:color w:val="auto"/>
              </w:rPr>
            </w:pPr>
          </w:p>
        </w:tc>
        <w:tc>
          <w:tcPr>
            <w:tcW w:w="1440" w:type="dxa"/>
            <w:vAlign w:val="bottom"/>
            <w:tcBorders>
              <w:top w:val="single" w:sz="8" w:color="auto"/>
            </w:tcBorders>
          </w:tcPr>
          <w:p>
            <w:pPr>
              <w:jc w:val="right"/>
              <w:ind w:right="675"/>
              <w:spacing w:after="0" w:line="154" w:lineRule="exact"/>
              <w:rPr>
                <w:sz w:val="20"/>
                <w:szCs w:val="20"/>
                <w:color w:val="auto"/>
              </w:rPr>
            </w:pPr>
            <w:r>
              <w:rPr>
                <w:rFonts w:ascii="Arial" w:cs="Arial" w:eastAsia="Arial" w:hAnsi="Arial"/>
                <w:sz w:val="15"/>
                <w:szCs w:val="15"/>
                <w:b w:val="1"/>
                <w:bCs w:val="1"/>
                <w:color w:val="auto"/>
              </w:rPr>
              <w:t>Change</w:t>
            </w:r>
          </w:p>
        </w:tc>
        <w:tc>
          <w:tcPr>
            <w:tcW w:w="1440" w:type="dxa"/>
            <w:vAlign w:val="bottom"/>
            <w:tcBorders>
              <w:top w:val="single" w:sz="8" w:color="auto"/>
            </w:tcBorders>
          </w:tcPr>
          <w:p>
            <w:pPr>
              <w:jc w:val="right"/>
              <w:ind w:right="375"/>
              <w:spacing w:after="0" w:line="154" w:lineRule="exact"/>
              <w:rPr>
                <w:sz w:val="20"/>
                <w:szCs w:val="20"/>
                <w:color w:val="auto"/>
              </w:rPr>
            </w:pPr>
            <w:r>
              <w:rPr>
                <w:rFonts w:ascii="Arial" w:cs="Arial" w:eastAsia="Arial" w:hAnsi="Arial"/>
                <w:sz w:val="15"/>
                <w:szCs w:val="15"/>
                <w:b w:val="1"/>
                <w:bCs w:val="1"/>
                <w:color w:val="auto"/>
              </w:rPr>
              <w:t>% Change</w:t>
            </w:r>
          </w:p>
        </w:tc>
      </w:tr>
      <w:tr>
        <w:trPr>
          <w:trHeight w:val="32"/>
        </w:trPr>
        <w:tc>
          <w:tcPr>
            <w:tcW w:w="20" w:type="dxa"/>
            <w:vAlign w:val="bottom"/>
            <w:tcBorders>
              <w:bottom w:val="single" w:sz="8" w:color="CCEEFF"/>
            </w:tcBorders>
          </w:tcPr>
          <w:p>
            <w:pPr>
              <w:spacing w:after="0"/>
              <w:rPr>
                <w:sz w:val="2"/>
                <w:szCs w:val="2"/>
                <w:color w:val="auto"/>
              </w:rPr>
            </w:pPr>
          </w:p>
        </w:tc>
        <w:tc>
          <w:tcPr>
            <w:tcW w:w="620" w:type="dxa"/>
            <w:vAlign w:val="bottom"/>
            <w:tcBorders>
              <w:top w:val="single" w:sz="8" w:color="auto"/>
              <w:bottom w:val="single" w:sz="8" w:color="CCEEFF"/>
            </w:tcBorders>
          </w:tcPr>
          <w:p>
            <w:pPr>
              <w:spacing w:after="0"/>
              <w:rPr>
                <w:sz w:val="2"/>
                <w:szCs w:val="2"/>
                <w:color w:val="auto"/>
              </w:rPr>
            </w:pPr>
          </w:p>
        </w:tc>
        <w:tc>
          <w:tcPr>
            <w:tcW w:w="40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199"/>
        </w:trPr>
        <w:tc>
          <w:tcPr>
            <w:tcW w:w="464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Net sales:</w:t>
            </w: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r>
      <w:tr>
        <w:trPr>
          <w:trHeight w:val="218"/>
        </w:trPr>
        <w:tc>
          <w:tcPr>
            <w:tcW w:w="20" w:type="dxa"/>
            <w:vAlign w:val="bottom"/>
          </w:tcPr>
          <w:p>
            <w:pPr>
              <w:spacing w:after="0"/>
              <w:rPr>
                <w:sz w:val="18"/>
                <w:szCs w:val="18"/>
                <w:color w:val="auto"/>
              </w:rPr>
            </w:pPr>
          </w:p>
        </w:tc>
        <w:tc>
          <w:tcPr>
            <w:tcW w:w="4620" w:type="dxa"/>
            <w:vAlign w:val="bottom"/>
            <w:gridSpan w:val="2"/>
          </w:tcPr>
          <w:p>
            <w:pPr>
              <w:ind w:left="200"/>
              <w:spacing w:after="0"/>
              <w:rPr>
                <w:sz w:val="20"/>
                <w:szCs w:val="20"/>
                <w:color w:val="auto"/>
              </w:rPr>
            </w:pPr>
            <w:r>
              <w:rPr>
                <w:rFonts w:ascii="Arial" w:cs="Arial" w:eastAsia="Arial" w:hAnsi="Arial"/>
                <w:sz w:val="17"/>
                <w:szCs w:val="17"/>
                <w:color w:val="auto"/>
              </w:rPr>
              <w:t>Sales of goods</w:t>
            </w:r>
          </w:p>
        </w:tc>
        <w:tc>
          <w:tcPr>
            <w:tcW w:w="380" w:type="dxa"/>
            <w:vAlign w:val="bottom"/>
          </w:tcPr>
          <w:p>
            <w:pPr>
              <w:jc w:val="right"/>
              <w:ind w:right="194"/>
              <w:spacing w:after="0"/>
              <w:rPr>
                <w:sz w:val="20"/>
                <w:szCs w:val="20"/>
                <w:color w:val="auto"/>
              </w:rPr>
            </w:pPr>
            <w:r>
              <w:rPr>
                <w:rFonts w:ascii="Arial" w:cs="Arial" w:eastAsia="Arial" w:hAnsi="Arial"/>
                <w:sz w:val="17"/>
                <w:szCs w:val="17"/>
                <w:color w:val="auto"/>
                <w:w w:val="84"/>
              </w:rPr>
              <w:t>$</w:t>
            </w:r>
          </w:p>
        </w:tc>
        <w:tc>
          <w:tcPr>
            <w:tcW w:w="1240" w:type="dxa"/>
            <w:vAlign w:val="bottom"/>
          </w:tcPr>
          <w:p>
            <w:pPr>
              <w:jc w:val="right"/>
              <w:ind w:right="135"/>
              <w:spacing w:after="0"/>
              <w:rPr>
                <w:sz w:val="20"/>
                <w:szCs w:val="20"/>
                <w:color w:val="auto"/>
              </w:rPr>
            </w:pPr>
            <w:r>
              <w:rPr>
                <w:rFonts w:ascii="Arial" w:cs="Arial" w:eastAsia="Arial" w:hAnsi="Arial"/>
                <w:sz w:val="17"/>
                <w:szCs w:val="17"/>
                <w:color w:val="auto"/>
              </w:rPr>
              <w:t>3,654</w:t>
            </w:r>
          </w:p>
        </w:tc>
        <w:tc>
          <w:tcPr>
            <w:tcW w:w="100" w:type="dxa"/>
            <w:vAlign w:val="bottom"/>
          </w:tcPr>
          <w:p>
            <w:pPr>
              <w:spacing w:after="0"/>
              <w:rPr>
                <w:sz w:val="18"/>
                <w:szCs w:val="18"/>
                <w:color w:val="auto"/>
              </w:rPr>
            </w:pPr>
          </w:p>
        </w:tc>
        <w:tc>
          <w:tcPr>
            <w:tcW w:w="380" w:type="dxa"/>
            <w:vAlign w:val="bottom"/>
          </w:tcPr>
          <w:p>
            <w:pPr>
              <w:jc w:val="right"/>
              <w:ind w:right="194"/>
              <w:spacing w:after="0"/>
              <w:rPr>
                <w:sz w:val="20"/>
                <w:szCs w:val="20"/>
                <w:color w:val="auto"/>
              </w:rPr>
            </w:pPr>
            <w:r>
              <w:rPr>
                <w:rFonts w:ascii="Arial" w:cs="Arial" w:eastAsia="Arial" w:hAnsi="Arial"/>
                <w:sz w:val="17"/>
                <w:szCs w:val="17"/>
                <w:color w:val="auto"/>
                <w:w w:val="84"/>
              </w:rPr>
              <w:t>$</w:t>
            </w:r>
          </w:p>
        </w:tc>
        <w:tc>
          <w:tcPr>
            <w:tcW w:w="1280" w:type="dxa"/>
            <w:vAlign w:val="bottom"/>
          </w:tcPr>
          <w:p>
            <w:pPr>
              <w:jc w:val="right"/>
              <w:ind w:right="175"/>
              <w:spacing w:after="0"/>
              <w:rPr>
                <w:sz w:val="20"/>
                <w:szCs w:val="20"/>
                <w:color w:val="auto"/>
              </w:rPr>
            </w:pPr>
            <w:r>
              <w:rPr>
                <w:rFonts w:ascii="Arial" w:cs="Arial" w:eastAsia="Arial" w:hAnsi="Arial"/>
                <w:sz w:val="17"/>
                <w:szCs w:val="17"/>
                <w:color w:val="auto"/>
              </w:rPr>
              <w:t>3,014</w:t>
            </w:r>
          </w:p>
        </w:tc>
        <w:tc>
          <w:tcPr>
            <w:tcW w:w="340" w:type="dxa"/>
            <w:vAlign w:val="bottom"/>
          </w:tcPr>
          <w:p>
            <w:pPr>
              <w:jc w:val="right"/>
              <w:ind w:right="114"/>
              <w:spacing w:after="0"/>
              <w:rPr>
                <w:sz w:val="20"/>
                <w:szCs w:val="20"/>
                <w:color w:val="auto"/>
              </w:rPr>
            </w:pPr>
            <w:r>
              <w:rPr>
                <w:rFonts w:ascii="Arial" w:cs="Arial" w:eastAsia="Arial" w:hAnsi="Arial"/>
                <w:sz w:val="17"/>
                <w:szCs w:val="17"/>
                <w:color w:val="auto"/>
              </w:rPr>
              <w:t>$</w:t>
            </w:r>
          </w:p>
        </w:tc>
        <w:tc>
          <w:tcPr>
            <w:tcW w:w="1440" w:type="dxa"/>
            <w:vAlign w:val="bottom"/>
          </w:tcPr>
          <w:p>
            <w:pPr>
              <w:jc w:val="right"/>
              <w:ind w:right="255"/>
              <w:spacing w:after="0"/>
              <w:rPr>
                <w:sz w:val="20"/>
                <w:szCs w:val="20"/>
                <w:color w:val="auto"/>
              </w:rPr>
            </w:pPr>
            <w:r>
              <w:rPr>
                <w:rFonts w:ascii="Arial" w:cs="Arial" w:eastAsia="Arial" w:hAnsi="Arial"/>
                <w:sz w:val="17"/>
                <w:szCs w:val="17"/>
                <w:color w:val="auto"/>
              </w:rPr>
              <w:t>640</w:t>
            </w:r>
          </w:p>
        </w:tc>
        <w:tc>
          <w:tcPr>
            <w:tcW w:w="1440" w:type="dxa"/>
            <w:vAlign w:val="bottom"/>
          </w:tcPr>
          <w:p>
            <w:pPr>
              <w:jc w:val="right"/>
              <w:spacing w:after="0"/>
              <w:rPr>
                <w:sz w:val="20"/>
                <w:szCs w:val="20"/>
                <w:color w:val="auto"/>
              </w:rPr>
            </w:pPr>
            <w:r>
              <w:rPr>
                <w:rFonts w:ascii="Arial" w:cs="Arial" w:eastAsia="Arial" w:hAnsi="Arial"/>
                <w:sz w:val="17"/>
                <w:szCs w:val="17"/>
                <w:color w:val="auto"/>
              </w:rPr>
              <w:t>21.2 %</w:t>
            </w:r>
          </w:p>
        </w:tc>
      </w:tr>
      <w:tr>
        <w:trPr>
          <w:trHeight w:val="220"/>
        </w:trPr>
        <w:tc>
          <w:tcPr>
            <w:tcW w:w="20" w:type="dxa"/>
            <w:vAlign w:val="bottom"/>
            <w:shd w:val="clear" w:color="auto" w:fill="CCEEFF"/>
          </w:tcPr>
          <w:p>
            <w:pPr>
              <w:spacing w:after="0"/>
              <w:rPr>
                <w:sz w:val="19"/>
                <w:szCs w:val="19"/>
                <w:color w:val="auto"/>
              </w:rPr>
            </w:pPr>
          </w:p>
        </w:tc>
        <w:tc>
          <w:tcPr>
            <w:tcW w:w="462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Sales of services</w:t>
            </w: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color w:val="auto"/>
              </w:rPr>
              <w:t>1,510</w:t>
            </w:r>
          </w:p>
        </w:tc>
        <w:tc>
          <w:tcPr>
            <w:tcW w:w="10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75"/>
              <w:spacing w:after="0"/>
              <w:rPr>
                <w:sz w:val="20"/>
                <w:szCs w:val="20"/>
                <w:color w:val="auto"/>
              </w:rPr>
            </w:pPr>
            <w:r>
              <w:rPr>
                <w:rFonts w:ascii="Arial" w:cs="Arial" w:eastAsia="Arial" w:hAnsi="Arial"/>
                <w:sz w:val="17"/>
                <w:szCs w:val="17"/>
                <w:color w:val="auto"/>
              </w:rPr>
              <w:t>1,329</w:t>
            </w:r>
          </w:p>
        </w:tc>
        <w:tc>
          <w:tcPr>
            <w:tcW w:w="3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255"/>
              <w:spacing w:after="0"/>
              <w:rPr>
                <w:sz w:val="20"/>
                <w:szCs w:val="20"/>
                <w:color w:val="auto"/>
              </w:rPr>
            </w:pPr>
            <w:r>
              <w:rPr>
                <w:rFonts w:ascii="Arial" w:cs="Arial" w:eastAsia="Arial" w:hAnsi="Arial"/>
                <w:sz w:val="17"/>
                <w:szCs w:val="17"/>
                <w:color w:val="auto"/>
              </w:rPr>
              <w:t>181</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13.6 %</w:t>
            </w:r>
          </w:p>
        </w:tc>
      </w:tr>
      <w:tr>
        <w:trPr>
          <w:trHeight w:val="211"/>
        </w:trPr>
        <w:tc>
          <w:tcPr>
            <w:tcW w:w="20" w:type="dxa"/>
            <w:vAlign w:val="bottom"/>
          </w:tcPr>
          <w:p>
            <w:pPr>
              <w:spacing w:after="0"/>
              <w:rPr>
                <w:sz w:val="18"/>
                <w:szCs w:val="18"/>
                <w:color w:val="auto"/>
              </w:rPr>
            </w:pPr>
          </w:p>
        </w:tc>
        <w:tc>
          <w:tcPr>
            <w:tcW w:w="4620" w:type="dxa"/>
            <w:vAlign w:val="bottom"/>
            <w:gridSpan w:val="2"/>
          </w:tcPr>
          <w:p>
            <w:pPr>
              <w:ind w:left="320"/>
              <w:spacing w:after="0"/>
              <w:rPr>
                <w:sz w:val="20"/>
                <w:szCs w:val="20"/>
                <w:color w:val="auto"/>
              </w:rPr>
            </w:pPr>
            <w:r>
              <w:rPr>
                <w:rFonts w:ascii="Arial" w:cs="Arial" w:eastAsia="Arial" w:hAnsi="Arial"/>
                <w:sz w:val="17"/>
                <w:szCs w:val="17"/>
                <w:color w:val="auto"/>
              </w:rPr>
              <w:t>Total Net sales</w:t>
            </w:r>
          </w:p>
        </w:tc>
        <w:tc>
          <w:tcPr>
            <w:tcW w:w="380" w:type="dxa"/>
            <w:vAlign w:val="bottom"/>
          </w:tcPr>
          <w:p>
            <w:pPr>
              <w:jc w:val="right"/>
              <w:ind w:right="194"/>
              <w:spacing w:after="0"/>
              <w:rPr>
                <w:sz w:val="20"/>
                <w:szCs w:val="20"/>
                <w:color w:val="auto"/>
              </w:rPr>
            </w:pPr>
            <w:r>
              <w:rPr>
                <w:rFonts w:ascii="Arial" w:cs="Arial" w:eastAsia="Arial" w:hAnsi="Arial"/>
                <w:sz w:val="17"/>
                <w:szCs w:val="17"/>
                <w:color w:val="auto"/>
                <w:w w:val="84"/>
              </w:rPr>
              <w:t>$</w:t>
            </w:r>
          </w:p>
        </w:tc>
        <w:tc>
          <w:tcPr>
            <w:tcW w:w="1240" w:type="dxa"/>
            <w:vAlign w:val="bottom"/>
          </w:tcPr>
          <w:p>
            <w:pPr>
              <w:jc w:val="right"/>
              <w:ind w:right="135"/>
              <w:spacing w:after="0"/>
              <w:rPr>
                <w:sz w:val="20"/>
                <w:szCs w:val="20"/>
                <w:color w:val="auto"/>
              </w:rPr>
            </w:pPr>
            <w:r>
              <w:rPr>
                <w:rFonts w:ascii="Arial" w:cs="Arial" w:eastAsia="Arial" w:hAnsi="Arial"/>
                <w:sz w:val="17"/>
                <w:szCs w:val="17"/>
                <w:color w:val="auto"/>
              </w:rPr>
              <w:t>5,164</w:t>
            </w:r>
          </w:p>
        </w:tc>
        <w:tc>
          <w:tcPr>
            <w:tcW w:w="100" w:type="dxa"/>
            <w:vAlign w:val="bottom"/>
          </w:tcPr>
          <w:p>
            <w:pPr>
              <w:spacing w:after="0"/>
              <w:rPr>
                <w:sz w:val="18"/>
                <w:szCs w:val="18"/>
                <w:color w:val="auto"/>
              </w:rPr>
            </w:pPr>
          </w:p>
        </w:tc>
        <w:tc>
          <w:tcPr>
            <w:tcW w:w="380" w:type="dxa"/>
            <w:vAlign w:val="bottom"/>
          </w:tcPr>
          <w:p>
            <w:pPr>
              <w:jc w:val="right"/>
              <w:ind w:right="194"/>
              <w:spacing w:after="0"/>
              <w:rPr>
                <w:sz w:val="20"/>
                <w:szCs w:val="20"/>
                <w:color w:val="auto"/>
              </w:rPr>
            </w:pPr>
            <w:r>
              <w:rPr>
                <w:rFonts w:ascii="Arial" w:cs="Arial" w:eastAsia="Arial" w:hAnsi="Arial"/>
                <w:sz w:val="17"/>
                <w:szCs w:val="17"/>
                <w:color w:val="auto"/>
                <w:w w:val="84"/>
              </w:rPr>
              <w:t>$</w:t>
            </w:r>
          </w:p>
        </w:tc>
        <w:tc>
          <w:tcPr>
            <w:tcW w:w="1280" w:type="dxa"/>
            <w:vAlign w:val="bottom"/>
          </w:tcPr>
          <w:p>
            <w:pPr>
              <w:jc w:val="right"/>
              <w:ind w:right="175"/>
              <w:spacing w:after="0"/>
              <w:rPr>
                <w:sz w:val="20"/>
                <w:szCs w:val="20"/>
                <w:color w:val="auto"/>
              </w:rPr>
            </w:pPr>
            <w:r>
              <w:rPr>
                <w:rFonts w:ascii="Arial" w:cs="Arial" w:eastAsia="Arial" w:hAnsi="Arial"/>
                <w:sz w:val="17"/>
                <w:szCs w:val="17"/>
                <w:color w:val="auto"/>
              </w:rPr>
              <w:t>4,343</w:t>
            </w:r>
          </w:p>
        </w:tc>
        <w:tc>
          <w:tcPr>
            <w:tcW w:w="340" w:type="dxa"/>
            <w:vAlign w:val="bottom"/>
          </w:tcPr>
          <w:p>
            <w:pPr>
              <w:jc w:val="right"/>
              <w:ind w:right="114"/>
              <w:spacing w:after="0"/>
              <w:rPr>
                <w:sz w:val="20"/>
                <w:szCs w:val="20"/>
                <w:color w:val="auto"/>
              </w:rPr>
            </w:pPr>
            <w:r>
              <w:rPr>
                <w:rFonts w:ascii="Arial" w:cs="Arial" w:eastAsia="Arial" w:hAnsi="Arial"/>
                <w:sz w:val="17"/>
                <w:szCs w:val="17"/>
                <w:color w:val="auto"/>
              </w:rPr>
              <w:t>$</w:t>
            </w:r>
          </w:p>
        </w:tc>
        <w:tc>
          <w:tcPr>
            <w:tcW w:w="1440" w:type="dxa"/>
            <w:vAlign w:val="bottom"/>
          </w:tcPr>
          <w:p>
            <w:pPr>
              <w:jc w:val="right"/>
              <w:ind w:right="255"/>
              <w:spacing w:after="0"/>
              <w:rPr>
                <w:sz w:val="20"/>
                <w:szCs w:val="20"/>
                <w:color w:val="auto"/>
              </w:rPr>
            </w:pPr>
            <w:r>
              <w:rPr>
                <w:rFonts w:ascii="Arial" w:cs="Arial" w:eastAsia="Arial" w:hAnsi="Arial"/>
                <w:sz w:val="17"/>
                <w:szCs w:val="17"/>
                <w:color w:val="auto"/>
              </w:rPr>
              <w:t>821</w:t>
            </w:r>
          </w:p>
        </w:tc>
        <w:tc>
          <w:tcPr>
            <w:tcW w:w="1440" w:type="dxa"/>
            <w:vAlign w:val="bottom"/>
          </w:tcPr>
          <w:p>
            <w:pPr>
              <w:jc w:val="right"/>
              <w:spacing w:after="0"/>
              <w:rPr>
                <w:sz w:val="20"/>
                <w:szCs w:val="20"/>
                <w:color w:val="auto"/>
              </w:rPr>
            </w:pPr>
            <w:r>
              <w:rPr>
                <w:rFonts w:ascii="Arial" w:cs="Arial" w:eastAsia="Arial" w:hAnsi="Arial"/>
                <w:sz w:val="17"/>
                <w:szCs w:val="17"/>
                <w:color w:val="auto"/>
              </w:rPr>
              <w:t>18.9 %</w:t>
            </w:r>
          </w:p>
        </w:tc>
      </w:tr>
      <w:tr>
        <w:trPr>
          <w:trHeight w:val="220"/>
        </w:trPr>
        <w:tc>
          <w:tcPr>
            <w:tcW w:w="464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Cost of sales:</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4620" w:type="dxa"/>
            <w:vAlign w:val="bottom"/>
            <w:gridSpan w:val="2"/>
          </w:tcPr>
          <w:p>
            <w:pPr>
              <w:ind w:left="200"/>
              <w:spacing w:after="0"/>
              <w:rPr>
                <w:sz w:val="20"/>
                <w:szCs w:val="20"/>
                <w:color w:val="auto"/>
              </w:rPr>
            </w:pPr>
            <w:r>
              <w:rPr>
                <w:rFonts w:ascii="Arial" w:cs="Arial" w:eastAsia="Arial" w:hAnsi="Arial"/>
                <w:sz w:val="17"/>
                <w:szCs w:val="17"/>
                <w:color w:val="auto"/>
              </w:rPr>
              <w:t>Cost of goods</w:t>
            </w:r>
          </w:p>
        </w:tc>
        <w:tc>
          <w:tcPr>
            <w:tcW w:w="380" w:type="dxa"/>
            <w:vAlign w:val="bottom"/>
          </w:tcPr>
          <w:p>
            <w:pPr>
              <w:jc w:val="right"/>
              <w:ind w:right="194"/>
              <w:spacing w:after="0"/>
              <w:rPr>
                <w:sz w:val="20"/>
                <w:szCs w:val="20"/>
                <w:color w:val="auto"/>
              </w:rPr>
            </w:pPr>
            <w:r>
              <w:rPr>
                <w:rFonts w:ascii="Arial" w:cs="Arial" w:eastAsia="Arial" w:hAnsi="Arial"/>
                <w:sz w:val="17"/>
                <w:szCs w:val="17"/>
                <w:color w:val="auto"/>
                <w:w w:val="84"/>
              </w:rPr>
              <w:t>$</w:t>
            </w:r>
          </w:p>
        </w:tc>
        <w:tc>
          <w:tcPr>
            <w:tcW w:w="1240" w:type="dxa"/>
            <w:vAlign w:val="bottom"/>
          </w:tcPr>
          <w:p>
            <w:pPr>
              <w:jc w:val="right"/>
              <w:ind w:right="95"/>
              <w:spacing w:after="0"/>
              <w:rPr>
                <w:sz w:val="20"/>
                <w:szCs w:val="20"/>
                <w:color w:val="auto"/>
              </w:rPr>
            </w:pPr>
            <w:r>
              <w:rPr>
                <w:rFonts w:ascii="Arial" w:cs="Arial" w:eastAsia="Arial" w:hAnsi="Arial"/>
                <w:sz w:val="17"/>
                <w:szCs w:val="17"/>
                <w:color w:val="auto"/>
              </w:rPr>
              <w:t>(2,701)</w:t>
            </w:r>
          </w:p>
        </w:tc>
        <w:tc>
          <w:tcPr>
            <w:tcW w:w="100" w:type="dxa"/>
            <w:vAlign w:val="bottom"/>
          </w:tcPr>
          <w:p>
            <w:pPr>
              <w:spacing w:after="0"/>
              <w:rPr>
                <w:sz w:val="18"/>
                <w:szCs w:val="18"/>
                <w:color w:val="auto"/>
              </w:rPr>
            </w:pPr>
          </w:p>
        </w:tc>
        <w:tc>
          <w:tcPr>
            <w:tcW w:w="380" w:type="dxa"/>
            <w:vAlign w:val="bottom"/>
          </w:tcPr>
          <w:p>
            <w:pPr>
              <w:jc w:val="right"/>
              <w:ind w:right="194"/>
              <w:spacing w:after="0"/>
              <w:rPr>
                <w:sz w:val="20"/>
                <w:szCs w:val="20"/>
                <w:color w:val="auto"/>
              </w:rPr>
            </w:pPr>
            <w:r>
              <w:rPr>
                <w:rFonts w:ascii="Arial" w:cs="Arial" w:eastAsia="Arial" w:hAnsi="Arial"/>
                <w:sz w:val="17"/>
                <w:szCs w:val="17"/>
                <w:color w:val="auto"/>
                <w:w w:val="84"/>
              </w:rPr>
              <w:t>$</w:t>
            </w:r>
          </w:p>
        </w:tc>
        <w:tc>
          <w:tcPr>
            <w:tcW w:w="1280" w:type="dxa"/>
            <w:vAlign w:val="bottom"/>
          </w:tcPr>
          <w:p>
            <w:pPr>
              <w:jc w:val="right"/>
              <w:ind w:right="135"/>
              <w:spacing w:after="0"/>
              <w:rPr>
                <w:sz w:val="20"/>
                <w:szCs w:val="20"/>
                <w:color w:val="auto"/>
              </w:rPr>
            </w:pPr>
            <w:r>
              <w:rPr>
                <w:rFonts w:ascii="Arial" w:cs="Arial" w:eastAsia="Arial" w:hAnsi="Arial"/>
                <w:sz w:val="17"/>
                <w:szCs w:val="17"/>
                <w:color w:val="auto"/>
              </w:rPr>
              <w:t>(2,203)</w:t>
            </w:r>
          </w:p>
        </w:tc>
        <w:tc>
          <w:tcPr>
            <w:tcW w:w="340" w:type="dxa"/>
            <w:vAlign w:val="bottom"/>
          </w:tcPr>
          <w:p>
            <w:pPr>
              <w:jc w:val="right"/>
              <w:ind w:right="114"/>
              <w:spacing w:after="0"/>
              <w:rPr>
                <w:sz w:val="20"/>
                <w:szCs w:val="20"/>
                <w:color w:val="auto"/>
              </w:rPr>
            </w:pPr>
            <w:r>
              <w:rPr>
                <w:rFonts w:ascii="Arial" w:cs="Arial" w:eastAsia="Arial" w:hAnsi="Arial"/>
                <w:sz w:val="17"/>
                <w:szCs w:val="17"/>
                <w:color w:val="auto"/>
              </w:rPr>
              <w:t>$</w:t>
            </w:r>
          </w:p>
        </w:tc>
        <w:tc>
          <w:tcPr>
            <w:tcW w:w="1440" w:type="dxa"/>
            <w:vAlign w:val="bottom"/>
          </w:tcPr>
          <w:p>
            <w:pPr>
              <w:jc w:val="right"/>
              <w:ind w:right="255"/>
              <w:spacing w:after="0"/>
              <w:rPr>
                <w:sz w:val="20"/>
                <w:szCs w:val="20"/>
                <w:color w:val="auto"/>
              </w:rPr>
            </w:pPr>
            <w:r>
              <w:rPr>
                <w:rFonts w:ascii="Arial" w:cs="Arial" w:eastAsia="Arial" w:hAnsi="Arial"/>
                <w:sz w:val="17"/>
                <w:szCs w:val="17"/>
                <w:color w:val="auto"/>
              </w:rPr>
              <w:t>498</w:t>
            </w:r>
          </w:p>
        </w:tc>
        <w:tc>
          <w:tcPr>
            <w:tcW w:w="1440" w:type="dxa"/>
            <w:vAlign w:val="bottom"/>
          </w:tcPr>
          <w:p>
            <w:pPr>
              <w:jc w:val="right"/>
              <w:spacing w:after="0"/>
              <w:rPr>
                <w:sz w:val="20"/>
                <w:szCs w:val="20"/>
                <w:color w:val="auto"/>
              </w:rPr>
            </w:pPr>
            <w:r>
              <w:rPr>
                <w:rFonts w:ascii="Arial" w:cs="Arial" w:eastAsia="Arial" w:hAnsi="Arial"/>
                <w:sz w:val="17"/>
                <w:szCs w:val="17"/>
                <w:color w:val="auto"/>
              </w:rPr>
              <w:t>22.6 %</w:t>
            </w:r>
          </w:p>
        </w:tc>
      </w:tr>
      <w:tr>
        <w:trPr>
          <w:trHeight w:val="220"/>
        </w:trPr>
        <w:tc>
          <w:tcPr>
            <w:tcW w:w="20" w:type="dxa"/>
            <w:vAlign w:val="bottom"/>
            <w:shd w:val="clear" w:color="auto" w:fill="CCEEFF"/>
          </w:tcPr>
          <w:p>
            <w:pPr>
              <w:spacing w:after="0"/>
              <w:rPr>
                <w:sz w:val="19"/>
                <w:szCs w:val="19"/>
                <w:color w:val="auto"/>
              </w:rPr>
            </w:pPr>
          </w:p>
        </w:tc>
        <w:tc>
          <w:tcPr>
            <w:tcW w:w="462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Cost of services</w:t>
            </w: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color w:val="auto"/>
              </w:rPr>
              <w:t>(831)</w:t>
            </w:r>
          </w:p>
        </w:tc>
        <w:tc>
          <w:tcPr>
            <w:tcW w:w="10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color w:val="auto"/>
              </w:rPr>
              <w:t>(726)</w:t>
            </w:r>
          </w:p>
        </w:tc>
        <w:tc>
          <w:tcPr>
            <w:tcW w:w="3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255"/>
              <w:spacing w:after="0"/>
              <w:rPr>
                <w:sz w:val="20"/>
                <w:szCs w:val="20"/>
                <w:color w:val="auto"/>
              </w:rPr>
            </w:pPr>
            <w:r>
              <w:rPr>
                <w:rFonts w:ascii="Arial" w:cs="Arial" w:eastAsia="Arial" w:hAnsi="Arial"/>
                <w:sz w:val="17"/>
                <w:szCs w:val="17"/>
                <w:color w:val="auto"/>
              </w:rPr>
              <w:t>105</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14.5 %</w:t>
            </w:r>
          </w:p>
        </w:tc>
      </w:tr>
      <w:tr>
        <w:trPr>
          <w:trHeight w:val="211"/>
        </w:trPr>
        <w:tc>
          <w:tcPr>
            <w:tcW w:w="20" w:type="dxa"/>
            <w:vAlign w:val="bottom"/>
            <w:tcBorders>
              <w:bottom w:val="single" w:sz="8" w:color="CCEEFF"/>
            </w:tcBorders>
          </w:tcPr>
          <w:p>
            <w:pPr>
              <w:spacing w:after="0"/>
              <w:rPr>
                <w:sz w:val="18"/>
                <w:szCs w:val="18"/>
                <w:color w:val="auto"/>
              </w:rPr>
            </w:pPr>
          </w:p>
        </w:tc>
        <w:tc>
          <w:tcPr>
            <w:tcW w:w="4620" w:type="dxa"/>
            <w:vAlign w:val="bottom"/>
            <w:tcBorders>
              <w:bottom w:val="single" w:sz="8" w:color="CCEEFF"/>
            </w:tcBorders>
            <w:gridSpan w:val="2"/>
          </w:tcPr>
          <w:p>
            <w:pPr>
              <w:ind w:left="320"/>
              <w:spacing w:after="0"/>
              <w:rPr>
                <w:sz w:val="20"/>
                <w:szCs w:val="20"/>
                <w:color w:val="auto"/>
              </w:rPr>
            </w:pPr>
            <w:r>
              <w:rPr>
                <w:rFonts w:ascii="Arial" w:cs="Arial" w:eastAsia="Arial" w:hAnsi="Arial"/>
                <w:sz w:val="17"/>
                <w:szCs w:val="17"/>
                <w:color w:val="auto"/>
              </w:rPr>
              <w:t>Total cost of sales</w:t>
            </w:r>
          </w:p>
        </w:tc>
        <w:tc>
          <w:tcPr>
            <w:tcW w:w="380" w:type="dxa"/>
            <w:vAlign w:val="bottom"/>
            <w:tcBorders>
              <w:bottom w:val="single" w:sz="8" w:color="auto"/>
            </w:tcBorders>
          </w:tcPr>
          <w:p>
            <w:pPr>
              <w:jc w:val="right"/>
              <w:ind w:right="194"/>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(3,532)</w:t>
            </w:r>
          </w:p>
        </w:tc>
        <w:tc>
          <w:tcPr>
            <w:tcW w:w="1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ind w:right="194"/>
              <w:spacing w:after="0"/>
              <w:rPr>
                <w:sz w:val="20"/>
                <w:szCs w:val="20"/>
                <w:color w:val="auto"/>
              </w:rPr>
            </w:pPr>
            <w:r>
              <w:rPr>
                <w:rFonts w:ascii="Arial" w:cs="Arial" w:eastAsia="Arial" w:hAnsi="Arial"/>
                <w:sz w:val="17"/>
                <w:szCs w:val="17"/>
                <w:color w:val="auto"/>
                <w:w w:val="84"/>
              </w:rPr>
              <w:t>$</w:t>
            </w:r>
          </w:p>
        </w:tc>
        <w:tc>
          <w:tcPr>
            <w:tcW w:w="128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rPr>
              <w:t>(2,929)</w:t>
            </w:r>
          </w:p>
        </w:tc>
        <w:tc>
          <w:tcPr>
            <w:tcW w:w="34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rPr>
              <w:t>$</w:t>
            </w:r>
          </w:p>
        </w:tc>
        <w:tc>
          <w:tcPr>
            <w:tcW w:w="1440" w:type="dxa"/>
            <w:vAlign w:val="bottom"/>
            <w:tcBorders>
              <w:bottom w:val="single" w:sz="8" w:color="auto"/>
            </w:tcBorders>
          </w:tcPr>
          <w:p>
            <w:pPr>
              <w:jc w:val="right"/>
              <w:ind w:right="255"/>
              <w:spacing w:after="0"/>
              <w:rPr>
                <w:sz w:val="20"/>
                <w:szCs w:val="20"/>
                <w:color w:val="auto"/>
              </w:rPr>
            </w:pPr>
            <w:r>
              <w:rPr>
                <w:rFonts w:ascii="Arial" w:cs="Arial" w:eastAsia="Arial" w:hAnsi="Arial"/>
                <w:sz w:val="17"/>
                <w:szCs w:val="17"/>
                <w:color w:val="auto"/>
              </w:rPr>
              <w:t>603</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20.6 %</w:t>
            </w:r>
          </w:p>
        </w:tc>
      </w:tr>
      <w:tr>
        <w:trPr>
          <w:trHeight w:val="213"/>
        </w:trPr>
        <w:tc>
          <w:tcPr>
            <w:tcW w:w="4640" w:type="dxa"/>
            <w:vAlign w:val="bottom"/>
            <w:gridSpan w:val="3"/>
            <w:shd w:val="clear" w:color="auto" w:fill="CCEEFF"/>
          </w:tcPr>
          <w:p>
            <w:pPr>
              <w:ind w:left="20"/>
              <w:spacing w:after="0"/>
              <w:rPr>
                <w:sz w:val="20"/>
                <w:szCs w:val="20"/>
                <w:color w:val="auto"/>
              </w:rPr>
            </w:pPr>
            <w:r>
              <w:rPr>
                <w:rFonts w:ascii="Arial" w:cs="Arial" w:eastAsia="Arial" w:hAnsi="Arial"/>
                <w:sz w:val="17"/>
                <w:szCs w:val="17"/>
                <w:i w:val="1"/>
                <w:iCs w:val="1"/>
                <w:color w:val="auto"/>
              </w:rPr>
              <w:t>Cost of Sales (% of net sales)</w:t>
            </w: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i w:val="1"/>
                <w:iCs w:val="1"/>
                <w:color w:val="auto"/>
              </w:rPr>
              <w:t>68.4 %</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i w:val="1"/>
                <w:iCs w:val="1"/>
                <w:color w:val="auto"/>
              </w:rPr>
              <w:t>67.4 %</w:t>
            </w:r>
          </w:p>
        </w:tc>
        <w:tc>
          <w:tcPr>
            <w:tcW w:w="3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95"/>
              <w:spacing w:after="0"/>
              <w:rPr>
                <w:sz w:val="20"/>
                <w:szCs w:val="20"/>
                <w:color w:val="auto"/>
              </w:rPr>
            </w:pPr>
            <w:r>
              <w:rPr>
                <w:rFonts w:ascii="Arial" w:cs="Arial" w:eastAsia="Arial" w:hAnsi="Arial"/>
                <w:sz w:val="17"/>
                <w:szCs w:val="17"/>
                <w:i w:val="1"/>
                <w:iCs w:val="1"/>
                <w:color w:val="auto"/>
              </w:rPr>
              <w:t>1.0</w:t>
            </w:r>
          </w:p>
        </w:tc>
        <w:tc>
          <w:tcPr>
            <w:tcW w:w="1440" w:type="dxa"/>
            <w:vAlign w:val="bottom"/>
            <w:shd w:val="clear" w:color="auto" w:fill="CCEEFF"/>
          </w:tcPr>
          <w:p>
            <w:pPr>
              <w:spacing w:after="0"/>
              <w:rPr>
                <w:sz w:val="18"/>
                <w:szCs w:val="18"/>
                <w:color w:val="auto"/>
              </w:rPr>
            </w:pPr>
          </w:p>
        </w:tc>
      </w:tr>
      <w:tr>
        <w:trPr>
          <w:trHeight w:val="103"/>
        </w:trPr>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440" w:type="dxa"/>
            <w:vAlign w:val="bottom"/>
          </w:tcPr>
          <w:p>
            <w:pPr>
              <w:spacing w:after="0"/>
              <w:rPr>
                <w:sz w:val="8"/>
                <w:szCs w:val="8"/>
                <w:color w:val="auto"/>
              </w:rPr>
            </w:pPr>
          </w:p>
        </w:tc>
      </w:tr>
      <w:tr>
        <w:trPr>
          <w:trHeight w:val="219"/>
        </w:trPr>
        <w:tc>
          <w:tcPr>
            <w:tcW w:w="464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Gross profit</w:t>
            </w:r>
          </w:p>
        </w:tc>
        <w:tc>
          <w:tcPr>
            <w:tcW w:w="38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1,632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128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1,414</w:t>
            </w:r>
          </w:p>
        </w:tc>
        <w:tc>
          <w:tcPr>
            <w:tcW w:w="34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1440" w:type="dxa"/>
            <w:vAlign w:val="bottom"/>
            <w:shd w:val="clear" w:color="auto" w:fill="CCEEFF"/>
          </w:tcPr>
          <w:p>
            <w:pPr>
              <w:jc w:val="right"/>
              <w:ind w:right="255"/>
              <w:spacing w:after="0"/>
              <w:rPr>
                <w:sz w:val="20"/>
                <w:szCs w:val="20"/>
                <w:color w:val="auto"/>
              </w:rPr>
            </w:pPr>
            <w:r>
              <w:rPr>
                <w:rFonts w:ascii="Arial" w:cs="Arial" w:eastAsia="Arial" w:hAnsi="Arial"/>
                <w:sz w:val="17"/>
                <w:szCs w:val="17"/>
                <w:color w:val="auto"/>
              </w:rPr>
              <w:t>218</w:t>
            </w: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15.4 %</w:t>
            </w:r>
          </w:p>
        </w:tc>
      </w:tr>
      <w:tr>
        <w:trPr>
          <w:trHeight w:val="103"/>
        </w:trPr>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440" w:type="dxa"/>
            <w:vAlign w:val="bottom"/>
          </w:tcPr>
          <w:p>
            <w:pPr>
              <w:spacing w:after="0"/>
              <w:rPr>
                <w:sz w:val="8"/>
                <w:szCs w:val="8"/>
                <w:color w:val="auto"/>
              </w:rPr>
            </w:pPr>
          </w:p>
        </w:tc>
      </w:tr>
      <w:tr>
        <w:trPr>
          <w:trHeight w:val="218"/>
        </w:trPr>
        <w:tc>
          <w:tcPr>
            <w:tcW w:w="464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Operating expenses</w:t>
            </w:r>
          </w:p>
        </w:tc>
        <w:tc>
          <w:tcPr>
            <w:tcW w:w="3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color w:val="auto"/>
              </w:rPr>
              <w:t>(807)</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color w:val="auto"/>
              </w:rPr>
              <w:t>(759)</w:t>
            </w:r>
          </w:p>
        </w:tc>
        <w:tc>
          <w:tcPr>
            <w:tcW w:w="3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255"/>
              <w:spacing w:after="0"/>
              <w:rPr>
                <w:sz w:val="20"/>
                <w:szCs w:val="20"/>
                <w:color w:val="auto"/>
              </w:rPr>
            </w:pPr>
            <w:r>
              <w:rPr>
                <w:rFonts w:ascii="Arial" w:cs="Arial" w:eastAsia="Arial" w:hAnsi="Arial"/>
                <w:sz w:val="17"/>
                <w:szCs w:val="17"/>
                <w:color w:val="auto"/>
              </w:rPr>
              <w:t>48</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6.3 %</w:t>
            </w:r>
          </w:p>
        </w:tc>
      </w:tr>
      <w:tr>
        <w:trPr>
          <w:trHeight w:val="84"/>
        </w:trPr>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0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1440" w:type="dxa"/>
            <w:vAlign w:val="bottom"/>
          </w:tcPr>
          <w:p>
            <w:pPr>
              <w:spacing w:after="0"/>
              <w:rPr>
                <w:sz w:val="7"/>
                <w:szCs w:val="7"/>
                <w:color w:val="auto"/>
              </w:rPr>
            </w:pPr>
          </w:p>
        </w:tc>
      </w:tr>
      <w:tr>
        <w:trPr>
          <w:trHeight w:val="244"/>
        </w:trPr>
        <w:tc>
          <w:tcPr>
            <w:tcW w:w="46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7"/>
                <w:szCs w:val="17"/>
                <w:color w:val="auto"/>
              </w:rPr>
              <w:t>Income from operations</w:t>
            </w:r>
          </w:p>
        </w:tc>
        <w:tc>
          <w:tcPr>
            <w:tcW w:w="38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color w:val="auto"/>
              </w:rPr>
              <w:t>825</w:t>
            </w:r>
          </w:p>
        </w:tc>
        <w:tc>
          <w:tcPr>
            <w:tcW w:w="100" w:type="dxa"/>
            <w:vAlign w:val="bottom"/>
            <w:tcBorders>
              <w:bottom w:val="single" w:sz="8" w:color="auto"/>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1280" w:type="dxa"/>
            <w:vAlign w:val="bottom"/>
            <w:tcBorders>
              <w:bottom w:val="single" w:sz="8" w:color="auto"/>
            </w:tcBorders>
            <w:shd w:val="clear" w:color="auto" w:fill="CCEEFF"/>
          </w:tcPr>
          <w:p>
            <w:pPr>
              <w:jc w:val="right"/>
              <w:ind w:right="175"/>
              <w:spacing w:after="0"/>
              <w:rPr>
                <w:sz w:val="20"/>
                <w:szCs w:val="20"/>
                <w:color w:val="auto"/>
              </w:rPr>
            </w:pPr>
            <w:r>
              <w:rPr>
                <w:rFonts w:ascii="Arial" w:cs="Arial" w:eastAsia="Arial" w:hAnsi="Arial"/>
                <w:sz w:val="17"/>
                <w:szCs w:val="17"/>
                <w:color w:val="auto"/>
              </w:rPr>
              <w:t>655</w:t>
            </w:r>
          </w:p>
        </w:tc>
        <w:tc>
          <w:tcPr>
            <w:tcW w:w="34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1440" w:type="dxa"/>
            <w:vAlign w:val="bottom"/>
            <w:tcBorders>
              <w:bottom w:val="single" w:sz="8" w:color="auto"/>
            </w:tcBorders>
            <w:shd w:val="clear" w:color="auto" w:fill="CCEEFF"/>
          </w:tcPr>
          <w:p>
            <w:pPr>
              <w:jc w:val="right"/>
              <w:ind w:right="255"/>
              <w:spacing w:after="0"/>
              <w:rPr>
                <w:sz w:val="20"/>
                <w:szCs w:val="20"/>
                <w:color w:val="auto"/>
              </w:rPr>
            </w:pPr>
            <w:r>
              <w:rPr>
                <w:rFonts w:ascii="Arial" w:cs="Arial" w:eastAsia="Arial" w:hAnsi="Arial"/>
                <w:sz w:val="17"/>
                <w:szCs w:val="17"/>
                <w:color w:val="auto"/>
              </w:rPr>
              <w:t>170</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26.0 %</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40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r>
        <w:trPr>
          <w:trHeight w:val="191"/>
        </w:trPr>
        <w:tc>
          <w:tcPr>
            <w:tcW w:w="4640" w:type="dxa"/>
            <w:vAlign w:val="bottom"/>
            <w:gridSpan w:val="3"/>
          </w:tcPr>
          <w:p>
            <w:pPr>
              <w:ind w:left="20"/>
              <w:spacing w:after="0" w:line="191" w:lineRule="exact"/>
              <w:rPr>
                <w:sz w:val="20"/>
                <w:szCs w:val="20"/>
                <w:color w:val="auto"/>
              </w:rPr>
            </w:pPr>
            <w:r>
              <w:rPr>
                <w:rFonts w:ascii="Arial" w:cs="Arial" w:eastAsia="Arial" w:hAnsi="Arial"/>
                <w:sz w:val="17"/>
                <w:szCs w:val="17"/>
                <w:color w:val="auto"/>
              </w:rPr>
              <w:t>Income from operations (% of net sales)</w:t>
            </w: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line="191" w:lineRule="exact"/>
              <w:rPr>
                <w:sz w:val="20"/>
                <w:szCs w:val="20"/>
                <w:color w:val="auto"/>
              </w:rPr>
            </w:pPr>
            <w:r>
              <w:rPr>
                <w:rFonts w:ascii="Arial" w:cs="Arial" w:eastAsia="Arial" w:hAnsi="Arial"/>
                <w:sz w:val="17"/>
                <w:szCs w:val="17"/>
                <w:color w:val="auto"/>
              </w:rPr>
              <w:t>16.0 %</w:t>
            </w: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line="191" w:lineRule="exact"/>
              <w:rPr>
                <w:sz w:val="20"/>
                <w:szCs w:val="20"/>
                <w:color w:val="auto"/>
              </w:rPr>
            </w:pPr>
            <w:r>
              <w:rPr>
                <w:rFonts w:ascii="Arial" w:cs="Arial" w:eastAsia="Arial" w:hAnsi="Arial"/>
                <w:sz w:val="17"/>
                <w:szCs w:val="17"/>
                <w:color w:val="auto"/>
              </w:rPr>
              <w:t>15.1 %</w:t>
            </w:r>
          </w:p>
        </w:tc>
        <w:tc>
          <w:tcPr>
            <w:tcW w:w="3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195"/>
              <w:spacing w:after="0" w:line="191" w:lineRule="exact"/>
              <w:rPr>
                <w:sz w:val="20"/>
                <w:szCs w:val="20"/>
                <w:color w:val="auto"/>
              </w:rPr>
            </w:pPr>
            <w:r>
              <w:rPr>
                <w:rFonts w:ascii="Arial" w:cs="Arial" w:eastAsia="Arial" w:hAnsi="Arial"/>
                <w:sz w:val="17"/>
                <w:szCs w:val="17"/>
                <w:color w:val="auto"/>
              </w:rPr>
              <w:t>0.9</w:t>
            </w:r>
          </w:p>
        </w:tc>
        <w:tc>
          <w:tcPr>
            <w:tcW w:w="1440" w:type="dxa"/>
            <w:vAlign w:val="bottom"/>
            <w:tcBorders>
              <w:bottom w:val="single" w:sz="8" w:color="auto"/>
            </w:tcBorders>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181" w:lineRule="exact"/>
        <w:rPr>
          <w:sz w:val="20"/>
          <w:szCs w:val="20"/>
          <w:color w:val="auto"/>
        </w:rPr>
      </w:pPr>
    </w:p>
    <w:p>
      <w:pPr>
        <w:ind w:right="380" w:firstLine="464"/>
        <w:spacing w:after="0" w:line="273" w:lineRule="auto"/>
        <w:rPr>
          <w:sz w:val="20"/>
          <w:szCs w:val="20"/>
          <w:color w:val="auto"/>
        </w:rPr>
      </w:pPr>
      <w:r>
        <w:rPr>
          <w:rFonts w:ascii="Arial" w:cs="Arial" w:eastAsia="Arial" w:hAnsi="Arial"/>
          <w:sz w:val="17"/>
          <w:szCs w:val="17"/>
          <w:color w:val="auto"/>
        </w:rPr>
        <w:t>The following table shows the major components of the change in Net sales for the Freight Segment in the first nine months of 2023 from the first nine months of 2022:</w:t>
      </w:r>
    </w:p>
    <w:tbl>
      <w:tblPr>
        <w:tblLayout w:type="fixed"/>
        <w:tblInd w:w="0" w:type="dxa"/>
        <w:tblCellMar>
          <w:top w:w="0" w:type="dxa"/>
          <w:left w:w="0" w:type="dxa"/>
          <w:bottom w:w="0" w:type="dxa"/>
          <w:right w:w="0" w:type="dxa"/>
        </w:tblCellMar>
      </w:tblPr>
      <w:tr>
        <w:trPr>
          <w:trHeight w:val="148"/>
        </w:trPr>
        <w:tc>
          <w:tcPr>
            <w:tcW w:w="9720" w:type="dxa"/>
            <w:vAlign w:val="bottom"/>
            <w:gridSpan w:val="3"/>
          </w:tcPr>
          <w:p>
            <w:pPr>
              <w:ind w:left="20"/>
              <w:spacing w:after="0" w:line="148" w:lineRule="exact"/>
              <w:rPr>
                <w:sz w:val="20"/>
                <w:szCs w:val="20"/>
                <w:color w:val="auto"/>
              </w:rPr>
            </w:pPr>
            <w:r>
              <w:rPr>
                <w:rFonts w:ascii="Arial" w:cs="Arial" w:eastAsia="Arial" w:hAnsi="Arial"/>
                <w:sz w:val="14"/>
                <w:szCs w:val="14"/>
                <w:b w:val="1"/>
                <w:bCs w:val="1"/>
                <w:i w:val="1"/>
                <w:iCs w:val="1"/>
                <w:color w:val="auto"/>
              </w:rPr>
              <w:t>In millions</w:t>
            </w:r>
          </w:p>
        </w:tc>
        <w:tc>
          <w:tcPr>
            <w:tcW w:w="580" w:type="dxa"/>
            <w:vAlign w:val="bottom"/>
          </w:tcPr>
          <w:p>
            <w:pPr>
              <w:spacing w:after="0"/>
              <w:rPr>
                <w:sz w:val="12"/>
                <w:szCs w:val="12"/>
                <w:color w:val="auto"/>
              </w:rPr>
            </w:pPr>
          </w:p>
        </w:tc>
        <w:tc>
          <w:tcPr>
            <w:tcW w:w="940" w:type="dxa"/>
            <w:vAlign w:val="bottom"/>
          </w:tcPr>
          <w:p>
            <w:pPr>
              <w:spacing w:after="0"/>
              <w:rPr>
                <w:sz w:val="12"/>
                <w:szCs w:val="12"/>
                <w:color w:val="auto"/>
              </w:rPr>
            </w:pPr>
          </w:p>
        </w:tc>
      </w:tr>
      <w:tr>
        <w:trPr>
          <w:trHeight w:val="32"/>
        </w:trPr>
        <w:tc>
          <w:tcPr>
            <w:tcW w:w="20" w:type="dxa"/>
            <w:vAlign w:val="bottom"/>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9080" w:type="dxa"/>
            <w:vAlign w:val="bottom"/>
          </w:tcPr>
          <w:p>
            <w:pPr>
              <w:spacing w:after="0"/>
              <w:rPr>
                <w:sz w:val="2"/>
                <w:szCs w:val="2"/>
                <w:color w:val="auto"/>
              </w:rPr>
            </w:pPr>
          </w:p>
        </w:tc>
        <w:tc>
          <w:tcPr>
            <w:tcW w:w="5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19"/>
        </w:trPr>
        <w:tc>
          <w:tcPr>
            <w:tcW w:w="972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First Nine Months of 2022 Net Sales</w:t>
            </w:r>
          </w:p>
        </w:tc>
        <w:tc>
          <w:tcPr>
            <w:tcW w:w="580" w:type="dxa"/>
            <w:vAlign w:val="bottom"/>
            <w:shd w:val="clear" w:color="auto" w:fill="CCEEFF"/>
          </w:tcPr>
          <w:p>
            <w:pPr>
              <w:jc w:val="right"/>
              <w:ind w:right="394"/>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4,343</w:t>
            </w:r>
          </w:p>
        </w:tc>
      </w:tr>
      <w:tr>
        <w:trPr>
          <w:trHeight w:val="218"/>
        </w:trPr>
        <w:tc>
          <w:tcPr>
            <w:tcW w:w="20" w:type="dxa"/>
            <w:vAlign w:val="bottom"/>
          </w:tcPr>
          <w:p>
            <w:pPr>
              <w:spacing w:after="0"/>
              <w:rPr>
                <w:sz w:val="18"/>
                <w:szCs w:val="18"/>
                <w:color w:val="auto"/>
              </w:rPr>
            </w:pPr>
          </w:p>
        </w:tc>
        <w:tc>
          <w:tcPr>
            <w:tcW w:w="9700" w:type="dxa"/>
            <w:vAlign w:val="bottom"/>
            <w:gridSpan w:val="2"/>
          </w:tcPr>
          <w:p>
            <w:pPr>
              <w:ind w:left="100"/>
              <w:spacing w:after="0"/>
              <w:rPr>
                <w:sz w:val="20"/>
                <w:szCs w:val="20"/>
                <w:color w:val="auto"/>
              </w:rPr>
            </w:pPr>
            <w:r>
              <w:rPr>
                <w:rFonts w:ascii="Arial" w:cs="Arial" w:eastAsia="Arial" w:hAnsi="Arial"/>
                <w:sz w:val="17"/>
                <w:szCs w:val="17"/>
                <w:color w:val="auto"/>
              </w:rPr>
              <w:t>Acquisitions</w:t>
            </w:r>
          </w:p>
        </w:tc>
        <w:tc>
          <w:tcPr>
            <w:tcW w:w="5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77</w:t>
            </w:r>
          </w:p>
        </w:tc>
      </w:tr>
      <w:tr>
        <w:trPr>
          <w:trHeight w:val="220"/>
        </w:trPr>
        <w:tc>
          <w:tcPr>
            <w:tcW w:w="20" w:type="dxa"/>
            <w:vAlign w:val="bottom"/>
            <w:shd w:val="clear" w:color="auto" w:fill="CCEEFF"/>
          </w:tcPr>
          <w:p>
            <w:pPr>
              <w:spacing w:after="0"/>
              <w:rPr>
                <w:sz w:val="19"/>
                <w:szCs w:val="19"/>
                <w:color w:val="auto"/>
              </w:rPr>
            </w:pPr>
          </w:p>
        </w:tc>
        <w:tc>
          <w:tcPr>
            <w:tcW w:w="970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Foreign Exchange</w:t>
            </w: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w:t>
            </w:r>
          </w:p>
        </w:tc>
      </w:tr>
      <w:tr>
        <w:trPr>
          <w:trHeight w:val="218"/>
        </w:trPr>
        <w:tc>
          <w:tcPr>
            <w:tcW w:w="20" w:type="dxa"/>
            <w:vAlign w:val="bottom"/>
          </w:tcPr>
          <w:p>
            <w:pPr>
              <w:spacing w:after="0"/>
              <w:rPr>
                <w:sz w:val="18"/>
                <w:szCs w:val="18"/>
                <w:color w:val="auto"/>
              </w:rPr>
            </w:pPr>
          </w:p>
        </w:tc>
        <w:tc>
          <w:tcPr>
            <w:tcW w:w="9700" w:type="dxa"/>
            <w:vAlign w:val="bottom"/>
            <w:gridSpan w:val="2"/>
          </w:tcPr>
          <w:p>
            <w:pPr>
              <w:ind w:left="100"/>
              <w:spacing w:after="0"/>
              <w:rPr>
                <w:sz w:val="20"/>
                <w:szCs w:val="20"/>
                <w:color w:val="auto"/>
              </w:rPr>
            </w:pPr>
            <w:r>
              <w:rPr>
                <w:rFonts w:ascii="Arial" w:cs="Arial" w:eastAsia="Arial" w:hAnsi="Arial"/>
                <w:sz w:val="17"/>
                <w:szCs w:val="17"/>
                <w:color w:val="auto"/>
              </w:rPr>
              <w:t>Organic changes in Net sales by Product Line:</w:t>
            </w:r>
          </w:p>
        </w:tc>
        <w:tc>
          <w:tcPr>
            <w:tcW w:w="5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20"/>
        </w:trPr>
        <w:tc>
          <w:tcPr>
            <w:tcW w:w="20" w:type="dxa"/>
            <w:vAlign w:val="bottom"/>
            <w:shd w:val="clear" w:color="auto" w:fill="CCEEFF"/>
          </w:tcPr>
          <w:p>
            <w:pPr>
              <w:spacing w:after="0"/>
              <w:rPr>
                <w:sz w:val="19"/>
                <w:szCs w:val="19"/>
                <w:color w:val="auto"/>
              </w:rPr>
            </w:pPr>
          </w:p>
        </w:tc>
        <w:tc>
          <w:tcPr>
            <w:tcW w:w="970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Equipment</w:t>
            </w: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336</w:t>
            </w:r>
          </w:p>
        </w:tc>
      </w:tr>
      <w:tr>
        <w:trPr>
          <w:trHeight w:val="218"/>
        </w:trPr>
        <w:tc>
          <w:tcPr>
            <w:tcW w:w="20" w:type="dxa"/>
            <w:vAlign w:val="bottom"/>
          </w:tcPr>
          <w:p>
            <w:pPr>
              <w:spacing w:after="0"/>
              <w:rPr>
                <w:sz w:val="18"/>
                <w:szCs w:val="18"/>
                <w:color w:val="auto"/>
              </w:rPr>
            </w:pPr>
          </w:p>
        </w:tc>
        <w:tc>
          <w:tcPr>
            <w:tcW w:w="9700" w:type="dxa"/>
            <w:vAlign w:val="bottom"/>
            <w:gridSpan w:val="2"/>
          </w:tcPr>
          <w:p>
            <w:pPr>
              <w:ind w:left="200"/>
              <w:spacing w:after="0"/>
              <w:rPr>
                <w:sz w:val="20"/>
                <w:szCs w:val="20"/>
                <w:color w:val="auto"/>
              </w:rPr>
            </w:pPr>
            <w:r>
              <w:rPr>
                <w:rFonts w:ascii="Arial" w:cs="Arial" w:eastAsia="Arial" w:hAnsi="Arial"/>
                <w:sz w:val="17"/>
                <w:szCs w:val="17"/>
                <w:color w:val="auto"/>
              </w:rPr>
              <w:t>Services</w:t>
            </w:r>
          </w:p>
        </w:tc>
        <w:tc>
          <w:tcPr>
            <w:tcW w:w="5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259</w:t>
            </w:r>
          </w:p>
        </w:tc>
      </w:tr>
      <w:tr>
        <w:trPr>
          <w:trHeight w:val="220"/>
        </w:trPr>
        <w:tc>
          <w:tcPr>
            <w:tcW w:w="20" w:type="dxa"/>
            <w:vAlign w:val="bottom"/>
            <w:shd w:val="clear" w:color="auto" w:fill="CCEEFF"/>
          </w:tcPr>
          <w:p>
            <w:pPr>
              <w:spacing w:after="0"/>
              <w:rPr>
                <w:sz w:val="19"/>
                <w:szCs w:val="19"/>
                <w:color w:val="auto"/>
              </w:rPr>
            </w:pPr>
          </w:p>
        </w:tc>
        <w:tc>
          <w:tcPr>
            <w:tcW w:w="970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Components</w:t>
            </w: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142</w:t>
            </w:r>
          </w:p>
        </w:tc>
      </w:tr>
      <w:tr>
        <w:trPr>
          <w:trHeight w:val="218"/>
        </w:trPr>
        <w:tc>
          <w:tcPr>
            <w:tcW w:w="20" w:type="dxa"/>
            <w:vAlign w:val="bottom"/>
            <w:tcBorders>
              <w:bottom w:val="single" w:sz="8" w:color="CCEEFF"/>
            </w:tcBorders>
          </w:tcPr>
          <w:p>
            <w:pPr>
              <w:spacing w:after="0"/>
              <w:rPr>
                <w:sz w:val="18"/>
                <w:szCs w:val="18"/>
                <w:color w:val="auto"/>
              </w:rPr>
            </w:pPr>
          </w:p>
        </w:tc>
        <w:tc>
          <w:tcPr>
            <w:tcW w:w="9700" w:type="dxa"/>
            <w:vAlign w:val="bottom"/>
            <w:tcBorders>
              <w:bottom w:val="single" w:sz="8" w:color="CCEEFF"/>
            </w:tcBorders>
            <w:gridSpan w:val="2"/>
          </w:tcPr>
          <w:p>
            <w:pPr>
              <w:ind w:left="200"/>
              <w:spacing w:after="0"/>
              <w:rPr>
                <w:sz w:val="20"/>
                <w:szCs w:val="20"/>
                <w:color w:val="auto"/>
              </w:rPr>
            </w:pPr>
            <w:r>
              <w:rPr>
                <w:rFonts w:ascii="Arial" w:cs="Arial" w:eastAsia="Arial" w:hAnsi="Arial"/>
                <w:sz w:val="17"/>
                <w:szCs w:val="17"/>
                <w:color w:val="auto"/>
              </w:rPr>
              <w:t>Digital Intelligence</w:t>
            </w:r>
          </w:p>
        </w:tc>
        <w:tc>
          <w:tcPr>
            <w:tcW w:w="5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w:t>
            </w:r>
          </w:p>
        </w:tc>
      </w:tr>
      <w:tr>
        <w:trPr>
          <w:trHeight w:val="238"/>
        </w:trPr>
        <w:tc>
          <w:tcPr>
            <w:tcW w:w="97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7"/>
                <w:szCs w:val="17"/>
                <w:color w:val="auto"/>
              </w:rPr>
              <w:t>First Nine Months of 2023 Net Sales</w:t>
            </w:r>
          </w:p>
        </w:tc>
        <w:tc>
          <w:tcPr>
            <w:tcW w:w="580" w:type="dxa"/>
            <w:vAlign w:val="bottom"/>
            <w:tcBorders>
              <w:bottom w:val="single" w:sz="8" w:color="auto"/>
            </w:tcBorders>
            <w:shd w:val="clear" w:color="auto" w:fill="CCEEFF"/>
          </w:tcPr>
          <w:p>
            <w:pPr>
              <w:jc w:val="right"/>
              <w:ind w:right="394"/>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5,164</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90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Net sales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Freight Segment organic sales increased across all product lines by $772 million driven primarily by:</w:t>
      </w:r>
    </w:p>
    <w:p>
      <w:pPr>
        <w:spacing w:after="0" w:line="49" w:lineRule="exact"/>
        <w:rPr>
          <w:sz w:val="20"/>
          <w:szCs w:val="20"/>
          <w:color w:val="auto"/>
        </w:rPr>
      </w:pPr>
    </w:p>
    <w:p>
      <w:pPr>
        <w:ind w:left="620" w:hanging="307"/>
        <w:spacing w:after="0"/>
        <w:tabs>
          <w:tab w:leader="none" w:pos="620" w:val="left"/>
        </w:tabs>
        <w:numPr>
          <w:ilvl w:val="0"/>
          <w:numId w:val="9"/>
        </w:numPr>
        <w:rPr>
          <w:rFonts w:ascii="Arial" w:cs="Arial" w:eastAsia="Arial" w:hAnsi="Arial"/>
          <w:sz w:val="17"/>
          <w:szCs w:val="17"/>
          <w:color w:val="auto"/>
        </w:rPr>
      </w:pPr>
      <w:r>
        <w:rPr>
          <w:rFonts w:ascii="Arial" w:cs="Arial" w:eastAsia="Arial" w:hAnsi="Arial"/>
          <w:sz w:val="17"/>
          <w:szCs w:val="17"/>
          <w:color w:val="auto"/>
        </w:rPr>
        <w:t>Equipment sales increased due to higher North American and international locomotive sales and increased mining sales</w:t>
      </w:r>
    </w:p>
    <w:p>
      <w:pPr>
        <w:spacing w:after="0" w:line="49" w:lineRule="exact"/>
        <w:rPr>
          <w:rFonts w:ascii="Arial" w:cs="Arial" w:eastAsia="Arial" w:hAnsi="Arial"/>
          <w:sz w:val="17"/>
          <w:szCs w:val="17"/>
          <w:color w:val="auto"/>
        </w:rPr>
      </w:pPr>
    </w:p>
    <w:p>
      <w:pPr>
        <w:ind w:left="620" w:hanging="307"/>
        <w:spacing w:after="0"/>
        <w:tabs>
          <w:tab w:leader="none" w:pos="620" w:val="left"/>
        </w:tabs>
        <w:numPr>
          <w:ilvl w:val="0"/>
          <w:numId w:val="9"/>
        </w:numPr>
        <w:rPr>
          <w:rFonts w:ascii="Arial" w:cs="Arial" w:eastAsia="Arial" w:hAnsi="Arial"/>
          <w:sz w:val="17"/>
          <w:szCs w:val="17"/>
          <w:color w:val="auto"/>
        </w:rPr>
      </w:pPr>
      <w:r>
        <w:rPr>
          <w:rFonts w:ascii="Arial" w:cs="Arial" w:eastAsia="Arial" w:hAnsi="Arial"/>
          <w:sz w:val="17"/>
          <w:szCs w:val="17"/>
          <w:color w:val="auto"/>
        </w:rPr>
        <w:t>Services sales increased from higher parts sales and higher deliveries of locomotive modernizations and overhauls</w:t>
      </w:r>
    </w:p>
    <w:p>
      <w:pPr>
        <w:spacing w:after="0" w:line="36" w:lineRule="exact"/>
        <w:rPr>
          <w:rFonts w:ascii="Arial" w:cs="Arial" w:eastAsia="Arial" w:hAnsi="Arial"/>
          <w:sz w:val="17"/>
          <w:szCs w:val="17"/>
          <w:color w:val="auto"/>
        </w:rPr>
      </w:pPr>
    </w:p>
    <w:p>
      <w:pPr>
        <w:ind w:left="620" w:right="600" w:hanging="307"/>
        <w:spacing w:after="0" w:line="276" w:lineRule="auto"/>
        <w:tabs>
          <w:tab w:leader="none" w:pos="616" w:val="left"/>
        </w:tabs>
        <w:numPr>
          <w:ilvl w:val="0"/>
          <w:numId w:val="9"/>
        </w:numPr>
        <w:rPr>
          <w:rFonts w:ascii="Arial" w:cs="Arial" w:eastAsia="Arial" w:hAnsi="Arial"/>
          <w:sz w:val="17"/>
          <w:szCs w:val="17"/>
          <w:color w:val="auto"/>
        </w:rPr>
      </w:pPr>
      <w:r>
        <w:rPr>
          <w:rFonts w:ascii="Arial" w:cs="Arial" w:eastAsia="Arial" w:hAnsi="Arial"/>
          <w:sz w:val="17"/>
          <w:szCs w:val="17"/>
          <w:color w:val="auto"/>
        </w:rPr>
        <w:t>Components sales increased due to a higher railcar build and increased market share for certain products due to product availability and growth in industrial end-markets</w:t>
      </w:r>
    </w:p>
    <w:p>
      <w:pPr>
        <w:spacing w:after="0" w:line="1" w:lineRule="exact"/>
        <w:rPr>
          <w:rFonts w:ascii="Arial" w:cs="Arial" w:eastAsia="Arial" w:hAnsi="Arial"/>
          <w:sz w:val="17"/>
          <w:szCs w:val="17"/>
          <w:color w:val="auto"/>
        </w:rPr>
      </w:pPr>
    </w:p>
    <w:p>
      <w:pPr>
        <w:ind w:left="620" w:right="100" w:hanging="307"/>
        <w:spacing w:after="0" w:line="279" w:lineRule="auto"/>
        <w:tabs>
          <w:tab w:leader="none" w:pos="616" w:val="left"/>
        </w:tabs>
        <w:numPr>
          <w:ilvl w:val="0"/>
          <w:numId w:val="9"/>
        </w:numPr>
        <w:rPr>
          <w:rFonts w:ascii="Arial" w:cs="Arial" w:eastAsia="Arial" w:hAnsi="Arial"/>
          <w:sz w:val="17"/>
          <w:szCs w:val="17"/>
          <w:color w:val="auto"/>
        </w:rPr>
      </w:pPr>
      <w:r>
        <w:rPr>
          <w:rFonts w:ascii="Arial" w:cs="Arial" w:eastAsia="Arial" w:hAnsi="Arial"/>
          <w:sz w:val="17"/>
          <w:szCs w:val="17"/>
          <w:color w:val="auto"/>
        </w:rPr>
        <w:t>Digital Intelligence sales increased due to higher demand for on-board locomotive and mining solutions, international Positive Train Control (PTC) sales and technology upgrades</w:t>
      </w:r>
    </w:p>
    <w:p>
      <w:pPr>
        <w:spacing w:after="0" w:line="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Cost of sales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color w:val="auto"/>
        </w:rPr>
        <w:t>Freight Segment Cost of sales increased $603 million and Cost of sales as a percentage of sales increased 1.0 percentage points due to:</w:t>
      </w:r>
    </w:p>
    <w:p>
      <w:pPr>
        <w:spacing w:after="0" w:line="49" w:lineRule="exact"/>
        <w:rPr>
          <w:sz w:val="20"/>
          <w:szCs w:val="20"/>
          <w:color w:val="auto"/>
        </w:rPr>
      </w:pPr>
    </w:p>
    <w:p>
      <w:pPr>
        <w:ind w:left="620" w:hanging="307"/>
        <w:spacing w:after="0"/>
        <w:tabs>
          <w:tab w:leader="none" w:pos="6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Higher sales volume</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1" w:right="339" w:bottom="1440" w:gutter="0" w:footer="0" w:header="0"/>
        </w:sectPr>
      </w:pPr>
    </w:p>
    <w:bookmarkStart w:id="36" w:name="page37"/>
    <w:bookmarkEnd w:id="36"/>
    <w:p>
      <w:pPr>
        <w:ind w:left="620" w:hanging="307"/>
        <w:spacing w:after="0"/>
        <w:tabs>
          <w:tab w:leader="none" w:pos="6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Higher next generation product development costs in Digital Intelligence</w:t>
      </w:r>
    </w:p>
    <w:p>
      <w:pPr>
        <w:spacing w:after="0" w:line="23" w:lineRule="exact"/>
        <w:rPr>
          <w:rFonts w:ascii="Arial" w:cs="Arial" w:eastAsia="Arial" w:hAnsi="Arial"/>
          <w:sz w:val="17"/>
          <w:szCs w:val="17"/>
          <w:color w:val="auto"/>
        </w:rPr>
      </w:pPr>
    </w:p>
    <w:p>
      <w:pPr>
        <w:ind w:left="620" w:hanging="307"/>
        <w:spacing w:after="0"/>
        <w:tabs>
          <w:tab w:leader="none" w:pos="6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Operational inefficiencies, including increased costs from the strike at our Erie operations</w:t>
      </w:r>
    </w:p>
    <w:p>
      <w:pPr>
        <w:spacing w:after="0" w:line="101" w:lineRule="exact"/>
        <w:rPr>
          <w:sz w:val="20"/>
          <w:szCs w:val="20"/>
          <w:color w:val="auto"/>
        </w:rPr>
      </w:pPr>
    </w:p>
    <w:p>
      <w:pPr>
        <w:ind w:right="100"/>
        <w:spacing w:after="0" w:line="250" w:lineRule="auto"/>
        <w:rPr>
          <w:sz w:val="20"/>
          <w:szCs w:val="20"/>
          <w:color w:val="auto"/>
        </w:rPr>
      </w:pPr>
      <w:r>
        <w:rPr>
          <w:rFonts w:ascii="Arial" w:cs="Arial" w:eastAsia="Arial" w:hAnsi="Arial"/>
          <w:sz w:val="17"/>
          <w:szCs w:val="17"/>
          <w:color w:val="auto"/>
        </w:rPr>
        <w:t>Cost of sales for the nine months ended September 30, 2023 and 2022 included $8 million and $7 million, respectively, of restructuring costs, primarily for headcount actions and footprint rationalization, with a portion of the amounts in 2023 related to Integration 2.0. The amounts in 2023 also include the write-off of non-cash assets in Russia that were determined to not be recoverable in the second quarter.</w:t>
      </w:r>
    </w:p>
    <w:p>
      <w:pPr>
        <w:spacing w:after="0" w:line="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Operating expenses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color w:val="auto"/>
        </w:rPr>
        <w:t>Freight Segment operating expenses increased by $48 million primarily driven by:</w:t>
      </w:r>
    </w:p>
    <w:p>
      <w:pPr>
        <w:spacing w:after="0" w:line="62" w:lineRule="exact"/>
        <w:rPr>
          <w:sz w:val="20"/>
          <w:szCs w:val="20"/>
          <w:color w:val="auto"/>
        </w:rPr>
      </w:pPr>
    </w:p>
    <w:p>
      <w:pPr>
        <w:ind w:left="620" w:right="520" w:hanging="307"/>
        <w:spacing w:after="0" w:line="279" w:lineRule="auto"/>
        <w:tabs>
          <w:tab w:leader="none" w:pos="616" w:val="left"/>
        </w:tabs>
        <w:numPr>
          <w:ilvl w:val="0"/>
          <w:numId w:val="12"/>
        </w:numPr>
        <w:rPr>
          <w:rFonts w:ascii="Arial" w:cs="Arial" w:eastAsia="Arial" w:hAnsi="Arial"/>
          <w:sz w:val="17"/>
          <w:szCs w:val="17"/>
          <w:color w:val="auto"/>
        </w:rPr>
      </w:pPr>
      <w:r>
        <w:rPr>
          <w:rFonts w:ascii="Arial" w:cs="Arial" w:eastAsia="Arial" w:hAnsi="Arial"/>
          <w:sz w:val="17"/>
          <w:szCs w:val="17"/>
          <w:color w:val="auto"/>
        </w:rPr>
        <w:t>Higher Selling, general and administrative expenses of $43 million resulting from higher costs to support increased sales volume, higher employee compensation and benefits costs and incremental expense from acquisitions</w:t>
      </w:r>
    </w:p>
    <w:p>
      <w:pPr>
        <w:spacing w:after="0" w:line="9" w:lineRule="exact"/>
        <w:rPr>
          <w:rFonts w:ascii="Arial" w:cs="Arial" w:eastAsia="Arial" w:hAnsi="Arial"/>
          <w:sz w:val="17"/>
          <w:szCs w:val="17"/>
          <w:color w:val="auto"/>
        </w:rPr>
      </w:pPr>
    </w:p>
    <w:p>
      <w:pPr>
        <w:ind w:left="620" w:hanging="307"/>
        <w:spacing w:after="0"/>
        <w:tabs>
          <w:tab w:leader="none" w:pos="6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Higher investments in new technology increasing Engineering expense by $3 million</w:t>
      </w:r>
    </w:p>
    <w:p>
      <w:pPr>
        <w:spacing w:after="0" w:line="62" w:lineRule="exact"/>
        <w:rPr>
          <w:rFonts w:ascii="Arial" w:cs="Arial" w:eastAsia="Arial" w:hAnsi="Arial"/>
          <w:sz w:val="17"/>
          <w:szCs w:val="17"/>
          <w:color w:val="auto"/>
        </w:rPr>
      </w:pPr>
    </w:p>
    <w:p>
      <w:pPr>
        <w:ind w:left="620" w:hanging="307"/>
        <w:spacing w:after="0"/>
        <w:tabs>
          <w:tab w:leader="none" w:pos="6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Amortization expense increased by $2 million due to acquisitions</w:t>
      </w:r>
    </w:p>
    <w:p>
      <w:pPr>
        <w:spacing w:after="0" w:line="114" w:lineRule="exact"/>
        <w:rPr>
          <w:sz w:val="20"/>
          <w:szCs w:val="20"/>
          <w:color w:val="auto"/>
        </w:rPr>
      </w:pPr>
    </w:p>
    <w:p>
      <w:pPr>
        <w:spacing w:after="0"/>
        <w:rPr>
          <w:sz w:val="20"/>
          <w:szCs w:val="20"/>
          <w:color w:val="auto"/>
        </w:rPr>
      </w:pPr>
      <w:r>
        <w:rPr>
          <w:rFonts w:ascii="Arial" w:cs="Arial" w:eastAsia="Arial" w:hAnsi="Arial"/>
          <w:sz w:val="15"/>
          <w:szCs w:val="15"/>
          <w:color w:val="auto"/>
        </w:rPr>
        <w:t>Operating expenses as a percentage of sales for the Freight Segment were 15.6% and 17.5% for the nine months ended September 30, 2023 and 2022, respectively.</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926" w:right="359" w:bottom="1440" w:gutter="0" w:footer="0" w:header="0"/>
        </w:sectPr>
      </w:pPr>
    </w:p>
    <w:bookmarkStart w:id="37" w:name="page38"/>
    <w:bookmarkEnd w:id="37"/>
    <w:p>
      <w:pPr>
        <w:spacing w:after="0"/>
        <w:rPr>
          <w:sz w:val="20"/>
          <w:szCs w:val="20"/>
          <w:color w:val="auto"/>
        </w:rPr>
      </w:pPr>
      <w:r>
        <w:rPr>
          <w:rFonts w:ascii="Arial" w:cs="Arial" w:eastAsia="Arial" w:hAnsi="Arial"/>
          <w:sz w:val="17"/>
          <w:szCs w:val="17"/>
          <w:b w:val="1"/>
          <w:bCs w:val="1"/>
          <w:color w:val="auto"/>
        </w:rPr>
        <w:t>Transit Segment</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shows our Condensed Consolidated Statements of Operations for our Transit Segment for the periods indicated:</w:t>
      </w:r>
    </w:p>
    <w:p>
      <w:pPr>
        <w:spacing w:after="0" w:line="48" w:lineRule="exact"/>
        <w:rPr>
          <w:sz w:val="20"/>
          <w:szCs w:val="20"/>
          <w:color w:val="auto"/>
        </w:rPr>
      </w:pPr>
    </w:p>
    <w:p>
      <w:pPr>
        <w:jc w:val="center"/>
        <w:ind w:left="1360"/>
        <w:spacing w:after="0"/>
        <w:rPr>
          <w:sz w:val="20"/>
          <w:szCs w:val="20"/>
          <w:color w:val="auto"/>
        </w:rPr>
      </w:pPr>
      <w:r>
        <w:rPr>
          <w:rFonts w:ascii="Arial" w:cs="Arial" w:eastAsia="Arial" w:hAnsi="Arial"/>
          <w:sz w:val="15"/>
          <w:szCs w:val="15"/>
          <w:b w:val="1"/>
          <w:bCs w:val="1"/>
          <w:color w:val="auto"/>
        </w:rPr>
        <w:t>Nine Months Ended</w:t>
      </w:r>
    </w:p>
    <w:p>
      <w:pPr>
        <w:jc w:val="center"/>
        <w:ind w:left="1360"/>
        <w:spacing w:after="0"/>
        <w:rPr>
          <w:sz w:val="20"/>
          <w:szCs w:val="20"/>
          <w:color w:val="auto"/>
        </w:rPr>
      </w:pPr>
      <w:r>
        <w:rPr>
          <w:rFonts w:ascii="Arial" w:cs="Arial" w:eastAsia="Arial" w:hAnsi="Arial"/>
          <w:sz w:val="15"/>
          <w:szCs w:val="15"/>
          <w:b w:val="1"/>
          <w:bCs w:val="1"/>
          <w:color w:val="auto"/>
        </w:rPr>
        <w:t>September 30,</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4640" w:type="dxa"/>
            <w:vAlign w:val="bottom"/>
            <w:gridSpan w:val="3"/>
          </w:tcPr>
          <w:p>
            <w:pPr>
              <w:ind w:left="20"/>
              <w:spacing w:after="0" w:line="153" w:lineRule="exact"/>
              <w:rPr>
                <w:sz w:val="20"/>
                <w:szCs w:val="20"/>
                <w:color w:val="auto"/>
              </w:rPr>
            </w:pPr>
            <w:r>
              <w:rPr>
                <w:rFonts w:ascii="Arial" w:cs="Arial" w:eastAsia="Arial" w:hAnsi="Arial"/>
                <w:sz w:val="14"/>
                <w:szCs w:val="14"/>
                <w:b w:val="1"/>
                <w:bCs w:val="1"/>
                <w:i w:val="1"/>
                <w:iCs w:val="1"/>
                <w:color w:val="auto"/>
              </w:rPr>
              <w:t>In millions</w:t>
            </w:r>
          </w:p>
        </w:tc>
        <w:tc>
          <w:tcPr>
            <w:tcW w:w="38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jc w:val="right"/>
              <w:ind w:right="575"/>
              <w:spacing w:after="0" w:line="154" w:lineRule="exact"/>
              <w:rPr>
                <w:sz w:val="20"/>
                <w:szCs w:val="20"/>
                <w:color w:val="auto"/>
              </w:rPr>
            </w:pPr>
            <w:r>
              <w:rPr>
                <w:rFonts w:ascii="Arial" w:cs="Arial" w:eastAsia="Arial" w:hAnsi="Arial"/>
                <w:sz w:val="15"/>
                <w:szCs w:val="15"/>
                <w:b w:val="1"/>
                <w:bCs w:val="1"/>
                <w:color w:val="auto"/>
              </w:rPr>
              <w:t>2023</w:t>
            </w:r>
          </w:p>
        </w:tc>
        <w:tc>
          <w:tcPr>
            <w:tcW w:w="10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jc w:val="right"/>
              <w:ind w:right="575"/>
              <w:spacing w:after="0" w:line="154" w:lineRule="exact"/>
              <w:rPr>
                <w:sz w:val="20"/>
                <w:szCs w:val="20"/>
                <w:color w:val="auto"/>
              </w:rPr>
            </w:pPr>
            <w:r>
              <w:rPr>
                <w:rFonts w:ascii="Arial" w:cs="Arial" w:eastAsia="Arial" w:hAnsi="Arial"/>
                <w:sz w:val="15"/>
                <w:szCs w:val="15"/>
                <w:b w:val="1"/>
                <w:bCs w:val="1"/>
                <w:color w:val="auto"/>
              </w:rPr>
              <w:t>2022</w:t>
            </w:r>
          </w:p>
        </w:tc>
        <w:tc>
          <w:tcPr>
            <w:tcW w:w="8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440" w:type="dxa"/>
            <w:vAlign w:val="bottom"/>
            <w:tcBorders>
              <w:top w:val="single" w:sz="8" w:color="auto"/>
            </w:tcBorders>
          </w:tcPr>
          <w:p>
            <w:pPr>
              <w:jc w:val="right"/>
              <w:ind w:right="675"/>
              <w:spacing w:after="0" w:line="154" w:lineRule="exact"/>
              <w:rPr>
                <w:sz w:val="20"/>
                <w:szCs w:val="20"/>
                <w:color w:val="auto"/>
              </w:rPr>
            </w:pPr>
            <w:r>
              <w:rPr>
                <w:rFonts w:ascii="Arial" w:cs="Arial" w:eastAsia="Arial" w:hAnsi="Arial"/>
                <w:sz w:val="15"/>
                <w:szCs w:val="15"/>
                <w:b w:val="1"/>
                <w:bCs w:val="1"/>
                <w:color w:val="auto"/>
              </w:rPr>
              <w:t>Change</w:t>
            </w:r>
          </w:p>
        </w:tc>
        <w:tc>
          <w:tcPr>
            <w:tcW w:w="1440" w:type="dxa"/>
            <w:vAlign w:val="bottom"/>
            <w:tcBorders>
              <w:top w:val="single" w:sz="8" w:color="auto"/>
            </w:tcBorders>
          </w:tcPr>
          <w:p>
            <w:pPr>
              <w:jc w:val="right"/>
              <w:ind w:right="376"/>
              <w:spacing w:after="0" w:line="154" w:lineRule="exact"/>
              <w:rPr>
                <w:sz w:val="20"/>
                <w:szCs w:val="20"/>
                <w:color w:val="auto"/>
              </w:rPr>
            </w:pPr>
            <w:r>
              <w:rPr>
                <w:rFonts w:ascii="Arial" w:cs="Arial" w:eastAsia="Arial" w:hAnsi="Arial"/>
                <w:sz w:val="15"/>
                <w:szCs w:val="15"/>
                <w:b w:val="1"/>
                <w:bCs w:val="1"/>
                <w:color w:val="auto"/>
              </w:rPr>
              <w:t>% Change</w:t>
            </w:r>
          </w:p>
        </w:tc>
      </w:tr>
      <w:tr>
        <w:trPr>
          <w:trHeight w:val="32"/>
        </w:trPr>
        <w:tc>
          <w:tcPr>
            <w:tcW w:w="20" w:type="dxa"/>
            <w:vAlign w:val="bottom"/>
            <w:tcBorders>
              <w:bottom w:val="single" w:sz="8" w:color="CCEEFF"/>
            </w:tcBorders>
          </w:tcPr>
          <w:p>
            <w:pPr>
              <w:spacing w:after="0"/>
              <w:rPr>
                <w:sz w:val="2"/>
                <w:szCs w:val="2"/>
                <w:color w:val="auto"/>
              </w:rPr>
            </w:pPr>
          </w:p>
        </w:tc>
        <w:tc>
          <w:tcPr>
            <w:tcW w:w="620" w:type="dxa"/>
            <w:vAlign w:val="bottom"/>
            <w:tcBorders>
              <w:top w:val="single" w:sz="8" w:color="auto"/>
              <w:bottom w:val="single" w:sz="8" w:color="CCEEFF"/>
            </w:tcBorders>
          </w:tcPr>
          <w:p>
            <w:pPr>
              <w:spacing w:after="0"/>
              <w:rPr>
                <w:sz w:val="2"/>
                <w:szCs w:val="2"/>
                <w:color w:val="auto"/>
              </w:rPr>
            </w:pPr>
          </w:p>
        </w:tc>
        <w:tc>
          <w:tcPr>
            <w:tcW w:w="40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12"/>
        </w:trPr>
        <w:tc>
          <w:tcPr>
            <w:tcW w:w="464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Net sales</w:t>
            </w:r>
          </w:p>
        </w:tc>
        <w:tc>
          <w:tcPr>
            <w:tcW w:w="38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1,987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1,713</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440" w:type="dxa"/>
            <w:vAlign w:val="bottom"/>
            <w:shd w:val="clear" w:color="auto" w:fill="CCEEFF"/>
          </w:tcPr>
          <w:p>
            <w:pPr>
              <w:jc w:val="right"/>
              <w:ind w:right="255"/>
              <w:spacing w:after="0"/>
              <w:rPr>
                <w:sz w:val="20"/>
                <w:szCs w:val="20"/>
                <w:color w:val="auto"/>
              </w:rPr>
            </w:pPr>
            <w:r>
              <w:rPr>
                <w:rFonts w:ascii="Arial" w:cs="Arial" w:eastAsia="Arial" w:hAnsi="Arial"/>
                <w:sz w:val="17"/>
                <w:szCs w:val="17"/>
                <w:color w:val="auto"/>
              </w:rPr>
              <w:t>274</w:t>
            </w: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16.0 %</w:t>
            </w:r>
          </w:p>
        </w:tc>
      </w:tr>
      <w:tr>
        <w:trPr>
          <w:trHeight w:val="218"/>
        </w:trPr>
        <w:tc>
          <w:tcPr>
            <w:tcW w:w="4640" w:type="dxa"/>
            <w:vAlign w:val="bottom"/>
            <w:tcBorders>
              <w:bottom w:val="single" w:sz="8" w:color="CCEEFF"/>
            </w:tcBorders>
            <w:gridSpan w:val="3"/>
          </w:tcPr>
          <w:p>
            <w:pPr>
              <w:ind w:left="20"/>
              <w:spacing w:after="0"/>
              <w:rPr>
                <w:sz w:val="20"/>
                <w:szCs w:val="20"/>
                <w:color w:val="auto"/>
              </w:rPr>
            </w:pPr>
            <w:r>
              <w:rPr>
                <w:rFonts w:ascii="Arial" w:cs="Arial" w:eastAsia="Arial" w:hAnsi="Arial"/>
                <w:sz w:val="17"/>
                <w:szCs w:val="17"/>
                <w:color w:val="auto"/>
              </w:rPr>
              <w:t>Cost of sales</w:t>
            </w: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(1,439)</w:t>
            </w:r>
          </w:p>
        </w:tc>
        <w:tc>
          <w:tcPr>
            <w:tcW w:w="1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(1,239)</w:t>
            </w:r>
          </w:p>
        </w:tc>
        <w:tc>
          <w:tcPr>
            <w:tcW w:w="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255"/>
              <w:spacing w:after="0"/>
              <w:rPr>
                <w:sz w:val="20"/>
                <w:szCs w:val="20"/>
                <w:color w:val="auto"/>
              </w:rPr>
            </w:pPr>
            <w:r>
              <w:rPr>
                <w:rFonts w:ascii="Arial" w:cs="Arial" w:eastAsia="Arial" w:hAnsi="Arial"/>
                <w:sz w:val="17"/>
                <w:szCs w:val="17"/>
                <w:color w:val="auto"/>
              </w:rPr>
              <w:t>200</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16.1 %</w:t>
            </w:r>
          </w:p>
        </w:tc>
      </w:tr>
      <w:tr>
        <w:trPr>
          <w:trHeight w:val="213"/>
        </w:trPr>
        <w:tc>
          <w:tcPr>
            <w:tcW w:w="4640" w:type="dxa"/>
            <w:vAlign w:val="bottom"/>
            <w:gridSpan w:val="3"/>
            <w:shd w:val="clear" w:color="auto" w:fill="CCEEFF"/>
          </w:tcPr>
          <w:p>
            <w:pPr>
              <w:ind w:left="20"/>
              <w:spacing w:after="0"/>
              <w:rPr>
                <w:sz w:val="20"/>
                <w:szCs w:val="20"/>
                <w:color w:val="auto"/>
              </w:rPr>
            </w:pPr>
            <w:r>
              <w:rPr>
                <w:rFonts w:ascii="Arial" w:cs="Arial" w:eastAsia="Arial" w:hAnsi="Arial"/>
                <w:sz w:val="17"/>
                <w:szCs w:val="17"/>
                <w:i w:val="1"/>
                <w:iCs w:val="1"/>
                <w:color w:val="auto"/>
              </w:rPr>
              <w:t>Cost of sales (% of net sales)</w:t>
            </w: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i w:val="1"/>
                <w:iCs w:val="1"/>
                <w:color w:val="auto"/>
              </w:rPr>
              <w:t>72.4 %</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i w:val="1"/>
                <w:iCs w:val="1"/>
                <w:color w:val="auto"/>
              </w:rPr>
              <w:t>72.3 %</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95"/>
              <w:spacing w:after="0"/>
              <w:rPr>
                <w:sz w:val="20"/>
                <w:szCs w:val="20"/>
                <w:color w:val="auto"/>
              </w:rPr>
            </w:pPr>
            <w:r>
              <w:rPr>
                <w:rFonts w:ascii="Arial" w:cs="Arial" w:eastAsia="Arial" w:hAnsi="Arial"/>
                <w:sz w:val="17"/>
                <w:szCs w:val="17"/>
                <w:i w:val="1"/>
                <w:iCs w:val="1"/>
                <w:color w:val="auto"/>
              </w:rPr>
              <w:t>0.1</w:t>
            </w:r>
          </w:p>
        </w:tc>
        <w:tc>
          <w:tcPr>
            <w:tcW w:w="1440" w:type="dxa"/>
            <w:vAlign w:val="bottom"/>
            <w:shd w:val="clear" w:color="auto" w:fill="CCEEFF"/>
          </w:tcPr>
          <w:p>
            <w:pPr>
              <w:spacing w:after="0"/>
              <w:rPr>
                <w:sz w:val="18"/>
                <w:szCs w:val="18"/>
                <w:color w:val="auto"/>
              </w:rPr>
            </w:pPr>
          </w:p>
        </w:tc>
      </w:tr>
      <w:tr>
        <w:trPr>
          <w:trHeight w:val="103"/>
        </w:trPr>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440" w:type="dxa"/>
            <w:vAlign w:val="bottom"/>
          </w:tcPr>
          <w:p>
            <w:pPr>
              <w:spacing w:after="0"/>
              <w:rPr>
                <w:sz w:val="8"/>
                <w:szCs w:val="8"/>
                <w:color w:val="auto"/>
              </w:rPr>
            </w:pPr>
          </w:p>
        </w:tc>
      </w:tr>
      <w:tr>
        <w:trPr>
          <w:trHeight w:val="219"/>
        </w:trPr>
        <w:tc>
          <w:tcPr>
            <w:tcW w:w="464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Gross profit</w:t>
            </w:r>
          </w:p>
        </w:tc>
        <w:tc>
          <w:tcPr>
            <w:tcW w:w="38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548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474</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440" w:type="dxa"/>
            <w:vAlign w:val="bottom"/>
            <w:shd w:val="clear" w:color="auto" w:fill="CCEEFF"/>
          </w:tcPr>
          <w:p>
            <w:pPr>
              <w:jc w:val="right"/>
              <w:ind w:right="255"/>
              <w:spacing w:after="0"/>
              <w:rPr>
                <w:sz w:val="20"/>
                <w:szCs w:val="20"/>
                <w:color w:val="auto"/>
              </w:rPr>
            </w:pPr>
            <w:r>
              <w:rPr>
                <w:rFonts w:ascii="Arial" w:cs="Arial" w:eastAsia="Arial" w:hAnsi="Arial"/>
                <w:sz w:val="17"/>
                <w:szCs w:val="17"/>
                <w:color w:val="auto"/>
              </w:rPr>
              <w:t>74</w:t>
            </w: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15.6 %</w:t>
            </w:r>
          </w:p>
        </w:tc>
      </w:tr>
      <w:tr>
        <w:trPr>
          <w:trHeight w:val="103"/>
        </w:trPr>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440" w:type="dxa"/>
            <w:vAlign w:val="bottom"/>
          </w:tcPr>
          <w:p>
            <w:pPr>
              <w:spacing w:after="0"/>
              <w:rPr>
                <w:sz w:val="8"/>
                <w:szCs w:val="8"/>
                <w:color w:val="auto"/>
              </w:rPr>
            </w:pPr>
          </w:p>
        </w:tc>
      </w:tr>
      <w:tr>
        <w:trPr>
          <w:trHeight w:val="218"/>
        </w:trPr>
        <w:tc>
          <w:tcPr>
            <w:tcW w:w="464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Operating expenses</w:t>
            </w:r>
          </w:p>
        </w:tc>
        <w:tc>
          <w:tcPr>
            <w:tcW w:w="3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color w:val="auto"/>
              </w:rPr>
              <w:t>(345)</w:t>
            </w:r>
          </w:p>
        </w:tc>
        <w:tc>
          <w:tcPr>
            <w:tcW w:w="10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color w:val="auto"/>
              </w:rPr>
              <w:t>(306)</w:t>
            </w:r>
          </w:p>
        </w:tc>
        <w:tc>
          <w:tcPr>
            <w:tcW w:w="8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255"/>
              <w:spacing w:after="0"/>
              <w:rPr>
                <w:sz w:val="20"/>
                <w:szCs w:val="20"/>
                <w:color w:val="auto"/>
              </w:rPr>
            </w:pPr>
            <w:r>
              <w:rPr>
                <w:rFonts w:ascii="Arial" w:cs="Arial" w:eastAsia="Arial" w:hAnsi="Arial"/>
                <w:sz w:val="17"/>
                <w:szCs w:val="17"/>
                <w:color w:val="auto"/>
              </w:rPr>
              <w:t>39</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12.7 %</w:t>
            </w:r>
          </w:p>
        </w:tc>
      </w:tr>
      <w:tr>
        <w:trPr>
          <w:trHeight w:val="84"/>
        </w:trPr>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0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4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40" w:type="dxa"/>
            <w:vAlign w:val="bottom"/>
          </w:tcPr>
          <w:p>
            <w:pPr>
              <w:spacing w:after="0"/>
              <w:rPr>
                <w:sz w:val="7"/>
                <w:szCs w:val="7"/>
                <w:color w:val="auto"/>
              </w:rPr>
            </w:pPr>
          </w:p>
        </w:tc>
        <w:tc>
          <w:tcPr>
            <w:tcW w:w="1440" w:type="dxa"/>
            <w:vAlign w:val="bottom"/>
          </w:tcPr>
          <w:p>
            <w:pPr>
              <w:spacing w:after="0"/>
              <w:rPr>
                <w:sz w:val="7"/>
                <w:szCs w:val="7"/>
                <w:color w:val="auto"/>
              </w:rPr>
            </w:pPr>
          </w:p>
        </w:tc>
      </w:tr>
      <w:tr>
        <w:trPr>
          <w:trHeight w:val="244"/>
        </w:trPr>
        <w:tc>
          <w:tcPr>
            <w:tcW w:w="46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7"/>
                <w:szCs w:val="17"/>
                <w:color w:val="auto"/>
              </w:rPr>
              <w:t>Income from operations</w:t>
            </w:r>
          </w:p>
        </w:tc>
        <w:tc>
          <w:tcPr>
            <w:tcW w:w="38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color w:val="auto"/>
              </w:rPr>
              <w:t>203</w:t>
            </w:r>
          </w:p>
        </w:tc>
        <w:tc>
          <w:tcPr>
            <w:tcW w:w="100" w:type="dxa"/>
            <w:vAlign w:val="bottom"/>
            <w:tcBorders>
              <w:bottom w:val="single" w:sz="8" w:color="auto"/>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color w:val="auto"/>
              </w:rPr>
              <w:t>168</w:t>
            </w:r>
          </w:p>
        </w:tc>
        <w:tc>
          <w:tcPr>
            <w:tcW w:w="80" w:type="dxa"/>
            <w:vAlign w:val="bottom"/>
            <w:tcBorders>
              <w:bottom w:val="single" w:sz="8" w:color="auto"/>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440" w:type="dxa"/>
            <w:vAlign w:val="bottom"/>
            <w:tcBorders>
              <w:bottom w:val="single" w:sz="8" w:color="auto"/>
            </w:tcBorders>
            <w:shd w:val="clear" w:color="auto" w:fill="CCEEFF"/>
          </w:tcPr>
          <w:p>
            <w:pPr>
              <w:jc w:val="right"/>
              <w:ind w:right="255"/>
              <w:spacing w:after="0"/>
              <w:rPr>
                <w:sz w:val="20"/>
                <w:szCs w:val="20"/>
                <w:color w:val="auto"/>
              </w:rPr>
            </w:pPr>
            <w:r>
              <w:rPr>
                <w:rFonts w:ascii="Arial" w:cs="Arial" w:eastAsia="Arial" w:hAnsi="Arial"/>
                <w:sz w:val="17"/>
                <w:szCs w:val="17"/>
                <w:color w:val="auto"/>
              </w:rPr>
              <w:t>35</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20.8 %</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40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r>
        <w:trPr>
          <w:trHeight w:val="191"/>
        </w:trPr>
        <w:tc>
          <w:tcPr>
            <w:tcW w:w="4640" w:type="dxa"/>
            <w:vAlign w:val="bottom"/>
            <w:gridSpan w:val="3"/>
          </w:tcPr>
          <w:p>
            <w:pPr>
              <w:ind w:left="20"/>
              <w:spacing w:after="0" w:line="191" w:lineRule="exact"/>
              <w:rPr>
                <w:sz w:val="20"/>
                <w:szCs w:val="20"/>
                <w:color w:val="auto"/>
              </w:rPr>
            </w:pPr>
            <w:r>
              <w:rPr>
                <w:rFonts w:ascii="Arial" w:cs="Arial" w:eastAsia="Arial" w:hAnsi="Arial"/>
                <w:sz w:val="17"/>
                <w:szCs w:val="17"/>
                <w:color w:val="auto"/>
              </w:rPr>
              <w:t>Income from operations (% of net sales)</w:t>
            </w: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line="191" w:lineRule="exact"/>
              <w:rPr>
                <w:sz w:val="20"/>
                <w:szCs w:val="20"/>
                <w:color w:val="auto"/>
              </w:rPr>
            </w:pPr>
            <w:r>
              <w:rPr>
                <w:rFonts w:ascii="Arial" w:cs="Arial" w:eastAsia="Arial" w:hAnsi="Arial"/>
                <w:sz w:val="17"/>
                <w:szCs w:val="17"/>
                <w:color w:val="auto"/>
              </w:rPr>
              <w:t>10.2 %</w:t>
            </w: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line="191" w:lineRule="exact"/>
              <w:rPr>
                <w:sz w:val="20"/>
                <w:szCs w:val="20"/>
                <w:color w:val="auto"/>
              </w:rPr>
            </w:pPr>
            <w:r>
              <w:rPr>
                <w:rFonts w:ascii="Arial" w:cs="Arial" w:eastAsia="Arial" w:hAnsi="Arial"/>
                <w:sz w:val="17"/>
                <w:szCs w:val="17"/>
                <w:color w:val="auto"/>
              </w:rPr>
              <w:t>9.8 %</w:t>
            </w:r>
          </w:p>
        </w:tc>
        <w:tc>
          <w:tcPr>
            <w:tcW w:w="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195"/>
              <w:spacing w:after="0" w:line="191" w:lineRule="exact"/>
              <w:rPr>
                <w:sz w:val="20"/>
                <w:szCs w:val="20"/>
                <w:color w:val="auto"/>
              </w:rPr>
            </w:pPr>
            <w:r>
              <w:rPr>
                <w:rFonts w:ascii="Arial" w:cs="Arial" w:eastAsia="Arial" w:hAnsi="Arial"/>
                <w:sz w:val="17"/>
                <w:szCs w:val="17"/>
                <w:color w:val="auto"/>
              </w:rPr>
              <w:t>0.4</w:t>
            </w:r>
          </w:p>
        </w:tc>
        <w:tc>
          <w:tcPr>
            <w:tcW w:w="1440" w:type="dxa"/>
            <w:vAlign w:val="bottom"/>
            <w:tcBorders>
              <w:bottom w:val="single" w:sz="8" w:color="auto"/>
            </w:tcBorders>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181" w:lineRule="exact"/>
        <w:rPr>
          <w:sz w:val="20"/>
          <w:szCs w:val="20"/>
          <w:color w:val="auto"/>
        </w:rPr>
      </w:pPr>
    </w:p>
    <w:p>
      <w:pPr>
        <w:ind w:right="440" w:firstLine="464"/>
        <w:spacing w:after="0" w:line="273" w:lineRule="auto"/>
        <w:rPr>
          <w:sz w:val="20"/>
          <w:szCs w:val="20"/>
          <w:color w:val="auto"/>
        </w:rPr>
      </w:pPr>
      <w:r>
        <w:rPr>
          <w:rFonts w:ascii="Arial" w:cs="Arial" w:eastAsia="Arial" w:hAnsi="Arial"/>
          <w:sz w:val="17"/>
          <w:szCs w:val="17"/>
          <w:color w:val="auto"/>
        </w:rPr>
        <w:t>The following table shows the major components of the change in net sales for the Transit Segment in the first nine months of 2023 from the first nine months of 2022:</w:t>
      </w:r>
    </w:p>
    <w:tbl>
      <w:tblPr>
        <w:tblLayout w:type="fixed"/>
        <w:tblInd w:w="0" w:type="dxa"/>
        <w:tblCellMar>
          <w:top w:w="0" w:type="dxa"/>
          <w:left w:w="0" w:type="dxa"/>
          <w:bottom w:w="0" w:type="dxa"/>
          <w:right w:w="0" w:type="dxa"/>
        </w:tblCellMar>
      </w:tblPr>
      <w:tr>
        <w:trPr>
          <w:trHeight w:val="148"/>
        </w:trPr>
        <w:tc>
          <w:tcPr>
            <w:tcW w:w="9720" w:type="dxa"/>
            <w:vAlign w:val="bottom"/>
            <w:gridSpan w:val="3"/>
          </w:tcPr>
          <w:p>
            <w:pPr>
              <w:ind w:left="20"/>
              <w:spacing w:after="0" w:line="148" w:lineRule="exact"/>
              <w:rPr>
                <w:sz w:val="20"/>
                <w:szCs w:val="20"/>
                <w:color w:val="auto"/>
              </w:rPr>
            </w:pPr>
            <w:r>
              <w:rPr>
                <w:rFonts w:ascii="Arial" w:cs="Arial" w:eastAsia="Arial" w:hAnsi="Arial"/>
                <w:sz w:val="14"/>
                <w:szCs w:val="14"/>
                <w:b w:val="1"/>
                <w:bCs w:val="1"/>
                <w:i w:val="1"/>
                <w:iCs w:val="1"/>
                <w:color w:val="auto"/>
              </w:rPr>
              <w:t>In millions</w:t>
            </w:r>
          </w:p>
        </w:tc>
        <w:tc>
          <w:tcPr>
            <w:tcW w:w="580" w:type="dxa"/>
            <w:vAlign w:val="bottom"/>
          </w:tcPr>
          <w:p>
            <w:pPr>
              <w:spacing w:after="0"/>
              <w:rPr>
                <w:sz w:val="12"/>
                <w:szCs w:val="12"/>
                <w:color w:val="auto"/>
              </w:rPr>
            </w:pPr>
          </w:p>
        </w:tc>
        <w:tc>
          <w:tcPr>
            <w:tcW w:w="940" w:type="dxa"/>
            <w:vAlign w:val="bottom"/>
          </w:tcPr>
          <w:p>
            <w:pPr>
              <w:spacing w:after="0"/>
              <w:rPr>
                <w:sz w:val="12"/>
                <w:szCs w:val="12"/>
                <w:color w:val="auto"/>
              </w:rPr>
            </w:pPr>
          </w:p>
        </w:tc>
      </w:tr>
      <w:tr>
        <w:trPr>
          <w:trHeight w:val="32"/>
        </w:trPr>
        <w:tc>
          <w:tcPr>
            <w:tcW w:w="20" w:type="dxa"/>
            <w:vAlign w:val="bottom"/>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9080" w:type="dxa"/>
            <w:vAlign w:val="bottom"/>
          </w:tcPr>
          <w:p>
            <w:pPr>
              <w:spacing w:after="0"/>
              <w:rPr>
                <w:sz w:val="2"/>
                <w:szCs w:val="2"/>
                <w:color w:val="auto"/>
              </w:rPr>
            </w:pPr>
          </w:p>
        </w:tc>
        <w:tc>
          <w:tcPr>
            <w:tcW w:w="5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19"/>
        </w:trPr>
        <w:tc>
          <w:tcPr>
            <w:tcW w:w="972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First Nine Months of 2022 Net Sales</w:t>
            </w:r>
          </w:p>
        </w:tc>
        <w:tc>
          <w:tcPr>
            <w:tcW w:w="580" w:type="dxa"/>
            <w:vAlign w:val="bottom"/>
            <w:shd w:val="clear" w:color="auto" w:fill="CCEEFF"/>
          </w:tcPr>
          <w:p>
            <w:pPr>
              <w:jc w:val="right"/>
              <w:ind w:right="394"/>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1,713</w:t>
            </w:r>
          </w:p>
        </w:tc>
      </w:tr>
      <w:tr>
        <w:trPr>
          <w:trHeight w:val="218"/>
        </w:trPr>
        <w:tc>
          <w:tcPr>
            <w:tcW w:w="20" w:type="dxa"/>
            <w:vAlign w:val="bottom"/>
          </w:tcPr>
          <w:p>
            <w:pPr>
              <w:spacing w:after="0"/>
              <w:rPr>
                <w:sz w:val="18"/>
                <w:szCs w:val="18"/>
                <w:color w:val="auto"/>
              </w:rPr>
            </w:pPr>
          </w:p>
        </w:tc>
        <w:tc>
          <w:tcPr>
            <w:tcW w:w="9700" w:type="dxa"/>
            <w:vAlign w:val="bottom"/>
            <w:gridSpan w:val="2"/>
          </w:tcPr>
          <w:p>
            <w:pPr>
              <w:ind w:left="100"/>
              <w:spacing w:after="0"/>
              <w:rPr>
                <w:sz w:val="20"/>
                <w:szCs w:val="20"/>
                <w:color w:val="auto"/>
              </w:rPr>
            </w:pPr>
            <w:r>
              <w:rPr>
                <w:rFonts w:ascii="Arial" w:cs="Arial" w:eastAsia="Arial" w:hAnsi="Arial"/>
                <w:sz w:val="17"/>
                <w:szCs w:val="17"/>
                <w:color w:val="auto"/>
              </w:rPr>
              <w:t>Foreign Exchange</w:t>
            </w:r>
          </w:p>
        </w:tc>
        <w:tc>
          <w:tcPr>
            <w:tcW w:w="5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(3)</w:t>
            </w:r>
          </w:p>
        </w:tc>
      </w:tr>
      <w:tr>
        <w:trPr>
          <w:trHeight w:val="220"/>
        </w:trPr>
        <w:tc>
          <w:tcPr>
            <w:tcW w:w="20" w:type="dxa"/>
            <w:vAlign w:val="bottom"/>
            <w:shd w:val="clear" w:color="auto" w:fill="CCEEFF"/>
          </w:tcPr>
          <w:p>
            <w:pPr>
              <w:spacing w:after="0"/>
              <w:rPr>
                <w:sz w:val="19"/>
                <w:szCs w:val="19"/>
                <w:color w:val="auto"/>
              </w:rPr>
            </w:pPr>
          </w:p>
        </w:tc>
        <w:tc>
          <w:tcPr>
            <w:tcW w:w="970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Changes in Sales by Product Line:</w:t>
            </w: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9700" w:type="dxa"/>
            <w:vAlign w:val="bottom"/>
            <w:gridSpan w:val="2"/>
          </w:tcPr>
          <w:p>
            <w:pPr>
              <w:ind w:left="200"/>
              <w:spacing w:after="0"/>
              <w:rPr>
                <w:sz w:val="20"/>
                <w:szCs w:val="20"/>
                <w:color w:val="auto"/>
              </w:rPr>
            </w:pPr>
            <w:r>
              <w:rPr>
                <w:rFonts w:ascii="Arial" w:cs="Arial" w:eastAsia="Arial" w:hAnsi="Arial"/>
                <w:sz w:val="17"/>
                <w:szCs w:val="17"/>
                <w:color w:val="auto"/>
              </w:rPr>
              <w:t>Aftermarket</w:t>
            </w:r>
          </w:p>
        </w:tc>
        <w:tc>
          <w:tcPr>
            <w:tcW w:w="5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178</w:t>
            </w:r>
          </w:p>
        </w:tc>
      </w:tr>
      <w:tr>
        <w:trPr>
          <w:trHeight w:val="219"/>
        </w:trPr>
        <w:tc>
          <w:tcPr>
            <w:tcW w:w="20" w:type="dxa"/>
            <w:vAlign w:val="bottom"/>
            <w:shd w:val="clear" w:color="auto" w:fill="CCEEFF"/>
          </w:tcPr>
          <w:p>
            <w:pPr>
              <w:spacing w:after="0"/>
              <w:rPr>
                <w:sz w:val="19"/>
                <w:szCs w:val="19"/>
                <w:color w:val="auto"/>
              </w:rPr>
            </w:pPr>
          </w:p>
        </w:tc>
        <w:tc>
          <w:tcPr>
            <w:tcW w:w="970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Original Equipment Manufacturing</w:t>
            </w:r>
          </w:p>
        </w:tc>
        <w:tc>
          <w:tcPr>
            <w:tcW w:w="5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99</w:t>
            </w:r>
          </w:p>
        </w:tc>
      </w:tr>
      <w:tr>
        <w:trPr>
          <w:trHeight w:val="213"/>
        </w:trPr>
        <w:tc>
          <w:tcPr>
            <w:tcW w:w="9720" w:type="dxa"/>
            <w:vAlign w:val="bottom"/>
            <w:gridSpan w:val="3"/>
          </w:tcPr>
          <w:p>
            <w:pPr>
              <w:ind w:left="20"/>
              <w:spacing w:after="0"/>
              <w:rPr>
                <w:sz w:val="20"/>
                <w:szCs w:val="20"/>
                <w:color w:val="auto"/>
              </w:rPr>
            </w:pPr>
            <w:r>
              <w:rPr>
                <w:rFonts w:ascii="Arial" w:cs="Arial" w:eastAsia="Arial" w:hAnsi="Arial"/>
                <w:sz w:val="17"/>
                <w:szCs w:val="17"/>
                <w:color w:val="auto"/>
              </w:rPr>
              <w:t>First Nine Months of 2023 Net Sales</w:t>
            </w:r>
          </w:p>
        </w:tc>
        <w:tc>
          <w:tcPr>
            <w:tcW w:w="580" w:type="dxa"/>
            <w:vAlign w:val="bottom"/>
            <w:tcBorders>
              <w:bottom w:val="single" w:sz="8" w:color="auto"/>
            </w:tcBorders>
          </w:tcPr>
          <w:p>
            <w:pPr>
              <w:jc w:val="right"/>
              <w:ind w:right="394"/>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1,987</w:t>
            </w:r>
          </w:p>
        </w:tc>
      </w:tr>
      <w:tr>
        <w:trPr>
          <w:trHeight w:val="20"/>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0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Net sales</w:t>
      </w:r>
    </w:p>
    <w:p>
      <w:pPr>
        <w:spacing w:after="0" w:line="171"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Transit Segment organic sales increased by $277 million primarily driven by strong Aftermarket and Original Equipment Manufacturing sales primarily as a result of increased infrastructure investment and demand for original equipment door, HVAC and brake systems.</w:t>
      </w:r>
    </w:p>
    <w:p>
      <w:pPr>
        <w:spacing w:after="0" w:line="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Cost of sales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color w:val="auto"/>
        </w:rPr>
        <w:t>Transit Segment Cost of sales increased by $200 million and Cost of sales as a percentage of sales increased by 0.1 percentage points due to:</w:t>
      </w:r>
    </w:p>
    <w:p>
      <w:pPr>
        <w:spacing w:after="0" w:line="49" w:lineRule="exact"/>
        <w:rPr>
          <w:sz w:val="20"/>
          <w:szCs w:val="20"/>
          <w:color w:val="auto"/>
        </w:rPr>
      </w:pPr>
    </w:p>
    <w:p>
      <w:pPr>
        <w:ind w:left="620" w:hanging="307"/>
        <w:spacing w:after="0"/>
        <w:tabs>
          <w:tab w:leader="none" w:pos="6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Higher sales volume</w:t>
      </w:r>
    </w:p>
    <w:p>
      <w:pPr>
        <w:spacing w:after="0" w:line="49" w:lineRule="exact"/>
        <w:rPr>
          <w:rFonts w:ascii="Arial" w:cs="Arial" w:eastAsia="Arial" w:hAnsi="Arial"/>
          <w:sz w:val="17"/>
          <w:szCs w:val="17"/>
          <w:color w:val="auto"/>
        </w:rPr>
      </w:pPr>
    </w:p>
    <w:p>
      <w:pPr>
        <w:ind w:right="8840" w:firstLine="313"/>
        <w:spacing w:after="0" w:line="292" w:lineRule="auto"/>
        <w:tabs>
          <w:tab w:leader="none" w:pos="614" w:val="left"/>
        </w:tabs>
        <w:numPr>
          <w:ilvl w:val="0"/>
          <w:numId w:val="13"/>
        </w:numPr>
        <w:rPr>
          <w:rFonts w:ascii="Arial" w:cs="Arial" w:eastAsia="Arial" w:hAnsi="Arial"/>
          <w:sz w:val="17"/>
          <w:szCs w:val="17"/>
          <w:color w:val="auto"/>
        </w:rPr>
      </w:pPr>
      <w:r>
        <w:rPr>
          <w:rFonts w:ascii="Arial" w:cs="Arial" w:eastAsia="Arial" w:hAnsi="Arial"/>
          <w:sz w:val="17"/>
          <w:szCs w:val="17"/>
          <w:color w:val="auto"/>
        </w:rPr>
        <w:t xml:space="preserve">Higher restructuring costs </w:t>
      </w:r>
      <w:r>
        <w:rPr>
          <w:rFonts w:ascii="Arial" w:cs="Arial" w:eastAsia="Arial" w:hAnsi="Arial"/>
          <w:sz w:val="17"/>
          <w:szCs w:val="17"/>
          <w:i w:val="1"/>
          <w:iCs w:val="1"/>
          <w:color w:val="auto"/>
        </w:rPr>
        <w:t>Partially offset by:</w:t>
      </w:r>
    </w:p>
    <w:p>
      <w:pPr>
        <w:spacing w:after="0" w:line="1" w:lineRule="exact"/>
        <w:rPr>
          <w:rFonts w:ascii="Arial" w:cs="Arial" w:eastAsia="Arial" w:hAnsi="Arial"/>
          <w:sz w:val="17"/>
          <w:szCs w:val="17"/>
          <w:color w:val="auto"/>
        </w:rPr>
      </w:pPr>
    </w:p>
    <w:p>
      <w:pPr>
        <w:ind w:left="620" w:hanging="307"/>
        <w:spacing w:after="0"/>
        <w:tabs>
          <w:tab w:leader="none" w:pos="6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Benefits from structured cost actions taken through Integration 2.0 and prior years' restructuring and integration projects</w:t>
      </w:r>
    </w:p>
    <w:p>
      <w:pPr>
        <w:spacing w:after="0" w:line="165"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Transit Cost of sales for the nine months ended September 30, 2023 and 2022 includes $17 million and $5 million, respectively, of restructuring costs, primarily for footprint rationalization and headcount actions in Europe, with the amounts in 2023 related to Integration 2.0.</w:t>
      </w:r>
    </w:p>
    <w:p>
      <w:pPr>
        <w:spacing w:after="0" w:line="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Operating expenses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color w:val="auto"/>
        </w:rPr>
        <w:t>Transit Segment operating expenses increased by $39 million primarily driven by:</w:t>
      </w:r>
    </w:p>
    <w:p>
      <w:pPr>
        <w:spacing w:after="0" w:line="49" w:lineRule="exact"/>
        <w:rPr>
          <w:sz w:val="20"/>
          <w:szCs w:val="20"/>
          <w:color w:val="auto"/>
        </w:rPr>
      </w:pPr>
    </w:p>
    <w:p>
      <w:pPr>
        <w:ind w:left="620" w:right="860" w:hanging="307"/>
        <w:spacing w:after="0" w:line="285" w:lineRule="auto"/>
        <w:tabs>
          <w:tab w:leader="none" w:pos="616" w:val="left"/>
        </w:tabs>
        <w:numPr>
          <w:ilvl w:val="0"/>
          <w:numId w:val="14"/>
        </w:numPr>
        <w:rPr>
          <w:rFonts w:ascii="Arial" w:cs="Arial" w:eastAsia="Arial" w:hAnsi="Arial"/>
          <w:sz w:val="16"/>
          <w:szCs w:val="16"/>
          <w:color w:val="auto"/>
        </w:rPr>
      </w:pPr>
      <w:r>
        <w:rPr>
          <w:rFonts w:ascii="Arial" w:cs="Arial" w:eastAsia="Arial" w:hAnsi="Arial"/>
          <w:sz w:val="16"/>
          <w:szCs w:val="16"/>
          <w:color w:val="auto"/>
        </w:rPr>
        <w:t>Higher SG&amp;A expenses of $32 million. The increase is primarily from costs incurred to support the higher sales volume and higher employee compensation and benefit costs, partially offset by the benefits from structured cost actions taken through restructuring actions</w:t>
      </w:r>
    </w:p>
    <w:p>
      <w:pPr>
        <w:spacing w:after="0" w:line="1" w:lineRule="exact"/>
        <w:rPr>
          <w:rFonts w:ascii="Arial" w:cs="Arial" w:eastAsia="Arial" w:hAnsi="Arial"/>
          <w:sz w:val="16"/>
          <w:szCs w:val="16"/>
          <w:color w:val="auto"/>
        </w:rPr>
      </w:pPr>
    </w:p>
    <w:p>
      <w:pPr>
        <w:ind w:left="620" w:hanging="307"/>
        <w:spacing w:after="0"/>
        <w:tabs>
          <w:tab w:leader="none" w:pos="6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Higher Engineering expenses of $5 million for investments in new technology</w:t>
      </w:r>
    </w:p>
    <w:p>
      <w:pPr>
        <w:spacing w:after="0" w:line="49" w:lineRule="exact"/>
        <w:rPr>
          <w:rFonts w:ascii="Arial" w:cs="Arial" w:eastAsia="Arial" w:hAnsi="Arial"/>
          <w:sz w:val="17"/>
          <w:szCs w:val="17"/>
          <w:color w:val="auto"/>
        </w:rPr>
      </w:pPr>
    </w:p>
    <w:p>
      <w:pPr>
        <w:ind w:left="620" w:hanging="307"/>
        <w:spacing w:after="0"/>
        <w:tabs>
          <w:tab w:leader="none" w:pos="6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Amortization expense increased by $2 million due to accelerated amortization related to restructuring actions</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88" w:right="339" w:bottom="1440" w:gutter="0" w:footer="0" w:header="0"/>
        </w:sectPr>
      </w:pPr>
    </w:p>
    <w:bookmarkStart w:id="38" w:name="page39"/>
    <w:bookmarkEnd w:id="38"/>
    <w:p>
      <w:pPr>
        <w:ind w:right="480"/>
        <w:spacing w:after="0" w:line="264" w:lineRule="auto"/>
        <w:rPr>
          <w:sz w:val="20"/>
          <w:szCs w:val="20"/>
          <w:color w:val="auto"/>
        </w:rPr>
      </w:pPr>
      <w:r>
        <w:rPr>
          <w:rFonts w:ascii="Arial" w:cs="Arial" w:eastAsia="Arial" w:hAnsi="Arial"/>
          <w:sz w:val="17"/>
          <w:szCs w:val="17"/>
          <w:color w:val="auto"/>
        </w:rPr>
        <w:t>Transit Operating expenses for the nine months ended September 30, 2023 and 2022 includes $6 million and $5 million, respectively, of restructuring costs, primarily for footprint rationalization and headcount actions in Europe, with the amounts in 2023 related to Integration 2.0.</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Operating expenses as a percentage of sales for the Transit Segment were 17.4% and 17.9% for the nine months ended September 30, 2023 and 2022, respectively.</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991" w:right="379" w:bottom="1440" w:gutter="0" w:footer="0" w:header="0"/>
        </w:sectPr>
      </w:pPr>
    </w:p>
    <w:bookmarkStart w:id="39" w:name="page40"/>
    <w:bookmarkEnd w:id="39"/>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120" w:lineRule="exact"/>
        <w:rPr>
          <w:sz w:val="20"/>
          <w:szCs w:val="20"/>
          <w:color w:val="auto"/>
        </w:rPr>
      </w:pPr>
    </w:p>
    <w:p>
      <w:pPr>
        <w:ind w:right="60" w:firstLine="464"/>
        <w:spacing w:after="0" w:line="262" w:lineRule="auto"/>
        <w:rPr>
          <w:sz w:val="20"/>
          <w:szCs w:val="20"/>
          <w:color w:val="auto"/>
        </w:rPr>
      </w:pPr>
      <w:r>
        <w:rPr>
          <w:rFonts w:ascii="Arial" w:cs="Arial" w:eastAsia="Arial" w:hAnsi="Arial"/>
          <w:sz w:val="17"/>
          <w:szCs w:val="17"/>
          <w:color w:val="auto"/>
        </w:rPr>
        <w:t>Liquidity is provided by operating cash flows and borrowings under the Company’s Senior Notes and unsecured credit facility with a consortium of commercial banks. Additionally, the Company utilizes the revolving receivables program and supply chain financing program described below, as well as other short-term financing agreements with certain banks for added flexibility as part of our liquidity management strategy. The following is a summary of selected cash flow information and other relevant data:</w:t>
      </w:r>
    </w:p>
    <w:tbl>
      <w:tblPr>
        <w:tblLayout w:type="fixed"/>
        <w:tblInd w:w="0" w:type="dxa"/>
        <w:tblCellMar>
          <w:top w:w="0" w:type="dxa"/>
          <w:left w:w="0" w:type="dxa"/>
          <w:bottom w:w="0" w:type="dxa"/>
          <w:right w:w="0" w:type="dxa"/>
        </w:tblCellMar>
      </w:tblPr>
      <w:tr>
        <w:trPr>
          <w:trHeight w:val="164"/>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460" w:type="dxa"/>
            <w:vAlign w:val="bottom"/>
          </w:tcPr>
          <w:p>
            <w:pPr>
              <w:spacing w:after="0"/>
              <w:rPr>
                <w:sz w:val="14"/>
                <w:szCs w:val="14"/>
                <w:color w:val="auto"/>
              </w:rPr>
            </w:pPr>
          </w:p>
        </w:tc>
        <w:tc>
          <w:tcPr>
            <w:tcW w:w="2640" w:type="dxa"/>
            <w:vAlign w:val="bottom"/>
            <w:gridSpan w:val="4"/>
          </w:tcPr>
          <w:p>
            <w:pPr>
              <w:jc w:val="right"/>
              <w:ind w:right="316"/>
              <w:spacing w:after="0" w:line="164" w:lineRule="exact"/>
              <w:rPr>
                <w:sz w:val="20"/>
                <w:szCs w:val="20"/>
                <w:color w:val="auto"/>
              </w:rPr>
            </w:pPr>
            <w:r>
              <w:rPr>
                <w:rFonts w:ascii="Arial" w:cs="Arial" w:eastAsia="Arial" w:hAnsi="Arial"/>
                <w:sz w:val="15"/>
                <w:szCs w:val="15"/>
                <w:b w:val="1"/>
                <w:bCs w:val="1"/>
                <w:color w:val="auto"/>
              </w:rPr>
              <w:t>Nine Months Ended</w:t>
            </w:r>
          </w:p>
        </w:tc>
        <w:tc>
          <w:tcPr>
            <w:tcW w:w="500" w:type="dxa"/>
            <w:vAlign w:val="bottom"/>
          </w:tcPr>
          <w:p>
            <w:pPr>
              <w:spacing w:after="0"/>
              <w:rPr>
                <w:sz w:val="14"/>
                <w:szCs w:val="14"/>
                <w:color w:val="auto"/>
              </w:rPr>
            </w:pPr>
          </w:p>
        </w:tc>
      </w:tr>
      <w:tr>
        <w:trPr>
          <w:trHeight w:val="204"/>
        </w:trPr>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460" w:type="dxa"/>
            <w:vAlign w:val="bottom"/>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gridSpan w:val="3"/>
          </w:tcPr>
          <w:p>
            <w:pPr>
              <w:jc w:val="right"/>
              <w:ind w:right="516"/>
              <w:spacing w:after="0"/>
              <w:rPr>
                <w:sz w:val="20"/>
                <w:szCs w:val="20"/>
                <w:color w:val="auto"/>
              </w:rPr>
            </w:pPr>
            <w:r>
              <w:rPr>
                <w:rFonts w:ascii="Arial" w:cs="Arial" w:eastAsia="Arial" w:hAnsi="Arial"/>
                <w:sz w:val="15"/>
                <w:szCs w:val="15"/>
                <w:b w:val="1"/>
                <w:bCs w:val="1"/>
                <w:color w:val="auto"/>
                <w:w w:val="99"/>
              </w:rPr>
              <w:t>September 30,</w:t>
            </w:r>
          </w:p>
        </w:tc>
        <w:tc>
          <w:tcPr>
            <w:tcW w:w="500" w:type="dxa"/>
            <w:vAlign w:val="bottom"/>
            <w:tcBorders>
              <w:bottom w:val="single" w:sz="8" w:color="auto"/>
            </w:tcBorders>
          </w:tcPr>
          <w:p>
            <w:pPr>
              <w:spacing w:after="0"/>
              <w:rPr>
                <w:sz w:val="17"/>
                <w:szCs w:val="17"/>
                <w:color w:val="auto"/>
              </w:rPr>
            </w:pPr>
          </w:p>
        </w:tc>
      </w:tr>
      <w:tr>
        <w:trPr>
          <w:trHeight w:val="150"/>
        </w:trPr>
        <w:tc>
          <w:tcPr>
            <w:tcW w:w="8100" w:type="dxa"/>
            <w:vAlign w:val="bottom"/>
            <w:gridSpan w:val="3"/>
          </w:tcPr>
          <w:p>
            <w:pPr>
              <w:ind w:left="20"/>
              <w:spacing w:after="0" w:line="135" w:lineRule="exact"/>
              <w:rPr>
                <w:sz w:val="20"/>
                <w:szCs w:val="20"/>
                <w:color w:val="auto"/>
              </w:rPr>
            </w:pPr>
            <w:r>
              <w:rPr>
                <w:rFonts w:ascii="Arial" w:cs="Arial" w:eastAsia="Arial" w:hAnsi="Arial"/>
                <w:sz w:val="14"/>
                <w:szCs w:val="14"/>
                <w:b w:val="1"/>
                <w:bCs w:val="1"/>
                <w:i w:val="1"/>
                <w:iCs w:val="1"/>
                <w:color w:val="auto"/>
              </w:rPr>
              <w:t>In millions</w:t>
            </w:r>
          </w:p>
        </w:tc>
        <w:tc>
          <w:tcPr>
            <w:tcW w:w="1000" w:type="dxa"/>
            <w:vAlign w:val="bottom"/>
          </w:tcPr>
          <w:p>
            <w:pPr>
              <w:jc w:val="right"/>
              <w:spacing w:after="0" w:line="135" w:lineRule="exact"/>
              <w:rPr>
                <w:sz w:val="20"/>
                <w:szCs w:val="20"/>
                <w:color w:val="auto"/>
              </w:rPr>
            </w:pPr>
            <w:r>
              <w:rPr>
                <w:rFonts w:ascii="Arial" w:cs="Arial" w:eastAsia="Arial" w:hAnsi="Arial"/>
                <w:sz w:val="15"/>
                <w:szCs w:val="15"/>
                <w:b w:val="1"/>
                <w:bCs w:val="1"/>
                <w:color w:val="auto"/>
              </w:rPr>
              <w:t>2023</w:t>
            </w: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jc w:val="right"/>
              <w:ind w:right="16"/>
              <w:spacing w:after="0" w:line="135" w:lineRule="exact"/>
              <w:rPr>
                <w:sz w:val="20"/>
                <w:szCs w:val="20"/>
                <w:color w:val="auto"/>
              </w:rPr>
            </w:pPr>
            <w:r>
              <w:rPr>
                <w:rFonts w:ascii="Arial" w:cs="Arial" w:eastAsia="Arial" w:hAnsi="Arial"/>
                <w:sz w:val="15"/>
                <w:szCs w:val="15"/>
                <w:b w:val="1"/>
                <w:bCs w:val="1"/>
                <w:color w:val="auto"/>
              </w:rPr>
              <w:t>2022</w:t>
            </w:r>
          </w:p>
        </w:tc>
        <w:tc>
          <w:tcPr>
            <w:tcW w:w="500" w:type="dxa"/>
            <w:vAlign w:val="bottom"/>
          </w:tcPr>
          <w:p>
            <w:pPr>
              <w:spacing w:after="0"/>
              <w:rPr>
                <w:sz w:val="13"/>
                <w:szCs w:val="13"/>
                <w:color w:val="auto"/>
              </w:rPr>
            </w:pPr>
          </w:p>
        </w:tc>
      </w:tr>
      <w:tr>
        <w:trPr>
          <w:trHeight w:val="32"/>
        </w:trPr>
        <w:tc>
          <w:tcPr>
            <w:tcW w:w="20" w:type="dxa"/>
            <w:vAlign w:val="bottom"/>
            <w:tcBorders>
              <w:bottom w:val="single" w:sz="8" w:color="CCEEFF"/>
            </w:tcBorders>
          </w:tcPr>
          <w:p>
            <w:pPr>
              <w:spacing w:after="0"/>
              <w:rPr>
                <w:sz w:val="2"/>
                <w:szCs w:val="2"/>
                <w:color w:val="auto"/>
              </w:rPr>
            </w:pPr>
          </w:p>
        </w:tc>
        <w:tc>
          <w:tcPr>
            <w:tcW w:w="620" w:type="dxa"/>
            <w:vAlign w:val="bottom"/>
            <w:tcBorders>
              <w:top w:val="single" w:sz="8" w:color="auto"/>
              <w:bottom w:val="single" w:sz="8" w:color="CCEEFF"/>
            </w:tcBorders>
          </w:tcPr>
          <w:p>
            <w:pPr>
              <w:spacing w:after="0"/>
              <w:rPr>
                <w:sz w:val="2"/>
                <w:szCs w:val="2"/>
                <w:color w:val="auto"/>
              </w:rPr>
            </w:pPr>
          </w:p>
        </w:tc>
        <w:tc>
          <w:tcPr>
            <w:tcW w:w="746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199"/>
        </w:trPr>
        <w:tc>
          <w:tcPr>
            <w:tcW w:w="810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Cash provided by (used for):</w:t>
            </w:r>
          </w:p>
        </w:tc>
        <w:tc>
          <w:tcPr>
            <w:tcW w:w="10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r>
      <w:tr>
        <w:trPr>
          <w:trHeight w:val="218"/>
        </w:trPr>
        <w:tc>
          <w:tcPr>
            <w:tcW w:w="20" w:type="dxa"/>
            <w:vAlign w:val="bottom"/>
          </w:tcPr>
          <w:p>
            <w:pPr>
              <w:spacing w:after="0"/>
              <w:rPr>
                <w:sz w:val="18"/>
                <w:szCs w:val="18"/>
                <w:color w:val="auto"/>
              </w:rPr>
            </w:pPr>
          </w:p>
        </w:tc>
        <w:tc>
          <w:tcPr>
            <w:tcW w:w="8080" w:type="dxa"/>
            <w:vAlign w:val="bottom"/>
            <w:gridSpan w:val="2"/>
          </w:tcPr>
          <w:p>
            <w:pPr>
              <w:ind w:left="240"/>
              <w:spacing w:after="0"/>
              <w:rPr>
                <w:sz w:val="20"/>
                <w:szCs w:val="20"/>
                <w:color w:val="auto"/>
              </w:rPr>
            </w:pPr>
            <w:r>
              <w:rPr>
                <w:rFonts w:ascii="Arial" w:cs="Arial" w:eastAsia="Arial" w:hAnsi="Arial"/>
                <w:sz w:val="17"/>
                <w:szCs w:val="17"/>
                <w:color w:val="auto"/>
              </w:rPr>
              <w:t>Operating activities</w:t>
            </w:r>
          </w:p>
        </w:tc>
        <w:tc>
          <w:tcPr>
            <w:tcW w:w="1000" w:type="dxa"/>
            <w:vAlign w:val="bottom"/>
          </w:tcPr>
          <w:p>
            <w:pPr>
              <w:jc w:val="right"/>
              <w:ind w:right="818"/>
              <w:spacing w:after="0"/>
              <w:rPr>
                <w:sz w:val="20"/>
                <w:szCs w:val="20"/>
                <w:color w:val="auto"/>
              </w:rPr>
            </w:pPr>
            <w:r>
              <w:rPr>
                <w:rFonts w:ascii="Arial" w:cs="Arial" w:eastAsia="Arial" w:hAnsi="Arial"/>
                <w:sz w:val="17"/>
                <w:szCs w:val="17"/>
                <w:color w:val="auto"/>
                <w:w w:val="84"/>
              </w:rPr>
              <w:t>$</w:t>
            </w:r>
          </w:p>
        </w:tc>
        <w:tc>
          <w:tcPr>
            <w:tcW w:w="520" w:type="dxa"/>
            <w:vAlign w:val="bottom"/>
          </w:tcPr>
          <w:p>
            <w:pPr>
              <w:jc w:val="center"/>
              <w:ind w:left="56"/>
              <w:spacing w:after="0"/>
              <w:rPr>
                <w:sz w:val="20"/>
                <w:szCs w:val="20"/>
                <w:color w:val="auto"/>
              </w:rPr>
            </w:pPr>
            <w:r>
              <w:rPr>
                <w:rFonts w:ascii="Arial" w:cs="Arial" w:eastAsia="Arial" w:hAnsi="Arial"/>
                <w:sz w:val="17"/>
                <w:szCs w:val="17"/>
                <w:color w:val="auto"/>
                <w:w w:val="91"/>
              </w:rPr>
              <w:t>515</w:t>
            </w:r>
          </w:p>
        </w:tc>
        <w:tc>
          <w:tcPr>
            <w:tcW w:w="100" w:type="dxa"/>
            <w:vAlign w:val="bottom"/>
          </w:tcPr>
          <w:p>
            <w:pPr>
              <w:spacing w:after="0"/>
              <w:rPr>
                <w:sz w:val="18"/>
                <w:szCs w:val="18"/>
                <w:color w:val="auto"/>
              </w:rPr>
            </w:pPr>
          </w:p>
        </w:tc>
        <w:tc>
          <w:tcPr>
            <w:tcW w:w="1020" w:type="dxa"/>
            <w:vAlign w:val="bottom"/>
          </w:tcPr>
          <w:p>
            <w:pPr>
              <w:jc w:val="right"/>
              <w:ind w:right="836"/>
              <w:spacing w:after="0"/>
              <w:rPr>
                <w:sz w:val="20"/>
                <w:szCs w:val="20"/>
                <w:color w:val="auto"/>
              </w:rPr>
            </w:pPr>
            <w:r>
              <w:rPr>
                <w:rFonts w:ascii="Arial" w:cs="Arial" w:eastAsia="Arial" w:hAnsi="Arial"/>
                <w:sz w:val="17"/>
                <w:szCs w:val="17"/>
                <w:color w:val="auto"/>
                <w:w w:val="84"/>
              </w:rPr>
              <w:t>$</w:t>
            </w:r>
          </w:p>
        </w:tc>
        <w:tc>
          <w:tcPr>
            <w:tcW w:w="500" w:type="dxa"/>
            <w:vAlign w:val="bottom"/>
          </w:tcPr>
          <w:p>
            <w:pPr>
              <w:jc w:val="center"/>
              <w:ind w:left="34"/>
              <w:spacing w:after="0"/>
              <w:rPr>
                <w:sz w:val="20"/>
                <w:szCs w:val="20"/>
                <w:color w:val="auto"/>
              </w:rPr>
            </w:pPr>
            <w:r>
              <w:rPr>
                <w:rFonts w:ascii="Arial" w:cs="Arial" w:eastAsia="Arial" w:hAnsi="Arial"/>
                <w:sz w:val="17"/>
                <w:szCs w:val="17"/>
                <w:color w:val="auto"/>
                <w:w w:val="91"/>
              </w:rPr>
              <w:t>628</w:t>
            </w:r>
          </w:p>
        </w:tc>
      </w:tr>
      <w:tr>
        <w:trPr>
          <w:trHeight w:val="220"/>
        </w:trPr>
        <w:tc>
          <w:tcPr>
            <w:tcW w:w="20" w:type="dxa"/>
            <w:vAlign w:val="bottom"/>
            <w:shd w:val="clear" w:color="auto" w:fill="CCEEFF"/>
          </w:tcPr>
          <w:p>
            <w:pPr>
              <w:spacing w:after="0"/>
              <w:rPr>
                <w:sz w:val="19"/>
                <w:szCs w:val="19"/>
                <w:color w:val="auto"/>
              </w:rPr>
            </w:pPr>
          </w:p>
        </w:tc>
        <w:tc>
          <w:tcPr>
            <w:tcW w:w="8080" w:type="dxa"/>
            <w:vAlign w:val="bottom"/>
            <w:gridSpan w:val="2"/>
            <w:shd w:val="clear" w:color="auto" w:fill="CCEEFF"/>
          </w:tcPr>
          <w:p>
            <w:pPr>
              <w:ind w:left="240"/>
              <w:spacing w:after="0"/>
              <w:rPr>
                <w:sz w:val="20"/>
                <w:szCs w:val="20"/>
                <w:color w:val="auto"/>
              </w:rPr>
            </w:pPr>
            <w:r>
              <w:rPr>
                <w:rFonts w:ascii="Arial" w:cs="Arial" w:eastAsia="Arial" w:hAnsi="Arial"/>
                <w:sz w:val="17"/>
                <w:szCs w:val="17"/>
                <w:color w:val="auto"/>
              </w:rPr>
              <w:t>Investing activities</w:t>
            </w:r>
          </w:p>
        </w:tc>
        <w:tc>
          <w:tcPr>
            <w:tcW w:w="1000" w:type="dxa"/>
            <w:vAlign w:val="bottom"/>
            <w:shd w:val="clear" w:color="auto" w:fill="CCEEFF"/>
          </w:tcPr>
          <w:p>
            <w:pPr>
              <w:jc w:val="right"/>
              <w:ind w:right="818"/>
              <w:spacing w:after="0"/>
              <w:rPr>
                <w:sz w:val="20"/>
                <w:szCs w:val="20"/>
                <w:color w:val="auto"/>
              </w:rPr>
            </w:pPr>
            <w:r>
              <w:rPr>
                <w:rFonts w:ascii="Arial" w:cs="Arial" w:eastAsia="Arial" w:hAnsi="Arial"/>
                <w:sz w:val="17"/>
                <w:szCs w:val="17"/>
                <w:color w:val="auto"/>
                <w:w w:val="84"/>
              </w:rPr>
              <w:t>$</w:t>
            </w:r>
          </w:p>
        </w:tc>
        <w:tc>
          <w:tcPr>
            <w:tcW w:w="520" w:type="dxa"/>
            <w:vAlign w:val="bottom"/>
            <w:shd w:val="clear" w:color="auto" w:fill="CCEEFF"/>
          </w:tcPr>
          <w:p>
            <w:pPr>
              <w:jc w:val="center"/>
              <w:ind w:left="16"/>
              <w:spacing w:after="0"/>
              <w:rPr>
                <w:sz w:val="20"/>
                <w:szCs w:val="20"/>
                <w:color w:val="auto"/>
              </w:rPr>
            </w:pPr>
            <w:r>
              <w:rPr>
                <w:rFonts w:ascii="Arial" w:cs="Arial" w:eastAsia="Arial" w:hAnsi="Arial"/>
                <w:sz w:val="17"/>
                <w:szCs w:val="17"/>
                <w:color w:val="auto"/>
                <w:w w:val="95"/>
              </w:rPr>
              <w:t>(336)</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836"/>
              <w:spacing w:after="0"/>
              <w:rPr>
                <w:sz w:val="20"/>
                <w:szCs w:val="20"/>
                <w:color w:val="auto"/>
              </w:rPr>
            </w:pPr>
            <w:r>
              <w:rPr>
                <w:rFonts w:ascii="Arial" w:cs="Arial" w:eastAsia="Arial" w:hAnsi="Arial"/>
                <w:sz w:val="17"/>
                <w:szCs w:val="17"/>
                <w:color w:val="auto"/>
                <w:w w:val="84"/>
              </w:rPr>
              <w:t>$</w:t>
            </w:r>
          </w:p>
        </w:tc>
        <w:tc>
          <w:tcPr>
            <w:tcW w:w="5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5"/>
              </w:rPr>
              <w:t>(149)</w:t>
            </w:r>
          </w:p>
        </w:tc>
      </w:tr>
      <w:tr>
        <w:trPr>
          <w:trHeight w:val="218"/>
        </w:trPr>
        <w:tc>
          <w:tcPr>
            <w:tcW w:w="20" w:type="dxa"/>
            <w:vAlign w:val="bottom"/>
          </w:tcPr>
          <w:p>
            <w:pPr>
              <w:spacing w:after="0"/>
              <w:rPr>
                <w:sz w:val="18"/>
                <w:szCs w:val="18"/>
                <w:color w:val="auto"/>
              </w:rPr>
            </w:pPr>
          </w:p>
        </w:tc>
        <w:tc>
          <w:tcPr>
            <w:tcW w:w="8080" w:type="dxa"/>
            <w:vAlign w:val="bottom"/>
            <w:gridSpan w:val="2"/>
          </w:tcPr>
          <w:p>
            <w:pPr>
              <w:ind w:left="240"/>
              <w:spacing w:after="0"/>
              <w:rPr>
                <w:sz w:val="20"/>
                <w:szCs w:val="20"/>
                <w:color w:val="auto"/>
              </w:rPr>
            </w:pPr>
            <w:r>
              <w:rPr>
                <w:rFonts w:ascii="Arial" w:cs="Arial" w:eastAsia="Arial" w:hAnsi="Arial"/>
                <w:sz w:val="17"/>
                <w:szCs w:val="17"/>
                <w:color w:val="auto"/>
              </w:rPr>
              <w:t>Financing activities</w:t>
            </w:r>
          </w:p>
        </w:tc>
        <w:tc>
          <w:tcPr>
            <w:tcW w:w="1000" w:type="dxa"/>
            <w:vAlign w:val="bottom"/>
          </w:tcPr>
          <w:p>
            <w:pPr>
              <w:jc w:val="right"/>
              <w:ind w:right="818"/>
              <w:spacing w:after="0"/>
              <w:rPr>
                <w:sz w:val="20"/>
                <w:szCs w:val="20"/>
                <w:color w:val="auto"/>
              </w:rPr>
            </w:pPr>
            <w:r>
              <w:rPr>
                <w:rFonts w:ascii="Arial" w:cs="Arial" w:eastAsia="Arial" w:hAnsi="Arial"/>
                <w:sz w:val="17"/>
                <w:szCs w:val="17"/>
                <w:color w:val="auto"/>
                <w:w w:val="84"/>
              </w:rPr>
              <w:t>$</w:t>
            </w:r>
          </w:p>
        </w:tc>
        <w:tc>
          <w:tcPr>
            <w:tcW w:w="520" w:type="dxa"/>
            <w:vAlign w:val="bottom"/>
          </w:tcPr>
          <w:p>
            <w:pPr>
              <w:jc w:val="center"/>
              <w:ind w:left="16"/>
              <w:spacing w:after="0"/>
              <w:rPr>
                <w:sz w:val="20"/>
                <w:szCs w:val="20"/>
                <w:color w:val="auto"/>
              </w:rPr>
            </w:pPr>
            <w:r>
              <w:rPr>
                <w:rFonts w:ascii="Arial" w:cs="Arial" w:eastAsia="Arial" w:hAnsi="Arial"/>
                <w:sz w:val="17"/>
                <w:szCs w:val="17"/>
                <w:color w:val="auto"/>
                <w:w w:val="95"/>
              </w:rPr>
              <w:t>(323)</w:t>
            </w:r>
          </w:p>
        </w:tc>
        <w:tc>
          <w:tcPr>
            <w:tcW w:w="100" w:type="dxa"/>
            <w:vAlign w:val="bottom"/>
          </w:tcPr>
          <w:p>
            <w:pPr>
              <w:spacing w:after="0"/>
              <w:rPr>
                <w:sz w:val="18"/>
                <w:szCs w:val="18"/>
                <w:color w:val="auto"/>
              </w:rPr>
            </w:pPr>
          </w:p>
        </w:tc>
        <w:tc>
          <w:tcPr>
            <w:tcW w:w="1020" w:type="dxa"/>
            <w:vAlign w:val="bottom"/>
          </w:tcPr>
          <w:p>
            <w:pPr>
              <w:jc w:val="right"/>
              <w:ind w:right="836"/>
              <w:spacing w:after="0"/>
              <w:rPr>
                <w:sz w:val="20"/>
                <w:szCs w:val="20"/>
                <w:color w:val="auto"/>
              </w:rPr>
            </w:pPr>
            <w:r>
              <w:rPr>
                <w:rFonts w:ascii="Arial" w:cs="Arial" w:eastAsia="Arial" w:hAnsi="Arial"/>
                <w:sz w:val="17"/>
                <w:szCs w:val="17"/>
                <w:color w:val="auto"/>
                <w:w w:val="84"/>
              </w:rPr>
              <w:t>$</w:t>
            </w:r>
          </w:p>
        </w:tc>
        <w:tc>
          <w:tcPr>
            <w:tcW w:w="500" w:type="dxa"/>
            <w:vAlign w:val="bottom"/>
          </w:tcPr>
          <w:p>
            <w:pPr>
              <w:jc w:val="center"/>
              <w:spacing w:after="0"/>
              <w:rPr>
                <w:sz w:val="20"/>
                <w:szCs w:val="20"/>
                <w:color w:val="auto"/>
              </w:rPr>
            </w:pPr>
            <w:r>
              <w:rPr>
                <w:rFonts w:ascii="Arial" w:cs="Arial" w:eastAsia="Arial" w:hAnsi="Arial"/>
                <w:sz w:val="17"/>
                <w:szCs w:val="17"/>
                <w:color w:val="auto"/>
                <w:w w:val="95"/>
              </w:rPr>
              <w:t>(395)</w:t>
            </w:r>
          </w:p>
        </w:tc>
      </w:tr>
    </w:tbl>
    <w:p>
      <w:pPr>
        <w:spacing w:after="0" w:line="234" w:lineRule="exact"/>
        <w:rPr>
          <w:sz w:val="20"/>
          <w:szCs w:val="20"/>
          <w:color w:val="auto"/>
        </w:rPr>
      </w:pPr>
    </w:p>
    <w:p>
      <w:pPr>
        <w:ind w:right="60" w:firstLine="464"/>
        <w:spacing w:after="0" w:line="266" w:lineRule="auto"/>
        <w:rPr>
          <w:sz w:val="20"/>
          <w:szCs w:val="20"/>
          <w:color w:val="auto"/>
        </w:rPr>
      </w:pPr>
      <w:r>
        <w:rPr>
          <w:rFonts w:ascii="Arial" w:cs="Arial" w:eastAsia="Arial" w:hAnsi="Arial"/>
          <w:sz w:val="17"/>
          <w:szCs w:val="17"/>
          <w:b w:val="1"/>
          <w:bCs w:val="1"/>
          <w:i w:val="1"/>
          <w:iCs w:val="1"/>
          <w:color w:val="auto"/>
        </w:rPr>
        <w:t xml:space="preserve">Operating activities </w:t>
      </w:r>
      <w:r>
        <w:rPr>
          <w:rFonts w:ascii="Arial" w:cs="Arial" w:eastAsia="Arial" w:hAnsi="Arial"/>
          <w:sz w:val="17"/>
          <w:szCs w:val="17"/>
          <w:color w:val="auto"/>
        </w:rPr>
        <w:t>In the first nine months of 2023, cash provided by operating activities was $515 million compared to $628 million in the first nine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months of 2022, resulting in a decrease of $113 million. The decrease was primarily driven by higher Net income that was more than offset by changes in working capital. Significant changes to the sources and (uses) of cash from the working capital decrease include the following:</w:t>
      </w:r>
    </w:p>
    <w:p>
      <w:pPr>
        <w:spacing w:after="0" w:line="72" w:lineRule="exact"/>
        <w:rPr>
          <w:sz w:val="20"/>
          <w:szCs w:val="20"/>
          <w:color w:val="auto"/>
        </w:rPr>
      </w:pPr>
    </w:p>
    <w:p>
      <w:pPr>
        <w:ind w:left="620" w:hanging="307"/>
        <w:spacing w:after="0"/>
        <w:tabs>
          <w:tab w:leader="none" w:pos="6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$200 million of favorable changes in Inventory from less inventory build during the first nine months of 2023 compared to the first nine months of 2022;</w:t>
      </w:r>
    </w:p>
    <w:p>
      <w:pPr>
        <w:spacing w:after="0" w:line="125" w:lineRule="exact"/>
        <w:rPr>
          <w:rFonts w:ascii="Arial" w:cs="Arial" w:eastAsia="Arial" w:hAnsi="Arial"/>
          <w:sz w:val="16"/>
          <w:szCs w:val="16"/>
          <w:color w:val="auto"/>
        </w:rPr>
      </w:pPr>
    </w:p>
    <w:p>
      <w:pPr>
        <w:ind w:left="620" w:hanging="307"/>
        <w:spacing w:after="0"/>
        <w:tabs>
          <w:tab w:leader="none" w:pos="6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$(282) million unfavorable change in Accounts payable due to timing of payments; and,</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$(175) million related to changes in receivables due to timing and volume of sales and the net change in the Revolving Receivables Program.</w:t>
      </w:r>
    </w:p>
    <w:p>
      <w:pPr>
        <w:spacing w:after="0" w:line="114" w:lineRule="exact"/>
        <w:rPr>
          <w:sz w:val="20"/>
          <w:szCs w:val="20"/>
          <w:color w:val="auto"/>
        </w:rPr>
      </w:pPr>
    </w:p>
    <w:p>
      <w:pPr>
        <w:ind w:firstLine="464"/>
        <w:spacing w:after="0" w:line="259" w:lineRule="auto"/>
        <w:rPr>
          <w:sz w:val="20"/>
          <w:szCs w:val="20"/>
          <w:color w:val="auto"/>
        </w:rPr>
      </w:pPr>
      <w:r>
        <w:rPr>
          <w:rFonts w:ascii="Arial" w:cs="Arial" w:eastAsia="Arial" w:hAnsi="Arial"/>
          <w:sz w:val="17"/>
          <w:szCs w:val="17"/>
          <w:b w:val="1"/>
          <w:bCs w:val="1"/>
          <w:i w:val="1"/>
          <w:iCs w:val="1"/>
          <w:color w:val="auto"/>
        </w:rPr>
        <w:t xml:space="preserve">Investing activities </w:t>
      </w:r>
      <w:r>
        <w:rPr>
          <w:rFonts w:ascii="Arial" w:cs="Arial" w:eastAsia="Arial" w:hAnsi="Arial"/>
          <w:sz w:val="17"/>
          <w:szCs w:val="17"/>
          <w:color w:val="auto"/>
        </w:rPr>
        <w:t>In the first nine months of 2023 and 2022, cash used for investing activities was $(336) million and $(149) million, respectively. During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first nine months of 2023, Wabtec acquired L&amp;M Radiator Inc., a leading manufacturer of heavy-duty equipment radiators and heat exchangers, for net cash of approximately $(229) million, and used $(109) million for additions to property, plant and equipment for investments in our facilities and manufacturing processes. During the first nine months of 2022, Wabtec made two strategic acquisitions for a combined purchase price of $(69) million and used $(82) million for additions to property, plant, and equipment.</w:t>
      </w:r>
    </w:p>
    <w:p>
      <w:pPr>
        <w:spacing w:after="0" w:line="80" w:lineRule="exact"/>
        <w:rPr>
          <w:sz w:val="20"/>
          <w:szCs w:val="20"/>
          <w:color w:val="auto"/>
        </w:rPr>
      </w:pPr>
    </w:p>
    <w:p>
      <w:pPr>
        <w:ind w:right="60" w:firstLine="464"/>
        <w:spacing w:after="0" w:line="283" w:lineRule="auto"/>
        <w:rPr>
          <w:sz w:val="20"/>
          <w:szCs w:val="20"/>
          <w:color w:val="auto"/>
        </w:rPr>
      </w:pPr>
      <w:r>
        <w:rPr>
          <w:rFonts w:ascii="Arial" w:cs="Arial" w:eastAsia="Arial" w:hAnsi="Arial"/>
          <w:sz w:val="16"/>
          <w:szCs w:val="16"/>
          <w:b w:val="1"/>
          <w:bCs w:val="1"/>
          <w:i w:val="1"/>
          <w:iCs w:val="1"/>
          <w:color w:val="auto"/>
        </w:rPr>
        <w:t xml:space="preserve">Financing activities </w:t>
      </w:r>
      <w:r>
        <w:rPr>
          <w:rFonts w:ascii="Arial" w:cs="Arial" w:eastAsia="Arial" w:hAnsi="Arial"/>
          <w:sz w:val="16"/>
          <w:szCs w:val="16"/>
          <w:color w:val="auto"/>
        </w:rPr>
        <w:t>In the first nine months of 2023, cash used for financing activities was $(323) million which included $49 million from net changes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debt, $(252) million in stock repurchases, $(92) million of dividend payments, $(16) million of payments for income tax withholding on share-based compensation, and $(12) million for distributions to noncontrolling interest. In the first nine months of 2022, cash used for financing activities was $(395) million, which included $93 million from net changes in debt, $(400) million in stock repurchases and $(83) million of dividend payments.</w:t>
      </w:r>
    </w:p>
    <w:p>
      <w:pPr>
        <w:spacing w:after="0" w:line="60" w:lineRule="exact"/>
        <w:rPr>
          <w:sz w:val="20"/>
          <w:szCs w:val="20"/>
          <w:color w:val="auto"/>
        </w:rPr>
      </w:pPr>
    </w:p>
    <w:p>
      <w:pPr>
        <w:ind w:right="80" w:firstLine="464"/>
        <w:spacing w:after="0" w:line="259" w:lineRule="auto"/>
        <w:rPr>
          <w:sz w:val="20"/>
          <w:szCs w:val="20"/>
          <w:color w:val="auto"/>
        </w:rPr>
      </w:pPr>
      <w:r>
        <w:rPr>
          <w:rFonts w:ascii="Arial" w:cs="Arial" w:eastAsia="Arial" w:hAnsi="Arial"/>
          <w:sz w:val="17"/>
          <w:szCs w:val="17"/>
          <w:color w:val="auto"/>
        </w:rPr>
        <w:t>During the third quarter of 2023, the Company borrowed the full $250 million of availability under the Delayed Draw Term Loan and subsequently utilized the proceeds to redeem the outstanding 2023 Notes. Beginning September 15, 2023, the effective interest rates for the 2024 Notes and the 2028 Notes were each reduced by 0.25% due to a favorable change in Wabtec's corporate credit rating and the rating of the aforementioned notes. Additionally, during 2023, the Company has also entered into $250 million of interest rate contracts to manage its net exposure to interest rate changes and its overall cost of borrowing. These contracts may be utilized for future bond refinancing.</w:t>
      </w:r>
    </w:p>
    <w:p>
      <w:pPr>
        <w:spacing w:after="0" w:line="80" w:lineRule="exact"/>
        <w:rPr>
          <w:sz w:val="20"/>
          <w:szCs w:val="20"/>
          <w:color w:val="auto"/>
        </w:rPr>
      </w:pPr>
    </w:p>
    <w:p>
      <w:pPr>
        <w:ind w:right="20" w:firstLine="464"/>
        <w:spacing w:after="0" w:line="262" w:lineRule="auto"/>
        <w:rPr>
          <w:sz w:val="20"/>
          <w:szCs w:val="20"/>
          <w:color w:val="auto"/>
        </w:rPr>
      </w:pPr>
      <w:r>
        <w:rPr>
          <w:rFonts w:ascii="Arial" w:cs="Arial" w:eastAsia="Arial" w:hAnsi="Arial"/>
          <w:sz w:val="17"/>
          <w:szCs w:val="17"/>
          <w:color w:val="auto"/>
        </w:rPr>
        <w:t>As of September 30, 2023, the Company held approximately $392 million of cash, cash equivalents and restricted cash, of which approximately $12 million was held within the United States and approximately $380 million was held outside of the United States, primarily in India, Europe, Brazil, and China. While repatriation of some cash held outside the United States may be restricted by local laws, most of the Company’s foreign cash could be repatriated to the United States net of any tax impacts.</w:t>
      </w:r>
    </w:p>
    <w:p>
      <w:pPr>
        <w:spacing w:after="0" w:line="75" w:lineRule="exact"/>
        <w:rPr>
          <w:sz w:val="20"/>
          <w:szCs w:val="20"/>
          <w:color w:val="auto"/>
        </w:rPr>
      </w:pPr>
    </w:p>
    <w:p>
      <w:pPr>
        <w:jc w:val="both"/>
        <w:ind w:right="300" w:firstLine="464"/>
        <w:spacing w:after="0" w:line="266" w:lineRule="auto"/>
        <w:rPr>
          <w:sz w:val="20"/>
          <w:szCs w:val="20"/>
          <w:color w:val="auto"/>
        </w:rPr>
      </w:pPr>
      <w:r>
        <w:rPr>
          <w:rFonts w:ascii="Arial" w:cs="Arial" w:eastAsia="Arial" w:hAnsi="Arial"/>
          <w:sz w:val="17"/>
          <w:szCs w:val="17"/>
          <w:color w:val="auto"/>
        </w:rPr>
        <w:t>We or our affiliates may, from time to time, seek to retire or purchase outstanding debt through negotiated or open-market cash purchases, exchanges, or otherwise, and such transactions, if any, will be upon such terms and at such prices as we may determine, and will depend on prevailing market conditions, our liquidity requirements, contractual restrictions and other factors.</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Revolving Receivables Program</w:t>
      </w:r>
    </w:p>
    <w:p>
      <w:pPr>
        <w:spacing w:after="0" w:line="114" w:lineRule="exact"/>
        <w:rPr>
          <w:sz w:val="20"/>
          <w:szCs w:val="20"/>
          <w:color w:val="auto"/>
        </w:rPr>
      </w:pPr>
    </w:p>
    <w:p>
      <w:pPr>
        <w:ind w:right="560" w:firstLine="464"/>
        <w:spacing w:after="0" w:line="279" w:lineRule="auto"/>
        <w:rPr>
          <w:sz w:val="20"/>
          <w:szCs w:val="20"/>
          <w:color w:val="auto"/>
        </w:rPr>
      </w:pPr>
      <w:r>
        <w:rPr>
          <w:rFonts w:ascii="Arial" w:cs="Arial" w:eastAsia="Arial" w:hAnsi="Arial"/>
          <w:sz w:val="17"/>
          <w:szCs w:val="17"/>
          <w:color w:val="auto"/>
        </w:rPr>
        <w:t>The Company utilizes a revolving receivables facility to sell up to $350 million of certain receivables through our bankruptcy-remote subsidiary to a financial institution on a recurring basis in exchange for cash equal to the gross receivables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40" w:name="page41"/>
    <w:bookmarkEnd w:id="40"/>
    <w:p>
      <w:pPr>
        <w:ind w:right="100"/>
        <w:spacing w:after="0" w:line="262" w:lineRule="auto"/>
        <w:rPr>
          <w:sz w:val="20"/>
          <w:szCs w:val="20"/>
          <w:color w:val="auto"/>
        </w:rPr>
      </w:pPr>
      <w:r>
        <w:rPr>
          <w:rFonts w:ascii="Arial" w:cs="Arial" w:eastAsia="Arial" w:hAnsi="Arial"/>
          <w:sz w:val="17"/>
          <w:szCs w:val="17"/>
          <w:color w:val="auto"/>
        </w:rPr>
        <w:t>sold. As customers pay their balances, we transfer additional receivables into the program, which could result in our gross receivables sold being higher or lower than collections reinvested for any applicable periods. Net cash proceeds from the revolving receivables program were $155 million and $205 million for the nine months ended September 30, 2023 and 2022, respectively. Additional information with respect to the Revolving Receivables Program is included in Note 2 of "Notes to Condensed Consolidated Financial Statements" included in Part I, Item 1 of this report.</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Supply Chain Financing Program</w:t>
      </w:r>
    </w:p>
    <w:p>
      <w:pPr>
        <w:spacing w:after="0" w:line="114" w:lineRule="exact"/>
        <w:rPr>
          <w:sz w:val="20"/>
          <w:szCs w:val="20"/>
          <w:color w:val="auto"/>
        </w:rPr>
      </w:pPr>
    </w:p>
    <w:p>
      <w:pPr>
        <w:ind w:right="140" w:firstLine="464"/>
        <w:spacing w:after="0" w:line="299" w:lineRule="auto"/>
        <w:rPr>
          <w:sz w:val="20"/>
          <w:szCs w:val="20"/>
          <w:color w:val="auto"/>
        </w:rPr>
      </w:pPr>
      <w:r>
        <w:rPr>
          <w:rFonts w:ascii="Arial" w:cs="Arial" w:eastAsia="Arial" w:hAnsi="Arial"/>
          <w:sz w:val="15"/>
          <w:szCs w:val="15"/>
          <w:color w:val="auto"/>
        </w:rPr>
        <w:t>The Company has entered into supply chain financing arrangements with third-party financial institutions to provide our vendors with enhanced payment options while providing the Company with added working capital flexibility. The Company does not provide any guarantees under these arrangements, does not have an economic interest in our supplier's voluntary participation, does not receive an economic benefit from the financial institutions, and no assets are pledged under the arrangements. The arrangements do not change the payable terms negotiated by the Company and our vendors and does not result in a change in the classification of amounts due as Accounts payable in the Condensed Consolidated Balance Sheets. Additional information with respect to the Supply Chain Financing Program is included in Note 2 of "Notes to Condensed Consolidated Financial Statements" included in Part I, Item 1 of this report.</w:t>
      </w:r>
    </w:p>
    <w:p>
      <w:pPr>
        <w:spacing w:after="0" w:line="5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Guarantor Summarized Financial Information</w:t>
      </w:r>
    </w:p>
    <w:p>
      <w:pPr>
        <w:spacing w:after="0" w:line="114" w:lineRule="exact"/>
        <w:rPr>
          <w:sz w:val="20"/>
          <w:szCs w:val="20"/>
          <w:color w:val="auto"/>
        </w:rPr>
      </w:pPr>
    </w:p>
    <w:p>
      <w:pPr>
        <w:ind w:firstLine="464"/>
        <w:spacing w:after="0" w:line="262" w:lineRule="auto"/>
        <w:rPr>
          <w:sz w:val="20"/>
          <w:szCs w:val="20"/>
          <w:color w:val="auto"/>
        </w:rPr>
      </w:pPr>
      <w:r>
        <w:rPr>
          <w:rFonts w:ascii="Arial" w:cs="Arial" w:eastAsia="Arial" w:hAnsi="Arial"/>
          <w:sz w:val="17"/>
          <w:szCs w:val="17"/>
          <w:color w:val="auto"/>
        </w:rPr>
        <w:t>The obligations under the Parent Company's US Notes have been fully and unconditionally guaranteed by certain of the Parent Company's U.S. subsidiaries. Each guarantor is 100% owned by the Parent Company, with the exception of GE Transportation, a Wabtec Company, which has 15,000 shares outstanding of Class A Non-Voting Preferred Stock held by General Electric Company. The Euro Notes are issued by Wabtec Transportation Netherlands B.V. ("Wabtec Netherlands") and are fully and unconditionally guaranteed by the Parent Company.</w:t>
      </w:r>
    </w:p>
    <w:p>
      <w:pPr>
        <w:spacing w:after="0" w:line="75" w:lineRule="exact"/>
        <w:rPr>
          <w:sz w:val="20"/>
          <w:szCs w:val="20"/>
          <w:color w:val="auto"/>
        </w:rPr>
      </w:pPr>
    </w:p>
    <w:p>
      <w:pPr>
        <w:ind w:firstLine="464"/>
        <w:spacing w:after="0" w:line="283" w:lineRule="auto"/>
        <w:rPr>
          <w:sz w:val="20"/>
          <w:szCs w:val="20"/>
          <w:color w:val="auto"/>
        </w:rPr>
      </w:pPr>
      <w:r>
        <w:rPr>
          <w:rFonts w:ascii="Arial" w:cs="Arial" w:eastAsia="Arial" w:hAnsi="Arial"/>
          <w:sz w:val="16"/>
          <w:szCs w:val="16"/>
          <w:color w:val="auto"/>
        </w:rPr>
        <w:t>The following tables present summarized financial information of the Parent Company and the guarantor subsidiaries on a combined basis. The combined summarized financial information eliminates intercompany balances and transactions among the Parent Company and guarantor subsidiaries and equity in earnings and investments in any guarantor subsidiaries or non-guarantor subsidiaries. The summarized financial information is provided in accordance with the reporting requirements of Rule 13-01 under SEC Regulation S-X for the issuer and guarantor subsidiaries.</w:t>
      </w:r>
    </w:p>
    <w:p>
      <w:pPr>
        <w:spacing w:after="0" w:line="60"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Summarized Statement of Income</w:t>
      </w:r>
    </w:p>
    <w:p>
      <w:pPr>
        <w:spacing w:after="0" w:line="39" w:lineRule="exact"/>
        <w:rPr>
          <w:sz w:val="20"/>
          <w:szCs w:val="20"/>
          <w:color w:val="auto"/>
        </w:rPr>
      </w:pPr>
    </w:p>
    <w:tbl>
      <w:tblPr>
        <w:tblLayout w:type="fixed"/>
        <w:tblInd w:w="20" w:type="dxa"/>
        <w:tblCellMar>
          <w:top w:w="0" w:type="dxa"/>
          <w:left w:w="0" w:type="dxa"/>
          <w:bottom w:w="0" w:type="dxa"/>
          <w:right w:w="0" w:type="dxa"/>
        </w:tblCellMar>
      </w:tblPr>
      <w:tr>
        <w:trPr>
          <w:trHeight w:val="178"/>
        </w:trPr>
        <w:tc>
          <w:tcPr>
            <w:tcW w:w="620" w:type="dxa"/>
            <w:vAlign w:val="bottom"/>
          </w:tcPr>
          <w:p>
            <w:pPr>
              <w:spacing w:after="0"/>
              <w:rPr>
                <w:sz w:val="15"/>
                <w:szCs w:val="15"/>
                <w:color w:val="auto"/>
              </w:rPr>
            </w:pPr>
          </w:p>
        </w:tc>
        <w:tc>
          <w:tcPr>
            <w:tcW w:w="8420" w:type="dxa"/>
            <w:vAlign w:val="bottom"/>
          </w:tcPr>
          <w:p>
            <w:pPr>
              <w:spacing w:after="0"/>
              <w:rPr>
                <w:sz w:val="15"/>
                <w:szCs w:val="15"/>
                <w:color w:val="auto"/>
              </w:rPr>
            </w:pPr>
          </w:p>
        </w:tc>
        <w:tc>
          <w:tcPr>
            <w:tcW w:w="2180" w:type="dxa"/>
            <w:vAlign w:val="bottom"/>
          </w:tcPr>
          <w:p>
            <w:pPr>
              <w:jc w:val="center"/>
              <w:spacing w:after="0"/>
              <w:rPr>
                <w:sz w:val="20"/>
                <w:szCs w:val="20"/>
                <w:color w:val="auto"/>
              </w:rPr>
            </w:pPr>
            <w:r>
              <w:rPr>
                <w:rFonts w:ascii="Arial" w:cs="Arial" w:eastAsia="Arial" w:hAnsi="Arial"/>
                <w:sz w:val="14"/>
                <w:szCs w:val="14"/>
                <w:b w:val="1"/>
                <w:bCs w:val="1"/>
                <w:color w:val="auto"/>
                <w:w w:val="90"/>
              </w:rPr>
              <w:t>Unaudited</w:t>
            </w:r>
          </w:p>
        </w:tc>
        <w:tc>
          <w:tcPr>
            <w:tcW w:w="0" w:type="dxa"/>
            <w:vAlign w:val="bottom"/>
          </w:tcPr>
          <w:p>
            <w:pPr>
              <w:spacing w:after="0"/>
              <w:rPr>
                <w:sz w:val="1"/>
                <w:szCs w:val="1"/>
                <w:color w:val="auto"/>
              </w:rPr>
            </w:pPr>
          </w:p>
        </w:tc>
      </w:tr>
      <w:tr>
        <w:trPr>
          <w:trHeight w:val="157"/>
        </w:trPr>
        <w:tc>
          <w:tcPr>
            <w:tcW w:w="620" w:type="dxa"/>
            <w:vAlign w:val="bottom"/>
          </w:tcPr>
          <w:p>
            <w:pPr>
              <w:spacing w:after="0"/>
              <w:rPr>
                <w:sz w:val="13"/>
                <w:szCs w:val="13"/>
                <w:color w:val="auto"/>
              </w:rPr>
            </w:pPr>
          </w:p>
        </w:tc>
        <w:tc>
          <w:tcPr>
            <w:tcW w:w="8420" w:type="dxa"/>
            <w:vAlign w:val="bottom"/>
          </w:tcPr>
          <w:p>
            <w:pPr>
              <w:spacing w:after="0"/>
              <w:rPr>
                <w:sz w:val="13"/>
                <w:szCs w:val="13"/>
                <w:color w:val="auto"/>
              </w:rPr>
            </w:pPr>
          </w:p>
        </w:tc>
        <w:tc>
          <w:tcPr>
            <w:tcW w:w="218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88"/>
              </w:rPr>
              <w:t>Westinghouse Air Brake</w:t>
            </w:r>
          </w:p>
        </w:tc>
        <w:tc>
          <w:tcPr>
            <w:tcW w:w="0" w:type="dxa"/>
            <w:vAlign w:val="bottom"/>
          </w:tcPr>
          <w:p>
            <w:pPr>
              <w:spacing w:after="0"/>
              <w:rPr>
                <w:sz w:val="1"/>
                <w:szCs w:val="1"/>
                <w:color w:val="auto"/>
              </w:rPr>
            </w:pPr>
          </w:p>
        </w:tc>
      </w:tr>
      <w:tr>
        <w:trPr>
          <w:trHeight w:val="138"/>
        </w:trPr>
        <w:tc>
          <w:tcPr>
            <w:tcW w:w="620" w:type="dxa"/>
            <w:vAlign w:val="bottom"/>
          </w:tcPr>
          <w:p>
            <w:pPr>
              <w:spacing w:after="0"/>
              <w:rPr>
                <w:sz w:val="12"/>
                <w:szCs w:val="12"/>
                <w:color w:val="auto"/>
              </w:rPr>
            </w:pPr>
          </w:p>
        </w:tc>
        <w:tc>
          <w:tcPr>
            <w:tcW w:w="8420" w:type="dxa"/>
            <w:vAlign w:val="bottom"/>
          </w:tcPr>
          <w:p>
            <w:pPr>
              <w:spacing w:after="0"/>
              <w:rPr>
                <w:sz w:val="12"/>
                <w:szCs w:val="12"/>
                <w:color w:val="auto"/>
              </w:rPr>
            </w:pPr>
          </w:p>
        </w:tc>
        <w:tc>
          <w:tcPr>
            <w:tcW w:w="218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88"/>
              </w:rPr>
              <w:t>Technologies Corp. and Guarantor</w:t>
            </w:r>
          </w:p>
        </w:tc>
        <w:tc>
          <w:tcPr>
            <w:tcW w:w="0" w:type="dxa"/>
            <w:vAlign w:val="bottom"/>
          </w:tcPr>
          <w:p>
            <w:pPr>
              <w:spacing w:after="0"/>
              <w:rPr>
                <w:sz w:val="1"/>
                <w:szCs w:val="1"/>
                <w:color w:val="auto"/>
              </w:rPr>
            </w:pPr>
          </w:p>
        </w:tc>
      </w:tr>
      <w:tr>
        <w:trPr>
          <w:trHeight w:val="178"/>
        </w:trPr>
        <w:tc>
          <w:tcPr>
            <w:tcW w:w="620" w:type="dxa"/>
            <w:vAlign w:val="bottom"/>
          </w:tcPr>
          <w:p>
            <w:pPr>
              <w:spacing w:after="0"/>
              <w:rPr>
                <w:sz w:val="15"/>
                <w:szCs w:val="15"/>
                <w:color w:val="auto"/>
              </w:rPr>
            </w:pPr>
          </w:p>
        </w:tc>
        <w:tc>
          <w:tcPr>
            <w:tcW w:w="8420" w:type="dxa"/>
            <w:vAlign w:val="bottom"/>
          </w:tcPr>
          <w:p>
            <w:pPr>
              <w:spacing w:after="0"/>
              <w:rPr>
                <w:sz w:val="15"/>
                <w:szCs w:val="15"/>
                <w:color w:val="auto"/>
              </w:rPr>
            </w:pPr>
          </w:p>
        </w:tc>
        <w:tc>
          <w:tcPr>
            <w:tcW w:w="2180" w:type="dxa"/>
            <w:vAlign w:val="bottom"/>
          </w:tcPr>
          <w:p>
            <w:pPr>
              <w:jc w:val="center"/>
              <w:spacing w:after="0"/>
              <w:rPr>
                <w:sz w:val="20"/>
                <w:szCs w:val="20"/>
                <w:color w:val="auto"/>
              </w:rPr>
            </w:pPr>
            <w:r>
              <w:rPr>
                <w:rFonts w:ascii="Arial" w:cs="Arial" w:eastAsia="Arial" w:hAnsi="Arial"/>
                <w:sz w:val="14"/>
                <w:szCs w:val="14"/>
                <w:b w:val="1"/>
                <w:bCs w:val="1"/>
                <w:color w:val="auto"/>
                <w:w w:val="86"/>
              </w:rPr>
              <w:t>Subsidiaries</w:t>
            </w:r>
          </w:p>
        </w:tc>
        <w:tc>
          <w:tcPr>
            <w:tcW w:w="0" w:type="dxa"/>
            <w:vAlign w:val="bottom"/>
          </w:tcPr>
          <w:p>
            <w:pPr>
              <w:spacing w:after="0"/>
              <w:rPr>
                <w:sz w:val="1"/>
                <w:szCs w:val="1"/>
                <w:color w:val="auto"/>
              </w:rPr>
            </w:pPr>
          </w:p>
        </w:tc>
      </w:tr>
      <w:tr>
        <w:trPr>
          <w:trHeight w:val="147"/>
        </w:trPr>
        <w:tc>
          <w:tcPr>
            <w:tcW w:w="62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w w:val="86"/>
              </w:rPr>
              <w:t>In millions</w:t>
            </w:r>
          </w:p>
        </w:tc>
        <w:tc>
          <w:tcPr>
            <w:tcW w:w="8420" w:type="dxa"/>
            <w:vAlign w:val="bottom"/>
          </w:tcPr>
          <w:p>
            <w:pPr>
              <w:spacing w:after="0"/>
              <w:rPr>
                <w:sz w:val="12"/>
                <w:szCs w:val="12"/>
                <w:color w:val="auto"/>
              </w:rPr>
            </w:pPr>
          </w:p>
        </w:tc>
        <w:tc>
          <w:tcPr>
            <w:tcW w:w="218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88"/>
              </w:rPr>
              <w:t>Nine Months Ended September 30,</w:t>
            </w:r>
          </w:p>
        </w:tc>
        <w:tc>
          <w:tcPr>
            <w:tcW w:w="0" w:type="dxa"/>
            <w:vAlign w:val="bottom"/>
          </w:tcPr>
          <w:p>
            <w:pPr>
              <w:spacing w:after="0"/>
              <w:rPr>
                <w:sz w:val="1"/>
                <w:szCs w:val="1"/>
                <w:color w:val="auto"/>
              </w:rPr>
            </w:pPr>
          </w:p>
        </w:tc>
      </w:tr>
      <w:tr>
        <w:trPr>
          <w:trHeight w:val="143"/>
        </w:trPr>
        <w:tc>
          <w:tcPr>
            <w:tcW w:w="620" w:type="dxa"/>
            <w:vAlign w:val="bottom"/>
            <w:tcBorders>
              <w:bottom w:val="single" w:sz="8" w:color="auto"/>
            </w:tcBorders>
            <w:vMerge w:val="continue"/>
          </w:tcPr>
          <w:p>
            <w:pPr>
              <w:spacing w:after="0"/>
              <w:rPr>
                <w:sz w:val="12"/>
                <w:szCs w:val="12"/>
                <w:color w:val="auto"/>
              </w:rPr>
            </w:pPr>
          </w:p>
        </w:tc>
        <w:tc>
          <w:tcPr>
            <w:tcW w:w="10600" w:type="dxa"/>
            <w:vAlign w:val="bottom"/>
            <w:gridSpan w:val="2"/>
          </w:tcPr>
          <w:p>
            <w:pPr>
              <w:jc w:val="center"/>
              <w:ind w:left="8377"/>
              <w:spacing w:after="0" w:line="119" w:lineRule="exact"/>
              <w:rPr>
                <w:sz w:val="20"/>
                <w:szCs w:val="20"/>
                <w:color w:val="auto"/>
              </w:rPr>
            </w:pPr>
            <w:r>
              <w:rPr>
                <w:rFonts w:ascii="Arial" w:cs="Arial" w:eastAsia="Arial" w:hAnsi="Arial"/>
                <w:sz w:val="13"/>
                <w:szCs w:val="13"/>
                <w:b w:val="1"/>
                <w:bCs w:val="1"/>
                <w:color w:val="auto"/>
                <w:w w:val="96"/>
              </w:rPr>
              <w:t>2023</w:t>
            </w:r>
          </w:p>
        </w:tc>
        <w:tc>
          <w:tcPr>
            <w:tcW w:w="0" w:type="dxa"/>
            <w:vAlign w:val="bottom"/>
          </w:tcPr>
          <w:p>
            <w:pPr>
              <w:spacing w:after="0"/>
              <w:rPr>
                <w:sz w:val="1"/>
                <w:szCs w:val="1"/>
                <w:color w:val="auto"/>
              </w:rPr>
            </w:pPr>
          </w:p>
        </w:tc>
      </w:tr>
      <w:tr>
        <w:trPr>
          <w:trHeight w:val="32"/>
        </w:trPr>
        <w:tc>
          <w:tcPr>
            <w:tcW w:w="620" w:type="dxa"/>
            <w:vAlign w:val="bottom"/>
          </w:tcPr>
          <w:p>
            <w:pPr>
              <w:spacing w:after="0"/>
              <w:rPr>
                <w:sz w:val="2"/>
                <w:szCs w:val="2"/>
                <w:color w:val="auto"/>
              </w:rPr>
            </w:pPr>
          </w:p>
        </w:tc>
        <w:tc>
          <w:tcPr>
            <w:tcW w:w="8420" w:type="dxa"/>
            <w:vAlign w:val="bottom"/>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7138670" cy="1473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8670" cy="14732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7"/>
        </w:trPr>
        <w:tc>
          <w:tcPr>
            <w:tcW w:w="4420" w:type="dxa"/>
            <w:vAlign w:val="bottom"/>
            <w:gridSpan w:val="3"/>
          </w:tcPr>
          <w:p>
            <w:pPr>
              <w:ind w:left="20"/>
              <w:spacing w:after="0"/>
              <w:rPr>
                <w:sz w:val="20"/>
                <w:szCs w:val="20"/>
                <w:color w:val="auto"/>
              </w:rPr>
            </w:pPr>
            <w:r>
              <w:rPr>
                <w:rFonts w:ascii="Arial" w:cs="Arial" w:eastAsia="Arial" w:hAnsi="Arial"/>
                <w:sz w:val="17"/>
                <w:szCs w:val="17"/>
                <w:color w:val="auto"/>
              </w:rPr>
              <w:t>Net sales</w:t>
            </w:r>
          </w:p>
        </w:tc>
        <w:tc>
          <w:tcPr>
            <w:tcW w:w="2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jc w:val="right"/>
              <w:ind w:right="214"/>
              <w:spacing w:after="0"/>
              <w:rPr>
                <w:sz w:val="20"/>
                <w:szCs w:val="20"/>
                <w:color w:val="auto"/>
              </w:rPr>
            </w:pPr>
            <w:r>
              <w:rPr>
                <w:rFonts w:ascii="Arial" w:cs="Arial" w:eastAsia="Arial" w:hAnsi="Arial"/>
                <w:sz w:val="17"/>
                <w:szCs w:val="17"/>
                <w:color w:val="auto"/>
                <w:w w:val="84"/>
              </w:rPr>
              <w:t>$</w:t>
            </w:r>
          </w:p>
        </w:tc>
        <w:tc>
          <w:tcPr>
            <w:tcW w:w="1780" w:type="dxa"/>
            <w:vAlign w:val="bottom"/>
          </w:tcPr>
          <w:p>
            <w:pPr>
              <w:jc w:val="right"/>
              <w:spacing w:after="0"/>
              <w:rPr>
                <w:sz w:val="20"/>
                <w:szCs w:val="20"/>
                <w:color w:val="auto"/>
              </w:rPr>
            </w:pPr>
            <w:r>
              <w:rPr>
                <w:rFonts w:ascii="Arial" w:cs="Arial" w:eastAsia="Arial" w:hAnsi="Arial"/>
                <w:sz w:val="17"/>
                <w:szCs w:val="17"/>
                <w:color w:val="auto"/>
              </w:rPr>
              <w:t>4,154</w:t>
            </w:r>
          </w:p>
        </w:tc>
      </w:tr>
      <w:tr>
        <w:trPr>
          <w:trHeight w:val="220"/>
        </w:trPr>
        <w:tc>
          <w:tcPr>
            <w:tcW w:w="4420" w:type="dxa"/>
            <w:vAlign w:val="bottom"/>
            <w:gridSpan w:val="3"/>
          </w:tcPr>
          <w:p>
            <w:pPr>
              <w:ind w:left="20"/>
              <w:spacing w:after="0"/>
              <w:rPr>
                <w:sz w:val="20"/>
                <w:szCs w:val="20"/>
                <w:color w:val="auto"/>
              </w:rPr>
            </w:pPr>
            <w:r>
              <w:rPr>
                <w:rFonts w:ascii="Arial" w:cs="Arial" w:eastAsia="Arial" w:hAnsi="Arial"/>
                <w:sz w:val="17"/>
                <w:szCs w:val="17"/>
                <w:color w:val="auto"/>
              </w:rPr>
              <w:t>Gross profit</w:t>
            </w:r>
          </w:p>
        </w:tc>
        <w:tc>
          <w:tcPr>
            <w:tcW w:w="2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jc w:val="right"/>
              <w:ind w:right="214"/>
              <w:spacing w:after="0"/>
              <w:rPr>
                <w:sz w:val="20"/>
                <w:szCs w:val="20"/>
                <w:color w:val="auto"/>
              </w:rPr>
            </w:pPr>
            <w:r>
              <w:rPr>
                <w:rFonts w:ascii="Arial" w:cs="Arial" w:eastAsia="Arial" w:hAnsi="Arial"/>
                <w:sz w:val="17"/>
                <w:szCs w:val="17"/>
                <w:color w:val="auto"/>
                <w:w w:val="84"/>
              </w:rPr>
              <w:t>$</w:t>
            </w:r>
          </w:p>
        </w:tc>
        <w:tc>
          <w:tcPr>
            <w:tcW w:w="1780" w:type="dxa"/>
            <w:vAlign w:val="bottom"/>
          </w:tcPr>
          <w:p>
            <w:pPr>
              <w:jc w:val="right"/>
              <w:spacing w:after="0"/>
              <w:rPr>
                <w:sz w:val="20"/>
                <w:szCs w:val="20"/>
                <w:color w:val="auto"/>
              </w:rPr>
            </w:pPr>
            <w:r>
              <w:rPr>
                <w:rFonts w:ascii="Arial" w:cs="Arial" w:eastAsia="Arial" w:hAnsi="Arial"/>
                <w:sz w:val="17"/>
                <w:szCs w:val="17"/>
                <w:color w:val="auto"/>
              </w:rPr>
              <w:t>1,012</w:t>
            </w:r>
          </w:p>
        </w:tc>
      </w:tr>
      <w:tr>
        <w:trPr>
          <w:trHeight w:val="220"/>
        </w:trPr>
        <w:tc>
          <w:tcPr>
            <w:tcW w:w="442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Net income attributable to Wabtec shareholders</w:t>
            </w:r>
          </w:p>
        </w:tc>
        <w:tc>
          <w:tcPr>
            <w:tcW w:w="23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w w:val="84"/>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341</w:t>
            </w:r>
          </w:p>
        </w:tc>
      </w:tr>
      <w:tr>
        <w:trPr>
          <w:trHeight w:val="450"/>
        </w:trPr>
        <w:tc>
          <w:tcPr>
            <w:tcW w:w="20" w:type="dxa"/>
            <w:vAlign w:val="bottom"/>
          </w:tcPr>
          <w:p>
            <w:pPr>
              <w:spacing w:after="0"/>
              <w:rPr>
                <w:sz w:val="24"/>
                <w:szCs w:val="24"/>
                <w:color w:val="auto"/>
              </w:rPr>
            </w:pPr>
          </w:p>
        </w:tc>
        <w:tc>
          <w:tcPr>
            <w:tcW w:w="4400" w:type="dxa"/>
            <w:vAlign w:val="bottom"/>
            <w:gridSpan w:val="2"/>
          </w:tcPr>
          <w:p>
            <w:pPr>
              <w:ind w:left="440"/>
              <w:spacing w:after="0"/>
              <w:rPr>
                <w:sz w:val="20"/>
                <w:szCs w:val="20"/>
                <w:color w:val="auto"/>
              </w:rPr>
            </w:pPr>
            <w:r>
              <w:rPr>
                <w:rFonts w:ascii="Arial" w:cs="Arial" w:eastAsia="Arial" w:hAnsi="Arial"/>
                <w:sz w:val="17"/>
                <w:szCs w:val="17"/>
                <w:b w:val="1"/>
                <w:bCs w:val="1"/>
                <w:i w:val="1"/>
                <w:iCs w:val="1"/>
                <w:color w:val="auto"/>
              </w:rPr>
              <w:t>Summarized Balance Sheet</w:t>
            </w:r>
          </w:p>
        </w:tc>
        <w:tc>
          <w:tcPr>
            <w:tcW w:w="2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78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360" w:type="dxa"/>
            <w:vAlign w:val="bottom"/>
            <w:gridSpan w:val="3"/>
          </w:tcPr>
          <w:p>
            <w:pPr>
              <w:jc w:val="right"/>
              <w:ind w:right="34"/>
              <w:spacing w:after="0"/>
              <w:rPr>
                <w:sz w:val="20"/>
                <w:szCs w:val="20"/>
                <w:color w:val="auto"/>
              </w:rPr>
            </w:pPr>
            <w:r>
              <w:rPr>
                <w:rFonts w:ascii="Arial" w:cs="Arial" w:eastAsia="Arial" w:hAnsi="Arial"/>
                <w:sz w:val="14"/>
                <w:szCs w:val="14"/>
                <w:b w:val="1"/>
                <w:bCs w:val="1"/>
                <w:color w:val="auto"/>
              </w:rPr>
              <w:t>Unaudited</w:t>
            </w:r>
          </w:p>
        </w:tc>
        <w:tc>
          <w:tcPr>
            <w:tcW w:w="1780" w:type="dxa"/>
            <w:vAlign w:val="bottom"/>
          </w:tcPr>
          <w:p>
            <w:pPr>
              <w:spacing w:after="0"/>
              <w:rPr>
                <w:sz w:val="17"/>
                <w:szCs w:val="17"/>
                <w:color w:val="auto"/>
              </w:rPr>
            </w:pPr>
          </w:p>
        </w:tc>
      </w:tr>
      <w:tr>
        <w:trPr>
          <w:trHeight w:val="193"/>
        </w:trPr>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78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4440" w:type="dxa"/>
            <w:vAlign w:val="bottom"/>
            <w:gridSpan w:val="5"/>
          </w:tcPr>
          <w:p>
            <w:pPr>
              <w:jc w:val="right"/>
              <w:spacing w:after="0"/>
              <w:rPr>
                <w:sz w:val="20"/>
                <w:szCs w:val="20"/>
                <w:color w:val="auto"/>
              </w:rPr>
            </w:pPr>
            <w:r>
              <w:rPr>
                <w:rFonts w:ascii="Arial" w:cs="Arial" w:eastAsia="Arial" w:hAnsi="Arial"/>
                <w:sz w:val="14"/>
                <w:szCs w:val="14"/>
                <w:b w:val="1"/>
                <w:bCs w:val="1"/>
                <w:color w:val="auto"/>
                <w:w w:val="89"/>
              </w:rPr>
              <w:t>Westinghouse Air Brake Technologies Corp. and Guarantor Subsidiaries</w:t>
            </w:r>
          </w:p>
        </w:tc>
      </w:tr>
      <w:tr>
        <w:trPr>
          <w:trHeight w:val="166"/>
        </w:trPr>
        <w:tc>
          <w:tcPr>
            <w:tcW w:w="4420" w:type="dxa"/>
            <w:vAlign w:val="bottom"/>
            <w:gridSpan w:val="3"/>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2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960" w:type="dxa"/>
            <w:vAlign w:val="bottom"/>
            <w:gridSpan w:val="2"/>
          </w:tcPr>
          <w:p>
            <w:pPr>
              <w:ind w:left="220"/>
              <w:spacing w:after="0"/>
              <w:rPr>
                <w:sz w:val="20"/>
                <w:szCs w:val="20"/>
                <w:color w:val="auto"/>
              </w:rPr>
            </w:pPr>
            <w:r>
              <w:rPr>
                <w:rFonts w:ascii="Arial" w:cs="Arial" w:eastAsia="Arial" w:hAnsi="Arial"/>
                <w:sz w:val="14"/>
                <w:szCs w:val="14"/>
                <w:b w:val="1"/>
                <w:bCs w:val="1"/>
                <w:color w:val="auto"/>
              </w:rPr>
              <w:t>September 30, 2023</w:t>
            </w:r>
          </w:p>
        </w:tc>
        <w:tc>
          <w:tcPr>
            <w:tcW w:w="400" w:type="dxa"/>
            <w:vAlign w:val="bottom"/>
          </w:tcPr>
          <w:p>
            <w:pPr>
              <w:spacing w:after="0"/>
              <w:rPr>
                <w:sz w:val="14"/>
                <w:szCs w:val="14"/>
                <w:color w:val="auto"/>
              </w:rPr>
            </w:pPr>
          </w:p>
        </w:tc>
        <w:tc>
          <w:tcPr>
            <w:tcW w:w="1780" w:type="dxa"/>
            <w:vAlign w:val="bottom"/>
          </w:tcPr>
          <w:p>
            <w:pPr>
              <w:jc w:val="right"/>
              <w:ind w:right="436"/>
              <w:spacing w:after="0"/>
              <w:rPr>
                <w:sz w:val="20"/>
                <w:szCs w:val="20"/>
                <w:color w:val="auto"/>
              </w:rPr>
            </w:pPr>
            <w:r>
              <w:rPr>
                <w:rFonts w:ascii="Arial" w:cs="Arial" w:eastAsia="Arial" w:hAnsi="Arial"/>
                <w:sz w:val="14"/>
                <w:szCs w:val="14"/>
                <w:b w:val="1"/>
                <w:bCs w:val="1"/>
                <w:color w:val="auto"/>
                <w:w w:val="98"/>
              </w:rPr>
              <w:t>December 31, 2022</w:t>
            </w:r>
          </w:p>
        </w:tc>
      </w:tr>
      <w:tr>
        <w:trPr>
          <w:trHeight w:val="32"/>
        </w:trPr>
        <w:tc>
          <w:tcPr>
            <w:tcW w:w="20" w:type="dxa"/>
            <w:vAlign w:val="bottom"/>
            <w:tcBorders>
              <w:bottom w:val="single" w:sz="8" w:color="CCEEFF"/>
            </w:tcBorders>
          </w:tcPr>
          <w:p>
            <w:pPr>
              <w:spacing w:after="0"/>
              <w:rPr>
                <w:sz w:val="2"/>
                <w:szCs w:val="2"/>
                <w:color w:val="auto"/>
              </w:rPr>
            </w:pPr>
          </w:p>
        </w:tc>
        <w:tc>
          <w:tcPr>
            <w:tcW w:w="620" w:type="dxa"/>
            <w:vAlign w:val="bottom"/>
            <w:tcBorders>
              <w:top w:val="single" w:sz="8" w:color="auto"/>
              <w:bottom w:val="single" w:sz="8" w:color="CCEEFF"/>
            </w:tcBorders>
          </w:tcPr>
          <w:p>
            <w:pPr>
              <w:spacing w:after="0"/>
              <w:rPr>
                <w:sz w:val="2"/>
                <w:szCs w:val="2"/>
                <w:color w:val="auto"/>
              </w:rPr>
            </w:pPr>
          </w:p>
        </w:tc>
        <w:tc>
          <w:tcPr>
            <w:tcW w:w="3780" w:type="dxa"/>
            <w:vAlign w:val="bottom"/>
            <w:tcBorders>
              <w:bottom w:val="single" w:sz="8" w:color="CCEEFF"/>
            </w:tcBorders>
          </w:tcPr>
          <w:p>
            <w:pPr>
              <w:spacing w:after="0"/>
              <w:rPr>
                <w:sz w:val="2"/>
                <w:szCs w:val="2"/>
                <w:color w:val="auto"/>
              </w:rPr>
            </w:pPr>
          </w:p>
        </w:tc>
        <w:tc>
          <w:tcPr>
            <w:tcW w:w="23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12"/>
        </w:trPr>
        <w:tc>
          <w:tcPr>
            <w:tcW w:w="442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Current assets</w:t>
            </w:r>
          </w:p>
        </w:tc>
        <w:tc>
          <w:tcPr>
            <w:tcW w:w="2680" w:type="dxa"/>
            <w:vAlign w:val="bottom"/>
            <w:gridSpan w:val="2"/>
            <w:shd w:val="clear" w:color="auto" w:fill="CCEEFF"/>
          </w:tcPr>
          <w:p>
            <w:pPr>
              <w:jc w:val="right"/>
              <w:ind w:right="131"/>
              <w:spacing w:after="0"/>
              <w:rPr>
                <w:sz w:val="20"/>
                <w:szCs w:val="20"/>
                <w:color w:val="auto"/>
              </w:rPr>
            </w:pPr>
            <w:r>
              <w:rPr>
                <w:rFonts w:ascii="Arial" w:cs="Arial" w:eastAsia="Arial" w:hAnsi="Arial"/>
                <w:sz w:val="17"/>
                <w:szCs w:val="17"/>
                <w:color w:val="auto"/>
              </w:rPr>
              <w:t>$</w:t>
            </w:r>
          </w:p>
        </w:tc>
        <w:tc>
          <w:tcPr>
            <w:tcW w:w="1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1,371</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w w:val="84"/>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1,328</w:t>
            </w:r>
          </w:p>
        </w:tc>
      </w:tr>
      <w:tr>
        <w:trPr>
          <w:trHeight w:val="218"/>
        </w:trPr>
        <w:tc>
          <w:tcPr>
            <w:tcW w:w="4420" w:type="dxa"/>
            <w:vAlign w:val="bottom"/>
            <w:gridSpan w:val="3"/>
          </w:tcPr>
          <w:p>
            <w:pPr>
              <w:ind w:left="20"/>
              <w:spacing w:after="0"/>
              <w:rPr>
                <w:sz w:val="20"/>
                <w:szCs w:val="20"/>
                <w:color w:val="auto"/>
              </w:rPr>
            </w:pPr>
            <w:r>
              <w:rPr>
                <w:rFonts w:ascii="Arial" w:cs="Arial" w:eastAsia="Arial" w:hAnsi="Arial"/>
                <w:sz w:val="17"/>
                <w:szCs w:val="17"/>
                <w:color w:val="auto"/>
              </w:rPr>
              <w:t>Noncurrent assets</w:t>
            </w:r>
          </w:p>
        </w:tc>
        <w:tc>
          <w:tcPr>
            <w:tcW w:w="2680" w:type="dxa"/>
            <w:vAlign w:val="bottom"/>
            <w:gridSpan w:val="2"/>
          </w:tcPr>
          <w:p>
            <w:pPr>
              <w:jc w:val="right"/>
              <w:ind w:right="131"/>
              <w:spacing w:after="0"/>
              <w:rPr>
                <w:sz w:val="20"/>
                <w:szCs w:val="20"/>
                <w:color w:val="auto"/>
              </w:rPr>
            </w:pPr>
            <w:r>
              <w:rPr>
                <w:rFonts w:ascii="Arial" w:cs="Arial" w:eastAsia="Arial" w:hAnsi="Arial"/>
                <w:sz w:val="17"/>
                <w:szCs w:val="17"/>
                <w:color w:val="auto"/>
              </w:rPr>
              <w:t>$</w:t>
            </w:r>
          </w:p>
        </w:tc>
        <w:tc>
          <w:tcPr>
            <w:tcW w:w="1880" w:type="dxa"/>
            <w:vAlign w:val="bottom"/>
          </w:tcPr>
          <w:p>
            <w:pPr>
              <w:jc w:val="right"/>
              <w:spacing w:after="0"/>
              <w:rPr>
                <w:sz w:val="20"/>
                <w:szCs w:val="20"/>
                <w:color w:val="auto"/>
              </w:rPr>
            </w:pPr>
            <w:r>
              <w:rPr>
                <w:rFonts w:ascii="Arial" w:cs="Arial" w:eastAsia="Arial" w:hAnsi="Arial"/>
                <w:sz w:val="17"/>
                <w:szCs w:val="17"/>
                <w:color w:val="auto"/>
              </w:rPr>
              <w:t>2,354</w:t>
            </w:r>
          </w:p>
        </w:tc>
        <w:tc>
          <w:tcPr>
            <w:tcW w:w="80" w:type="dxa"/>
            <w:vAlign w:val="bottom"/>
          </w:tcPr>
          <w:p>
            <w:pPr>
              <w:spacing w:after="0"/>
              <w:rPr>
                <w:sz w:val="18"/>
                <w:szCs w:val="18"/>
                <w:color w:val="auto"/>
              </w:rPr>
            </w:pPr>
          </w:p>
        </w:tc>
        <w:tc>
          <w:tcPr>
            <w:tcW w:w="400" w:type="dxa"/>
            <w:vAlign w:val="bottom"/>
          </w:tcPr>
          <w:p>
            <w:pPr>
              <w:jc w:val="right"/>
              <w:ind w:right="214"/>
              <w:spacing w:after="0"/>
              <w:rPr>
                <w:sz w:val="20"/>
                <w:szCs w:val="20"/>
                <w:color w:val="auto"/>
              </w:rPr>
            </w:pPr>
            <w:r>
              <w:rPr>
                <w:rFonts w:ascii="Arial" w:cs="Arial" w:eastAsia="Arial" w:hAnsi="Arial"/>
                <w:sz w:val="17"/>
                <w:szCs w:val="17"/>
                <w:color w:val="auto"/>
                <w:w w:val="84"/>
              </w:rPr>
              <w:t>$</w:t>
            </w:r>
          </w:p>
        </w:tc>
        <w:tc>
          <w:tcPr>
            <w:tcW w:w="1780" w:type="dxa"/>
            <w:vAlign w:val="bottom"/>
          </w:tcPr>
          <w:p>
            <w:pPr>
              <w:jc w:val="right"/>
              <w:spacing w:after="0"/>
              <w:rPr>
                <w:sz w:val="20"/>
                <w:szCs w:val="20"/>
                <w:color w:val="auto"/>
              </w:rPr>
            </w:pPr>
            <w:r>
              <w:rPr>
                <w:rFonts w:ascii="Arial" w:cs="Arial" w:eastAsia="Arial" w:hAnsi="Arial"/>
                <w:sz w:val="17"/>
                <w:szCs w:val="17"/>
                <w:color w:val="auto"/>
              </w:rPr>
              <w:t>2,384</w:t>
            </w:r>
          </w:p>
        </w:tc>
      </w:tr>
      <w:tr>
        <w:trPr>
          <w:trHeight w:val="220"/>
        </w:trPr>
        <w:tc>
          <w:tcPr>
            <w:tcW w:w="442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Current liabilities</w:t>
            </w:r>
          </w:p>
        </w:tc>
        <w:tc>
          <w:tcPr>
            <w:tcW w:w="2680" w:type="dxa"/>
            <w:vAlign w:val="bottom"/>
            <w:gridSpan w:val="2"/>
            <w:shd w:val="clear" w:color="auto" w:fill="CCEEFF"/>
          </w:tcPr>
          <w:p>
            <w:pPr>
              <w:jc w:val="right"/>
              <w:ind w:right="131"/>
              <w:spacing w:after="0"/>
              <w:rPr>
                <w:sz w:val="20"/>
                <w:szCs w:val="20"/>
                <w:color w:val="auto"/>
              </w:rPr>
            </w:pPr>
            <w:r>
              <w:rPr>
                <w:rFonts w:ascii="Arial" w:cs="Arial" w:eastAsia="Arial" w:hAnsi="Arial"/>
                <w:sz w:val="17"/>
                <w:szCs w:val="17"/>
                <w:color w:val="auto"/>
              </w:rPr>
              <w:t>$</w:t>
            </w:r>
          </w:p>
        </w:tc>
        <w:tc>
          <w:tcPr>
            <w:tcW w:w="1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2,383</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w w:val="84"/>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1,881</w:t>
            </w:r>
          </w:p>
        </w:tc>
      </w:tr>
      <w:tr>
        <w:trPr>
          <w:trHeight w:val="218"/>
        </w:trPr>
        <w:tc>
          <w:tcPr>
            <w:tcW w:w="4420" w:type="dxa"/>
            <w:vAlign w:val="bottom"/>
            <w:gridSpan w:val="3"/>
          </w:tcPr>
          <w:p>
            <w:pPr>
              <w:ind w:left="20"/>
              <w:spacing w:after="0"/>
              <w:rPr>
                <w:sz w:val="20"/>
                <w:szCs w:val="20"/>
                <w:color w:val="auto"/>
              </w:rPr>
            </w:pPr>
            <w:r>
              <w:rPr>
                <w:rFonts w:ascii="Arial" w:cs="Arial" w:eastAsia="Arial" w:hAnsi="Arial"/>
                <w:sz w:val="17"/>
                <w:szCs w:val="17"/>
                <w:color w:val="auto"/>
              </w:rPr>
              <w:t>Long-term debt</w:t>
            </w:r>
          </w:p>
        </w:tc>
        <w:tc>
          <w:tcPr>
            <w:tcW w:w="2680" w:type="dxa"/>
            <w:vAlign w:val="bottom"/>
            <w:gridSpan w:val="2"/>
          </w:tcPr>
          <w:p>
            <w:pPr>
              <w:jc w:val="right"/>
              <w:ind w:right="131"/>
              <w:spacing w:after="0"/>
              <w:rPr>
                <w:sz w:val="20"/>
                <w:szCs w:val="20"/>
                <w:color w:val="auto"/>
              </w:rPr>
            </w:pPr>
            <w:r>
              <w:rPr>
                <w:rFonts w:ascii="Arial" w:cs="Arial" w:eastAsia="Arial" w:hAnsi="Arial"/>
                <w:sz w:val="17"/>
                <w:szCs w:val="17"/>
                <w:color w:val="auto"/>
              </w:rPr>
              <w:t>$</w:t>
            </w:r>
          </w:p>
        </w:tc>
        <w:tc>
          <w:tcPr>
            <w:tcW w:w="1880" w:type="dxa"/>
            <w:vAlign w:val="bottom"/>
          </w:tcPr>
          <w:p>
            <w:pPr>
              <w:jc w:val="right"/>
              <w:spacing w:after="0"/>
              <w:rPr>
                <w:sz w:val="20"/>
                <w:szCs w:val="20"/>
                <w:color w:val="auto"/>
              </w:rPr>
            </w:pPr>
            <w:r>
              <w:rPr>
                <w:rFonts w:ascii="Arial" w:cs="Arial" w:eastAsia="Arial" w:hAnsi="Arial"/>
                <w:sz w:val="17"/>
                <w:szCs w:val="17"/>
                <w:color w:val="auto"/>
              </w:rPr>
              <w:t>2,763</w:t>
            </w:r>
          </w:p>
        </w:tc>
        <w:tc>
          <w:tcPr>
            <w:tcW w:w="80" w:type="dxa"/>
            <w:vAlign w:val="bottom"/>
          </w:tcPr>
          <w:p>
            <w:pPr>
              <w:spacing w:after="0"/>
              <w:rPr>
                <w:sz w:val="18"/>
                <w:szCs w:val="18"/>
                <w:color w:val="auto"/>
              </w:rPr>
            </w:pPr>
          </w:p>
        </w:tc>
        <w:tc>
          <w:tcPr>
            <w:tcW w:w="400" w:type="dxa"/>
            <w:vAlign w:val="bottom"/>
          </w:tcPr>
          <w:p>
            <w:pPr>
              <w:jc w:val="right"/>
              <w:ind w:right="214"/>
              <w:spacing w:after="0"/>
              <w:rPr>
                <w:sz w:val="20"/>
                <w:szCs w:val="20"/>
                <w:color w:val="auto"/>
              </w:rPr>
            </w:pPr>
            <w:r>
              <w:rPr>
                <w:rFonts w:ascii="Arial" w:cs="Arial" w:eastAsia="Arial" w:hAnsi="Arial"/>
                <w:sz w:val="17"/>
                <w:szCs w:val="17"/>
                <w:color w:val="auto"/>
                <w:w w:val="84"/>
              </w:rPr>
              <w:t>$</w:t>
            </w:r>
          </w:p>
        </w:tc>
        <w:tc>
          <w:tcPr>
            <w:tcW w:w="1780" w:type="dxa"/>
            <w:vAlign w:val="bottom"/>
          </w:tcPr>
          <w:p>
            <w:pPr>
              <w:jc w:val="right"/>
              <w:spacing w:after="0"/>
              <w:rPr>
                <w:sz w:val="20"/>
                <w:szCs w:val="20"/>
                <w:color w:val="auto"/>
              </w:rPr>
            </w:pPr>
            <w:r>
              <w:rPr>
                <w:rFonts w:ascii="Arial" w:cs="Arial" w:eastAsia="Arial" w:hAnsi="Arial"/>
                <w:sz w:val="17"/>
                <w:szCs w:val="17"/>
                <w:color w:val="auto"/>
              </w:rPr>
              <w:t>3,209</w:t>
            </w:r>
          </w:p>
        </w:tc>
      </w:tr>
      <w:tr>
        <w:trPr>
          <w:trHeight w:val="220"/>
        </w:trPr>
        <w:tc>
          <w:tcPr>
            <w:tcW w:w="442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Other non-current liabilities</w:t>
            </w:r>
          </w:p>
        </w:tc>
        <w:tc>
          <w:tcPr>
            <w:tcW w:w="2680" w:type="dxa"/>
            <w:vAlign w:val="bottom"/>
            <w:gridSpan w:val="2"/>
            <w:shd w:val="clear" w:color="auto" w:fill="CCEEFF"/>
          </w:tcPr>
          <w:p>
            <w:pPr>
              <w:jc w:val="right"/>
              <w:ind w:right="131"/>
              <w:spacing w:after="0"/>
              <w:rPr>
                <w:sz w:val="20"/>
                <w:szCs w:val="20"/>
                <w:color w:val="auto"/>
              </w:rPr>
            </w:pPr>
            <w:r>
              <w:rPr>
                <w:rFonts w:ascii="Arial" w:cs="Arial" w:eastAsia="Arial" w:hAnsi="Arial"/>
                <w:sz w:val="17"/>
                <w:szCs w:val="17"/>
                <w:color w:val="auto"/>
              </w:rPr>
              <w:t>$</w:t>
            </w:r>
          </w:p>
        </w:tc>
        <w:tc>
          <w:tcPr>
            <w:tcW w:w="1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694</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w w:val="84"/>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551</w:t>
            </w:r>
          </w:p>
        </w:tc>
      </w:tr>
      <w:tr>
        <w:trPr>
          <w:trHeight w:val="849"/>
        </w:trPr>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2380" w:type="dxa"/>
            <w:vAlign w:val="bottom"/>
          </w:tcPr>
          <w:p>
            <w:pPr>
              <w:jc w:val="right"/>
              <w:ind w:right="1014"/>
              <w:spacing w:after="0"/>
              <w:rPr>
                <w:sz w:val="20"/>
                <w:szCs w:val="20"/>
                <w:color w:val="auto"/>
              </w:rPr>
            </w:pPr>
            <w:r>
              <w:rPr>
                <w:rFonts w:ascii="Arial" w:cs="Arial" w:eastAsia="Arial" w:hAnsi="Arial"/>
                <w:sz w:val="17"/>
                <w:szCs w:val="17"/>
                <w:color w:val="auto"/>
              </w:rPr>
              <w:t>41</w:t>
            </w:r>
          </w:p>
        </w:tc>
        <w:tc>
          <w:tcPr>
            <w:tcW w:w="3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110"/>
        </w:trPr>
        <w:tc>
          <w:tcPr>
            <w:tcW w:w="2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3780" w:type="dxa"/>
            <w:vAlign w:val="bottom"/>
            <w:tcBorders>
              <w:bottom w:val="single" w:sz="8" w:color="9A9A9A"/>
            </w:tcBorders>
          </w:tcPr>
          <w:p>
            <w:pPr>
              <w:spacing w:after="0"/>
              <w:rPr>
                <w:sz w:val="9"/>
                <w:szCs w:val="9"/>
                <w:color w:val="auto"/>
              </w:rPr>
            </w:pPr>
          </w:p>
        </w:tc>
        <w:tc>
          <w:tcPr>
            <w:tcW w:w="238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8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17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004" w:right="339" w:bottom="1440" w:gutter="0" w:footer="0" w:header="0"/>
        </w:sectPr>
      </w:pPr>
    </w:p>
    <w:bookmarkStart w:id="41" w:name="page42"/>
    <w:bookmarkEnd w:id="41"/>
    <w:p>
      <w:pPr>
        <w:ind w:left="460"/>
        <w:spacing w:after="0"/>
        <w:rPr>
          <w:sz w:val="20"/>
          <w:szCs w:val="20"/>
          <w:color w:val="auto"/>
        </w:rPr>
      </w:pPr>
      <w:r>
        <w:rPr>
          <w:rFonts w:ascii="Arial" w:cs="Arial" w:eastAsia="Arial" w:hAnsi="Arial"/>
          <w:sz w:val="16"/>
          <w:szCs w:val="16"/>
          <w:color w:val="auto"/>
        </w:rPr>
        <w:t>The following is a description of the transactions between the combined Parent Company and guarantor subsidiaries with non-guarantor subsidiaries.</w:t>
      </w:r>
    </w:p>
    <w:p>
      <w:pPr>
        <w:spacing w:after="0" w:line="51" w:lineRule="exact"/>
        <w:rPr>
          <w:sz w:val="20"/>
          <w:szCs w:val="20"/>
          <w:color w:val="auto"/>
        </w:rPr>
      </w:pPr>
    </w:p>
    <w:tbl>
      <w:tblPr>
        <w:tblLayout w:type="fixed"/>
        <w:tblInd w:w="20" w:type="dxa"/>
        <w:tblCellMar>
          <w:top w:w="0" w:type="dxa"/>
          <w:left w:w="0" w:type="dxa"/>
          <w:bottom w:w="0" w:type="dxa"/>
          <w:right w:w="0" w:type="dxa"/>
        </w:tblCellMar>
      </w:tblPr>
      <w:tr>
        <w:trPr>
          <w:trHeight w:val="178"/>
        </w:trPr>
        <w:tc>
          <w:tcPr>
            <w:tcW w:w="620" w:type="dxa"/>
            <w:vAlign w:val="bottom"/>
          </w:tcPr>
          <w:p>
            <w:pPr>
              <w:spacing w:after="0"/>
              <w:rPr>
                <w:sz w:val="15"/>
                <w:szCs w:val="15"/>
                <w:color w:val="auto"/>
              </w:rPr>
            </w:pPr>
          </w:p>
        </w:tc>
        <w:tc>
          <w:tcPr>
            <w:tcW w:w="8420" w:type="dxa"/>
            <w:vAlign w:val="bottom"/>
          </w:tcPr>
          <w:p>
            <w:pPr>
              <w:spacing w:after="0"/>
              <w:rPr>
                <w:sz w:val="15"/>
                <w:szCs w:val="15"/>
                <w:color w:val="auto"/>
              </w:rPr>
            </w:pPr>
          </w:p>
        </w:tc>
        <w:tc>
          <w:tcPr>
            <w:tcW w:w="2180" w:type="dxa"/>
            <w:vAlign w:val="bottom"/>
          </w:tcPr>
          <w:p>
            <w:pPr>
              <w:jc w:val="center"/>
              <w:spacing w:after="0"/>
              <w:rPr>
                <w:sz w:val="20"/>
                <w:szCs w:val="20"/>
                <w:color w:val="auto"/>
              </w:rPr>
            </w:pPr>
            <w:r>
              <w:rPr>
                <w:rFonts w:ascii="Arial" w:cs="Arial" w:eastAsia="Arial" w:hAnsi="Arial"/>
                <w:sz w:val="14"/>
                <w:szCs w:val="14"/>
                <w:b w:val="1"/>
                <w:bCs w:val="1"/>
                <w:color w:val="auto"/>
                <w:w w:val="90"/>
              </w:rPr>
              <w:t>Unaudited</w:t>
            </w:r>
          </w:p>
        </w:tc>
        <w:tc>
          <w:tcPr>
            <w:tcW w:w="0" w:type="dxa"/>
            <w:vAlign w:val="bottom"/>
          </w:tcPr>
          <w:p>
            <w:pPr>
              <w:spacing w:after="0"/>
              <w:rPr>
                <w:sz w:val="1"/>
                <w:szCs w:val="1"/>
                <w:color w:val="auto"/>
              </w:rPr>
            </w:pPr>
          </w:p>
        </w:tc>
      </w:tr>
      <w:tr>
        <w:trPr>
          <w:trHeight w:val="157"/>
        </w:trPr>
        <w:tc>
          <w:tcPr>
            <w:tcW w:w="620" w:type="dxa"/>
            <w:vAlign w:val="bottom"/>
          </w:tcPr>
          <w:p>
            <w:pPr>
              <w:spacing w:after="0"/>
              <w:rPr>
                <w:sz w:val="13"/>
                <w:szCs w:val="13"/>
                <w:color w:val="auto"/>
              </w:rPr>
            </w:pPr>
          </w:p>
        </w:tc>
        <w:tc>
          <w:tcPr>
            <w:tcW w:w="8420" w:type="dxa"/>
            <w:vAlign w:val="bottom"/>
          </w:tcPr>
          <w:p>
            <w:pPr>
              <w:spacing w:after="0"/>
              <w:rPr>
                <w:sz w:val="13"/>
                <w:szCs w:val="13"/>
                <w:color w:val="auto"/>
              </w:rPr>
            </w:pPr>
          </w:p>
        </w:tc>
        <w:tc>
          <w:tcPr>
            <w:tcW w:w="218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88"/>
              </w:rPr>
              <w:t>Westinghouse Air Brake</w:t>
            </w:r>
          </w:p>
        </w:tc>
        <w:tc>
          <w:tcPr>
            <w:tcW w:w="0" w:type="dxa"/>
            <w:vAlign w:val="bottom"/>
          </w:tcPr>
          <w:p>
            <w:pPr>
              <w:spacing w:after="0"/>
              <w:rPr>
                <w:sz w:val="1"/>
                <w:szCs w:val="1"/>
                <w:color w:val="auto"/>
              </w:rPr>
            </w:pPr>
          </w:p>
        </w:tc>
      </w:tr>
      <w:tr>
        <w:trPr>
          <w:trHeight w:val="138"/>
        </w:trPr>
        <w:tc>
          <w:tcPr>
            <w:tcW w:w="620" w:type="dxa"/>
            <w:vAlign w:val="bottom"/>
          </w:tcPr>
          <w:p>
            <w:pPr>
              <w:spacing w:after="0"/>
              <w:rPr>
                <w:sz w:val="12"/>
                <w:szCs w:val="12"/>
                <w:color w:val="auto"/>
              </w:rPr>
            </w:pPr>
          </w:p>
        </w:tc>
        <w:tc>
          <w:tcPr>
            <w:tcW w:w="8420" w:type="dxa"/>
            <w:vAlign w:val="bottom"/>
          </w:tcPr>
          <w:p>
            <w:pPr>
              <w:spacing w:after="0"/>
              <w:rPr>
                <w:sz w:val="12"/>
                <w:szCs w:val="12"/>
                <w:color w:val="auto"/>
              </w:rPr>
            </w:pPr>
          </w:p>
        </w:tc>
        <w:tc>
          <w:tcPr>
            <w:tcW w:w="218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88"/>
              </w:rPr>
              <w:t>Technologies Corp. and Guarantor</w:t>
            </w:r>
          </w:p>
        </w:tc>
        <w:tc>
          <w:tcPr>
            <w:tcW w:w="0" w:type="dxa"/>
            <w:vAlign w:val="bottom"/>
          </w:tcPr>
          <w:p>
            <w:pPr>
              <w:spacing w:after="0"/>
              <w:rPr>
                <w:sz w:val="1"/>
                <w:szCs w:val="1"/>
                <w:color w:val="auto"/>
              </w:rPr>
            </w:pPr>
          </w:p>
        </w:tc>
      </w:tr>
      <w:tr>
        <w:trPr>
          <w:trHeight w:val="178"/>
        </w:trPr>
        <w:tc>
          <w:tcPr>
            <w:tcW w:w="620" w:type="dxa"/>
            <w:vAlign w:val="bottom"/>
          </w:tcPr>
          <w:p>
            <w:pPr>
              <w:spacing w:after="0"/>
              <w:rPr>
                <w:sz w:val="15"/>
                <w:szCs w:val="15"/>
                <w:color w:val="auto"/>
              </w:rPr>
            </w:pPr>
          </w:p>
        </w:tc>
        <w:tc>
          <w:tcPr>
            <w:tcW w:w="8420" w:type="dxa"/>
            <w:vAlign w:val="bottom"/>
          </w:tcPr>
          <w:p>
            <w:pPr>
              <w:spacing w:after="0"/>
              <w:rPr>
                <w:sz w:val="15"/>
                <w:szCs w:val="15"/>
                <w:color w:val="auto"/>
              </w:rPr>
            </w:pPr>
          </w:p>
        </w:tc>
        <w:tc>
          <w:tcPr>
            <w:tcW w:w="2180" w:type="dxa"/>
            <w:vAlign w:val="bottom"/>
          </w:tcPr>
          <w:p>
            <w:pPr>
              <w:jc w:val="center"/>
              <w:spacing w:after="0"/>
              <w:rPr>
                <w:sz w:val="20"/>
                <w:szCs w:val="20"/>
                <w:color w:val="auto"/>
              </w:rPr>
            </w:pPr>
            <w:r>
              <w:rPr>
                <w:rFonts w:ascii="Arial" w:cs="Arial" w:eastAsia="Arial" w:hAnsi="Arial"/>
                <w:sz w:val="14"/>
                <w:szCs w:val="14"/>
                <w:b w:val="1"/>
                <w:bCs w:val="1"/>
                <w:color w:val="auto"/>
                <w:w w:val="86"/>
              </w:rPr>
              <w:t>Subsidiaries</w:t>
            </w:r>
          </w:p>
        </w:tc>
        <w:tc>
          <w:tcPr>
            <w:tcW w:w="0" w:type="dxa"/>
            <w:vAlign w:val="bottom"/>
          </w:tcPr>
          <w:p>
            <w:pPr>
              <w:spacing w:after="0"/>
              <w:rPr>
                <w:sz w:val="1"/>
                <w:szCs w:val="1"/>
                <w:color w:val="auto"/>
              </w:rPr>
            </w:pPr>
          </w:p>
        </w:tc>
      </w:tr>
      <w:tr>
        <w:trPr>
          <w:trHeight w:val="147"/>
        </w:trPr>
        <w:tc>
          <w:tcPr>
            <w:tcW w:w="62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w w:val="86"/>
              </w:rPr>
              <w:t>In millions</w:t>
            </w:r>
          </w:p>
        </w:tc>
        <w:tc>
          <w:tcPr>
            <w:tcW w:w="8420" w:type="dxa"/>
            <w:vAlign w:val="bottom"/>
          </w:tcPr>
          <w:p>
            <w:pPr>
              <w:spacing w:after="0"/>
              <w:rPr>
                <w:sz w:val="12"/>
                <w:szCs w:val="12"/>
                <w:color w:val="auto"/>
              </w:rPr>
            </w:pPr>
          </w:p>
        </w:tc>
        <w:tc>
          <w:tcPr>
            <w:tcW w:w="218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88"/>
              </w:rPr>
              <w:t>Nine Months Ended September 30,</w:t>
            </w:r>
          </w:p>
        </w:tc>
        <w:tc>
          <w:tcPr>
            <w:tcW w:w="0" w:type="dxa"/>
            <w:vAlign w:val="bottom"/>
          </w:tcPr>
          <w:p>
            <w:pPr>
              <w:spacing w:after="0"/>
              <w:rPr>
                <w:sz w:val="1"/>
                <w:szCs w:val="1"/>
                <w:color w:val="auto"/>
              </w:rPr>
            </w:pPr>
          </w:p>
        </w:tc>
      </w:tr>
      <w:tr>
        <w:trPr>
          <w:trHeight w:val="143"/>
        </w:trPr>
        <w:tc>
          <w:tcPr>
            <w:tcW w:w="620" w:type="dxa"/>
            <w:vAlign w:val="bottom"/>
            <w:tcBorders>
              <w:bottom w:val="single" w:sz="8" w:color="auto"/>
            </w:tcBorders>
            <w:vMerge w:val="continue"/>
          </w:tcPr>
          <w:p>
            <w:pPr>
              <w:spacing w:after="0"/>
              <w:rPr>
                <w:sz w:val="12"/>
                <w:szCs w:val="12"/>
                <w:color w:val="auto"/>
              </w:rPr>
            </w:pPr>
          </w:p>
        </w:tc>
        <w:tc>
          <w:tcPr>
            <w:tcW w:w="10600" w:type="dxa"/>
            <w:vAlign w:val="bottom"/>
            <w:gridSpan w:val="2"/>
          </w:tcPr>
          <w:p>
            <w:pPr>
              <w:jc w:val="center"/>
              <w:ind w:left="8377"/>
              <w:spacing w:after="0" w:line="119" w:lineRule="exact"/>
              <w:rPr>
                <w:sz w:val="20"/>
                <w:szCs w:val="20"/>
                <w:color w:val="auto"/>
              </w:rPr>
            </w:pPr>
            <w:r>
              <w:rPr>
                <w:rFonts w:ascii="Arial" w:cs="Arial" w:eastAsia="Arial" w:hAnsi="Arial"/>
                <w:sz w:val="13"/>
                <w:szCs w:val="13"/>
                <w:b w:val="1"/>
                <w:bCs w:val="1"/>
                <w:color w:val="auto"/>
                <w:w w:val="96"/>
              </w:rPr>
              <w:t>2023</w:t>
            </w:r>
          </w:p>
        </w:tc>
        <w:tc>
          <w:tcPr>
            <w:tcW w:w="0" w:type="dxa"/>
            <w:vAlign w:val="bottom"/>
          </w:tcPr>
          <w:p>
            <w:pPr>
              <w:spacing w:after="0"/>
              <w:rPr>
                <w:sz w:val="1"/>
                <w:szCs w:val="1"/>
                <w:color w:val="auto"/>
              </w:rPr>
            </w:pPr>
          </w:p>
        </w:tc>
      </w:tr>
      <w:tr>
        <w:trPr>
          <w:trHeight w:val="32"/>
        </w:trPr>
        <w:tc>
          <w:tcPr>
            <w:tcW w:w="620" w:type="dxa"/>
            <w:vAlign w:val="bottom"/>
          </w:tcPr>
          <w:p>
            <w:pPr>
              <w:spacing w:after="0"/>
              <w:rPr>
                <w:sz w:val="2"/>
                <w:szCs w:val="2"/>
                <w:color w:val="auto"/>
              </w:rPr>
            </w:pPr>
          </w:p>
        </w:tc>
        <w:tc>
          <w:tcPr>
            <w:tcW w:w="8420" w:type="dxa"/>
            <w:vAlign w:val="bottom"/>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7138670" cy="1473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8670" cy="14732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7"/>
        </w:trPr>
        <w:tc>
          <w:tcPr>
            <w:tcW w:w="9060" w:type="dxa"/>
            <w:vAlign w:val="bottom"/>
            <w:gridSpan w:val="3"/>
          </w:tcPr>
          <w:p>
            <w:pPr>
              <w:ind w:left="20"/>
              <w:spacing w:after="0"/>
              <w:rPr>
                <w:sz w:val="20"/>
                <w:szCs w:val="20"/>
                <w:color w:val="auto"/>
              </w:rPr>
            </w:pPr>
            <w:r>
              <w:rPr>
                <w:rFonts w:ascii="Arial" w:cs="Arial" w:eastAsia="Arial" w:hAnsi="Arial"/>
                <w:sz w:val="17"/>
                <w:szCs w:val="17"/>
                <w:color w:val="auto"/>
              </w:rPr>
              <w:t>Net sales to non-guarantor subsidiaries</w:t>
            </w:r>
          </w:p>
        </w:tc>
        <w:tc>
          <w:tcPr>
            <w:tcW w:w="240" w:type="dxa"/>
            <w:vAlign w:val="bottom"/>
          </w:tcPr>
          <w:p>
            <w:pPr>
              <w:jc w:val="right"/>
              <w:ind w:right="58"/>
              <w:spacing w:after="0"/>
              <w:rPr>
                <w:sz w:val="20"/>
                <w:szCs w:val="20"/>
                <w:color w:val="auto"/>
              </w:rPr>
            </w:pPr>
            <w:r>
              <w:rPr>
                <w:rFonts w:ascii="Arial" w:cs="Arial" w:eastAsia="Arial" w:hAnsi="Arial"/>
                <w:sz w:val="17"/>
                <w:szCs w:val="17"/>
                <w:color w:val="auto"/>
                <w:w w:val="84"/>
              </w:rPr>
              <w:t>$</w:t>
            </w:r>
          </w:p>
        </w:tc>
        <w:tc>
          <w:tcPr>
            <w:tcW w:w="1940" w:type="dxa"/>
            <w:vAlign w:val="bottom"/>
          </w:tcPr>
          <w:p>
            <w:pPr>
              <w:jc w:val="right"/>
              <w:spacing w:after="0"/>
              <w:rPr>
                <w:sz w:val="20"/>
                <w:szCs w:val="20"/>
                <w:color w:val="auto"/>
              </w:rPr>
            </w:pPr>
            <w:r>
              <w:rPr>
                <w:rFonts w:ascii="Arial" w:cs="Arial" w:eastAsia="Arial" w:hAnsi="Arial"/>
                <w:sz w:val="17"/>
                <w:szCs w:val="17"/>
                <w:color w:val="auto"/>
              </w:rPr>
              <w:t>680</w:t>
            </w:r>
          </w:p>
        </w:tc>
      </w:tr>
      <w:tr>
        <w:trPr>
          <w:trHeight w:val="219"/>
        </w:trPr>
        <w:tc>
          <w:tcPr>
            <w:tcW w:w="9060" w:type="dxa"/>
            <w:vAlign w:val="bottom"/>
            <w:gridSpan w:val="3"/>
          </w:tcPr>
          <w:p>
            <w:pPr>
              <w:ind w:left="20"/>
              <w:spacing w:after="0"/>
              <w:rPr>
                <w:sz w:val="20"/>
                <w:szCs w:val="20"/>
                <w:color w:val="auto"/>
              </w:rPr>
            </w:pPr>
            <w:r>
              <w:rPr>
                <w:rFonts w:ascii="Arial" w:cs="Arial" w:eastAsia="Arial" w:hAnsi="Arial"/>
                <w:sz w:val="17"/>
                <w:szCs w:val="17"/>
                <w:color w:val="auto"/>
              </w:rPr>
              <w:t>Purchases from non-guarantor subsidiaries</w:t>
            </w:r>
          </w:p>
        </w:tc>
        <w:tc>
          <w:tcPr>
            <w:tcW w:w="240" w:type="dxa"/>
            <w:vAlign w:val="bottom"/>
          </w:tcPr>
          <w:p>
            <w:pPr>
              <w:jc w:val="right"/>
              <w:ind w:right="58"/>
              <w:spacing w:after="0"/>
              <w:rPr>
                <w:sz w:val="20"/>
                <w:szCs w:val="20"/>
                <w:color w:val="auto"/>
              </w:rPr>
            </w:pPr>
            <w:r>
              <w:rPr>
                <w:rFonts w:ascii="Arial" w:cs="Arial" w:eastAsia="Arial" w:hAnsi="Arial"/>
                <w:sz w:val="17"/>
                <w:szCs w:val="17"/>
                <w:color w:val="auto"/>
                <w:w w:val="84"/>
              </w:rPr>
              <w:t>$</w:t>
            </w:r>
          </w:p>
        </w:tc>
        <w:tc>
          <w:tcPr>
            <w:tcW w:w="1940" w:type="dxa"/>
            <w:vAlign w:val="bottom"/>
          </w:tcPr>
          <w:p>
            <w:pPr>
              <w:jc w:val="right"/>
              <w:spacing w:after="0"/>
              <w:rPr>
                <w:sz w:val="20"/>
                <w:szCs w:val="20"/>
                <w:color w:val="auto"/>
              </w:rPr>
            </w:pPr>
            <w:r>
              <w:rPr>
                <w:rFonts w:ascii="Arial" w:cs="Arial" w:eastAsia="Arial" w:hAnsi="Arial"/>
                <w:sz w:val="17"/>
                <w:szCs w:val="17"/>
                <w:color w:val="auto"/>
              </w:rPr>
              <w:t>1,203</w:t>
            </w:r>
          </w:p>
        </w:tc>
      </w:tr>
      <w:tr>
        <w:trPr>
          <w:trHeight w:val="428"/>
        </w:trPr>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40" w:type="dxa"/>
            <w:vAlign w:val="bottom"/>
          </w:tcPr>
          <w:p>
            <w:pPr>
              <w:jc w:val="center"/>
              <w:ind w:right="164"/>
              <w:spacing w:after="0"/>
              <w:rPr>
                <w:sz w:val="20"/>
                <w:szCs w:val="20"/>
                <w:color w:val="auto"/>
              </w:rPr>
            </w:pPr>
            <w:r>
              <w:rPr>
                <w:rFonts w:ascii="Arial" w:cs="Arial" w:eastAsia="Arial" w:hAnsi="Arial"/>
                <w:sz w:val="14"/>
                <w:szCs w:val="14"/>
                <w:b w:val="1"/>
                <w:bCs w:val="1"/>
                <w:color w:val="auto"/>
                <w:w w:val="90"/>
              </w:rPr>
              <w:t>Unaudited</w:t>
            </w:r>
          </w:p>
        </w:tc>
      </w:tr>
      <w:tr>
        <w:trPr>
          <w:trHeight w:val="157"/>
        </w:trPr>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940" w:type="dxa"/>
            <w:vAlign w:val="bottom"/>
          </w:tcPr>
          <w:p>
            <w:pPr>
              <w:jc w:val="center"/>
              <w:ind w:right="144"/>
              <w:spacing w:after="0" w:line="157" w:lineRule="exact"/>
              <w:rPr>
                <w:sz w:val="20"/>
                <w:szCs w:val="20"/>
                <w:color w:val="auto"/>
              </w:rPr>
            </w:pPr>
            <w:r>
              <w:rPr>
                <w:rFonts w:ascii="Arial" w:cs="Arial" w:eastAsia="Arial" w:hAnsi="Arial"/>
                <w:sz w:val="14"/>
                <w:szCs w:val="14"/>
                <w:b w:val="1"/>
                <w:bCs w:val="1"/>
                <w:color w:val="auto"/>
                <w:w w:val="88"/>
              </w:rPr>
              <w:t>Westinghouse Air Brake</w:t>
            </w:r>
          </w:p>
        </w:tc>
      </w:tr>
      <w:tr>
        <w:trPr>
          <w:trHeight w:val="138"/>
        </w:trPr>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420" w:type="dxa"/>
            <w:vAlign w:val="bottom"/>
          </w:tcPr>
          <w:p>
            <w:pPr>
              <w:spacing w:after="0"/>
              <w:rPr>
                <w:sz w:val="12"/>
                <w:szCs w:val="12"/>
                <w:color w:val="auto"/>
              </w:rPr>
            </w:pPr>
          </w:p>
        </w:tc>
        <w:tc>
          <w:tcPr>
            <w:tcW w:w="2180" w:type="dxa"/>
            <w:vAlign w:val="bottom"/>
            <w:gridSpan w:val="2"/>
          </w:tcPr>
          <w:p>
            <w:pPr>
              <w:jc w:val="center"/>
              <w:spacing w:after="0" w:line="139" w:lineRule="exact"/>
              <w:rPr>
                <w:sz w:val="20"/>
                <w:szCs w:val="20"/>
                <w:color w:val="auto"/>
              </w:rPr>
            </w:pPr>
            <w:r>
              <w:rPr>
                <w:rFonts w:ascii="Arial" w:cs="Arial" w:eastAsia="Arial" w:hAnsi="Arial"/>
                <w:sz w:val="14"/>
                <w:szCs w:val="14"/>
                <w:b w:val="1"/>
                <w:bCs w:val="1"/>
                <w:color w:val="auto"/>
                <w:w w:val="88"/>
              </w:rPr>
              <w:t>Technologies Corp. and Guarantor</w:t>
            </w:r>
          </w:p>
        </w:tc>
      </w:tr>
      <w:tr>
        <w:trPr>
          <w:trHeight w:val="178"/>
        </w:trPr>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940" w:type="dxa"/>
            <w:vAlign w:val="bottom"/>
          </w:tcPr>
          <w:p>
            <w:pPr>
              <w:jc w:val="center"/>
              <w:ind w:right="144"/>
              <w:spacing w:after="0"/>
              <w:rPr>
                <w:sz w:val="20"/>
                <w:szCs w:val="20"/>
                <w:color w:val="auto"/>
              </w:rPr>
            </w:pPr>
            <w:r>
              <w:rPr>
                <w:rFonts w:ascii="Arial" w:cs="Arial" w:eastAsia="Arial" w:hAnsi="Arial"/>
                <w:sz w:val="14"/>
                <w:szCs w:val="14"/>
                <w:b w:val="1"/>
                <w:bCs w:val="1"/>
                <w:color w:val="auto"/>
                <w:w w:val="86"/>
              </w:rPr>
              <w:t>Subsidiaries</w:t>
            </w:r>
          </w:p>
        </w:tc>
      </w:tr>
      <w:tr>
        <w:trPr>
          <w:trHeight w:val="157"/>
        </w:trPr>
        <w:tc>
          <w:tcPr>
            <w:tcW w:w="9060" w:type="dxa"/>
            <w:vAlign w:val="bottom"/>
            <w:gridSpan w:val="3"/>
          </w:tcPr>
          <w:p>
            <w:pPr>
              <w:ind w:left="20"/>
              <w:spacing w:after="0" w:line="157" w:lineRule="exact"/>
              <w:rPr>
                <w:sz w:val="20"/>
                <w:szCs w:val="20"/>
                <w:color w:val="auto"/>
              </w:rPr>
            </w:pPr>
            <w:r>
              <w:rPr>
                <w:rFonts w:ascii="Arial" w:cs="Arial" w:eastAsia="Arial" w:hAnsi="Arial"/>
                <w:sz w:val="14"/>
                <w:szCs w:val="14"/>
                <w:b w:val="1"/>
                <w:bCs w:val="1"/>
                <w:i w:val="1"/>
                <w:iCs w:val="1"/>
                <w:color w:val="auto"/>
              </w:rPr>
              <w:t>In millions</w:t>
            </w:r>
          </w:p>
        </w:tc>
        <w:tc>
          <w:tcPr>
            <w:tcW w:w="240" w:type="dxa"/>
            <w:vAlign w:val="bottom"/>
          </w:tcPr>
          <w:p>
            <w:pPr>
              <w:spacing w:after="0"/>
              <w:rPr>
                <w:sz w:val="13"/>
                <w:szCs w:val="13"/>
                <w:color w:val="auto"/>
              </w:rPr>
            </w:pPr>
          </w:p>
        </w:tc>
        <w:tc>
          <w:tcPr>
            <w:tcW w:w="1940" w:type="dxa"/>
            <w:vAlign w:val="bottom"/>
          </w:tcPr>
          <w:p>
            <w:pPr>
              <w:jc w:val="center"/>
              <w:ind w:right="164"/>
              <w:spacing w:after="0" w:line="157" w:lineRule="exact"/>
              <w:rPr>
                <w:sz w:val="20"/>
                <w:szCs w:val="20"/>
                <w:color w:val="auto"/>
              </w:rPr>
            </w:pPr>
            <w:r>
              <w:rPr>
                <w:rFonts w:ascii="Arial" w:cs="Arial" w:eastAsia="Arial" w:hAnsi="Arial"/>
                <w:sz w:val="14"/>
                <w:szCs w:val="14"/>
                <w:b w:val="1"/>
                <w:bCs w:val="1"/>
                <w:color w:val="auto"/>
                <w:w w:val="87"/>
              </w:rPr>
              <w:t>September 30, 2023</w:t>
            </w:r>
          </w:p>
        </w:tc>
      </w:tr>
      <w:tr>
        <w:trPr>
          <w:trHeight w:val="32"/>
        </w:trPr>
        <w:tc>
          <w:tcPr>
            <w:tcW w:w="20" w:type="dxa"/>
            <w:vAlign w:val="bottom"/>
            <w:tcBorders>
              <w:bottom w:val="single" w:sz="8" w:color="CCEEFF"/>
            </w:tcBorders>
          </w:tcPr>
          <w:p>
            <w:pPr>
              <w:spacing w:after="0"/>
              <w:rPr>
                <w:sz w:val="2"/>
                <w:szCs w:val="2"/>
                <w:color w:val="auto"/>
              </w:rPr>
            </w:pPr>
          </w:p>
        </w:tc>
        <w:tc>
          <w:tcPr>
            <w:tcW w:w="620" w:type="dxa"/>
            <w:vAlign w:val="bottom"/>
            <w:tcBorders>
              <w:top w:val="single" w:sz="8" w:color="auto"/>
              <w:bottom w:val="single" w:sz="8" w:color="CCEEFF"/>
            </w:tcBorders>
          </w:tcPr>
          <w:p>
            <w:pPr>
              <w:spacing w:after="0"/>
              <w:rPr>
                <w:sz w:val="2"/>
                <w:szCs w:val="2"/>
                <w:color w:val="auto"/>
              </w:rPr>
            </w:pPr>
          </w:p>
        </w:tc>
        <w:tc>
          <w:tcPr>
            <w:tcW w:w="84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12"/>
        </w:trPr>
        <w:tc>
          <w:tcPr>
            <w:tcW w:w="906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Amount due from/(to) non-guarantor subsidiaries</w:t>
            </w:r>
          </w:p>
        </w:tc>
        <w:tc>
          <w:tcPr>
            <w:tcW w:w="240" w:type="dxa"/>
            <w:vAlign w:val="bottom"/>
            <w:shd w:val="clear" w:color="auto" w:fill="CCEEFF"/>
          </w:tcPr>
          <w:p>
            <w:pPr>
              <w:jc w:val="right"/>
              <w:ind w:right="58"/>
              <w:spacing w:after="0"/>
              <w:rPr>
                <w:sz w:val="20"/>
                <w:szCs w:val="20"/>
                <w:color w:val="auto"/>
              </w:rPr>
            </w:pPr>
            <w:r>
              <w:rPr>
                <w:rFonts w:ascii="Arial" w:cs="Arial" w:eastAsia="Arial" w:hAnsi="Arial"/>
                <w:sz w:val="17"/>
                <w:szCs w:val="17"/>
                <w:color w:val="auto"/>
                <w:w w:val="84"/>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(10,178)</w:t>
            </w:r>
          </w:p>
        </w:tc>
      </w:tr>
    </w:tbl>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Summarized Financial Information—Euro Notes</w:t>
      </w:r>
    </w:p>
    <w:p>
      <w:pPr>
        <w:spacing w:after="0" w:line="101" w:lineRule="exact"/>
        <w:rPr>
          <w:sz w:val="20"/>
          <w:szCs w:val="20"/>
          <w:color w:val="auto"/>
        </w:rPr>
      </w:pPr>
    </w:p>
    <w:p>
      <w:pPr>
        <w:jc w:val="both"/>
        <w:ind w:right="160" w:firstLine="464"/>
        <w:spacing w:after="0" w:line="232" w:lineRule="auto"/>
        <w:rPr>
          <w:sz w:val="20"/>
          <w:szCs w:val="20"/>
          <w:color w:val="auto"/>
        </w:rPr>
      </w:pPr>
      <w:r>
        <w:rPr>
          <w:rFonts w:ascii="Arial" w:cs="Arial" w:eastAsia="Arial" w:hAnsi="Arial"/>
          <w:sz w:val="17"/>
          <w:szCs w:val="17"/>
          <w:color w:val="auto"/>
        </w:rPr>
        <w:t>The obligations under Wabtec Netherlands’ Euro Notes are fully and unconditionally guaranteed by the Parent Company. Wabtec Netherlands is a wholly-owned, indirect subsidiary of the Parent Company. Wabtec Netherlands is a holding company and does not have any independent operations. Its assets consist of its investments in subsidiaries, which are separate and distinct legal entities that are not guarantors of the Euro Notes and have no obligations to pay amounts due under Wabtec Netherlands’ obligations.</w:t>
      </w:r>
    </w:p>
    <w:p>
      <w:pPr>
        <w:spacing w:after="0" w:line="82" w:lineRule="exact"/>
        <w:rPr>
          <w:sz w:val="20"/>
          <w:szCs w:val="20"/>
          <w:color w:val="auto"/>
        </w:rPr>
      </w:pPr>
    </w:p>
    <w:p>
      <w:pPr>
        <w:ind w:right="340" w:firstLine="464"/>
        <w:spacing w:after="0" w:line="250" w:lineRule="auto"/>
        <w:rPr>
          <w:sz w:val="20"/>
          <w:szCs w:val="20"/>
          <w:color w:val="auto"/>
        </w:rPr>
      </w:pPr>
      <w:r>
        <w:rPr>
          <w:rFonts w:ascii="Arial" w:cs="Arial" w:eastAsia="Arial" w:hAnsi="Arial"/>
          <w:sz w:val="16"/>
          <w:szCs w:val="16"/>
          <w:color w:val="auto"/>
        </w:rPr>
        <w:t>The following tables present summarized financial information of Wabtec Netherlands, as the Issuer of the Euro Notes, and the Parent Company, as the parent Guarantor, on a combined basis. The combined summarized financial information eliminates all intercompany balances and transactions among Wabtec Netherlands and the Parent Company as well as all equity in earnings from and investments in any subsidiary of the Parent Company, other than Wabtec Netherlands, which we refer to below as the Non-Guarantor Subsidiaries. The summarized financial information is provided in accordance with the reporting requirements of Rule 13-01 under SEC Regulation S-X for the issuer and Parent Company guarantor.</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Summarized Statement of Income</w:t>
      </w:r>
    </w:p>
    <w:p>
      <w:pPr>
        <w:spacing w:after="0" w:line="39" w:lineRule="exact"/>
        <w:rPr>
          <w:sz w:val="20"/>
          <w:szCs w:val="20"/>
          <w:color w:val="auto"/>
        </w:rPr>
      </w:pPr>
    </w:p>
    <w:tbl>
      <w:tblPr>
        <w:tblLayout w:type="fixed"/>
        <w:tblInd w:w="20" w:type="dxa"/>
        <w:tblCellMar>
          <w:top w:w="0" w:type="dxa"/>
          <w:left w:w="0" w:type="dxa"/>
          <w:bottom w:w="0" w:type="dxa"/>
          <w:right w:w="0" w:type="dxa"/>
        </w:tblCellMar>
      </w:tblPr>
      <w:tr>
        <w:trPr>
          <w:trHeight w:val="178"/>
        </w:trPr>
        <w:tc>
          <w:tcPr>
            <w:tcW w:w="620" w:type="dxa"/>
            <w:vAlign w:val="bottom"/>
          </w:tcPr>
          <w:p>
            <w:pPr>
              <w:spacing w:after="0"/>
              <w:rPr>
                <w:sz w:val="15"/>
                <w:szCs w:val="15"/>
                <w:color w:val="auto"/>
              </w:rPr>
            </w:pPr>
          </w:p>
        </w:tc>
        <w:tc>
          <w:tcPr>
            <w:tcW w:w="8420" w:type="dxa"/>
            <w:vAlign w:val="bottom"/>
          </w:tcPr>
          <w:p>
            <w:pPr>
              <w:spacing w:after="0"/>
              <w:rPr>
                <w:sz w:val="15"/>
                <w:szCs w:val="15"/>
                <w:color w:val="auto"/>
              </w:rPr>
            </w:pPr>
          </w:p>
        </w:tc>
        <w:tc>
          <w:tcPr>
            <w:tcW w:w="2180" w:type="dxa"/>
            <w:vAlign w:val="bottom"/>
          </w:tcPr>
          <w:p>
            <w:pPr>
              <w:jc w:val="center"/>
              <w:spacing w:after="0"/>
              <w:rPr>
                <w:sz w:val="20"/>
                <w:szCs w:val="20"/>
                <w:color w:val="auto"/>
              </w:rPr>
            </w:pPr>
            <w:r>
              <w:rPr>
                <w:rFonts w:ascii="Arial" w:cs="Arial" w:eastAsia="Arial" w:hAnsi="Arial"/>
                <w:sz w:val="14"/>
                <w:szCs w:val="14"/>
                <w:b w:val="1"/>
                <w:bCs w:val="1"/>
                <w:color w:val="auto"/>
                <w:w w:val="90"/>
              </w:rPr>
              <w:t>Unaudited</w:t>
            </w:r>
          </w:p>
        </w:tc>
        <w:tc>
          <w:tcPr>
            <w:tcW w:w="0" w:type="dxa"/>
            <w:vAlign w:val="bottom"/>
          </w:tcPr>
          <w:p>
            <w:pPr>
              <w:spacing w:after="0"/>
              <w:rPr>
                <w:sz w:val="1"/>
                <w:szCs w:val="1"/>
                <w:color w:val="auto"/>
              </w:rPr>
            </w:pPr>
          </w:p>
        </w:tc>
      </w:tr>
      <w:tr>
        <w:trPr>
          <w:trHeight w:val="193"/>
        </w:trPr>
        <w:tc>
          <w:tcPr>
            <w:tcW w:w="620" w:type="dxa"/>
            <w:vAlign w:val="bottom"/>
          </w:tcPr>
          <w:p>
            <w:pPr>
              <w:spacing w:after="0"/>
              <w:rPr>
                <w:sz w:val="16"/>
                <w:szCs w:val="16"/>
                <w:color w:val="auto"/>
              </w:rPr>
            </w:pPr>
          </w:p>
        </w:tc>
        <w:tc>
          <w:tcPr>
            <w:tcW w:w="8420" w:type="dxa"/>
            <w:vAlign w:val="bottom"/>
          </w:tcPr>
          <w:p>
            <w:pPr>
              <w:spacing w:after="0"/>
              <w:rPr>
                <w:sz w:val="16"/>
                <w:szCs w:val="16"/>
                <w:color w:val="auto"/>
              </w:rPr>
            </w:pPr>
          </w:p>
        </w:tc>
        <w:tc>
          <w:tcPr>
            <w:tcW w:w="2180" w:type="dxa"/>
            <w:vAlign w:val="bottom"/>
          </w:tcPr>
          <w:p>
            <w:pPr>
              <w:jc w:val="center"/>
              <w:spacing w:after="0"/>
              <w:rPr>
                <w:sz w:val="20"/>
                <w:szCs w:val="20"/>
                <w:color w:val="auto"/>
              </w:rPr>
            </w:pPr>
            <w:r>
              <w:rPr>
                <w:rFonts w:ascii="Arial" w:cs="Arial" w:eastAsia="Arial" w:hAnsi="Arial"/>
                <w:sz w:val="14"/>
                <w:szCs w:val="14"/>
                <w:b w:val="1"/>
                <w:bCs w:val="1"/>
                <w:color w:val="auto"/>
                <w:w w:val="90"/>
              </w:rPr>
              <w:t>Issuer and Guarantor</w:t>
            </w:r>
          </w:p>
        </w:tc>
        <w:tc>
          <w:tcPr>
            <w:tcW w:w="0" w:type="dxa"/>
            <w:vAlign w:val="bottom"/>
          </w:tcPr>
          <w:p>
            <w:pPr>
              <w:spacing w:after="0"/>
              <w:rPr>
                <w:sz w:val="1"/>
                <w:szCs w:val="1"/>
                <w:color w:val="auto"/>
              </w:rPr>
            </w:pPr>
          </w:p>
        </w:tc>
      </w:tr>
      <w:tr>
        <w:trPr>
          <w:trHeight w:val="157"/>
        </w:trPr>
        <w:tc>
          <w:tcPr>
            <w:tcW w:w="62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w w:val="86"/>
              </w:rPr>
              <w:t>In millions</w:t>
            </w:r>
          </w:p>
        </w:tc>
        <w:tc>
          <w:tcPr>
            <w:tcW w:w="8420" w:type="dxa"/>
            <w:vAlign w:val="bottom"/>
          </w:tcPr>
          <w:p>
            <w:pPr>
              <w:spacing w:after="0"/>
              <w:rPr>
                <w:sz w:val="13"/>
                <w:szCs w:val="13"/>
                <w:color w:val="auto"/>
              </w:rPr>
            </w:pPr>
          </w:p>
        </w:tc>
        <w:tc>
          <w:tcPr>
            <w:tcW w:w="218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88"/>
              </w:rPr>
              <w:t>Nine Months Ended September 30,</w:t>
            </w:r>
          </w:p>
        </w:tc>
        <w:tc>
          <w:tcPr>
            <w:tcW w:w="0" w:type="dxa"/>
            <w:vAlign w:val="bottom"/>
          </w:tcPr>
          <w:p>
            <w:pPr>
              <w:spacing w:after="0"/>
              <w:rPr>
                <w:sz w:val="1"/>
                <w:szCs w:val="1"/>
                <w:color w:val="auto"/>
              </w:rPr>
            </w:pPr>
          </w:p>
        </w:tc>
      </w:tr>
      <w:tr>
        <w:trPr>
          <w:trHeight w:val="143"/>
        </w:trPr>
        <w:tc>
          <w:tcPr>
            <w:tcW w:w="620" w:type="dxa"/>
            <w:vAlign w:val="bottom"/>
            <w:tcBorders>
              <w:bottom w:val="single" w:sz="8" w:color="auto"/>
            </w:tcBorders>
            <w:vMerge w:val="continue"/>
          </w:tcPr>
          <w:p>
            <w:pPr>
              <w:spacing w:after="0"/>
              <w:rPr>
                <w:sz w:val="12"/>
                <w:szCs w:val="12"/>
                <w:color w:val="auto"/>
              </w:rPr>
            </w:pPr>
          </w:p>
        </w:tc>
        <w:tc>
          <w:tcPr>
            <w:tcW w:w="10600" w:type="dxa"/>
            <w:vAlign w:val="bottom"/>
            <w:gridSpan w:val="2"/>
          </w:tcPr>
          <w:p>
            <w:pPr>
              <w:jc w:val="center"/>
              <w:ind w:left="8377"/>
              <w:spacing w:after="0" w:line="119" w:lineRule="exact"/>
              <w:rPr>
                <w:sz w:val="20"/>
                <w:szCs w:val="20"/>
                <w:color w:val="auto"/>
              </w:rPr>
            </w:pPr>
            <w:r>
              <w:rPr>
                <w:rFonts w:ascii="Arial" w:cs="Arial" w:eastAsia="Arial" w:hAnsi="Arial"/>
                <w:sz w:val="13"/>
                <w:szCs w:val="13"/>
                <w:b w:val="1"/>
                <w:bCs w:val="1"/>
                <w:color w:val="auto"/>
                <w:w w:val="96"/>
              </w:rPr>
              <w:t>2023</w:t>
            </w:r>
          </w:p>
        </w:tc>
        <w:tc>
          <w:tcPr>
            <w:tcW w:w="0" w:type="dxa"/>
            <w:vAlign w:val="bottom"/>
          </w:tcPr>
          <w:p>
            <w:pPr>
              <w:spacing w:after="0"/>
              <w:rPr>
                <w:sz w:val="1"/>
                <w:szCs w:val="1"/>
                <w:color w:val="auto"/>
              </w:rPr>
            </w:pPr>
          </w:p>
        </w:tc>
      </w:tr>
      <w:tr>
        <w:trPr>
          <w:trHeight w:val="32"/>
        </w:trPr>
        <w:tc>
          <w:tcPr>
            <w:tcW w:w="620" w:type="dxa"/>
            <w:vAlign w:val="bottom"/>
          </w:tcPr>
          <w:p>
            <w:pPr>
              <w:spacing w:after="0"/>
              <w:rPr>
                <w:sz w:val="2"/>
                <w:szCs w:val="2"/>
                <w:color w:val="auto"/>
              </w:rPr>
            </w:pPr>
          </w:p>
        </w:tc>
        <w:tc>
          <w:tcPr>
            <w:tcW w:w="8420" w:type="dxa"/>
            <w:vAlign w:val="bottom"/>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7138670" cy="1473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8670" cy="14732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7"/>
        </w:trPr>
        <w:tc>
          <w:tcPr>
            <w:tcW w:w="6800" w:type="dxa"/>
            <w:vAlign w:val="bottom"/>
            <w:gridSpan w:val="3"/>
          </w:tcPr>
          <w:p>
            <w:pPr>
              <w:ind w:left="20"/>
              <w:spacing w:after="0"/>
              <w:rPr>
                <w:sz w:val="20"/>
                <w:szCs w:val="20"/>
                <w:color w:val="auto"/>
              </w:rPr>
            </w:pPr>
            <w:r>
              <w:rPr>
                <w:rFonts w:ascii="Arial" w:cs="Arial" w:eastAsia="Arial" w:hAnsi="Arial"/>
                <w:sz w:val="17"/>
                <w:szCs w:val="17"/>
                <w:color w:val="auto"/>
              </w:rPr>
              <w:t>Net sales</w:t>
            </w:r>
          </w:p>
        </w:tc>
        <w:tc>
          <w:tcPr>
            <w:tcW w:w="3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jc w:val="right"/>
              <w:ind w:right="214"/>
              <w:spacing w:after="0"/>
              <w:rPr>
                <w:sz w:val="20"/>
                <w:szCs w:val="20"/>
                <w:color w:val="auto"/>
              </w:rPr>
            </w:pPr>
            <w:r>
              <w:rPr>
                <w:rFonts w:ascii="Arial" w:cs="Arial" w:eastAsia="Arial" w:hAnsi="Arial"/>
                <w:sz w:val="17"/>
                <w:szCs w:val="17"/>
                <w:color w:val="auto"/>
                <w:w w:val="84"/>
              </w:rPr>
              <w:t>$</w:t>
            </w:r>
          </w:p>
        </w:tc>
        <w:tc>
          <w:tcPr>
            <w:tcW w:w="1780" w:type="dxa"/>
            <w:vAlign w:val="bottom"/>
          </w:tcPr>
          <w:p>
            <w:pPr>
              <w:jc w:val="right"/>
              <w:spacing w:after="0"/>
              <w:rPr>
                <w:sz w:val="20"/>
                <w:szCs w:val="20"/>
                <w:color w:val="auto"/>
              </w:rPr>
            </w:pPr>
            <w:r>
              <w:rPr>
                <w:rFonts w:ascii="Arial" w:cs="Arial" w:eastAsia="Arial" w:hAnsi="Arial"/>
                <w:sz w:val="17"/>
                <w:szCs w:val="17"/>
                <w:color w:val="auto"/>
              </w:rPr>
              <w:t>410</w:t>
            </w:r>
          </w:p>
        </w:tc>
      </w:tr>
      <w:tr>
        <w:trPr>
          <w:trHeight w:val="220"/>
        </w:trPr>
        <w:tc>
          <w:tcPr>
            <w:tcW w:w="6800" w:type="dxa"/>
            <w:vAlign w:val="bottom"/>
            <w:gridSpan w:val="3"/>
          </w:tcPr>
          <w:p>
            <w:pPr>
              <w:ind w:left="20"/>
              <w:spacing w:after="0"/>
              <w:rPr>
                <w:sz w:val="20"/>
                <w:szCs w:val="20"/>
                <w:color w:val="auto"/>
              </w:rPr>
            </w:pPr>
            <w:r>
              <w:rPr>
                <w:rFonts w:ascii="Arial" w:cs="Arial" w:eastAsia="Arial" w:hAnsi="Arial"/>
                <w:sz w:val="17"/>
                <w:szCs w:val="17"/>
                <w:color w:val="auto"/>
              </w:rPr>
              <w:t>Gross profit</w:t>
            </w:r>
          </w:p>
        </w:tc>
        <w:tc>
          <w:tcPr>
            <w:tcW w:w="3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jc w:val="right"/>
              <w:ind w:right="214"/>
              <w:spacing w:after="0"/>
              <w:rPr>
                <w:sz w:val="20"/>
                <w:szCs w:val="20"/>
                <w:color w:val="auto"/>
              </w:rPr>
            </w:pPr>
            <w:r>
              <w:rPr>
                <w:rFonts w:ascii="Arial" w:cs="Arial" w:eastAsia="Arial" w:hAnsi="Arial"/>
                <w:sz w:val="17"/>
                <w:szCs w:val="17"/>
                <w:color w:val="auto"/>
                <w:w w:val="84"/>
              </w:rPr>
              <w:t>$</w:t>
            </w:r>
          </w:p>
        </w:tc>
        <w:tc>
          <w:tcPr>
            <w:tcW w:w="1780" w:type="dxa"/>
            <w:vAlign w:val="bottom"/>
          </w:tcPr>
          <w:p>
            <w:pPr>
              <w:jc w:val="right"/>
              <w:spacing w:after="0"/>
              <w:rPr>
                <w:sz w:val="20"/>
                <w:szCs w:val="20"/>
                <w:color w:val="auto"/>
              </w:rPr>
            </w:pPr>
            <w:r>
              <w:rPr>
                <w:rFonts w:ascii="Arial" w:cs="Arial" w:eastAsia="Arial" w:hAnsi="Arial"/>
                <w:sz w:val="17"/>
                <w:szCs w:val="17"/>
                <w:color w:val="auto"/>
              </w:rPr>
              <w:t>76</w:t>
            </w:r>
          </w:p>
        </w:tc>
      </w:tr>
      <w:tr>
        <w:trPr>
          <w:trHeight w:val="220"/>
        </w:trPr>
        <w:tc>
          <w:tcPr>
            <w:tcW w:w="680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Net income attributable to Wabtec shareholders</w:t>
            </w:r>
          </w:p>
        </w:tc>
        <w:tc>
          <w:tcPr>
            <w:tcW w:w="30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w w:val="84"/>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(296)</w:t>
            </w:r>
          </w:p>
        </w:tc>
      </w:tr>
      <w:tr>
        <w:trPr>
          <w:trHeight w:val="450"/>
        </w:trPr>
        <w:tc>
          <w:tcPr>
            <w:tcW w:w="20" w:type="dxa"/>
            <w:vAlign w:val="bottom"/>
          </w:tcPr>
          <w:p>
            <w:pPr>
              <w:spacing w:after="0"/>
              <w:rPr>
                <w:sz w:val="24"/>
                <w:szCs w:val="24"/>
                <w:color w:val="auto"/>
              </w:rPr>
            </w:pPr>
          </w:p>
        </w:tc>
        <w:tc>
          <w:tcPr>
            <w:tcW w:w="6780" w:type="dxa"/>
            <w:vAlign w:val="bottom"/>
            <w:gridSpan w:val="2"/>
          </w:tcPr>
          <w:p>
            <w:pPr>
              <w:ind w:left="440"/>
              <w:spacing w:after="0"/>
              <w:rPr>
                <w:sz w:val="20"/>
                <w:szCs w:val="20"/>
                <w:color w:val="auto"/>
              </w:rPr>
            </w:pPr>
            <w:r>
              <w:rPr>
                <w:rFonts w:ascii="Arial" w:cs="Arial" w:eastAsia="Arial" w:hAnsi="Arial"/>
                <w:sz w:val="17"/>
                <w:szCs w:val="17"/>
                <w:b w:val="1"/>
                <w:bCs w:val="1"/>
                <w:i w:val="1"/>
                <w:iCs w:val="1"/>
                <w:color w:val="auto"/>
              </w:rPr>
              <w:t>Summarized Balance Sheet</w:t>
            </w:r>
          </w:p>
        </w:tc>
        <w:tc>
          <w:tcPr>
            <w:tcW w:w="3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360" w:type="dxa"/>
            <w:vAlign w:val="bottom"/>
            <w:gridSpan w:val="3"/>
          </w:tcPr>
          <w:p>
            <w:pPr>
              <w:jc w:val="right"/>
              <w:ind w:right="34"/>
              <w:spacing w:after="0"/>
              <w:rPr>
                <w:sz w:val="20"/>
                <w:szCs w:val="20"/>
                <w:color w:val="auto"/>
              </w:rPr>
            </w:pPr>
            <w:r>
              <w:rPr>
                <w:rFonts w:ascii="Arial" w:cs="Arial" w:eastAsia="Arial" w:hAnsi="Arial"/>
                <w:sz w:val="14"/>
                <w:szCs w:val="14"/>
                <w:b w:val="1"/>
                <w:bCs w:val="1"/>
                <w:color w:val="auto"/>
              </w:rPr>
              <w:t>Unaudited</w:t>
            </w:r>
          </w:p>
        </w:tc>
        <w:tc>
          <w:tcPr>
            <w:tcW w:w="1780" w:type="dxa"/>
            <w:vAlign w:val="bottom"/>
          </w:tcPr>
          <w:p>
            <w:pPr>
              <w:spacing w:after="0"/>
              <w:rPr>
                <w:sz w:val="17"/>
                <w:szCs w:val="17"/>
                <w:color w:val="auto"/>
              </w:rPr>
            </w:pPr>
          </w:p>
        </w:tc>
      </w:tr>
      <w:tr>
        <w:trPr>
          <w:trHeight w:val="193"/>
        </w:trPr>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140" w:type="dxa"/>
            <w:vAlign w:val="bottom"/>
            <w:gridSpan w:val="4"/>
          </w:tcPr>
          <w:p>
            <w:pPr>
              <w:jc w:val="right"/>
              <w:ind w:right="1496"/>
              <w:spacing w:after="0"/>
              <w:rPr>
                <w:sz w:val="20"/>
                <w:szCs w:val="20"/>
                <w:color w:val="auto"/>
              </w:rPr>
            </w:pPr>
            <w:r>
              <w:rPr>
                <w:rFonts w:ascii="Arial" w:cs="Arial" w:eastAsia="Arial" w:hAnsi="Arial"/>
                <w:sz w:val="14"/>
                <w:szCs w:val="14"/>
                <w:b w:val="1"/>
                <w:bCs w:val="1"/>
                <w:color w:val="auto"/>
              </w:rPr>
              <w:t>Issuer and Guarantor</w:t>
            </w:r>
          </w:p>
        </w:tc>
      </w:tr>
      <w:tr>
        <w:trPr>
          <w:trHeight w:val="166"/>
        </w:trPr>
        <w:tc>
          <w:tcPr>
            <w:tcW w:w="6800" w:type="dxa"/>
            <w:vAlign w:val="bottom"/>
            <w:gridSpan w:val="3"/>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300" w:type="dxa"/>
            <w:vAlign w:val="bottom"/>
          </w:tcPr>
          <w:p>
            <w:pPr>
              <w:spacing w:after="0"/>
              <w:rPr>
                <w:sz w:val="14"/>
                <w:szCs w:val="14"/>
                <w:color w:val="auto"/>
              </w:rPr>
            </w:pPr>
          </w:p>
        </w:tc>
        <w:tc>
          <w:tcPr>
            <w:tcW w:w="1960" w:type="dxa"/>
            <w:vAlign w:val="bottom"/>
            <w:gridSpan w:val="2"/>
          </w:tcPr>
          <w:p>
            <w:pPr>
              <w:ind w:left="220"/>
              <w:spacing w:after="0"/>
              <w:rPr>
                <w:sz w:val="20"/>
                <w:szCs w:val="20"/>
                <w:color w:val="auto"/>
              </w:rPr>
            </w:pPr>
            <w:r>
              <w:rPr>
                <w:rFonts w:ascii="Arial" w:cs="Arial" w:eastAsia="Arial" w:hAnsi="Arial"/>
                <w:sz w:val="14"/>
                <w:szCs w:val="14"/>
                <w:b w:val="1"/>
                <w:bCs w:val="1"/>
                <w:color w:val="auto"/>
              </w:rPr>
              <w:t>September 30, 2023</w:t>
            </w:r>
          </w:p>
        </w:tc>
        <w:tc>
          <w:tcPr>
            <w:tcW w:w="400" w:type="dxa"/>
            <w:vAlign w:val="bottom"/>
          </w:tcPr>
          <w:p>
            <w:pPr>
              <w:spacing w:after="0"/>
              <w:rPr>
                <w:sz w:val="14"/>
                <w:szCs w:val="14"/>
                <w:color w:val="auto"/>
              </w:rPr>
            </w:pPr>
          </w:p>
        </w:tc>
        <w:tc>
          <w:tcPr>
            <w:tcW w:w="1780" w:type="dxa"/>
            <w:vAlign w:val="bottom"/>
          </w:tcPr>
          <w:p>
            <w:pPr>
              <w:jc w:val="right"/>
              <w:ind w:right="436"/>
              <w:spacing w:after="0"/>
              <w:rPr>
                <w:sz w:val="20"/>
                <w:szCs w:val="20"/>
                <w:color w:val="auto"/>
              </w:rPr>
            </w:pPr>
            <w:r>
              <w:rPr>
                <w:rFonts w:ascii="Arial" w:cs="Arial" w:eastAsia="Arial" w:hAnsi="Arial"/>
                <w:sz w:val="14"/>
                <w:szCs w:val="14"/>
                <w:b w:val="1"/>
                <w:bCs w:val="1"/>
                <w:color w:val="auto"/>
                <w:w w:val="98"/>
              </w:rPr>
              <w:t>December 31, 2022</w:t>
            </w:r>
          </w:p>
        </w:tc>
      </w:tr>
      <w:tr>
        <w:trPr>
          <w:trHeight w:val="32"/>
        </w:trPr>
        <w:tc>
          <w:tcPr>
            <w:tcW w:w="20" w:type="dxa"/>
            <w:vAlign w:val="bottom"/>
            <w:tcBorders>
              <w:bottom w:val="single" w:sz="8" w:color="CCEEFF"/>
            </w:tcBorders>
          </w:tcPr>
          <w:p>
            <w:pPr>
              <w:spacing w:after="0"/>
              <w:rPr>
                <w:sz w:val="2"/>
                <w:szCs w:val="2"/>
                <w:color w:val="auto"/>
              </w:rPr>
            </w:pPr>
          </w:p>
        </w:tc>
        <w:tc>
          <w:tcPr>
            <w:tcW w:w="620" w:type="dxa"/>
            <w:vAlign w:val="bottom"/>
            <w:tcBorders>
              <w:top w:val="single" w:sz="8" w:color="auto"/>
              <w:bottom w:val="single" w:sz="8" w:color="CCEEFF"/>
            </w:tcBorders>
          </w:tcPr>
          <w:p>
            <w:pPr>
              <w:spacing w:after="0"/>
              <w:rPr>
                <w:sz w:val="2"/>
                <w:szCs w:val="2"/>
                <w:color w:val="auto"/>
              </w:rPr>
            </w:pPr>
          </w:p>
        </w:tc>
        <w:tc>
          <w:tcPr>
            <w:tcW w:w="61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12"/>
        </w:trPr>
        <w:tc>
          <w:tcPr>
            <w:tcW w:w="680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Current assets</w:t>
            </w: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88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rPr>
              <w:t>217</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w w:val="84"/>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264</w:t>
            </w:r>
          </w:p>
        </w:tc>
      </w:tr>
      <w:tr>
        <w:trPr>
          <w:trHeight w:val="218"/>
        </w:trPr>
        <w:tc>
          <w:tcPr>
            <w:tcW w:w="6800" w:type="dxa"/>
            <w:vAlign w:val="bottom"/>
            <w:gridSpan w:val="3"/>
          </w:tcPr>
          <w:p>
            <w:pPr>
              <w:ind w:left="20"/>
              <w:spacing w:after="0"/>
              <w:rPr>
                <w:sz w:val="20"/>
                <w:szCs w:val="20"/>
                <w:color w:val="auto"/>
              </w:rPr>
            </w:pPr>
            <w:r>
              <w:rPr>
                <w:rFonts w:ascii="Arial" w:cs="Arial" w:eastAsia="Arial" w:hAnsi="Arial"/>
                <w:sz w:val="17"/>
                <w:szCs w:val="17"/>
                <w:color w:val="auto"/>
              </w:rPr>
              <w:t>Noncurrent assets</w:t>
            </w:r>
          </w:p>
        </w:tc>
        <w:tc>
          <w:tcPr>
            <w:tcW w:w="300" w:type="dxa"/>
            <w:vAlign w:val="bottom"/>
          </w:tcPr>
          <w:p>
            <w:pPr>
              <w:jc w:val="right"/>
              <w:ind w:right="114"/>
              <w:spacing w:after="0"/>
              <w:rPr>
                <w:sz w:val="20"/>
                <w:szCs w:val="20"/>
                <w:color w:val="auto"/>
              </w:rPr>
            </w:pPr>
            <w:r>
              <w:rPr>
                <w:rFonts w:ascii="Arial" w:cs="Arial" w:eastAsia="Arial" w:hAnsi="Arial"/>
                <w:sz w:val="17"/>
                <w:szCs w:val="17"/>
                <w:color w:val="auto"/>
                <w:w w:val="84"/>
              </w:rPr>
              <w:t>$</w:t>
            </w:r>
          </w:p>
        </w:tc>
        <w:tc>
          <w:tcPr>
            <w:tcW w:w="1880" w:type="dxa"/>
            <w:vAlign w:val="bottom"/>
          </w:tcPr>
          <w:p>
            <w:pPr>
              <w:jc w:val="right"/>
              <w:ind w:right="1"/>
              <w:spacing w:after="0"/>
              <w:rPr>
                <w:sz w:val="20"/>
                <w:szCs w:val="20"/>
                <w:color w:val="auto"/>
              </w:rPr>
            </w:pPr>
            <w:r>
              <w:rPr>
                <w:rFonts w:ascii="Arial" w:cs="Arial" w:eastAsia="Arial" w:hAnsi="Arial"/>
                <w:sz w:val="17"/>
                <w:szCs w:val="17"/>
                <w:color w:val="auto"/>
              </w:rPr>
              <w:t>761</w:t>
            </w:r>
          </w:p>
        </w:tc>
        <w:tc>
          <w:tcPr>
            <w:tcW w:w="80" w:type="dxa"/>
            <w:vAlign w:val="bottom"/>
          </w:tcPr>
          <w:p>
            <w:pPr>
              <w:spacing w:after="0"/>
              <w:rPr>
                <w:sz w:val="18"/>
                <w:szCs w:val="18"/>
                <w:color w:val="auto"/>
              </w:rPr>
            </w:pPr>
          </w:p>
        </w:tc>
        <w:tc>
          <w:tcPr>
            <w:tcW w:w="400" w:type="dxa"/>
            <w:vAlign w:val="bottom"/>
          </w:tcPr>
          <w:p>
            <w:pPr>
              <w:jc w:val="right"/>
              <w:ind w:right="214"/>
              <w:spacing w:after="0"/>
              <w:rPr>
                <w:sz w:val="20"/>
                <w:szCs w:val="20"/>
                <w:color w:val="auto"/>
              </w:rPr>
            </w:pPr>
            <w:r>
              <w:rPr>
                <w:rFonts w:ascii="Arial" w:cs="Arial" w:eastAsia="Arial" w:hAnsi="Arial"/>
                <w:sz w:val="17"/>
                <w:szCs w:val="17"/>
                <w:color w:val="auto"/>
                <w:w w:val="84"/>
              </w:rPr>
              <w:t>$</w:t>
            </w:r>
          </w:p>
        </w:tc>
        <w:tc>
          <w:tcPr>
            <w:tcW w:w="1780" w:type="dxa"/>
            <w:vAlign w:val="bottom"/>
          </w:tcPr>
          <w:p>
            <w:pPr>
              <w:jc w:val="right"/>
              <w:spacing w:after="0"/>
              <w:rPr>
                <w:sz w:val="20"/>
                <w:szCs w:val="20"/>
                <w:color w:val="auto"/>
              </w:rPr>
            </w:pPr>
            <w:r>
              <w:rPr>
                <w:rFonts w:ascii="Arial" w:cs="Arial" w:eastAsia="Arial" w:hAnsi="Arial"/>
                <w:sz w:val="17"/>
                <w:szCs w:val="17"/>
                <w:color w:val="auto"/>
              </w:rPr>
              <w:t>770</w:t>
            </w:r>
          </w:p>
        </w:tc>
      </w:tr>
      <w:tr>
        <w:trPr>
          <w:trHeight w:val="220"/>
        </w:trPr>
        <w:tc>
          <w:tcPr>
            <w:tcW w:w="680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Current liabilities</w:t>
            </w: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88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rPr>
              <w:t>1,263</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w w:val="84"/>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733</w:t>
            </w:r>
          </w:p>
        </w:tc>
      </w:tr>
      <w:tr>
        <w:trPr>
          <w:trHeight w:val="218"/>
        </w:trPr>
        <w:tc>
          <w:tcPr>
            <w:tcW w:w="6800" w:type="dxa"/>
            <w:vAlign w:val="bottom"/>
            <w:gridSpan w:val="3"/>
          </w:tcPr>
          <w:p>
            <w:pPr>
              <w:ind w:left="20"/>
              <w:spacing w:after="0"/>
              <w:rPr>
                <w:sz w:val="20"/>
                <w:szCs w:val="20"/>
                <w:color w:val="auto"/>
              </w:rPr>
            </w:pPr>
            <w:r>
              <w:rPr>
                <w:rFonts w:ascii="Arial" w:cs="Arial" w:eastAsia="Arial" w:hAnsi="Arial"/>
                <w:sz w:val="17"/>
                <w:szCs w:val="17"/>
                <w:color w:val="auto"/>
              </w:rPr>
              <w:t>Long-term debt</w:t>
            </w:r>
          </w:p>
        </w:tc>
        <w:tc>
          <w:tcPr>
            <w:tcW w:w="300" w:type="dxa"/>
            <w:vAlign w:val="bottom"/>
          </w:tcPr>
          <w:p>
            <w:pPr>
              <w:jc w:val="right"/>
              <w:ind w:right="114"/>
              <w:spacing w:after="0"/>
              <w:rPr>
                <w:sz w:val="20"/>
                <w:szCs w:val="20"/>
                <w:color w:val="auto"/>
              </w:rPr>
            </w:pPr>
            <w:r>
              <w:rPr>
                <w:rFonts w:ascii="Arial" w:cs="Arial" w:eastAsia="Arial" w:hAnsi="Arial"/>
                <w:sz w:val="17"/>
                <w:szCs w:val="17"/>
                <w:color w:val="auto"/>
                <w:w w:val="84"/>
              </w:rPr>
              <w:t>$</w:t>
            </w:r>
          </w:p>
        </w:tc>
        <w:tc>
          <w:tcPr>
            <w:tcW w:w="1880" w:type="dxa"/>
            <w:vAlign w:val="bottom"/>
          </w:tcPr>
          <w:p>
            <w:pPr>
              <w:jc w:val="right"/>
              <w:ind w:right="1"/>
              <w:spacing w:after="0"/>
              <w:rPr>
                <w:sz w:val="20"/>
                <w:szCs w:val="20"/>
                <w:color w:val="auto"/>
              </w:rPr>
            </w:pPr>
            <w:r>
              <w:rPr>
                <w:rFonts w:ascii="Arial" w:cs="Arial" w:eastAsia="Arial" w:hAnsi="Arial"/>
                <w:sz w:val="17"/>
                <w:szCs w:val="17"/>
                <w:color w:val="auto"/>
              </w:rPr>
              <w:t>3,288</w:t>
            </w:r>
          </w:p>
        </w:tc>
        <w:tc>
          <w:tcPr>
            <w:tcW w:w="80" w:type="dxa"/>
            <w:vAlign w:val="bottom"/>
          </w:tcPr>
          <w:p>
            <w:pPr>
              <w:spacing w:after="0"/>
              <w:rPr>
                <w:sz w:val="18"/>
                <w:szCs w:val="18"/>
                <w:color w:val="auto"/>
              </w:rPr>
            </w:pPr>
          </w:p>
        </w:tc>
        <w:tc>
          <w:tcPr>
            <w:tcW w:w="400" w:type="dxa"/>
            <w:vAlign w:val="bottom"/>
          </w:tcPr>
          <w:p>
            <w:pPr>
              <w:jc w:val="right"/>
              <w:ind w:right="214"/>
              <w:spacing w:after="0"/>
              <w:rPr>
                <w:sz w:val="20"/>
                <w:szCs w:val="20"/>
                <w:color w:val="auto"/>
              </w:rPr>
            </w:pPr>
            <w:r>
              <w:rPr>
                <w:rFonts w:ascii="Arial" w:cs="Arial" w:eastAsia="Arial" w:hAnsi="Arial"/>
                <w:sz w:val="17"/>
                <w:szCs w:val="17"/>
                <w:color w:val="auto"/>
                <w:w w:val="84"/>
              </w:rPr>
              <w:t>$</w:t>
            </w:r>
          </w:p>
        </w:tc>
        <w:tc>
          <w:tcPr>
            <w:tcW w:w="1780" w:type="dxa"/>
            <w:vAlign w:val="bottom"/>
          </w:tcPr>
          <w:p>
            <w:pPr>
              <w:jc w:val="right"/>
              <w:spacing w:after="0"/>
              <w:rPr>
                <w:sz w:val="20"/>
                <w:szCs w:val="20"/>
                <w:color w:val="auto"/>
              </w:rPr>
            </w:pPr>
            <w:r>
              <w:rPr>
                <w:rFonts w:ascii="Arial" w:cs="Arial" w:eastAsia="Arial" w:hAnsi="Arial"/>
                <w:sz w:val="17"/>
                <w:szCs w:val="17"/>
                <w:color w:val="auto"/>
              </w:rPr>
              <w:t>3,740</w:t>
            </w:r>
          </w:p>
        </w:tc>
      </w:tr>
      <w:tr>
        <w:trPr>
          <w:trHeight w:val="220"/>
        </w:trPr>
        <w:tc>
          <w:tcPr>
            <w:tcW w:w="680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Other non-current liabilities</w:t>
            </w: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88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rPr>
              <w:t>118</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w w:val="84"/>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55" w:right="339" w:bottom="1440" w:gutter="0" w:footer="0" w:header="0"/>
        </w:sectPr>
      </w:pPr>
    </w:p>
    <w:bookmarkStart w:id="42" w:name="page43"/>
    <w:bookmarkEnd w:id="42"/>
    <w:p>
      <w:pPr>
        <w:ind w:right="220" w:firstLine="464"/>
        <w:spacing w:after="0" w:line="248" w:lineRule="auto"/>
        <w:rPr>
          <w:sz w:val="20"/>
          <w:szCs w:val="20"/>
          <w:color w:val="auto"/>
        </w:rPr>
      </w:pPr>
      <w:r>
        <w:rPr>
          <w:rFonts w:ascii="Arial" w:cs="Arial" w:eastAsia="Arial" w:hAnsi="Arial"/>
          <w:sz w:val="17"/>
          <w:szCs w:val="17"/>
          <w:color w:val="auto"/>
        </w:rPr>
        <w:t>The following is a description of the transactions between the combined Parent Company and Wabtec Netherlands, with the subsidiaries of Westinghouse Air Brake Technologies Corp., other than Wabtec Netherlands, none of which are guarantors of the Euro Notes.</w:t>
      </w:r>
    </w:p>
    <w:p>
      <w:pPr>
        <w:spacing w:after="0" w:line="11" w:lineRule="exact"/>
        <w:rPr>
          <w:sz w:val="20"/>
          <w:szCs w:val="20"/>
          <w:color w:val="auto"/>
        </w:rPr>
      </w:pPr>
    </w:p>
    <w:tbl>
      <w:tblPr>
        <w:tblLayout w:type="fixed"/>
        <w:tblInd w:w="20" w:type="dxa"/>
        <w:tblCellMar>
          <w:top w:w="0" w:type="dxa"/>
          <w:left w:w="0" w:type="dxa"/>
          <w:bottom w:w="0" w:type="dxa"/>
          <w:right w:w="0" w:type="dxa"/>
        </w:tblCellMar>
      </w:tblPr>
      <w:tr>
        <w:trPr>
          <w:trHeight w:val="178"/>
        </w:trPr>
        <w:tc>
          <w:tcPr>
            <w:tcW w:w="620" w:type="dxa"/>
            <w:vAlign w:val="bottom"/>
          </w:tcPr>
          <w:p>
            <w:pPr>
              <w:spacing w:after="0"/>
              <w:rPr>
                <w:sz w:val="15"/>
                <w:szCs w:val="15"/>
                <w:color w:val="auto"/>
              </w:rPr>
            </w:pPr>
          </w:p>
        </w:tc>
        <w:tc>
          <w:tcPr>
            <w:tcW w:w="8420" w:type="dxa"/>
            <w:vAlign w:val="bottom"/>
          </w:tcPr>
          <w:p>
            <w:pPr>
              <w:spacing w:after="0"/>
              <w:rPr>
                <w:sz w:val="15"/>
                <w:szCs w:val="15"/>
                <w:color w:val="auto"/>
              </w:rPr>
            </w:pPr>
          </w:p>
        </w:tc>
        <w:tc>
          <w:tcPr>
            <w:tcW w:w="2180" w:type="dxa"/>
            <w:vAlign w:val="bottom"/>
          </w:tcPr>
          <w:p>
            <w:pPr>
              <w:jc w:val="center"/>
              <w:spacing w:after="0"/>
              <w:rPr>
                <w:sz w:val="20"/>
                <w:szCs w:val="20"/>
                <w:color w:val="auto"/>
              </w:rPr>
            </w:pPr>
            <w:r>
              <w:rPr>
                <w:rFonts w:ascii="Arial" w:cs="Arial" w:eastAsia="Arial" w:hAnsi="Arial"/>
                <w:sz w:val="14"/>
                <w:szCs w:val="14"/>
                <w:b w:val="1"/>
                <w:bCs w:val="1"/>
                <w:color w:val="auto"/>
                <w:w w:val="90"/>
              </w:rPr>
              <w:t>Unaudited</w:t>
            </w:r>
          </w:p>
        </w:tc>
        <w:tc>
          <w:tcPr>
            <w:tcW w:w="0" w:type="dxa"/>
            <w:vAlign w:val="bottom"/>
          </w:tcPr>
          <w:p>
            <w:pPr>
              <w:spacing w:after="0"/>
              <w:rPr>
                <w:sz w:val="1"/>
                <w:szCs w:val="1"/>
                <w:color w:val="auto"/>
              </w:rPr>
            </w:pPr>
          </w:p>
        </w:tc>
      </w:tr>
      <w:tr>
        <w:trPr>
          <w:trHeight w:val="193"/>
        </w:trPr>
        <w:tc>
          <w:tcPr>
            <w:tcW w:w="620" w:type="dxa"/>
            <w:vAlign w:val="bottom"/>
          </w:tcPr>
          <w:p>
            <w:pPr>
              <w:spacing w:after="0"/>
              <w:rPr>
                <w:sz w:val="16"/>
                <w:szCs w:val="16"/>
                <w:color w:val="auto"/>
              </w:rPr>
            </w:pPr>
          </w:p>
        </w:tc>
        <w:tc>
          <w:tcPr>
            <w:tcW w:w="8420" w:type="dxa"/>
            <w:vAlign w:val="bottom"/>
          </w:tcPr>
          <w:p>
            <w:pPr>
              <w:spacing w:after="0"/>
              <w:rPr>
                <w:sz w:val="16"/>
                <w:szCs w:val="16"/>
                <w:color w:val="auto"/>
              </w:rPr>
            </w:pPr>
          </w:p>
        </w:tc>
        <w:tc>
          <w:tcPr>
            <w:tcW w:w="2180" w:type="dxa"/>
            <w:vAlign w:val="bottom"/>
          </w:tcPr>
          <w:p>
            <w:pPr>
              <w:jc w:val="center"/>
              <w:spacing w:after="0"/>
              <w:rPr>
                <w:sz w:val="20"/>
                <w:szCs w:val="20"/>
                <w:color w:val="auto"/>
              </w:rPr>
            </w:pPr>
            <w:r>
              <w:rPr>
                <w:rFonts w:ascii="Arial" w:cs="Arial" w:eastAsia="Arial" w:hAnsi="Arial"/>
                <w:sz w:val="14"/>
                <w:szCs w:val="14"/>
                <w:b w:val="1"/>
                <w:bCs w:val="1"/>
                <w:color w:val="auto"/>
                <w:w w:val="90"/>
              </w:rPr>
              <w:t>Issuer and Guarantor</w:t>
            </w:r>
          </w:p>
        </w:tc>
        <w:tc>
          <w:tcPr>
            <w:tcW w:w="0" w:type="dxa"/>
            <w:vAlign w:val="bottom"/>
          </w:tcPr>
          <w:p>
            <w:pPr>
              <w:spacing w:after="0"/>
              <w:rPr>
                <w:sz w:val="1"/>
                <w:szCs w:val="1"/>
                <w:color w:val="auto"/>
              </w:rPr>
            </w:pPr>
          </w:p>
        </w:tc>
      </w:tr>
      <w:tr>
        <w:trPr>
          <w:trHeight w:val="153"/>
        </w:trPr>
        <w:tc>
          <w:tcPr>
            <w:tcW w:w="62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w w:val="86"/>
              </w:rPr>
              <w:t>In millions</w:t>
            </w:r>
          </w:p>
        </w:tc>
        <w:tc>
          <w:tcPr>
            <w:tcW w:w="8420" w:type="dxa"/>
            <w:vAlign w:val="bottom"/>
          </w:tcPr>
          <w:p>
            <w:pPr>
              <w:spacing w:after="0"/>
              <w:rPr>
                <w:sz w:val="13"/>
                <w:szCs w:val="13"/>
                <w:color w:val="auto"/>
              </w:rPr>
            </w:pPr>
          </w:p>
        </w:tc>
        <w:tc>
          <w:tcPr>
            <w:tcW w:w="218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88"/>
              </w:rPr>
              <w:t>Nine Months Ended September 30,</w:t>
            </w:r>
          </w:p>
        </w:tc>
        <w:tc>
          <w:tcPr>
            <w:tcW w:w="0" w:type="dxa"/>
            <w:vAlign w:val="bottom"/>
          </w:tcPr>
          <w:p>
            <w:pPr>
              <w:spacing w:after="0"/>
              <w:rPr>
                <w:sz w:val="1"/>
                <w:szCs w:val="1"/>
                <w:color w:val="auto"/>
              </w:rPr>
            </w:pPr>
          </w:p>
        </w:tc>
      </w:tr>
      <w:tr>
        <w:trPr>
          <w:trHeight w:val="147"/>
        </w:trPr>
        <w:tc>
          <w:tcPr>
            <w:tcW w:w="620" w:type="dxa"/>
            <w:vAlign w:val="bottom"/>
            <w:tcBorders>
              <w:bottom w:val="single" w:sz="8" w:color="auto"/>
            </w:tcBorders>
            <w:vMerge w:val="continue"/>
          </w:tcPr>
          <w:p>
            <w:pPr>
              <w:spacing w:after="0"/>
              <w:rPr>
                <w:sz w:val="12"/>
                <w:szCs w:val="12"/>
                <w:color w:val="auto"/>
              </w:rPr>
            </w:pPr>
          </w:p>
        </w:tc>
        <w:tc>
          <w:tcPr>
            <w:tcW w:w="10600" w:type="dxa"/>
            <w:vAlign w:val="bottom"/>
            <w:gridSpan w:val="2"/>
          </w:tcPr>
          <w:p>
            <w:pPr>
              <w:jc w:val="center"/>
              <w:ind w:left="8371"/>
              <w:spacing w:after="0" w:line="142" w:lineRule="exact"/>
              <w:rPr>
                <w:sz w:val="20"/>
                <w:szCs w:val="20"/>
                <w:color w:val="auto"/>
              </w:rPr>
            </w:pPr>
            <w:r>
              <w:rPr>
                <w:rFonts w:ascii="Arial" w:cs="Arial" w:eastAsia="Arial" w:hAnsi="Arial"/>
                <w:sz w:val="14"/>
                <w:szCs w:val="14"/>
                <w:b w:val="1"/>
                <w:bCs w:val="1"/>
                <w:color w:val="auto"/>
                <w:w w:val="89"/>
              </w:rPr>
              <w:t>2023</w:t>
            </w:r>
          </w:p>
        </w:tc>
        <w:tc>
          <w:tcPr>
            <w:tcW w:w="0" w:type="dxa"/>
            <w:vAlign w:val="bottom"/>
          </w:tcPr>
          <w:p>
            <w:pPr>
              <w:spacing w:after="0"/>
              <w:rPr>
                <w:sz w:val="1"/>
                <w:szCs w:val="1"/>
                <w:color w:val="auto"/>
              </w:rPr>
            </w:pPr>
          </w:p>
        </w:tc>
      </w:tr>
      <w:tr>
        <w:trPr>
          <w:trHeight w:val="32"/>
        </w:trPr>
        <w:tc>
          <w:tcPr>
            <w:tcW w:w="620" w:type="dxa"/>
            <w:vAlign w:val="bottom"/>
          </w:tcPr>
          <w:p>
            <w:pPr>
              <w:spacing w:after="0"/>
              <w:rPr>
                <w:sz w:val="2"/>
                <w:szCs w:val="2"/>
                <w:color w:val="auto"/>
              </w:rPr>
            </w:pPr>
          </w:p>
        </w:tc>
        <w:tc>
          <w:tcPr>
            <w:tcW w:w="8420" w:type="dxa"/>
            <w:vAlign w:val="bottom"/>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7138670" cy="1473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8670" cy="14732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7"/>
        </w:trPr>
        <w:tc>
          <w:tcPr>
            <w:tcW w:w="9060" w:type="dxa"/>
            <w:vAlign w:val="bottom"/>
            <w:gridSpan w:val="3"/>
          </w:tcPr>
          <w:p>
            <w:pPr>
              <w:ind w:left="20"/>
              <w:spacing w:after="0"/>
              <w:rPr>
                <w:sz w:val="20"/>
                <w:szCs w:val="20"/>
                <w:color w:val="auto"/>
              </w:rPr>
            </w:pPr>
            <w:r>
              <w:rPr>
                <w:rFonts w:ascii="Arial" w:cs="Arial" w:eastAsia="Arial" w:hAnsi="Arial"/>
                <w:sz w:val="17"/>
                <w:szCs w:val="17"/>
                <w:color w:val="auto"/>
              </w:rPr>
              <w:t>Net sales to non-guarantor subsidiaries</w:t>
            </w:r>
          </w:p>
        </w:tc>
        <w:tc>
          <w:tcPr>
            <w:tcW w:w="280" w:type="dxa"/>
            <w:vAlign w:val="bottom"/>
          </w:tcPr>
          <w:p>
            <w:pPr>
              <w:jc w:val="right"/>
              <w:ind w:right="94"/>
              <w:spacing w:after="0"/>
              <w:rPr>
                <w:sz w:val="20"/>
                <w:szCs w:val="20"/>
                <w:color w:val="auto"/>
              </w:rPr>
            </w:pPr>
            <w:r>
              <w:rPr>
                <w:rFonts w:ascii="Arial" w:cs="Arial" w:eastAsia="Arial" w:hAnsi="Arial"/>
                <w:sz w:val="17"/>
                <w:szCs w:val="17"/>
                <w:color w:val="auto"/>
                <w:w w:val="84"/>
              </w:rPr>
              <w:t>$</w:t>
            </w:r>
          </w:p>
        </w:tc>
        <w:tc>
          <w:tcPr>
            <w:tcW w:w="1900" w:type="dxa"/>
            <w:vAlign w:val="bottom"/>
          </w:tcPr>
          <w:p>
            <w:pPr>
              <w:jc w:val="right"/>
              <w:spacing w:after="0"/>
              <w:rPr>
                <w:sz w:val="20"/>
                <w:szCs w:val="20"/>
                <w:color w:val="auto"/>
              </w:rPr>
            </w:pPr>
            <w:r>
              <w:rPr>
                <w:rFonts w:ascii="Arial" w:cs="Arial" w:eastAsia="Arial" w:hAnsi="Arial"/>
                <w:sz w:val="17"/>
                <w:szCs w:val="17"/>
                <w:color w:val="auto"/>
              </w:rPr>
              <w:t>30</w:t>
            </w:r>
          </w:p>
        </w:tc>
      </w:tr>
      <w:tr>
        <w:trPr>
          <w:trHeight w:val="219"/>
        </w:trPr>
        <w:tc>
          <w:tcPr>
            <w:tcW w:w="9060" w:type="dxa"/>
            <w:vAlign w:val="bottom"/>
            <w:gridSpan w:val="3"/>
          </w:tcPr>
          <w:p>
            <w:pPr>
              <w:ind w:left="20"/>
              <w:spacing w:after="0"/>
              <w:rPr>
                <w:sz w:val="20"/>
                <w:szCs w:val="20"/>
                <w:color w:val="auto"/>
              </w:rPr>
            </w:pPr>
            <w:r>
              <w:rPr>
                <w:rFonts w:ascii="Arial" w:cs="Arial" w:eastAsia="Arial" w:hAnsi="Arial"/>
                <w:sz w:val="17"/>
                <w:szCs w:val="17"/>
                <w:color w:val="auto"/>
              </w:rPr>
              <w:t>Purchases from non-guarantor subsidiaries</w:t>
            </w:r>
          </w:p>
        </w:tc>
        <w:tc>
          <w:tcPr>
            <w:tcW w:w="280" w:type="dxa"/>
            <w:vAlign w:val="bottom"/>
          </w:tcPr>
          <w:p>
            <w:pPr>
              <w:jc w:val="right"/>
              <w:ind w:right="94"/>
              <w:spacing w:after="0"/>
              <w:rPr>
                <w:sz w:val="20"/>
                <w:szCs w:val="20"/>
                <w:color w:val="auto"/>
              </w:rPr>
            </w:pPr>
            <w:r>
              <w:rPr>
                <w:rFonts w:ascii="Arial" w:cs="Arial" w:eastAsia="Arial" w:hAnsi="Arial"/>
                <w:sz w:val="17"/>
                <w:szCs w:val="17"/>
                <w:color w:val="auto"/>
                <w:w w:val="84"/>
              </w:rPr>
              <w:t>$</w:t>
            </w:r>
          </w:p>
        </w:tc>
        <w:tc>
          <w:tcPr>
            <w:tcW w:w="1900" w:type="dxa"/>
            <w:vAlign w:val="bottom"/>
          </w:tcPr>
          <w:p>
            <w:pPr>
              <w:jc w:val="right"/>
              <w:spacing w:after="0"/>
              <w:rPr>
                <w:sz w:val="20"/>
                <w:szCs w:val="20"/>
                <w:color w:val="auto"/>
              </w:rPr>
            </w:pPr>
            <w:r>
              <w:rPr>
                <w:rFonts w:ascii="Arial" w:cs="Arial" w:eastAsia="Arial" w:hAnsi="Arial"/>
                <w:sz w:val="17"/>
                <w:szCs w:val="17"/>
                <w:color w:val="auto"/>
              </w:rPr>
              <w:t>118</w:t>
            </w:r>
          </w:p>
        </w:tc>
      </w:tr>
      <w:tr>
        <w:trPr>
          <w:trHeight w:val="428"/>
        </w:trPr>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00" w:type="dxa"/>
            <w:vAlign w:val="bottom"/>
          </w:tcPr>
          <w:p>
            <w:pPr>
              <w:jc w:val="center"/>
              <w:ind w:right="203"/>
              <w:spacing w:after="0"/>
              <w:rPr>
                <w:sz w:val="20"/>
                <w:szCs w:val="20"/>
                <w:color w:val="auto"/>
              </w:rPr>
            </w:pPr>
            <w:r>
              <w:rPr>
                <w:rFonts w:ascii="Arial" w:cs="Arial" w:eastAsia="Arial" w:hAnsi="Arial"/>
                <w:sz w:val="14"/>
                <w:szCs w:val="14"/>
                <w:b w:val="1"/>
                <w:bCs w:val="1"/>
                <w:color w:val="auto"/>
                <w:w w:val="90"/>
              </w:rPr>
              <w:t>Unaudited</w:t>
            </w:r>
          </w:p>
        </w:tc>
      </w:tr>
      <w:tr>
        <w:trPr>
          <w:trHeight w:val="193"/>
        </w:trPr>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900" w:type="dxa"/>
            <w:vAlign w:val="bottom"/>
          </w:tcPr>
          <w:p>
            <w:pPr>
              <w:jc w:val="center"/>
              <w:ind w:right="183"/>
              <w:spacing w:after="0"/>
              <w:rPr>
                <w:sz w:val="20"/>
                <w:szCs w:val="20"/>
                <w:color w:val="auto"/>
              </w:rPr>
            </w:pPr>
            <w:r>
              <w:rPr>
                <w:rFonts w:ascii="Arial" w:cs="Arial" w:eastAsia="Arial" w:hAnsi="Arial"/>
                <w:sz w:val="14"/>
                <w:szCs w:val="14"/>
                <w:b w:val="1"/>
                <w:bCs w:val="1"/>
                <w:color w:val="auto"/>
                <w:w w:val="90"/>
              </w:rPr>
              <w:t>Issuer and Guarantor</w:t>
            </w:r>
          </w:p>
        </w:tc>
      </w:tr>
      <w:tr>
        <w:trPr>
          <w:trHeight w:val="166"/>
        </w:trPr>
        <w:tc>
          <w:tcPr>
            <w:tcW w:w="9060" w:type="dxa"/>
            <w:vAlign w:val="bottom"/>
            <w:gridSpan w:val="3"/>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280" w:type="dxa"/>
            <w:vAlign w:val="bottom"/>
          </w:tcPr>
          <w:p>
            <w:pPr>
              <w:spacing w:after="0"/>
              <w:rPr>
                <w:sz w:val="14"/>
                <w:szCs w:val="14"/>
                <w:color w:val="auto"/>
              </w:rPr>
            </w:pPr>
          </w:p>
        </w:tc>
        <w:tc>
          <w:tcPr>
            <w:tcW w:w="1900" w:type="dxa"/>
            <w:vAlign w:val="bottom"/>
          </w:tcPr>
          <w:p>
            <w:pPr>
              <w:jc w:val="center"/>
              <w:ind w:right="203"/>
              <w:spacing w:after="0"/>
              <w:rPr>
                <w:sz w:val="20"/>
                <w:szCs w:val="20"/>
                <w:color w:val="auto"/>
              </w:rPr>
            </w:pPr>
            <w:r>
              <w:rPr>
                <w:rFonts w:ascii="Arial" w:cs="Arial" w:eastAsia="Arial" w:hAnsi="Arial"/>
                <w:sz w:val="14"/>
                <w:szCs w:val="14"/>
                <w:b w:val="1"/>
                <w:bCs w:val="1"/>
                <w:color w:val="auto"/>
                <w:w w:val="87"/>
              </w:rPr>
              <w:t>September 30, 2023</w:t>
            </w:r>
          </w:p>
        </w:tc>
      </w:tr>
      <w:tr>
        <w:trPr>
          <w:trHeight w:val="32"/>
        </w:trPr>
        <w:tc>
          <w:tcPr>
            <w:tcW w:w="20" w:type="dxa"/>
            <w:vAlign w:val="bottom"/>
            <w:tcBorders>
              <w:bottom w:val="single" w:sz="8" w:color="CCEEFF"/>
            </w:tcBorders>
          </w:tcPr>
          <w:p>
            <w:pPr>
              <w:spacing w:after="0"/>
              <w:rPr>
                <w:sz w:val="2"/>
                <w:szCs w:val="2"/>
                <w:color w:val="auto"/>
              </w:rPr>
            </w:pPr>
          </w:p>
        </w:tc>
        <w:tc>
          <w:tcPr>
            <w:tcW w:w="620" w:type="dxa"/>
            <w:vAlign w:val="bottom"/>
            <w:tcBorders>
              <w:top w:val="single" w:sz="8" w:color="auto"/>
              <w:bottom w:val="single" w:sz="8" w:color="CCEEFF"/>
            </w:tcBorders>
          </w:tcPr>
          <w:p>
            <w:pPr>
              <w:spacing w:after="0"/>
              <w:rPr>
                <w:sz w:val="2"/>
                <w:szCs w:val="2"/>
                <w:color w:val="auto"/>
              </w:rPr>
            </w:pPr>
          </w:p>
        </w:tc>
        <w:tc>
          <w:tcPr>
            <w:tcW w:w="84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12"/>
        </w:trPr>
        <w:tc>
          <w:tcPr>
            <w:tcW w:w="906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Amount due from/(to) non-guarantor subsidiaries</w:t>
            </w: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(10,901)</w:t>
            </w:r>
          </w:p>
        </w:tc>
      </w:tr>
    </w:tbl>
    <w:p>
      <w:pPr>
        <w:spacing w:after="0" w:line="22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Company Stock Repurchase Plan</w:t>
      </w:r>
    </w:p>
    <w:p>
      <w:pPr>
        <w:spacing w:after="0" w:line="114" w:lineRule="exact"/>
        <w:rPr>
          <w:sz w:val="20"/>
          <w:szCs w:val="20"/>
          <w:color w:val="auto"/>
        </w:rPr>
      </w:pPr>
    </w:p>
    <w:p>
      <w:pPr>
        <w:ind w:right="40" w:firstLine="619"/>
        <w:spacing w:after="0" w:line="257" w:lineRule="auto"/>
        <w:rPr>
          <w:sz w:val="20"/>
          <w:szCs w:val="20"/>
          <w:color w:val="auto"/>
        </w:rPr>
      </w:pPr>
      <w:r>
        <w:rPr>
          <w:rFonts w:ascii="Arial" w:cs="Arial" w:eastAsia="Arial" w:hAnsi="Arial"/>
          <w:sz w:val="17"/>
          <w:szCs w:val="17"/>
          <w:color w:val="auto"/>
        </w:rPr>
        <w:t>On February 14, 2023, the Board of Directors reauthorized its stock repurchase program to refresh the amount available for stock repurchases to $750 million of the Company’s outstanding shares. This new stock repurchase authorization supersedes the previous authorization of $750 million, of which approximately $232 million remained at the reauthorization date. No time limit was set for the completion of the program which conforms to the requirements under the Restated Credit Agreement and the indentures for the Senior Notes currently outstanding. The Company may repurchase shares in the future at any time, depending upon market conditions, our capital needs and other factors. Purchases of shares may be made by open market purchases or privately negotiated purchases and may be made pursuant to Rule 10b5-1 plan or otherwise. As of September 30, 2023, approximately $588 million was remaining under the stock repurchase plan.</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Forward Looking Statements</w:t>
      </w:r>
    </w:p>
    <w:p>
      <w:pPr>
        <w:spacing w:after="0" w:line="120" w:lineRule="exact"/>
        <w:rPr>
          <w:sz w:val="20"/>
          <w:szCs w:val="20"/>
          <w:color w:val="auto"/>
        </w:rPr>
      </w:pPr>
    </w:p>
    <w:p>
      <w:pPr>
        <w:ind w:firstLine="464"/>
        <w:spacing w:after="0" w:line="262" w:lineRule="auto"/>
        <w:rPr>
          <w:sz w:val="20"/>
          <w:szCs w:val="20"/>
          <w:color w:val="auto"/>
        </w:rPr>
      </w:pPr>
      <w:r>
        <w:rPr>
          <w:rFonts w:ascii="Arial" w:cs="Arial" w:eastAsia="Arial" w:hAnsi="Arial"/>
          <w:sz w:val="17"/>
          <w:szCs w:val="17"/>
          <w:color w:val="auto"/>
        </w:rPr>
        <w:t>We believe that all statements other than statements of historical facts included in this report, including certain statements under “Business” and “Management’s Discussion and Analysis of Financial Condition and Results of Operations,” may constitute forward-looking statements. We have based these forward-looking statements on our current expectations and projections about future events. Although we believe that our assumptions made in connection with the forward-looking statements are reasonable, we cannot assure that our assumptions and expectations are correct.</w:t>
      </w:r>
    </w:p>
    <w:p>
      <w:pPr>
        <w:spacing w:after="0" w:line="7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These forward-looking statements are subject to various risks, uncertainties and assumptions about us, including, among other things:</w:t>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Economic and industry conditions</w:t>
      </w:r>
    </w:p>
    <w:p>
      <w:pPr>
        <w:spacing w:after="0" w:line="55" w:lineRule="exact"/>
        <w:rPr>
          <w:sz w:val="20"/>
          <w:szCs w:val="20"/>
          <w:color w:val="auto"/>
        </w:rPr>
      </w:pPr>
    </w:p>
    <w:p>
      <w:pPr>
        <w:ind w:left="580" w:right="400" w:hanging="306"/>
        <w:spacing w:after="0" w:line="232" w:lineRule="auto"/>
        <w:tabs>
          <w:tab w:leader="none" w:pos="575" w:val="left"/>
        </w:tabs>
        <w:numPr>
          <w:ilvl w:val="0"/>
          <w:numId w:val="16"/>
        </w:numPr>
        <w:rPr>
          <w:rFonts w:ascii="Arial" w:cs="Arial" w:eastAsia="Arial" w:hAnsi="Arial"/>
          <w:sz w:val="21"/>
          <w:szCs w:val="21"/>
          <w:color w:val="auto"/>
        </w:rPr>
      </w:pPr>
      <w:r>
        <w:rPr>
          <w:rFonts w:ascii="Arial" w:cs="Arial" w:eastAsia="Arial" w:hAnsi="Arial"/>
          <w:sz w:val="17"/>
          <w:szCs w:val="17"/>
          <w:color w:val="auto"/>
        </w:rPr>
        <w:t>changes in general economic and/or industry specific conditions, including the impacts of tax and tariff programs, inflation, supply chain disruptions, foreign currency exchange, and industry consolidation;</w:t>
      </w:r>
    </w:p>
    <w:p>
      <w:pPr>
        <w:spacing w:after="0" w:line="41" w:lineRule="exact"/>
        <w:rPr>
          <w:rFonts w:ascii="Arial" w:cs="Arial" w:eastAsia="Arial" w:hAnsi="Arial"/>
          <w:sz w:val="21"/>
          <w:szCs w:val="21"/>
          <w:color w:val="auto"/>
        </w:rPr>
      </w:pPr>
    </w:p>
    <w:p>
      <w:pPr>
        <w:ind w:left="580" w:right="180" w:hanging="306"/>
        <w:spacing w:after="0" w:line="279" w:lineRule="auto"/>
        <w:tabs>
          <w:tab w:leader="none" w:pos="576" w:val="left"/>
        </w:tabs>
        <w:numPr>
          <w:ilvl w:val="0"/>
          <w:numId w:val="16"/>
        </w:numPr>
        <w:rPr>
          <w:rFonts w:ascii="Arial" w:cs="Arial" w:eastAsia="Arial" w:hAnsi="Arial"/>
          <w:sz w:val="17"/>
          <w:szCs w:val="17"/>
          <w:color w:val="auto"/>
        </w:rPr>
      </w:pPr>
      <w:r>
        <w:rPr>
          <w:rFonts w:ascii="Arial" w:cs="Arial" w:eastAsia="Arial" w:hAnsi="Arial"/>
          <w:sz w:val="17"/>
          <w:szCs w:val="17"/>
          <w:color w:val="auto"/>
        </w:rPr>
        <w:t>prolonged unfavorable economic and industry conditions in the markets served by us, including North America, South America, Europe, Australia, Asia and Africa;</w:t>
      </w:r>
    </w:p>
    <w:p>
      <w:pPr>
        <w:spacing w:after="0" w:line="9" w:lineRule="exact"/>
        <w:rPr>
          <w:rFonts w:ascii="Arial" w:cs="Arial" w:eastAsia="Arial" w:hAnsi="Arial"/>
          <w:sz w:val="17"/>
          <w:szCs w:val="17"/>
          <w:color w:val="auto"/>
        </w:rPr>
      </w:pPr>
    </w:p>
    <w:p>
      <w:pPr>
        <w:ind w:left="580" w:hanging="306"/>
        <w:spacing w:after="0"/>
        <w:tabs>
          <w:tab w:leader="none" w:pos="5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decline in demand for freight cars, locomotives, passenger transit cars, buses and related products and services;</w:t>
      </w:r>
    </w:p>
    <w:p>
      <w:pPr>
        <w:spacing w:after="0" w:line="62" w:lineRule="exact"/>
        <w:rPr>
          <w:rFonts w:ascii="Arial" w:cs="Arial" w:eastAsia="Arial" w:hAnsi="Arial"/>
          <w:sz w:val="17"/>
          <w:szCs w:val="17"/>
          <w:color w:val="auto"/>
        </w:rPr>
      </w:pPr>
    </w:p>
    <w:p>
      <w:pPr>
        <w:ind w:left="580" w:hanging="306"/>
        <w:spacing w:after="0"/>
        <w:tabs>
          <w:tab w:leader="none" w:pos="5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reliance on major original equipment manufacturer customers;</w:t>
      </w:r>
    </w:p>
    <w:p>
      <w:pPr>
        <w:spacing w:after="0" w:line="62" w:lineRule="exact"/>
        <w:rPr>
          <w:rFonts w:ascii="Arial" w:cs="Arial" w:eastAsia="Arial" w:hAnsi="Arial"/>
          <w:sz w:val="17"/>
          <w:szCs w:val="17"/>
          <w:color w:val="auto"/>
        </w:rPr>
      </w:pPr>
    </w:p>
    <w:p>
      <w:pPr>
        <w:ind w:left="580" w:hanging="306"/>
        <w:spacing w:after="0"/>
        <w:tabs>
          <w:tab w:leader="none" w:pos="5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original equipment manufacturers’ program delays;</w:t>
      </w:r>
    </w:p>
    <w:p>
      <w:pPr>
        <w:spacing w:after="0" w:line="62" w:lineRule="exact"/>
        <w:rPr>
          <w:rFonts w:ascii="Arial" w:cs="Arial" w:eastAsia="Arial" w:hAnsi="Arial"/>
          <w:sz w:val="17"/>
          <w:szCs w:val="17"/>
          <w:color w:val="auto"/>
        </w:rPr>
      </w:pPr>
    </w:p>
    <w:p>
      <w:pPr>
        <w:ind w:left="580" w:hanging="306"/>
        <w:spacing w:after="0"/>
        <w:tabs>
          <w:tab w:leader="none" w:pos="5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demand for services in the freight and passenger rail industry;</w:t>
      </w:r>
    </w:p>
    <w:p>
      <w:pPr>
        <w:spacing w:after="0" w:line="62" w:lineRule="exact"/>
        <w:rPr>
          <w:rFonts w:ascii="Arial" w:cs="Arial" w:eastAsia="Arial" w:hAnsi="Arial"/>
          <w:sz w:val="17"/>
          <w:szCs w:val="17"/>
          <w:color w:val="auto"/>
        </w:rPr>
      </w:pPr>
    </w:p>
    <w:p>
      <w:pPr>
        <w:ind w:left="580" w:hanging="306"/>
        <w:spacing w:after="0"/>
        <w:tabs>
          <w:tab w:leader="none" w:pos="5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demand for our products and services;</w:t>
      </w:r>
    </w:p>
    <w:p>
      <w:pPr>
        <w:spacing w:after="0" w:line="62" w:lineRule="exact"/>
        <w:rPr>
          <w:rFonts w:ascii="Arial" w:cs="Arial" w:eastAsia="Arial" w:hAnsi="Arial"/>
          <w:sz w:val="17"/>
          <w:szCs w:val="17"/>
          <w:color w:val="auto"/>
        </w:rPr>
      </w:pPr>
    </w:p>
    <w:p>
      <w:pPr>
        <w:ind w:left="580" w:right="60" w:hanging="306"/>
        <w:spacing w:after="0" w:line="279" w:lineRule="auto"/>
        <w:tabs>
          <w:tab w:leader="none" w:pos="576" w:val="left"/>
        </w:tabs>
        <w:numPr>
          <w:ilvl w:val="0"/>
          <w:numId w:val="16"/>
        </w:numPr>
        <w:rPr>
          <w:rFonts w:ascii="Arial" w:cs="Arial" w:eastAsia="Arial" w:hAnsi="Arial"/>
          <w:sz w:val="17"/>
          <w:szCs w:val="17"/>
          <w:color w:val="auto"/>
        </w:rPr>
      </w:pPr>
      <w:r>
        <w:rPr>
          <w:rFonts w:ascii="Arial" w:cs="Arial" w:eastAsia="Arial" w:hAnsi="Arial"/>
          <w:sz w:val="17"/>
          <w:szCs w:val="17"/>
          <w:color w:val="auto"/>
        </w:rPr>
        <w:t>orders either being delayed, canceled, not returning to historical levels or being reduced, and/or economic conditions affecting the ability of our customers to pay timely for goods and services delivered;</w:t>
      </w:r>
    </w:p>
    <w:p>
      <w:pPr>
        <w:spacing w:after="0" w:line="9" w:lineRule="exact"/>
        <w:rPr>
          <w:rFonts w:ascii="Arial" w:cs="Arial" w:eastAsia="Arial" w:hAnsi="Arial"/>
          <w:sz w:val="17"/>
          <w:szCs w:val="17"/>
          <w:color w:val="auto"/>
        </w:rPr>
      </w:pPr>
    </w:p>
    <w:p>
      <w:pPr>
        <w:ind w:left="580" w:hanging="306"/>
        <w:spacing w:after="0"/>
        <w:tabs>
          <w:tab w:leader="none" w:pos="5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consolidations in the rail industry;</w:t>
      </w:r>
    </w:p>
    <w:p>
      <w:pPr>
        <w:spacing w:after="0" w:line="62" w:lineRule="exact"/>
        <w:rPr>
          <w:rFonts w:ascii="Arial" w:cs="Arial" w:eastAsia="Arial" w:hAnsi="Arial"/>
          <w:sz w:val="17"/>
          <w:szCs w:val="17"/>
          <w:color w:val="auto"/>
        </w:rPr>
      </w:pPr>
    </w:p>
    <w:p>
      <w:pPr>
        <w:ind w:left="580" w:hanging="306"/>
        <w:spacing w:after="0"/>
        <w:tabs>
          <w:tab w:leader="none" w:pos="5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continued outsourcing by our customers;</w:t>
      </w:r>
    </w:p>
    <w:p>
      <w:pPr>
        <w:spacing w:after="0" w:line="62" w:lineRule="exact"/>
        <w:rPr>
          <w:rFonts w:ascii="Arial" w:cs="Arial" w:eastAsia="Arial" w:hAnsi="Arial"/>
          <w:sz w:val="17"/>
          <w:szCs w:val="17"/>
          <w:color w:val="auto"/>
        </w:rPr>
      </w:pPr>
    </w:p>
    <w:p>
      <w:pPr>
        <w:ind w:left="580" w:hanging="306"/>
        <w:spacing w:after="0"/>
        <w:tabs>
          <w:tab w:leader="none" w:pos="5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industry demand for faster and more efficient braking equipment;</w:t>
      </w:r>
    </w:p>
    <w:p>
      <w:pPr>
        <w:spacing w:after="0" w:line="62" w:lineRule="exact"/>
        <w:rPr>
          <w:rFonts w:ascii="Arial" w:cs="Arial" w:eastAsia="Arial" w:hAnsi="Arial"/>
          <w:sz w:val="17"/>
          <w:szCs w:val="17"/>
          <w:color w:val="auto"/>
        </w:rPr>
      </w:pPr>
    </w:p>
    <w:p>
      <w:pPr>
        <w:ind w:left="580" w:hanging="306"/>
        <w:spacing w:after="0"/>
        <w:tabs>
          <w:tab w:leader="none" w:pos="5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fluctuations in interest rates and foreign currency exchange rates;</w:t>
      </w:r>
    </w:p>
    <w:p>
      <w:pPr>
        <w:spacing w:after="0" w:line="62" w:lineRule="exact"/>
        <w:rPr>
          <w:rFonts w:ascii="Arial" w:cs="Arial" w:eastAsia="Arial" w:hAnsi="Arial"/>
          <w:sz w:val="17"/>
          <w:szCs w:val="17"/>
          <w:color w:val="auto"/>
        </w:rPr>
      </w:pPr>
    </w:p>
    <w:p>
      <w:pPr>
        <w:ind w:left="580" w:hanging="306"/>
        <w:spacing w:after="0"/>
        <w:tabs>
          <w:tab w:leader="none" w:pos="5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availability of credit or difficulty in obtaining debt or equity financing; or</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91" w:right="339" w:bottom="1440" w:gutter="0" w:footer="0" w:header="0"/>
        </w:sectPr>
      </w:pPr>
    </w:p>
    <w:bookmarkStart w:id="43" w:name="page44"/>
    <w:bookmarkEnd w:id="43"/>
    <w:p>
      <w:pPr>
        <w:ind w:left="580" w:right="340" w:hanging="306"/>
        <w:spacing w:after="0" w:line="279" w:lineRule="auto"/>
        <w:tabs>
          <w:tab w:leader="none" w:pos="576" w:val="left"/>
        </w:tabs>
        <w:numPr>
          <w:ilvl w:val="0"/>
          <w:numId w:val="17"/>
        </w:numPr>
        <w:rPr>
          <w:rFonts w:ascii="Arial" w:cs="Arial" w:eastAsia="Arial" w:hAnsi="Arial"/>
          <w:sz w:val="17"/>
          <w:szCs w:val="17"/>
          <w:color w:val="auto"/>
        </w:rPr>
      </w:pPr>
      <w:r>
        <w:rPr>
          <w:rFonts w:ascii="Arial" w:cs="Arial" w:eastAsia="Arial" w:hAnsi="Arial"/>
          <w:sz w:val="17"/>
          <w:szCs w:val="17"/>
          <w:color w:val="auto"/>
        </w:rPr>
        <w:t>changes in market consensus as to what attributes are required for projects to be considered "green" or "sustainable" or negative perceptions regarding determinations in such regard with respect to our Green Finance Framework;</w:t>
      </w:r>
    </w:p>
    <w:p>
      <w:pPr>
        <w:spacing w:after="0" w:line="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Operating factors</w:t>
      </w:r>
    </w:p>
    <w:p>
      <w:pPr>
        <w:spacing w:after="0" w:line="68" w:lineRule="exact"/>
        <w:rPr>
          <w:sz w:val="20"/>
          <w:szCs w:val="20"/>
          <w:color w:val="auto"/>
        </w:rPr>
      </w:pPr>
    </w:p>
    <w:p>
      <w:pPr>
        <w:ind w:left="580" w:hanging="306"/>
        <w:spacing w:after="0"/>
        <w:tabs>
          <w:tab w:leader="none" w:pos="5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supply disruptions;</w:t>
      </w:r>
    </w:p>
    <w:p>
      <w:pPr>
        <w:spacing w:after="0" w:line="62" w:lineRule="exact"/>
        <w:rPr>
          <w:rFonts w:ascii="Arial" w:cs="Arial" w:eastAsia="Arial" w:hAnsi="Arial"/>
          <w:sz w:val="17"/>
          <w:szCs w:val="17"/>
          <w:color w:val="auto"/>
        </w:rPr>
      </w:pPr>
    </w:p>
    <w:p>
      <w:pPr>
        <w:ind w:left="580" w:hanging="306"/>
        <w:spacing w:after="0"/>
        <w:tabs>
          <w:tab w:leader="none" w:pos="5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technical difficulties;</w:t>
      </w:r>
    </w:p>
    <w:p>
      <w:pPr>
        <w:spacing w:after="0" w:line="62" w:lineRule="exact"/>
        <w:rPr>
          <w:rFonts w:ascii="Arial" w:cs="Arial" w:eastAsia="Arial" w:hAnsi="Arial"/>
          <w:sz w:val="17"/>
          <w:szCs w:val="17"/>
          <w:color w:val="auto"/>
        </w:rPr>
      </w:pPr>
    </w:p>
    <w:p>
      <w:pPr>
        <w:ind w:left="580" w:hanging="306"/>
        <w:spacing w:after="0"/>
        <w:tabs>
          <w:tab w:leader="none" w:pos="5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changes in operating conditions and costs;</w:t>
      </w:r>
    </w:p>
    <w:p>
      <w:pPr>
        <w:spacing w:after="0" w:line="62" w:lineRule="exact"/>
        <w:rPr>
          <w:rFonts w:ascii="Arial" w:cs="Arial" w:eastAsia="Arial" w:hAnsi="Arial"/>
          <w:sz w:val="17"/>
          <w:szCs w:val="17"/>
          <w:color w:val="auto"/>
        </w:rPr>
      </w:pPr>
    </w:p>
    <w:p>
      <w:pPr>
        <w:ind w:left="580" w:hanging="306"/>
        <w:spacing w:after="0"/>
        <w:tabs>
          <w:tab w:leader="none" w:pos="5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increases in raw material costs;</w:t>
      </w:r>
    </w:p>
    <w:p>
      <w:pPr>
        <w:spacing w:after="0" w:line="62" w:lineRule="exact"/>
        <w:rPr>
          <w:rFonts w:ascii="Arial" w:cs="Arial" w:eastAsia="Arial" w:hAnsi="Arial"/>
          <w:sz w:val="17"/>
          <w:szCs w:val="17"/>
          <w:color w:val="auto"/>
        </w:rPr>
      </w:pPr>
    </w:p>
    <w:p>
      <w:pPr>
        <w:ind w:left="580" w:hanging="306"/>
        <w:spacing w:after="0"/>
        <w:tabs>
          <w:tab w:leader="none" w:pos="5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successful introduction of new products;</w:t>
      </w:r>
    </w:p>
    <w:p>
      <w:pPr>
        <w:spacing w:after="0" w:line="62" w:lineRule="exact"/>
        <w:rPr>
          <w:rFonts w:ascii="Arial" w:cs="Arial" w:eastAsia="Arial" w:hAnsi="Arial"/>
          <w:sz w:val="17"/>
          <w:szCs w:val="17"/>
          <w:color w:val="auto"/>
        </w:rPr>
      </w:pPr>
    </w:p>
    <w:p>
      <w:pPr>
        <w:ind w:left="580" w:hanging="306"/>
        <w:spacing w:after="0"/>
        <w:tabs>
          <w:tab w:leader="none" w:pos="5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performance under material long-term contracts;</w:t>
      </w:r>
    </w:p>
    <w:p>
      <w:pPr>
        <w:spacing w:after="0" w:line="62" w:lineRule="exact"/>
        <w:rPr>
          <w:rFonts w:ascii="Arial" w:cs="Arial" w:eastAsia="Arial" w:hAnsi="Arial"/>
          <w:sz w:val="17"/>
          <w:szCs w:val="17"/>
          <w:color w:val="auto"/>
        </w:rPr>
      </w:pPr>
    </w:p>
    <w:p>
      <w:pPr>
        <w:ind w:left="580" w:hanging="306"/>
        <w:spacing w:after="0"/>
        <w:tabs>
          <w:tab w:leader="none" w:pos="5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labor availability and relations;</w:t>
      </w:r>
    </w:p>
    <w:p>
      <w:pPr>
        <w:spacing w:after="0" w:line="62" w:lineRule="exact"/>
        <w:rPr>
          <w:rFonts w:ascii="Arial" w:cs="Arial" w:eastAsia="Arial" w:hAnsi="Arial"/>
          <w:sz w:val="17"/>
          <w:szCs w:val="17"/>
          <w:color w:val="auto"/>
        </w:rPr>
      </w:pPr>
    </w:p>
    <w:p>
      <w:pPr>
        <w:jc w:val="both"/>
        <w:ind w:left="580" w:right="520" w:hanging="306"/>
        <w:spacing w:after="0" w:line="266" w:lineRule="auto"/>
        <w:tabs>
          <w:tab w:leader="none" w:pos="576"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outcome of our existing or any future legal proceedings, including litigation involving our principal customers and any litigation with respect to environmental matters, asbestos-related matters, pension liabilities, warranties, product liabilities, competition and anti-trust matters or intellectual property claims;</w:t>
      </w:r>
    </w:p>
    <w:p>
      <w:pPr>
        <w:spacing w:after="0" w:line="20" w:lineRule="exact"/>
        <w:rPr>
          <w:rFonts w:ascii="Arial" w:cs="Arial" w:eastAsia="Arial" w:hAnsi="Arial"/>
          <w:sz w:val="17"/>
          <w:szCs w:val="17"/>
          <w:color w:val="auto"/>
        </w:rPr>
      </w:pPr>
    </w:p>
    <w:p>
      <w:pPr>
        <w:ind w:left="580" w:hanging="306"/>
        <w:spacing w:after="0"/>
        <w:tabs>
          <w:tab w:leader="none" w:pos="5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completion and integration of acquisitions;</w:t>
      </w:r>
    </w:p>
    <w:p>
      <w:pPr>
        <w:spacing w:after="0" w:line="62" w:lineRule="exact"/>
        <w:rPr>
          <w:rFonts w:ascii="Arial" w:cs="Arial" w:eastAsia="Arial" w:hAnsi="Arial"/>
          <w:sz w:val="17"/>
          <w:szCs w:val="17"/>
          <w:color w:val="auto"/>
        </w:rPr>
      </w:pPr>
    </w:p>
    <w:p>
      <w:pPr>
        <w:ind w:left="580" w:hanging="306"/>
        <w:spacing w:after="0"/>
        <w:tabs>
          <w:tab w:leader="none" w:pos="5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development and use of new technology; or</w:t>
      </w:r>
    </w:p>
    <w:p>
      <w:pPr>
        <w:spacing w:after="0" w:line="62" w:lineRule="exact"/>
        <w:rPr>
          <w:rFonts w:ascii="Arial" w:cs="Arial" w:eastAsia="Arial" w:hAnsi="Arial"/>
          <w:sz w:val="17"/>
          <w:szCs w:val="17"/>
          <w:color w:val="auto"/>
        </w:rPr>
      </w:pPr>
    </w:p>
    <w:p>
      <w:pPr>
        <w:ind w:left="580" w:hanging="306"/>
        <w:spacing w:after="0"/>
        <w:tabs>
          <w:tab w:leader="none" w:pos="5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cybersecurity and data protection risks;</w:t>
      </w:r>
    </w:p>
    <w:p>
      <w:pPr>
        <w:spacing w:after="0" w:line="5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Competitive factors</w:t>
      </w:r>
    </w:p>
    <w:p>
      <w:pPr>
        <w:spacing w:after="0" w:line="68" w:lineRule="exact"/>
        <w:rPr>
          <w:sz w:val="20"/>
          <w:szCs w:val="20"/>
          <w:color w:val="auto"/>
        </w:rPr>
      </w:pPr>
    </w:p>
    <w:p>
      <w:pPr>
        <w:ind w:left="580" w:hanging="306"/>
        <w:spacing w:after="0"/>
        <w:tabs>
          <w:tab w:leader="none" w:pos="5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actions of competitors; or</w:t>
      </w:r>
    </w:p>
    <w:p>
      <w:pPr>
        <w:spacing w:after="0" w:line="62" w:lineRule="exact"/>
        <w:rPr>
          <w:rFonts w:ascii="Arial" w:cs="Arial" w:eastAsia="Arial" w:hAnsi="Arial"/>
          <w:sz w:val="17"/>
          <w:szCs w:val="17"/>
          <w:color w:val="auto"/>
        </w:rPr>
      </w:pPr>
    </w:p>
    <w:p>
      <w:pPr>
        <w:ind w:left="580" w:hanging="306"/>
        <w:spacing w:after="0"/>
        <w:tabs>
          <w:tab w:leader="none" w:pos="5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outcome of negotiations with partners, suppliers, customers or others;</w:t>
      </w:r>
    </w:p>
    <w:p>
      <w:pPr>
        <w:spacing w:after="0" w:line="56"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7"/>
          <w:szCs w:val="17"/>
          <w:b w:val="1"/>
          <w:bCs w:val="1"/>
          <w:color w:val="auto"/>
        </w:rPr>
        <w:t>Political/governmental factors</w:t>
      </w:r>
    </w:p>
    <w:p>
      <w:pPr>
        <w:spacing w:after="0" w:line="68" w:lineRule="exact"/>
        <w:rPr>
          <w:rFonts w:ascii="Arial" w:cs="Arial" w:eastAsia="Arial" w:hAnsi="Arial"/>
          <w:sz w:val="17"/>
          <w:szCs w:val="17"/>
          <w:color w:val="auto"/>
        </w:rPr>
      </w:pPr>
    </w:p>
    <w:p>
      <w:pPr>
        <w:ind w:left="580" w:hanging="306"/>
        <w:spacing w:after="0"/>
        <w:tabs>
          <w:tab w:leader="none" w:pos="5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political stability in relevant areas of the world, including the impacts of war, conflicts, global military action, and acts of terrorism;</w:t>
      </w:r>
    </w:p>
    <w:p>
      <w:pPr>
        <w:spacing w:after="0" w:line="62" w:lineRule="exact"/>
        <w:rPr>
          <w:rFonts w:ascii="Arial" w:cs="Arial" w:eastAsia="Arial" w:hAnsi="Arial"/>
          <w:sz w:val="17"/>
          <w:szCs w:val="17"/>
          <w:color w:val="auto"/>
        </w:rPr>
      </w:pPr>
    </w:p>
    <w:p>
      <w:pPr>
        <w:ind w:left="580" w:hanging="306"/>
        <w:spacing w:after="0"/>
        <w:tabs>
          <w:tab w:leader="none" w:pos="5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future regulation/deregulation of our customers and/or the rail industry;</w:t>
      </w:r>
    </w:p>
    <w:p>
      <w:pPr>
        <w:spacing w:after="0" w:line="62" w:lineRule="exact"/>
        <w:rPr>
          <w:rFonts w:ascii="Arial" w:cs="Arial" w:eastAsia="Arial" w:hAnsi="Arial"/>
          <w:sz w:val="17"/>
          <w:szCs w:val="17"/>
          <w:color w:val="auto"/>
        </w:rPr>
      </w:pPr>
    </w:p>
    <w:p>
      <w:pPr>
        <w:ind w:left="580" w:hanging="306"/>
        <w:spacing w:after="0"/>
        <w:tabs>
          <w:tab w:leader="none" w:pos="5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levels of governmental funding on transit projects, including for some of our customers;</w:t>
      </w:r>
    </w:p>
    <w:p>
      <w:pPr>
        <w:spacing w:after="0" w:line="62" w:lineRule="exact"/>
        <w:rPr>
          <w:rFonts w:ascii="Arial" w:cs="Arial" w:eastAsia="Arial" w:hAnsi="Arial"/>
          <w:sz w:val="17"/>
          <w:szCs w:val="17"/>
          <w:color w:val="auto"/>
        </w:rPr>
      </w:pPr>
    </w:p>
    <w:p>
      <w:pPr>
        <w:ind w:left="580" w:hanging="306"/>
        <w:spacing w:after="0"/>
        <w:tabs>
          <w:tab w:leader="none" w:pos="5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political developments and laws and regulations, including those related to Positive Train Control;</w:t>
      </w:r>
    </w:p>
    <w:p>
      <w:pPr>
        <w:spacing w:after="0" w:line="62" w:lineRule="exact"/>
        <w:rPr>
          <w:rFonts w:ascii="Arial" w:cs="Arial" w:eastAsia="Arial" w:hAnsi="Arial"/>
          <w:sz w:val="17"/>
          <w:szCs w:val="17"/>
          <w:color w:val="auto"/>
        </w:rPr>
      </w:pPr>
    </w:p>
    <w:p>
      <w:pPr>
        <w:ind w:left="580" w:hanging="306"/>
        <w:spacing w:after="0"/>
        <w:tabs>
          <w:tab w:leader="none" w:pos="5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federal and state income tax legislation;</w:t>
      </w:r>
    </w:p>
    <w:p>
      <w:pPr>
        <w:spacing w:after="0" w:line="62" w:lineRule="exact"/>
        <w:rPr>
          <w:rFonts w:ascii="Arial" w:cs="Arial" w:eastAsia="Arial" w:hAnsi="Arial"/>
          <w:sz w:val="17"/>
          <w:szCs w:val="17"/>
          <w:color w:val="auto"/>
        </w:rPr>
      </w:pPr>
    </w:p>
    <w:p>
      <w:pPr>
        <w:ind w:left="580" w:hanging="306"/>
        <w:spacing w:after="0"/>
        <w:tabs>
          <w:tab w:leader="none" w:pos="5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sanctions imposed on countries and persons; or</w:t>
      </w:r>
    </w:p>
    <w:p>
      <w:pPr>
        <w:spacing w:after="0" w:line="62" w:lineRule="exact"/>
        <w:rPr>
          <w:rFonts w:ascii="Arial" w:cs="Arial" w:eastAsia="Arial" w:hAnsi="Arial"/>
          <w:sz w:val="17"/>
          <w:szCs w:val="17"/>
          <w:color w:val="auto"/>
        </w:rPr>
      </w:pPr>
    </w:p>
    <w:p>
      <w:pPr>
        <w:ind w:left="580" w:hanging="306"/>
        <w:spacing w:after="0"/>
        <w:tabs>
          <w:tab w:leader="none" w:pos="5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outcome of negotiations with governments;</w:t>
      </w:r>
    </w:p>
    <w:p>
      <w:pPr>
        <w:spacing w:after="0" w:line="5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Natural hazards / health crises</w:t>
      </w:r>
    </w:p>
    <w:p>
      <w:pPr>
        <w:spacing w:after="0" w:line="68" w:lineRule="exact"/>
        <w:rPr>
          <w:sz w:val="20"/>
          <w:szCs w:val="20"/>
          <w:color w:val="auto"/>
        </w:rPr>
      </w:pPr>
    </w:p>
    <w:p>
      <w:pPr>
        <w:ind w:left="580" w:hanging="306"/>
        <w:spacing w:after="0"/>
        <w:tabs>
          <w:tab w:leader="none" w:pos="5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impacts of climate change, including evolving climate change policy;</w:t>
      </w:r>
    </w:p>
    <w:p>
      <w:pPr>
        <w:spacing w:after="0" w:line="62" w:lineRule="exact"/>
        <w:rPr>
          <w:rFonts w:ascii="Arial" w:cs="Arial" w:eastAsia="Arial" w:hAnsi="Arial"/>
          <w:sz w:val="17"/>
          <w:szCs w:val="17"/>
          <w:color w:val="auto"/>
        </w:rPr>
      </w:pPr>
    </w:p>
    <w:p>
      <w:pPr>
        <w:ind w:left="580" w:hanging="306"/>
        <w:spacing w:after="0"/>
        <w:tabs>
          <w:tab w:leader="none" w:pos="5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disruptive natural hazards, including earthquakes, fires, floods, tornadoes, hurricanes or weather conditions;</w:t>
      </w:r>
    </w:p>
    <w:p>
      <w:pPr>
        <w:spacing w:after="0" w:line="62" w:lineRule="exact"/>
        <w:rPr>
          <w:rFonts w:ascii="Arial" w:cs="Arial" w:eastAsia="Arial" w:hAnsi="Arial"/>
          <w:sz w:val="17"/>
          <w:szCs w:val="17"/>
          <w:color w:val="auto"/>
        </w:rPr>
      </w:pPr>
    </w:p>
    <w:p>
      <w:pPr>
        <w:ind w:left="580" w:hanging="306"/>
        <w:spacing w:after="0"/>
        <w:tabs>
          <w:tab w:leader="none" w:pos="5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epidemics, pandemics (including the COVID-19 pandemic), or similar public health crises;</w:t>
      </w:r>
    </w:p>
    <w:p>
      <w:pPr>
        <w:spacing w:after="0" w:line="62" w:lineRule="exact"/>
        <w:rPr>
          <w:rFonts w:ascii="Arial" w:cs="Arial" w:eastAsia="Arial" w:hAnsi="Arial"/>
          <w:sz w:val="17"/>
          <w:szCs w:val="17"/>
          <w:color w:val="auto"/>
        </w:rPr>
      </w:pPr>
    </w:p>
    <w:p>
      <w:pPr>
        <w:ind w:left="580" w:hanging="306"/>
        <w:spacing w:after="0"/>
        <w:tabs>
          <w:tab w:leader="none" w:pos="5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deterioration of general economic conditions as a result of natural hazards or health crises;</w:t>
      </w:r>
    </w:p>
    <w:p>
      <w:pPr>
        <w:spacing w:after="0" w:line="62" w:lineRule="exact"/>
        <w:rPr>
          <w:rFonts w:ascii="Arial" w:cs="Arial" w:eastAsia="Arial" w:hAnsi="Arial"/>
          <w:sz w:val="17"/>
          <w:szCs w:val="17"/>
          <w:color w:val="auto"/>
        </w:rPr>
      </w:pPr>
    </w:p>
    <w:p>
      <w:pPr>
        <w:ind w:left="580" w:hanging="306"/>
        <w:spacing w:after="0"/>
        <w:tabs>
          <w:tab w:leader="none" w:pos="5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shutdown of one or more of our operating facilities as a result of natural hazards and health crises; or</w:t>
      </w:r>
    </w:p>
    <w:p>
      <w:pPr>
        <w:spacing w:after="0" w:line="62" w:lineRule="exact"/>
        <w:rPr>
          <w:rFonts w:ascii="Arial" w:cs="Arial" w:eastAsia="Arial" w:hAnsi="Arial"/>
          <w:sz w:val="17"/>
          <w:szCs w:val="17"/>
          <w:color w:val="auto"/>
        </w:rPr>
      </w:pPr>
    </w:p>
    <w:p>
      <w:pPr>
        <w:ind w:left="580" w:hanging="306"/>
        <w:spacing w:after="0"/>
        <w:tabs>
          <w:tab w:leader="none" w:pos="5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supply chain and sourcing disruptions as a result of natural hazards and health crises;</w:t>
      </w:r>
    </w:p>
    <w:p>
      <w:pPr>
        <w:spacing w:after="0" w:line="114" w:lineRule="exact"/>
        <w:rPr>
          <w:sz w:val="20"/>
          <w:szCs w:val="20"/>
          <w:color w:val="auto"/>
        </w:rPr>
      </w:pPr>
    </w:p>
    <w:p>
      <w:pPr>
        <w:ind w:right="20" w:firstLine="464"/>
        <w:spacing w:after="0" w:line="290" w:lineRule="auto"/>
        <w:rPr>
          <w:sz w:val="20"/>
          <w:szCs w:val="20"/>
          <w:color w:val="auto"/>
        </w:rPr>
      </w:pPr>
      <w:r>
        <w:rPr>
          <w:rFonts w:ascii="Arial" w:cs="Arial" w:eastAsia="Arial" w:hAnsi="Arial"/>
          <w:sz w:val="16"/>
          <w:szCs w:val="16"/>
          <w:color w:val="auto"/>
        </w:rPr>
        <w:t>Statements in this Quarterly Report on Form 10-Q apply only as of the date on which such statements are made, and we undertake no obligation to update any statement to reflect events or circumstances after the date on which the statement is made or to reflect the occurrence of unanticipated events. Reference is also made to the risk factors set forth in the Company’s Annual Report on Form 10-K for the year ended December 31, 2022.</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Estimates</w:t>
      </w:r>
    </w:p>
    <w:p>
      <w:pPr>
        <w:spacing w:after="0" w:line="120" w:lineRule="exact"/>
        <w:rPr>
          <w:sz w:val="20"/>
          <w:szCs w:val="20"/>
          <w:color w:val="auto"/>
        </w:rPr>
      </w:pPr>
    </w:p>
    <w:p>
      <w:pPr>
        <w:ind w:firstLine="464"/>
        <w:spacing w:after="0" w:line="262" w:lineRule="auto"/>
        <w:rPr>
          <w:sz w:val="20"/>
          <w:szCs w:val="20"/>
          <w:color w:val="auto"/>
        </w:rPr>
      </w:pPr>
      <w:r>
        <w:rPr>
          <w:rFonts w:ascii="Arial" w:cs="Arial" w:eastAsia="Arial" w:hAnsi="Arial"/>
          <w:sz w:val="17"/>
          <w:szCs w:val="17"/>
          <w:color w:val="auto"/>
        </w:rPr>
        <w:t>A summary of critical accounting estimates is included in the Company’s Annual Report on Form 10-K for the year ended December 31, 2022. In particular, judgment is used in areas such as accounts receivable and the allowance for doubtful accounts, inventories, business combinations, goodwill and indefinite-lived intangibles, warranty reserves, income taxes, and revenue recognition. There have been no significant changes in the related accounting policies since December 31, 2022.</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52" w:right="339" w:bottom="1440" w:gutter="0" w:footer="0" w:header="0"/>
        </w:sectPr>
      </w:pPr>
    </w:p>
    <w:bookmarkStart w:id="44" w:name="page45"/>
    <w:bookmarkEnd w:id="44"/>
    <w:p>
      <w:pPr>
        <w:spacing w:after="0"/>
        <w:rPr>
          <w:sz w:val="20"/>
          <w:szCs w:val="20"/>
          <w:color w:val="auto"/>
        </w:rPr>
      </w:pPr>
      <w:r>
        <w:rPr>
          <w:rFonts w:ascii="Arial" w:cs="Arial" w:eastAsia="Arial" w:hAnsi="Arial"/>
          <w:sz w:val="17"/>
          <w:szCs w:val="17"/>
          <w:b w:val="1"/>
          <w:bCs w:val="1"/>
          <w:color w:val="auto"/>
        </w:rPr>
        <w:t>Contractual Obligations</w:t>
      </w:r>
    </w:p>
    <w:p>
      <w:pPr>
        <w:spacing w:after="0" w:line="120" w:lineRule="exact"/>
        <w:rPr>
          <w:sz w:val="20"/>
          <w:szCs w:val="20"/>
          <w:color w:val="auto"/>
        </w:rPr>
      </w:pPr>
    </w:p>
    <w:p>
      <w:pPr>
        <w:ind w:firstLine="464"/>
        <w:spacing w:after="0" w:line="318" w:lineRule="auto"/>
        <w:rPr>
          <w:sz w:val="20"/>
          <w:szCs w:val="20"/>
          <w:color w:val="auto"/>
        </w:rPr>
      </w:pPr>
      <w:r>
        <w:rPr>
          <w:rFonts w:ascii="Arial" w:cs="Arial" w:eastAsia="Arial" w:hAnsi="Arial"/>
          <w:sz w:val="15"/>
          <w:szCs w:val="15"/>
          <w:color w:val="auto"/>
        </w:rPr>
        <w:t>During the third quarter of 2023, the Company utilized the Delayed Draw Term Loan facility included in the Restated Credit Agreement to borrow $250 million, which will mature on August 15, 2027. The proceeds from the Delayed Draw Term Loan were utilized to redeem the 2023 Notes. As a result, contractual obligations related to the repayment of Long-term debt for 2026-2027 increased from approximately $1,285 million to approximately $1,535 million.</w:t>
      </w:r>
    </w:p>
    <w:p>
      <w:pPr>
        <w:spacing w:after="0" w:line="200" w:lineRule="exact"/>
        <w:rPr>
          <w:sz w:val="20"/>
          <w:szCs w:val="20"/>
          <w:color w:val="auto"/>
        </w:rPr>
      </w:pPr>
    </w:p>
    <w:p>
      <w:pPr>
        <w:spacing w:after="0" w:line="300"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20"/>
          </w:cols>
          <w:pgMar w:left="320" w:top="998" w:right="459" w:bottom="1440" w:gutter="0" w:footer="0" w:header="0"/>
        </w:sectPr>
      </w:pPr>
    </w:p>
    <w:bookmarkStart w:id="45" w:name="page46"/>
    <w:bookmarkEnd w:id="45"/>
    <w:p>
      <w:pPr>
        <w:spacing w:after="0"/>
        <w:tabs>
          <w:tab w:leader="none" w:pos="680" w:val="left"/>
        </w:tabs>
        <w:rPr>
          <w:sz w:val="20"/>
          <w:szCs w:val="20"/>
          <w:color w:val="auto"/>
        </w:rPr>
      </w:pPr>
      <w:r>
        <w:rPr>
          <w:rFonts w:ascii="Arial" w:cs="Arial" w:eastAsia="Arial" w:hAnsi="Arial"/>
          <w:sz w:val="17"/>
          <w:szCs w:val="17"/>
          <w:b w:val="1"/>
          <w:bCs w:val="1"/>
          <w:color w:val="auto"/>
        </w:rPr>
        <w:t>Item 3.</w:t>
        <w:tab/>
        <w:t>QUANTITATIVE AND QUALITATIVE DISCLOSURES ABOUT MARKET RISK</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See "Quantitative and Qualitative Disclosures About Market Risk" in Item 7A of Part II of our Annual Report on Form 10-K for the year ended</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December 31, 2022. Our exposure to market risk has not changed materially since December 31, 2022. Refer to Note 13 - Fair Value Measurement and Derivative</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Instruments of "Notes to Condensed Consolidated Financial Statements" included in Part I, Item 1 of this report for additional information regarding interest rate</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and foreign currency exchange risk.</w:t>
      </w:r>
    </w:p>
    <w:p>
      <w:pPr>
        <w:spacing w:after="0" w:line="226" w:lineRule="exact"/>
        <w:rPr>
          <w:sz w:val="20"/>
          <w:szCs w:val="20"/>
          <w:color w:val="auto"/>
        </w:rPr>
      </w:pPr>
    </w:p>
    <w:p>
      <w:pPr>
        <w:spacing w:after="0"/>
        <w:tabs>
          <w:tab w:leader="none" w:pos="680" w:val="left"/>
        </w:tabs>
        <w:rPr>
          <w:sz w:val="20"/>
          <w:szCs w:val="20"/>
          <w:color w:val="auto"/>
        </w:rPr>
      </w:pPr>
      <w:r>
        <w:rPr>
          <w:rFonts w:ascii="Arial" w:cs="Arial" w:eastAsia="Arial" w:hAnsi="Arial"/>
          <w:sz w:val="17"/>
          <w:szCs w:val="17"/>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120" w:lineRule="exact"/>
        <w:rPr>
          <w:sz w:val="20"/>
          <w:szCs w:val="20"/>
          <w:color w:val="auto"/>
        </w:rPr>
      </w:pPr>
    </w:p>
    <w:p>
      <w:pPr>
        <w:ind w:firstLine="464"/>
        <w:spacing w:after="0" w:line="299" w:lineRule="auto"/>
        <w:rPr>
          <w:sz w:val="20"/>
          <w:szCs w:val="20"/>
          <w:color w:val="auto"/>
        </w:rPr>
      </w:pPr>
      <w:r>
        <w:rPr>
          <w:rFonts w:ascii="Arial" w:cs="Arial" w:eastAsia="Arial" w:hAnsi="Arial"/>
          <w:sz w:val="15"/>
          <w:szCs w:val="15"/>
          <w:color w:val="auto"/>
        </w:rPr>
        <w:t>Wabtec’s principal executive officer and its principal financial officer have evaluated the effectiveness of Wabtec’s “disclosure controls and procedures,” (as defined in Exchange Act Rule 13a-15(e)) as of September 30, 2023. Based upon their evaluation, the principal executive officer and principal financial officer concluded that Wabtec’s disclosure controls and procedures are effective to provide reasonable assurance that information required to be disclosed by Wabtec in the reports filed or submitted by it under the Exchange Act is recorded, processed, summarized and reported within the time periods specified in the SEC’s rules and forms, and to provide reasonable assurance that information required to be disclosed by Wabtec in such reports is accumulated and communicated to Wabtec’s Management, including its principal executive officer and principal financial officer, as appropriate to allow timely decisions regarding required disclosure.</w:t>
      </w:r>
    </w:p>
    <w:p>
      <w:pPr>
        <w:spacing w:after="0" w:line="180" w:lineRule="exact"/>
        <w:rPr>
          <w:sz w:val="20"/>
          <w:szCs w:val="20"/>
          <w:color w:val="auto"/>
        </w:rPr>
      </w:pPr>
    </w:p>
    <w:p>
      <w:pPr>
        <w:ind w:right="60" w:firstLine="464"/>
        <w:spacing w:after="0" w:line="349" w:lineRule="auto"/>
        <w:rPr>
          <w:sz w:val="20"/>
          <w:szCs w:val="20"/>
          <w:color w:val="auto"/>
        </w:rPr>
      </w:pPr>
      <w:r>
        <w:rPr>
          <w:rFonts w:ascii="Arial" w:cs="Arial" w:eastAsia="Arial" w:hAnsi="Arial"/>
          <w:sz w:val="15"/>
          <w:szCs w:val="15"/>
          <w:color w:val="auto"/>
        </w:rPr>
        <w:t>There was no change in Wabtec’s “internal control over financial reporting” (as defined in Rule 13a-15(f) under the Exchange Act) that occurred during the quarter ended September 30, 2023, that has materially affected, or is reasonably likely to materially affect, Wabtec’s internal control over financial reporting.</w:t>
      </w:r>
    </w:p>
    <w:p>
      <w:pPr>
        <w:spacing w:after="0" w:line="200" w:lineRule="exact"/>
        <w:rPr>
          <w:sz w:val="20"/>
          <w:szCs w:val="20"/>
          <w:color w:val="auto"/>
        </w:rPr>
      </w:pPr>
    </w:p>
    <w:p>
      <w:pPr>
        <w:spacing w:after="0" w:line="27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46" w:name="page47"/>
    <w:bookmarkEnd w:id="46"/>
    <w:p>
      <w:pPr>
        <w:jc w:val="center"/>
        <w:ind w:right="-19"/>
        <w:spacing w:after="0"/>
        <w:rPr>
          <w:sz w:val="20"/>
          <w:szCs w:val="20"/>
          <w:color w:val="auto"/>
        </w:rPr>
      </w:pPr>
      <w:r>
        <w:rPr>
          <w:rFonts w:ascii="Arial" w:cs="Arial" w:eastAsia="Arial" w:hAnsi="Arial"/>
          <w:sz w:val="17"/>
          <w:szCs w:val="17"/>
          <w:b w:val="1"/>
          <w:bCs w:val="1"/>
          <w:color w:val="auto"/>
        </w:rPr>
        <w:t>PART II—OTHER INFORMATION</w:t>
      </w:r>
    </w:p>
    <w:p>
      <w:pPr>
        <w:spacing w:after="0" w:line="217" w:lineRule="exact"/>
        <w:rPr>
          <w:sz w:val="20"/>
          <w:szCs w:val="20"/>
          <w:color w:val="auto"/>
        </w:rPr>
      </w:pPr>
    </w:p>
    <w:p>
      <w:pPr>
        <w:spacing w:after="0"/>
        <w:tabs>
          <w:tab w:leader="none" w:pos="680" w:val="left"/>
        </w:tabs>
        <w:rPr>
          <w:sz w:val="20"/>
          <w:szCs w:val="20"/>
          <w:color w:val="auto"/>
        </w:rPr>
      </w:pPr>
      <w:r>
        <w:rPr>
          <w:rFonts w:ascii="Arial" w:cs="Arial" w:eastAsia="Arial" w:hAnsi="Arial"/>
          <w:sz w:val="17"/>
          <w:szCs w:val="17"/>
          <w:b w:val="1"/>
          <w:bCs w:val="1"/>
          <w:color w:val="auto"/>
        </w:rPr>
        <w:t>Item 1.</w:t>
        <w:tab/>
        <w:t>LEGAL PROCEEDINGS</w:t>
      </w:r>
    </w:p>
    <w:p>
      <w:pPr>
        <w:spacing w:after="0" w:line="120" w:lineRule="exact"/>
        <w:rPr>
          <w:sz w:val="20"/>
          <w:szCs w:val="20"/>
          <w:color w:val="auto"/>
        </w:rPr>
      </w:pPr>
    </w:p>
    <w:p>
      <w:pPr>
        <w:ind w:right="300" w:firstLine="464"/>
        <w:spacing w:after="0" w:line="279" w:lineRule="auto"/>
        <w:rPr>
          <w:sz w:val="20"/>
          <w:szCs w:val="20"/>
          <w:color w:val="auto"/>
        </w:rPr>
      </w:pPr>
      <w:r>
        <w:rPr>
          <w:rFonts w:ascii="Arial" w:cs="Arial" w:eastAsia="Arial" w:hAnsi="Arial"/>
          <w:sz w:val="17"/>
          <w:szCs w:val="17"/>
          <w:color w:val="auto"/>
        </w:rPr>
        <w:t>Additional information with respect to legal proceedings is included in Note 14 of “Notes to Condensed Consolidated Financial Statements” included in Part I, Item 1 of this report.</w:t>
      </w:r>
    </w:p>
    <w:p>
      <w:pPr>
        <w:spacing w:after="0" w:line="287" w:lineRule="exact"/>
        <w:rPr>
          <w:sz w:val="20"/>
          <w:szCs w:val="20"/>
          <w:color w:val="auto"/>
        </w:rPr>
      </w:pPr>
    </w:p>
    <w:p>
      <w:pPr>
        <w:spacing w:after="0"/>
        <w:tabs>
          <w:tab w:leader="none" w:pos="800" w:val="left"/>
        </w:tabs>
        <w:rPr>
          <w:sz w:val="20"/>
          <w:szCs w:val="20"/>
          <w:color w:val="auto"/>
        </w:rPr>
      </w:pPr>
      <w:r>
        <w:rPr>
          <w:rFonts w:ascii="Arial" w:cs="Arial" w:eastAsia="Arial" w:hAnsi="Arial"/>
          <w:sz w:val="17"/>
          <w:szCs w:val="17"/>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There have been no material changes in our risk factors from those disclosed in our Annual Report on Form 10-K for the year ended December 31, 2022.</w:t>
      </w:r>
    </w:p>
    <w:p>
      <w:pPr>
        <w:spacing w:after="0" w:line="260" w:lineRule="exact"/>
        <w:rPr>
          <w:sz w:val="20"/>
          <w:szCs w:val="20"/>
          <w:color w:val="auto"/>
        </w:rPr>
      </w:pPr>
    </w:p>
    <w:p>
      <w:pPr>
        <w:ind w:right="560"/>
        <w:spacing w:after="0" w:line="340" w:lineRule="auto"/>
        <w:rPr>
          <w:sz w:val="20"/>
          <w:szCs w:val="20"/>
          <w:color w:val="auto"/>
        </w:rPr>
      </w:pPr>
      <w:r>
        <w:rPr>
          <w:rFonts w:ascii="Arial" w:cs="Arial" w:eastAsia="Arial" w:hAnsi="Arial"/>
          <w:sz w:val="17"/>
          <w:szCs w:val="17"/>
          <w:b w:val="1"/>
          <w:bCs w:val="1"/>
          <w:color w:val="auto"/>
        </w:rPr>
        <w:t xml:space="preserve">Item 2. UNREGISTERED SALES OF EQUITY SECURITIES, USE OF PROCEEDS AND ISSUER PURCHASES OF EQUITY SECURITIES </w:t>
      </w:r>
      <w:r>
        <w:rPr>
          <w:rFonts w:ascii="Arial" w:cs="Arial" w:eastAsia="Arial" w:hAnsi="Arial"/>
          <w:sz w:val="17"/>
          <w:szCs w:val="17"/>
          <w:color w:val="auto"/>
        </w:rPr>
        <w:t>The following table summarizes the Company's stock repurchase activity for the three months ended September 30, 2023:</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Issuer Purchases of Common Stock</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20" w:type="dxa"/>
            <w:vAlign w:val="bottom"/>
            <w:tcBorders>
              <w:top w:val="single" w:sz="8" w:color="auto"/>
            </w:tcBorders>
          </w:tcPr>
          <w:p>
            <w:pPr>
              <w:spacing w:after="0"/>
              <w:rPr>
                <w:sz w:val="11"/>
                <w:szCs w:val="11"/>
                <w:color w:val="auto"/>
              </w:rPr>
            </w:pPr>
          </w:p>
        </w:tc>
        <w:tc>
          <w:tcPr>
            <w:tcW w:w="2580" w:type="dxa"/>
            <w:vAlign w:val="bottom"/>
            <w:tcBorders>
              <w:top w:val="single" w:sz="8" w:color="auto"/>
            </w:tcBorders>
          </w:tcPr>
          <w:p>
            <w:pPr>
              <w:spacing w:after="0"/>
              <w:rPr>
                <w:sz w:val="11"/>
                <w:szCs w:val="11"/>
                <w:color w:val="auto"/>
              </w:rPr>
            </w:pPr>
          </w:p>
        </w:tc>
        <w:tc>
          <w:tcPr>
            <w:tcW w:w="21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6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680" w:type="dxa"/>
            <w:vAlign w:val="bottom"/>
            <w:tcBorders>
              <w:top w:val="single" w:sz="8" w:color="auto"/>
            </w:tcBorders>
            <w:gridSpan w:val="2"/>
          </w:tcPr>
          <w:p>
            <w:pPr>
              <w:jc w:val="center"/>
              <w:ind w:right="120"/>
              <w:spacing w:after="0" w:line="131" w:lineRule="exact"/>
              <w:rPr>
                <w:sz w:val="20"/>
                <w:szCs w:val="20"/>
                <w:color w:val="auto"/>
              </w:rPr>
            </w:pPr>
            <w:r>
              <w:rPr>
                <w:rFonts w:ascii="Arial" w:cs="Arial" w:eastAsia="Arial" w:hAnsi="Arial"/>
                <w:sz w:val="14"/>
                <w:szCs w:val="14"/>
                <w:color w:val="auto"/>
                <w:w w:val="88"/>
              </w:rPr>
              <w:t>Total Number of Shares</w:t>
            </w:r>
          </w:p>
        </w:tc>
        <w:tc>
          <w:tcPr>
            <w:tcW w:w="100" w:type="dxa"/>
            <w:vAlign w:val="bottom"/>
            <w:tcBorders>
              <w:top w:val="single" w:sz="8" w:color="auto"/>
            </w:tcBorders>
          </w:tcPr>
          <w:p>
            <w:pPr>
              <w:spacing w:after="0"/>
              <w:rPr>
                <w:sz w:val="11"/>
                <w:szCs w:val="11"/>
                <w:color w:val="auto"/>
              </w:rPr>
            </w:pPr>
          </w:p>
        </w:tc>
        <w:tc>
          <w:tcPr>
            <w:tcW w:w="1560" w:type="dxa"/>
            <w:vAlign w:val="bottom"/>
            <w:tcBorders>
              <w:top w:val="single" w:sz="8" w:color="auto"/>
            </w:tcBorders>
          </w:tcPr>
          <w:p>
            <w:pPr>
              <w:jc w:val="center"/>
              <w:ind w:right="23"/>
              <w:spacing w:after="0" w:line="131" w:lineRule="exact"/>
              <w:rPr>
                <w:sz w:val="20"/>
                <w:szCs w:val="20"/>
                <w:color w:val="auto"/>
              </w:rPr>
            </w:pPr>
            <w:r>
              <w:rPr>
                <w:rFonts w:ascii="Arial" w:cs="Arial" w:eastAsia="Arial" w:hAnsi="Arial"/>
                <w:sz w:val="14"/>
                <w:szCs w:val="14"/>
                <w:color w:val="auto"/>
                <w:w w:val="93"/>
              </w:rPr>
              <w:t>Maximum Dollar Value of</w:t>
            </w:r>
          </w:p>
        </w:tc>
      </w:tr>
      <w:tr>
        <w:trPr>
          <w:trHeight w:val="134"/>
        </w:trPr>
        <w:tc>
          <w:tcPr>
            <w:tcW w:w="2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80" w:type="dxa"/>
            <w:vAlign w:val="bottom"/>
            <w:gridSpan w:val="2"/>
          </w:tcPr>
          <w:p>
            <w:pPr>
              <w:jc w:val="center"/>
              <w:ind w:right="120"/>
              <w:spacing w:after="0" w:line="135" w:lineRule="exact"/>
              <w:rPr>
                <w:sz w:val="20"/>
                <w:szCs w:val="20"/>
                <w:color w:val="auto"/>
              </w:rPr>
            </w:pPr>
            <w:r>
              <w:rPr>
                <w:rFonts w:ascii="Arial" w:cs="Arial" w:eastAsia="Arial" w:hAnsi="Arial"/>
                <w:sz w:val="14"/>
                <w:szCs w:val="14"/>
                <w:color w:val="auto"/>
                <w:w w:val="85"/>
              </w:rPr>
              <w:t>Purchased as Part of</w:t>
            </w:r>
          </w:p>
        </w:tc>
        <w:tc>
          <w:tcPr>
            <w:tcW w:w="100" w:type="dxa"/>
            <w:vAlign w:val="bottom"/>
          </w:tcPr>
          <w:p>
            <w:pPr>
              <w:spacing w:after="0"/>
              <w:rPr>
                <w:sz w:val="11"/>
                <w:szCs w:val="11"/>
                <w:color w:val="auto"/>
              </w:rPr>
            </w:pPr>
          </w:p>
        </w:tc>
        <w:tc>
          <w:tcPr>
            <w:tcW w:w="1560" w:type="dxa"/>
            <w:vAlign w:val="bottom"/>
          </w:tcPr>
          <w:p>
            <w:pPr>
              <w:jc w:val="center"/>
              <w:ind w:right="23"/>
              <w:spacing w:after="0" w:line="135" w:lineRule="exact"/>
              <w:rPr>
                <w:sz w:val="20"/>
                <w:szCs w:val="20"/>
                <w:color w:val="auto"/>
              </w:rPr>
            </w:pPr>
            <w:r>
              <w:rPr>
                <w:rFonts w:ascii="Arial" w:cs="Arial" w:eastAsia="Arial" w:hAnsi="Arial"/>
                <w:sz w:val="14"/>
                <w:szCs w:val="14"/>
                <w:color w:val="auto"/>
                <w:w w:val="87"/>
              </w:rPr>
              <w:t>Shares That May Yet Be</w:t>
            </w:r>
          </w:p>
        </w:tc>
      </w:tr>
      <w:tr>
        <w:trPr>
          <w:trHeight w:val="142"/>
        </w:trPr>
        <w:tc>
          <w:tcPr>
            <w:tcW w:w="2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gridSpan w:val="2"/>
          </w:tcPr>
          <w:p>
            <w:pPr>
              <w:ind w:left="140"/>
              <w:spacing w:after="0" w:line="142" w:lineRule="exact"/>
              <w:rPr>
                <w:sz w:val="20"/>
                <w:szCs w:val="20"/>
                <w:color w:val="auto"/>
              </w:rPr>
            </w:pPr>
            <w:r>
              <w:rPr>
                <w:rFonts w:ascii="Arial" w:cs="Arial" w:eastAsia="Arial" w:hAnsi="Arial"/>
                <w:sz w:val="14"/>
                <w:szCs w:val="14"/>
                <w:color w:val="auto"/>
              </w:rPr>
              <w:t>Total Number of Shares</w:t>
            </w:r>
          </w:p>
        </w:tc>
        <w:tc>
          <w:tcPr>
            <w:tcW w:w="1360" w:type="dxa"/>
            <w:vAlign w:val="bottom"/>
            <w:gridSpan w:val="3"/>
          </w:tcPr>
          <w:p>
            <w:pPr>
              <w:ind w:left="100"/>
              <w:spacing w:after="0" w:line="142" w:lineRule="exact"/>
              <w:rPr>
                <w:sz w:val="20"/>
                <w:szCs w:val="20"/>
                <w:color w:val="auto"/>
              </w:rPr>
            </w:pPr>
            <w:r>
              <w:rPr>
                <w:rFonts w:ascii="Arial" w:cs="Arial" w:eastAsia="Arial" w:hAnsi="Arial"/>
                <w:sz w:val="14"/>
                <w:szCs w:val="14"/>
                <w:color w:val="auto"/>
              </w:rPr>
              <w:t>Average Price Paid</w:t>
            </w:r>
          </w:p>
        </w:tc>
        <w:tc>
          <w:tcPr>
            <w:tcW w:w="1680" w:type="dxa"/>
            <w:vAlign w:val="bottom"/>
            <w:gridSpan w:val="2"/>
          </w:tcPr>
          <w:p>
            <w:pPr>
              <w:jc w:val="center"/>
              <w:ind w:right="120"/>
              <w:spacing w:after="0" w:line="142" w:lineRule="exact"/>
              <w:rPr>
                <w:sz w:val="20"/>
                <w:szCs w:val="20"/>
                <w:color w:val="auto"/>
              </w:rPr>
            </w:pPr>
            <w:r>
              <w:rPr>
                <w:rFonts w:ascii="Arial" w:cs="Arial" w:eastAsia="Arial" w:hAnsi="Arial"/>
                <w:sz w:val="14"/>
                <w:szCs w:val="14"/>
                <w:color w:val="auto"/>
                <w:w w:val="91"/>
              </w:rPr>
              <w:t>Publicly Announced</w:t>
            </w:r>
          </w:p>
        </w:tc>
        <w:tc>
          <w:tcPr>
            <w:tcW w:w="100" w:type="dxa"/>
            <w:vAlign w:val="bottom"/>
          </w:tcPr>
          <w:p>
            <w:pPr>
              <w:spacing w:after="0"/>
              <w:rPr>
                <w:sz w:val="12"/>
                <w:szCs w:val="12"/>
                <w:color w:val="auto"/>
              </w:rPr>
            </w:pPr>
          </w:p>
        </w:tc>
        <w:tc>
          <w:tcPr>
            <w:tcW w:w="1560" w:type="dxa"/>
            <w:vAlign w:val="bottom"/>
          </w:tcPr>
          <w:p>
            <w:pPr>
              <w:jc w:val="center"/>
              <w:ind w:right="23"/>
              <w:spacing w:after="0" w:line="142" w:lineRule="exact"/>
              <w:rPr>
                <w:sz w:val="20"/>
                <w:szCs w:val="20"/>
                <w:color w:val="auto"/>
              </w:rPr>
            </w:pPr>
            <w:r>
              <w:rPr>
                <w:rFonts w:ascii="Arial" w:cs="Arial" w:eastAsia="Arial" w:hAnsi="Arial"/>
                <w:sz w:val="14"/>
                <w:szCs w:val="14"/>
                <w:color w:val="auto"/>
                <w:w w:val="86"/>
              </w:rPr>
              <w:t>Purchased Under the</w:t>
            </w:r>
          </w:p>
        </w:tc>
      </w:tr>
      <w:tr>
        <w:trPr>
          <w:trHeight w:val="142"/>
        </w:trPr>
        <w:tc>
          <w:tcPr>
            <w:tcW w:w="4820" w:type="dxa"/>
            <w:vAlign w:val="bottom"/>
            <w:gridSpan w:val="4"/>
          </w:tcPr>
          <w:p>
            <w:pPr>
              <w:ind w:left="20"/>
              <w:spacing w:after="0" w:line="122" w:lineRule="exact"/>
              <w:rPr>
                <w:sz w:val="20"/>
                <w:szCs w:val="20"/>
                <w:color w:val="auto"/>
              </w:rPr>
            </w:pPr>
            <w:r>
              <w:rPr>
                <w:rFonts w:ascii="Arial" w:cs="Arial" w:eastAsia="Arial" w:hAnsi="Arial"/>
                <w:sz w:val="14"/>
                <w:szCs w:val="14"/>
                <w:b w:val="1"/>
                <w:bCs w:val="1"/>
                <w:i w:val="1"/>
                <w:iCs w:val="1"/>
                <w:color w:val="auto"/>
              </w:rPr>
              <w:t>In millions, except shares and price per share</w:t>
            </w:r>
          </w:p>
        </w:tc>
        <w:tc>
          <w:tcPr>
            <w:tcW w:w="1700" w:type="dxa"/>
            <w:vAlign w:val="bottom"/>
            <w:gridSpan w:val="2"/>
          </w:tcPr>
          <w:p>
            <w:pPr>
              <w:ind w:left="520"/>
              <w:spacing w:after="0" w:line="122" w:lineRule="exact"/>
              <w:rPr>
                <w:sz w:val="20"/>
                <w:szCs w:val="20"/>
                <w:color w:val="auto"/>
              </w:rPr>
            </w:pPr>
            <w:r>
              <w:rPr>
                <w:rFonts w:ascii="Arial" w:cs="Arial" w:eastAsia="Arial" w:hAnsi="Arial"/>
                <w:sz w:val="14"/>
                <w:szCs w:val="14"/>
                <w:color w:val="auto"/>
              </w:rPr>
              <w:t>Purchased</w:t>
            </w:r>
          </w:p>
        </w:tc>
        <w:tc>
          <w:tcPr>
            <w:tcW w:w="240" w:type="dxa"/>
            <w:vAlign w:val="bottom"/>
          </w:tcPr>
          <w:p>
            <w:pPr>
              <w:spacing w:after="0"/>
              <w:rPr>
                <w:sz w:val="12"/>
                <w:szCs w:val="12"/>
                <w:color w:val="auto"/>
              </w:rPr>
            </w:pPr>
          </w:p>
        </w:tc>
        <w:tc>
          <w:tcPr>
            <w:tcW w:w="1120" w:type="dxa"/>
            <w:vAlign w:val="bottom"/>
            <w:gridSpan w:val="2"/>
          </w:tcPr>
          <w:p>
            <w:pPr>
              <w:ind w:left="140"/>
              <w:spacing w:after="0" w:line="122" w:lineRule="exact"/>
              <w:rPr>
                <w:sz w:val="20"/>
                <w:szCs w:val="20"/>
                <w:color w:val="auto"/>
              </w:rPr>
            </w:pPr>
            <w:r>
              <w:rPr>
                <w:rFonts w:ascii="Arial" w:cs="Arial" w:eastAsia="Arial" w:hAnsi="Arial"/>
                <w:sz w:val="14"/>
                <w:szCs w:val="14"/>
                <w:color w:val="auto"/>
              </w:rPr>
              <w:t>per Share</w:t>
            </w:r>
          </w:p>
        </w:tc>
        <w:tc>
          <w:tcPr>
            <w:tcW w:w="1680" w:type="dxa"/>
            <w:vAlign w:val="bottom"/>
            <w:gridSpan w:val="2"/>
          </w:tcPr>
          <w:p>
            <w:pPr>
              <w:jc w:val="center"/>
              <w:ind w:right="120"/>
              <w:spacing w:after="0" w:line="122" w:lineRule="exact"/>
              <w:rPr>
                <w:sz w:val="20"/>
                <w:szCs w:val="20"/>
                <w:color w:val="auto"/>
              </w:rPr>
            </w:pPr>
            <w:r>
              <w:rPr>
                <w:rFonts w:ascii="Arial" w:cs="Arial" w:eastAsia="Arial" w:hAnsi="Arial"/>
                <w:sz w:val="14"/>
                <w:szCs w:val="14"/>
                <w:color w:val="auto"/>
                <w:w w:val="88"/>
              </w:rPr>
              <w:t>Programs (1)</w:t>
            </w:r>
          </w:p>
        </w:tc>
        <w:tc>
          <w:tcPr>
            <w:tcW w:w="100" w:type="dxa"/>
            <w:vAlign w:val="bottom"/>
          </w:tcPr>
          <w:p>
            <w:pPr>
              <w:spacing w:after="0"/>
              <w:rPr>
                <w:sz w:val="12"/>
                <w:szCs w:val="12"/>
                <w:color w:val="auto"/>
              </w:rPr>
            </w:pPr>
          </w:p>
        </w:tc>
        <w:tc>
          <w:tcPr>
            <w:tcW w:w="1560" w:type="dxa"/>
            <w:vAlign w:val="bottom"/>
          </w:tcPr>
          <w:p>
            <w:pPr>
              <w:jc w:val="center"/>
              <w:ind w:right="43"/>
              <w:spacing w:after="0" w:line="122" w:lineRule="exact"/>
              <w:rPr>
                <w:sz w:val="20"/>
                <w:szCs w:val="20"/>
                <w:color w:val="auto"/>
              </w:rPr>
            </w:pPr>
            <w:r>
              <w:rPr>
                <w:rFonts w:ascii="Arial" w:cs="Arial" w:eastAsia="Arial" w:hAnsi="Arial"/>
                <w:sz w:val="14"/>
                <w:szCs w:val="14"/>
                <w:color w:val="auto"/>
                <w:w w:val="88"/>
              </w:rPr>
              <w:t>Programs (1)</w:t>
            </w:r>
          </w:p>
        </w:tc>
      </w:tr>
      <w:tr>
        <w:trPr>
          <w:trHeight w:val="32"/>
        </w:trPr>
        <w:tc>
          <w:tcPr>
            <w:tcW w:w="20" w:type="dxa"/>
            <w:vAlign w:val="bottom"/>
            <w:tcBorders>
              <w:bottom w:val="single" w:sz="8" w:color="auto"/>
            </w:tcBorders>
          </w:tcPr>
          <w:p>
            <w:pPr>
              <w:spacing w:after="0"/>
              <w:rPr>
                <w:sz w:val="2"/>
                <w:szCs w:val="2"/>
                <w:color w:val="auto"/>
              </w:rPr>
            </w:pPr>
          </w:p>
        </w:tc>
        <w:tc>
          <w:tcPr>
            <w:tcW w:w="2580" w:type="dxa"/>
            <w:vAlign w:val="bottom"/>
            <w:tcBorders>
              <w:top w:val="single" w:sz="8" w:color="auto"/>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12"/>
        </w:trPr>
        <w:tc>
          <w:tcPr>
            <w:tcW w:w="4820" w:type="dxa"/>
            <w:vAlign w:val="bottom"/>
            <w:gridSpan w:val="4"/>
            <w:shd w:val="clear" w:color="auto" w:fill="CCEEFF"/>
          </w:tcPr>
          <w:p>
            <w:pPr>
              <w:ind w:left="20"/>
              <w:spacing w:after="0"/>
              <w:rPr>
                <w:sz w:val="20"/>
                <w:szCs w:val="20"/>
                <w:color w:val="auto"/>
              </w:rPr>
            </w:pPr>
            <w:r>
              <w:rPr>
                <w:rFonts w:ascii="Arial" w:cs="Arial" w:eastAsia="Arial" w:hAnsi="Arial"/>
                <w:sz w:val="17"/>
                <w:szCs w:val="17"/>
                <w:color w:val="auto"/>
              </w:rPr>
              <w:t>July 2023</w:t>
            </w:r>
          </w:p>
        </w:tc>
        <w:tc>
          <w:tcPr>
            <w:tcW w:w="1700" w:type="dxa"/>
            <w:vAlign w:val="bottom"/>
            <w:gridSpan w:val="2"/>
            <w:shd w:val="clear" w:color="auto" w:fill="CCEEFF"/>
          </w:tcPr>
          <w:p>
            <w:pPr>
              <w:ind w:left="136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jc w:val="right"/>
              <w:ind w:right="58"/>
              <w:spacing w:after="0"/>
              <w:rPr>
                <w:sz w:val="20"/>
                <w:szCs w:val="20"/>
                <w:color w:val="auto"/>
              </w:rPr>
            </w:pPr>
            <w:r>
              <w:rPr>
                <w:rFonts w:ascii="Arial" w:cs="Arial" w:eastAsia="Arial" w:hAnsi="Arial"/>
                <w:sz w:val="17"/>
                <w:szCs w:val="17"/>
                <w:color w:val="auto"/>
                <w:w w:val="84"/>
              </w:rPr>
              <w:t>$</w:t>
            </w:r>
          </w:p>
        </w:tc>
        <w:tc>
          <w:tcPr>
            <w:tcW w:w="1120" w:type="dxa"/>
            <w:vAlign w:val="bottom"/>
            <w:gridSpan w:val="2"/>
            <w:shd w:val="clear" w:color="auto" w:fill="CCEEFF"/>
          </w:tcPr>
          <w:p>
            <w:pPr>
              <w:ind w:left="780"/>
              <w:spacing w:after="0"/>
              <w:rPr>
                <w:sz w:val="20"/>
                <w:szCs w:val="20"/>
                <w:color w:val="auto"/>
              </w:rPr>
            </w:pPr>
            <w:r>
              <w:rPr>
                <w:rFonts w:ascii="Arial" w:cs="Arial" w:eastAsia="Arial" w:hAnsi="Arial"/>
                <w:sz w:val="17"/>
                <w:szCs w:val="17"/>
                <w:color w:val="auto"/>
              </w:rPr>
              <w:t>—</w:t>
            </w:r>
          </w:p>
        </w:tc>
        <w:tc>
          <w:tcPr>
            <w:tcW w:w="1680" w:type="dxa"/>
            <w:vAlign w:val="bottom"/>
            <w:gridSpan w:val="2"/>
            <w:shd w:val="clear" w:color="auto" w:fill="CCEEFF"/>
          </w:tcPr>
          <w:p>
            <w:pPr>
              <w:ind w:left="13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588</w:t>
            </w:r>
          </w:p>
        </w:tc>
      </w:tr>
      <w:tr>
        <w:trPr>
          <w:trHeight w:val="218"/>
        </w:trPr>
        <w:tc>
          <w:tcPr>
            <w:tcW w:w="4820" w:type="dxa"/>
            <w:vAlign w:val="bottom"/>
            <w:gridSpan w:val="4"/>
          </w:tcPr>
          <w:p>
            <w:pPr>
              <w:ind w:left="20"/>
              <w:spacing w:after="0"/>
              <w:rPr>
                <w:sz w:val="20"/>
                <w:szCs w:val="20"/>
                <w:color w:val="auto"/>
              </w:rPr>
            </w:pPr>
            <w:r>
              <w:rPr>
                <w:rFonts w:ascii="Arial" w:cs="Arial" w:eastAsia="Arial" w:hAnsi="Arial"/>
                <w:sz w:val="17"/>
                <w:szCs w:val="17"/>
                <w:color w:val="auto"/>
              </w:rPr>
              <w:t>August 2023</w:t>
            </w:r>
          </w:p>
        </w:tc>
        <w:tc>
          <w:tcPr>
            <w:tcW w:w="1700" w:type="dxa"/>
            <w:vAlign w:val="bottom"/>
            <w:gridSpan w:val="2"/>
          </w:tcPr>
          <w:p>
            <w:pPr>
              <w:ind w:left="1360"/>
              <w:spacing w:after="0"/>
              <w:rPr>
                <w:sz w:val="20"/>
                <w:szCs w:val="20"/>
                <w:color w:val="auto"/>
              </w:rPr>
            </w:pPr>
            <w:r>
              <w:rPr>
                <w:rFonts w:ascii="Arial" w:cs="Arial" w:eastAsia="Arial" w:hAnsi="Arial"/>
                <w:sz w:val="17"/>
                <w:szCs w:val="17"/>
                <w:color w:val="auto"/>
              </w:rPr>
              <w:t>—</w:t>
            </w:r>
          </w:p>
        </w:tc>
        <w:tc>
          <w:tcPr>
            <w:tcW w:w="240" w:type="dxa"/>
            <w:vAlign w:val="bottom"/>
          </w:tcPr>
          <w:p>
            <w:pPr>
              <w:jc w:val="right"/>
              <w:ind w:right="58"/>
              <w:spacing w:after="0"/>
              <w:rPr>
                <w:sz w:val="20"/>
                <w:szCs w:val="20"/>
                <w:color w:val="auto"/>
              </w:rPr>
            </w:pPr>
            <w:r>
              <w:rPr>
                <w:rFonts w:ascii="Arial" w:cs="Arial" w:eastAsia="Arial" w:hAnsi="Arial"/>
                <w:sz w:val="17"/>
                <w:szCs w:val="17"/>
                <w:color w:val="auto"/>
                <w:w w:val="84"/>
              </w:rPr>
              <w:t>$</w:t>
            </w:r>
          </w:p>
        </w:tc>
        <w:tc>
          <w:tcPr>
            <w:tcW w:w="1120" w:type="dxa"/>
            <w:vAlign w:val="bottom"/>
            <w:gridSpan w:val="2"/>
          </w:tcPr>
          <w:p>
            <w:pPr>
              <w:ind w:left="780"/>
              <w:spacing w:after="0"/>
              <w:rPr>
                <w:sz w:val="20"/>
                <w:szCs w:val="20"/>
                <w:color w:val="auto"/>
              </w:rPr>
            </w:pPr>
            <w:r>
              <w:rPr>
                <w:rFonts w:ascii="Arial" w:cs="Arial" w:eastAsia="Arial" w:hAnsi="Arial"/>
                <w:sz w:val="17"/>
                <w:szCs w:val="17"/>
                <w:color w:val="auto"/>
              </w:rPr>
              <w:t>—</w:t>
            </w:r>
          </w:p>
        </w:tc>
        <w:tc>
          <w:tcPr>
            <w:tcW w:w="1680" w:type="dxa"/>
            <w:vAlign w:val="bottom"/>
            <w:gridSpan w:val="2"/>
          </w:tcPr>
          <w:p>
            <w:pPr>
              <w:ind w:left="1340"/>
              <w:spacing w:after="0"/>
              <w:rPr>
                <w:sz w:val="20"/>
                <w:szCs w:val="20"/>
                <w:color w:val="auto"/>
              </w:rPr>
            </w:pPr>
            <w:r>
              <w:rPr>
                <w:rFonts w:ascii="Arial" w:cs="Arial" w:eastAsia="Arial" w:hAnsi="Arial"/>
                <w:sz w:val="17"/>
                <w:szCs w:val="17"/>
                <w:color w:val="auto"/>
              </w:rPr>
              <w:t>—</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560" w:type="dxa"/>
            <w:vAlign w:val="bottom"/>
          </w:tcPr>
          <w:p>
            <w:pPr>
              <w:jc w:val="right"/>
              <w:spacing w:after="0"/>
              <w:rPr>
                <w:sz w:val="20"/>
                <w:szCs w:val="20"/>
                <w:color w:val="auto"/>
              </w:rPr>
            </w:pPr>
            <w:r>
              <w:rPr>
                <w:rFonts w:ascii="Arial" w:cs="Arial" w:eastAsia="Arial" w:hAnsi="Arial"/>
                <w:sz w:val="17"/>
                <w:szCs w:val="17"/>
                <w:color w:val="auto"/>
              </w:rPr>
              <w:t>588</w:t>
            </w:r>
          </w:p>
        </w:tc>
      </w:tr>
      <w:tr>
        <w:trPr>
          <w:trHeight w:val="219"/>
        </w:trPr>
        <w:tc>
          <w:tcPr>
            <w:tcW w:w="4820" w:type="dxa"/>
            <w:vAlign w:val="bottom"/>
            <w:gridSpan w:val="4"/>
            <w:shd w:val="clear" w:color="auto" w:fill="CCEEFF"/>
          </w:tcPr>
          <w:p>
            <w:pPr>
              <w:ind w:left="20"/>
              <w:spacing w:after="0"/>
              <w:rPr>
                <w:sz w:val="20"/>
                <w:szCs w:val="20"/>
                <w:color w:val="auto"/>
              </w:rPr>
            </w:pPr>
            <w:r>
              <w:rPr>
                <w:rFonts w:ascii="Arial" w:cs="Arial" w:eastAsia="Arial" w:hAnsi="Arial"/>
                <w:sz w:val="17"/>
                <w:szCs w:val="17"/>
                <w:color w:val="auto"/>
              </w:rPr>
              <w:t>September 2023</w:t>
            </w:r>
          </w:p>
        </w:tc>
        <w:tc>
          <w:tcPr>
            <w:tcW w:w="1600" w:type="dxa"/>
            <w:vAlign w:val="bottom"/>
            <w:tcBorders>
              <w:bottom w:val="single" w:sz="8" w:color="auto"/>
            </w:tcBorders>
            <w:shd w:val="clear" w:color="auto" w:fill="CCEEFF"/>
          </w:tcPr>
          <w:p>
            <w:pPr>
              <w:ind w:left="13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shd w:val="clear" w:color="auto" w:fill="CCEEFF"/>
          </w:tcPr>
          <w:p>
            <w:pPr>
              <w:ind w:left="7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ind w:left="13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588</w:t>
            </w:r>
          </w:p>
        </w:tc>
      </w:tr>
      <w:tr>
        <w:trPr>
          <w:trHeight w:val="213"/>
        </w:trPr>
        <w:tc>
          <w:tcPr>
            <w:tcW w:w="4820" w:type="dxa"/>
            <w:vAlign w:val="bottom"/>
            <w:gridSpan w:val="4"/>
          </w:tcPr>
          <w:p>
            <w:pPr>
              <w:ind w:left="20"/>
              <w:spacing w:after="0"/>
              <w:rPr>
                <w:sz w:val="20"/>
                <w:szCs w:val="20"/>
                <w:color w:val="auto"/>
              </w:rPr>
            </w:pPr>
            <w:r>
              <w:rPr>
                <w:rFonts w:ascii="Arial" w:cs="Arial" w:eastAsia="Arial" w:hAnsi="Arial"/>
                <w:sz w:val="17"/>
                <w:szCs w:val="17"/>
                <w:color w:val="auto"/>
              </w:rPr>
              <w:t>Total quarter ended September 30, 2023</w:t>
            </w:r>
          </w:p>
        </w:tc>
        <w:tc>
          <w:tcPr>
            <w:tcW w:w="1700" w:type="dxa"/>
            <w:vAlign w:val="bottom"/>
            <w:gridSpan w:val="2"/>
          </w:tcPr>
          <w:p>
            <w:pPr>
              <w:ind w:left="1360"/>
              <w:spacing w:after="0"/>
              <w:rPr>
                <w:sz w:val="20"/>
                <w:szCs w:val="20"/>
                <w:color w:val="auto"/>
              </w:rPr>
            </w:pPr>
            <w:r>
              <w:rPr>
                <w:rFonts w:ascii="Arial" w:cs="Arial" w:eastAsia="Arial" w:hAnsi="Arial"/>
                <w:sz w:val="17"/>
                <w:szCs w:val="17"/>
                <w:color w:val="auto"/>
              </w:rPr>
              <w:t>—</w:t>
            </w:r>
          </w:p>
        </w:tc>
        <w:tc>
          <w:tcPr>
            <w:tcW w:w="240" w:type="dxa"/>
            <w:vAlign w:val="bottom"/>
          </w:tcPr>
          <w:p>
            <w:pPr>
              <w:jc w:val="right"/>
              <w:ind w:right="58"/>
              <w:spacing w:after="0"/>
              <w:rPr>
                <w:sz w:val="20"/>
                <w:szCs w:val="20"/>
                <w:color w:val="auto"/>
              </w:rPr>
            </w:pPr>
            <w:r>
              <w:rPr>
                <w:rFonts w:ascii="Arial" w:cs="Arial" w:eastAsia="Arial" w:hAnsi="Arial"/>
                <w:sz w:val="17"/>
                <w:szCs w:val="17"/>
                <w:color w:val="auto"/>
                <w:w w:val="84"/>
              </w:rPr>
              <w:t>$</w:t>
            </w:r>
          </w:p>
        </w:tc>
        <w:tc>
          <w:tcPr>
            <w:tcW w:w="1120" w:type="dxa"/>
            <w:vAlign w:val="bottom"/>
            <w:gridSpan w:val="2"/>
          </w:tcPr>
          <w:p>
            <w:pPr>
              <w:ind w:left="780"/>
              <w:spacing w:after="0"/>
              <w:rPr>
                <w:sz w:val="20"/>
                <w:szCs w:val="20"/>
                <w:color w:val="auto"/>
              </w:rPr>
            </w:pPr>
            <w:r>
              <w:rPr>
                <w:rFonts w:ascii="Arial" w:cs="Arial" w:eastAsia="Arial" w:hAnsi="Arial"/>
                <w:sz w:val="17"/>
                <w:szCs w:val="17"/>
                <w:color w:val="auto"/>
              </w:rPr>
              <w:t>—</w:t>
            </w:r>
          </w:p>
        </w:tc>
        <w:tc>
          <w:tcPr>
            <w:tcW w:w="1680" w:type="dxa"/>
            <w:vAlign w:val="bottom"/>
            <w:gridSpan w:val="2"/>
          </w:tcPr>
          <w:p>
            <w:pPr>
              <w:ind w:left="1340"/>
              <w:spacing w:after="0"/>
              <w:rPr>
                <w:sz w:val="20"/>
                <w:szCs w:val="20"/>
                <w:color w:val="auto"/>
              </w:rPr>
            </w:pPr>
            <w:r>
              <w:rPr>
                <w:rFonts w:ascii="Arial" w:cs="Arial" w:eastAsia="Arial" w:hAnsi="Arial"/>
                <w:sz w:val="17"/>
                <w:szCs w:val="17"/>
                <w:color w:val="auto"/>
              </w:rPr>
              <w:t>—</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560" w:type="dxa"/>
            <w:vAlign w:val="bottom"/>
          </w:tcPr>
          <w:p>
            <w:pPr>
              <w:jc w:val="right"/>
              <w:spacing w:after="0"/>
              <w:rPr>
                <w:sz w:val="20"/>
                <w:szCs w:val="20"/>
                <w:color w:val="auto"/>
              </w:rPr>
            </w:pPr>
            <w:r>
              <w:rPr>
                <w:rFonts w:ascii="Arial" w:cs="Arial" w:eastAsia="Arial" w:hAnsi="Arial"/>
                <w:sz w:val="17"/>
                <w:szCs w:val="17"/>
                <w:color w:val="auto"/>
              </w:rPr>
              <w:t>588</w:t>
            </w:r>
          </w:p>
        </w:tc>
      </w:tr>
      <w:tr>
        <w:trPr>
          <w:trHeight w:val="20"/>
        </w:trPr>
        <w:tc>
          <w:tcPr>
            <w:tcW w:w="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ind w:right="20" w:firstLine="3"/>
        <w:spacing w:after="0" w:line="257" w:lineRule="auto"/>
        <w:tabs>
          <w:tab w:leader="none" w:pos="415" w:val="left"/>
        </w:tabs>
        <w:numPr>
          <w:ilvl w:val="0"/>
          <w:numId w:val="21"/>
        </w:numPr>
        <w:rPr>
          <w:rFonts w:ascii="Arial" w:cs="Arial" w:eastAsia="Arial" w:hAnsi="Arial"/>
          <w:sz w:val="17"/>
          <w:szCs w:val="17"/>
          <w:color w:val="auto"/>
        </w:rPr>
      </w:pPr>
      <w:r>
        <w:rPr>
          <w:rFonts w:ascii="Arial" w:cs="Arial" w:eastAsia="Arial" w:hAnsi="Arial"/>
          <w:sz w:val="17"/>
          <w:szCs w:val="17"/>
          <w:color w:val="auto"/>
        </w:rPr>
        <w:t>On February 14, 2023, the Board of Directors reauthorized its stock repurchase program to refresh the amount available for stock repurchases to $750 million of the Company’s outstanding shares. This new stock repurchase authorization supersedes the previous authorization of $750 million, of which approximately $232 million remained at the reauthorization date. No time limit was set for the completion of the program which conforms to the requirements under the Restated Credit Agreement and the indentures for the Senior Notes currently outstanding. The Company may repurchase shares in the future at any time, depending upon market conditions, our capital needs and other factors. Purchases of shares may be made by open market purchases or privately negotiated purchases and may be made pursuant to Rule 10b5-1 plan or otherwise. As of September 30, 2023, approximately $588 million was remaining under the stock repurchase plan.</w:t>
      </w:r>
    </w:p>
    <w:p>
      <w:pPr>
        <w:spacing w:after="0" w:line="359" w:lineRule="exact"/>
        <w:rPr>
          <w:sz w:val="20"/>
          <w:szCs w:val="20"/>
          <w:color w:val="auto"/>
        </w:rPr>
      </w:pPr>
    </w:p>
    <w:p>
      <w:pPr>
        <w:spacing w:after="0"/>
        <w:tabs>
          <w:tab w:leader="none" w:pos="680" w:val="left"/>
        </w:tabs>
        <w:rPr>
          <w:sz w:val="20"/>
          <w:szCs w:val="20"/>
          <w:color w:val="auto"/>
        </w:rPr>
      </w:pPr>
      <w:r>
        <w:rPr>
          <w:rFonts w:ascii="Arial" w:cs="Arial" w:eastAsia="Arial" w:hAnsi="Arial"/>
          <w:sz w:val="17"/>
          <w:szCs w:val="17"/>
          <w:b w:val="1"/>
          <w:bCs w:val="1"/>
          <w:color w:val="auto"/>
        </w:rPr>
        <w:t>Item 4.</w:t>
        <w:tab/>
        <w:t>MINE SAFETY DISCLOSURES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Not Applicable</w:t>
      </w:r>
    </w:p>
    <w:p>
      <w:pPr>
        <w:spacing w:after="0" w:line="237" w:lineRule="exact"/>
        <w:rPr>
          <w:sz w:val="20"/>
          <w:szCs w:val="20"/>
          <w:color w:val="auto"/>
        </w:rPr>
      </w:pPr>
    </w:p>
    <w:p>
      <w:pPr>
        <w:spacing w:after="0"/>
        <w:tabs>
          <w:tab w:leader="none" w:pos="680" w:val="left"/>
        </w:tabs>
        <w:rPr>
          <w:sz w:val="20"/>
          <w:szCs w:val="20"/>
          <w:color w:val="auto"/>
        </w:rPr>
      </w:pPr>
      <w:r>
        <w:rPr>
          <w:rFonts w:ascii="Arial" w:cs="Arial" w:eastAsia="Arial" w:hAnsi="Arial"/>
          <w:sz w:val="17"/>
          <w:szCs w:val="17"/>
          <w:b w:val="1"/>
          <w:bCs w:val="1"/>
          <w:color w:val="auto"/>
        </w:rPr>
        <w:t>Item 5.</w:t>
        <w:tab/>
        <w:t>OTHER INFORMATION</w:t>
      </w:r>
    </w:p>
    <w:p>
      <w:pPr>
        <w:spacing w:after="0" w:line="171" w:lineRule="exact"/>
        <w:rPr>
          <w:sz w:val="20"/>
          <w:szCs w:val="20"/>
          <w:color w:val="auto"/>
        </w:rPr>
      </w:pPr>
    </w:p>
    <w:p>
      <w:pPr>
        <w:ind w:right="100" w:firstLine="464"/>
        <w:spacing w:after="0" w:line="279" w:lineRule="auto"/>
        <w:rPr>
          <w:sz w:val="20"/>
          <w:szCs w:val="20"/>
          <w:color w:val="auto"/>
        </w:rPr>
      </w:pPr>
      <w:r>
        <w:rPr>
          <w:rFonts w:ascii="Arial" w:cs="Arial" w:eastAsia="Arial" w:hAnsi="Arial"/>
          <w:sz w:val="17"/>
          <w:szCs w:val="17"/>
          <w:color w:val="auto"/>
        </w:rPr>
        <w:t>None of Wabtec's Directors or Officers have adopted, terminated, or materially modified any trading plans, whether or not the plan was intended to qualify for the affirmative defense under Rule 10b5-1, during the third quarter ended September 30, 2023.</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223"/>
        </w:trPr>
        <w:tc>
          <w:tcPr>
            <w:tcW w:w="680" w:type="dxa"/>
            <w:vAlign w:val="bottom"/>
          </w:tcPr>
          <w:p>
            <w:pPr>
              <w:spacing w:after="0"/>
              <w:rPr>
                <w:sz w:val="20"/>
                <w:szCs w:val="20"/>
                <w:color w:val="auto"/>
              </w:rPr>
            </w:pPr>
            <w:r>
              <w:rPr>
                <w:rFonts w:ascii="Arial" w:cs="Arial" w:eastAsia="Arial" w:hAnsi="Arial"/>
                <w:sz w:val="17"/>
                <w:szCs w:val="17"/>
                <w:b w:val="1"/>
                <w:bCs w:val="1"/>
                <w:color w:val="auto"/>
              </w:rPr>
              <w:t>Item 6.</w:t>
            </w:r>
          </w:p>
        </w:tc>
        <w:tc>
          <w:tcPr>
            <w:tcW w:w="6420" w:type="dxa"/>
            <w:vAlign w:val="bottom"/>
            <w:gridSpan w:val="5"/>
          </w:tcPr>
          <w:p>
            <w:pPr>
              <w:ind w:left="20"/>
              <w:spacing w:after="0"/>
              <w:rPr>
                <w:sz w:val="20"/>
                <w:szCs w:val="20"/>
                <w:color w:val="auto"/>
              </w:rPr>
            </w:pPr>
            <w:r>
              <w:rPr>
                <w:rFonts w:ascii="Arial" w:cs="Arial" w:eastAsia="Arial" w:hAnsi="Arial"/>
                <w:sz w:val="17"/>
                <w:szCs w:val="17"/>
                <w:b w:val="1"/>
                <w:bCs w:val="1"/>
                <w:color w:val="auto"/>
              </w:rPr>
              <w:t>EXHIBITS</w:t>
            </w:r>
          </w:p>
        </w:tc>
      </w:tr>
      <w:tr>
        <w:trPr>
          <w:trHeight w:val="309"/>
        </w:trPr>
        <w:tc>
          <w:tcPr>
            <w:tcW w:w="7100" w:type="dxa"/>
            <w:vAlign w:val="bottom"/>
            <w:gridSpan w:val="6"/>
          </w:tcPr>
          <w:p>
            <w:pPr>
              <w:ind w:left="460"/>
              <w:spacing w:after="0"/>
              <w:rPr>
                <w:sz w:val="20"/>
                <w:szCs w:val="20"/>
                <w:color w:val="auto"/>
              </w:rPr>
            </w:pPr>
            <w:r>
              <w:rPr>
                <w:rFonts w:ascii="Arial" w:cs="Arial" w:eastAsia="Arial" w:hAnsi="Arial"/>
                <w:sz w:val="17"/>
                <w:szCs w:val="17"/>
                <w:color w:val="auto"/>
              </w:rPr>
              <w:t>The following exhibits are being filed with this report:</w:t>
            </w:r>
          </w:p>
        </w:tc>
      </w:tr>
      <w:tr>
        <w:trPr>
          <w:trHeight w:val="311"/>
        </w:trPr>
        <w:tc>
          <w:tcPr>
            <w:tcW w:w="680" w:type="dxa"/>
            <w:vAlign w:val="bottom"/>
          </w:tcPr>
          <w:p>
            <w:pPr>
              <w:ind w:left="20"/>
              <w:spacing w:after="0"/>
              <w:rPr>
                <w:sz w:val="20"/>
                <w:szCs w:val="20"/>
                <w:color w:val="auto"/>
              </w:rPr>
            </w:pPr>
            <w:r>
              <w:rPr>
                <w:rFonts w:ascii="Arial" w:cs="Arial" w:eastAsia="Arial" w:hAnsi="Arial"/>
                <w:sz w:val="17"/>
                <w:szCs w:val="17"/>
                <w:color w:val="auto"/>
              </w:rPr>
              <w:t>22.1</w:t>
            </w:r>
          </w:p>
        </w:tc>
        <w:tc>
          <w:tcPr>
            <w:tcW w:w="780" w:type="dxa"/>
            <w:vAlign w:val="bottom"/>
          </w:tcPr>
          <w:p>
            <w:pPr>
              <w:spacing w:after="0"/>
              <w:rPr>
                <w:sz w:val="24"/>
                <w:szCs w:val="24"/>
                <w:color w:val="auto"/>
              </w:rPr>
            </w:pPr>
          </w:p>
        </w:tc>
        <w:tc>
          <w:tcPr>
            <w:tcW w:w="5640" w:type="dxa"/>
            <w:vAlign w:val="bottom"/>
            <w:gridSpan w:val="4"/>
          </w:tcPr>
          <w:p>
            <w:pPr>
              <w:spacing w:after="0"/>
              <w:rPr>
                <w:sz w:val="20"/>
                <w:szCs w:val="20"/>
                <w:color w:val="auto"/>
              </w:rPr>
            </w:pPr>
            <w:r>
              <w:rPr>
                <w:rFonts w:ascii="Arial" w:cs="Arial" w:eastAsia="Arial" w:hAnsi="Arial"/>
                <w:sz w:val="17"/>
                <w:szCs w:val="17"/>
                <w:color w:val="0000FF"/>
              </w:rPr>
              <w:t>List of Subsidiary Guarantors</w:t>
            </w:r>
          </w:p>
        </w:tc>
      </w:tr>
      <w:tr>
        <w:trPr>
          <w:trHeight w:val="20"/>
        </w:trPr>
        <w:tc>
          <w:tcPr>
            <w:tcW w:w="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251"/>
        </w:trPr>
        <w:tc>
          <w:tcPr>
            <w:tcW w:w="680" w:type="dxa"/>
            <w:vAlign w:val="bottom"/>
          </w:tcPr>
          <w:p>
            <w:pPr>
              <w:ind w:left="20"/>
              <w:spacing w:after="0"/>
              <w:rPr>
                <w:sz w:val="20"/>
                <w:szCs w:val="20"/>
                <w:color w:val="auto"/>
              </w:rPr>
            </w:pPr>
            <w:r>
              <w:rPr>
                <w:rFonts w:ascii="Arial" w:cs="Arial" w:eastAsia="Arial" w:hAnsi="Arial"/>
                <w:sz w:val="17"/>
                <w:szCs w:val="17"/>
                <w:color w:val="auto"/>
              </w:rPr>
              <w:t>31.1</w:t>
            </w:r>
          </w:p>
        </w:tc>
        <w:tc>
          <w:tcPr>
            <w:tcW w:w="780" w:type="dxa"/>
            <w:vAlign w:val="bottom"/>
          </w:tcPr>
          <w:p>
            <w:pPr>
              <w:spacing w:after="0"/>
              <w:rPr>
                <w:sz w:val="21"/>
                <w:szCs w:val="21"/>
                <w:color w:val="auto"/>
              </w:rPr>
            </w:pPr>
          </w:p>
        </w:tc>
        <w:tc>
          <w:tcPr>
            <w:tcW w:w="5640" w:type="dxa"/>
            <w:vAlign w:val="bottom"/>
            <w:gridSpan w:val="4"/>
          </w:tcPr>
          <w:p>
            <w:pPr>
              <w:spacing w:after="0"/>
              <w:rPr>
                <w:sz w:val="20"/>
                <w:szCs w:val="20"/>
                <w:color w:val="auto"/>
              </w:rPr>
            </w:pPr>
            <w:r>
              <w:rPr>
                <w:rFonts w:ascii="Arial" w:cs="Arial" w:eastAsia="Arial" w:hAnsi="Arial"/>
                <w:sz w:val="17"/>
                <w:szCs w:val="17"/>
                <w:color w:val="0000FF"/>
              </w:rPr>
              <w:t>Rule 13a-14(a) Certification of Chief Executive Officer.</w:t>
            </w:r>
          </w:p>
        </w:tc>
      </w:tr>
      <w:tr>
        <w:trPr>
          <w:trHeight w:val="251"/>
        </w:trPr>
        <w:tc>
          <w:tcPr>
            <w:tcW w:w="680" w:type="dxa"/>
            <w:vAlign w:val="bottom"/>
          </w:tcPr>
          <w:p>
            <w:pPr>
              <w:ind w:left="20"/>
              <w:spacing w:after="0"/>
              <w:rPr>
                <w:sz w:val="20"/>
                <w:szCs w:val="20"/>
                <w:color w:val="auto"/>
              </w:rPr>
            </w:pPr>
            <w:r>
              <w:rPr>
                <w:rFonts w:ascii="Arial" w:cs="Arial" w:eastAsia="Arial" w:hAnsi="Arial"/>
                <w:sz w:val="17"/>
                <w:szCs w:val="17"/>
                <w:color w:val="auto"/>
              </w:rPr>
              <w:t>31.2</w:t>
            </w:r>
          </w:p>
        </w:tc>
        <w:tc>
          <w:tcPr>
            <w:tcW w:w="780" w:type="dxa"/>
            <w:vAlign w:val="bottom"/>
          </w:tcPr>
          <w:p>
            <w:pPr>
              <w:spacing w:after="0"/>
              <w:rPr>
                <w:sz w:val="21"/>
                <w:szCs w:val="21"/>
                <w:color w:val="auto"/>
              </w:rPr>
            </w:pPr>
          </w:p>
        </w:tc>
        <w:tc>
          <w:tcPr>
            <w:tcW w:w="3840" w:type="dxa"/>
            <w:vAlign w:val="bottom"/>
            <w:tcBorders>
              <w:top w:val="single" w:sz="8" w:color="0000FF"/>
            </w:tcBorders>
            <w:gridSpan w:val="3"/>
          </w:tcPr>
          <w:p>
            <w:pPr>
              <w:spacing w:after="0"/>
              <w:rPr>
                <w:sz w:val="20"/>
                <w:szCs w:val="20"/>
                <w:color w:val="auto"/>
              </w:rPr>
            </w:pPr>
            <w:r>
              <w:rPr>
                <w:rFonts w:ascii="Arial" w:cs="Arial" w:eastAsia="Arial" w:hAnsi="Arial"/>
                <w:sz w:val="17"/>
                <w:szCs w:val="17"/>
                <w:color w:val="0000FF"/>
                <w:w w:val="94"/>
              </w:rPr>
              <w:t>Rule 13a-14(a) Certification of Chief Financial Officer.</w:t>
            </w:r>
          </w:p>
        </w:tc>
        <w:tc>
          <w:tcPr>
            <w:tcW w:w="1800" w:type="dxa"/>
            <w:vAlign w:val="bottom"/>
          </w:tcPr>
          <w:p>
            <w:pPr>
              <w:spacing w:after="0"/>
              <w:rPr>
                <w:sz w:val="21"/>
                <w:szCs w:val="21"/>
                <w:color w:val="auto"/>
              </w:rPr>
            </w:pPr>
          </w:p>
        </w:tc>
      </w:tr>
      <w:tr>
        <w:trPr>
          <w:trHeight w:val="20"/>
        </w:trPr>
        <w:tc>
          <w:tcPr>
            <w:tcW w:w="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0" w:type="dxa"/>
            <w:vAlign w:val="bottom"/>
            <w:gridSpan w:val="2"/>
            <w:shd w:val="clear" w:color="auto" w:fill="0000FF"/>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r>
      <w:tr>
        <w:trPr>
          <w:trHeight w:val="251"/>
        </w:trPr>
        <w:tc>
          <w:tcPr>
            <w:tcW w:w="680" w:type="dxa"/>
            <w:vAlign w:val="bottom"/>
          </w:tcPr>
          <w:p>
            <w:pPr>
              <w:ind w:left="20"/>
              <w:spacing w:after="0"/>
              <w:rPr>
                <w:sz w:val="20"/>
                <w:szCs w:val="20"/>
                <w:color w:val="auto"/>
              </w:rPr>
            </w:pPr>
            <w:r>
              <w:rPr>
                <w:rFonts w:ascii="Arial" w:cs="Arial" w:eastAsia="Arial" w:hAnsi="Arial"/>
                <w:sz w:val="17"/>
                <w:szCs w:val="17"/>
                <w:color w:val="auto"/>
              </w:rPr>
              <w:t>32.1</w:t>
            </w:r>
          </w:p>
        </w:tc>
        <w:tc>
          <w:tcPr>
            <w:tcW w:w="780" w:type="dxa"/>
            <w:vAlign w:val="bottom"/>
          </w:tcPr>
          <w:p>
            <w:pPr>
              <w:spacing w:after="0"/>
              <w:rPr>
                <w:sz w:val="21"/>
                <w:szCs w:val="21"/>
                <w:color w:val="auto"/>
              </w:rPr>
            </w:pPr>
          </w:p>
        </w:tc>
        <w:tc>
          <w:tcPr>
            <w:tcW w:w="5640" w:type="dxa"/>
            <w:vAlign w:val="bottom"/>
            <w:tcBorders>
              <w:bottom w:val="single" w:sz="8" w:color="0000FF"/>
            </w:tcBorders>
            <w:gridSpan w:val="4"/>
          </w:tcPr>
          <w:p>
            <w:pPr>
              <w:spacing w:after="0"/>
              <w:rPr>
                <w:sz w:val="20"/>
                <w:szCs w:val="20"/>
                <w:color w:val="auto"/>
              </w:rPr>
            </w:pPr>
            <w:r>
              <w:rPr>
                <w:rFonts w:ascii="Arial" w:cs="Arial" w:eastAsia="Arial" w:hAnsi="Arial"/>
                <w:sz w:val="17"/>
                <w:szCs w:val="17"/>
                <w:color w:val="0000FF"/>
                <w:w w:val="93"/>
              </w:rPr>
              <w:t>Section 1350 Certification of Chief Executive Officer and Chief Financial Officer.</w:t>
            </w:r>
          </w:p>
        </w:tc>
      </w:tr>
      <w:tr>
        <w:trPr>
          <w:trHeight w:val="288"/>
        </w:trPr>
        <w:tc>
          <w:tcPr>
            <w:tcW w:w="680" w:type="dxa"/>
            <w:vAlign w:val="bottom"/>
          </w:tcPr>
          <w:p>
            <w:pPr>
              <w:ind w:left="20"/>
              <w:spacing w:after="0"/>
              <w:rPr>
                <w:sz w:val="20"/>
                <w:szCs w:val="20"/>
                <w:color w:val="auto"/>
              </w:rPr>
            </w:pPr>
            <w:r>
              <w:rPr>
                <w:rFonts w:ascii="Arial" w:cs="Arial" w:eastAsia="Arial" w:hAnsi="Arial"/>
                <w:sz w:val="17"/>
                <w:szCs w:val="17"/>
                <w:color w:val="auto"/>
              </w:rPr>
              <w:t>101.INS</w:t>
            </w:r>
          </w:p>
        </w:tc>
        <w:tc>
          <w:tcPr>
            <w:tcW w:w="780" w:type="dxa"/>
            <w:vAlign w:val="bottom"/>
          </w:tcPr>
          <w:p>
            <w:pPr>
              <w:spacing w:after="0"/>
              <w:rPr>
                <w:sz w:val="24"/>
                <w:szCs w:val="24"/>
                <w:color w:val="auto"/>
              </w:rPr>
            </w:pPr>
          </w:p>
        </w:tc>
        <w:tc>
          <w:tcPr>
            <w:tcW w:w="5640" w:type="dxa"/>
            <w:vAlign w:val="bottom"/>
            <w:gridSpan w:val="4"/>
          </w:tcPr>
          <w:p>
            <w:pPr>
              <w:spacing w:after="0"/>
              <w:rPr>
                <w:sz w:val="20"/>
                <w:szCs w:val="20"/>
                <w:color w:val="auto"/>
              </w:rPr>
            </w:pPr>
            <w:r>
              <w:rPr>
                <w:rFonts w:ascii="Arial" w:cs="Arial" w:eastAsia="Arial" w:hAnsi="Arial"/>
                <w:sz w:val="17"/>
                <w:szCs w:val="17"/>
                <w:color w:val="auto"/>
              </w:rPr>
              <w:t>XBRL Instance Document.</w:t>
            </w:r>
          </w:p>
        </w:tc>
      </w:tr>
      <w:tr>
        <w:trPr>
          <w:trHeight w:val="271"/>
        </w:trPr>
        <w:tc>
          <w:tcPr>
            <w:tcW w:w="680" w:type="dxa"/>
            <w:vAlign w:val="bottom"/>
          </w:tcPr>
          <w:p>
            <w:pPr>
              <w:ind w:left="20"/>
              <w:spacing w:after="0"/>
              <w:rPr>
                <w:sz w:val="20"/>
                <w:szCs w:val="20"/>
                <w:color w:val="auto"/>
              </w:rPr>
            </w:pPr>
            <w:r>
              <w:rPr>
                <w:rFonts w:ascii="Arial" w:cs="Arial" w:eastAsia="Arial" w:hAnsi="Arial"/>
                <w:sz w:val="17"/>
                <w:szCs w:val="17"/>
                <w:color w:val="auto"/>
                <w:w w:val="92"/>
              </w:rPr>
              <w:t>101.SCH</w:t>
            </w:r>
          </w:p>
        </w:tc>
        <w:tc>
          <w:tcPr>
            <w:tcW w:w="780" w:type="dxa"/>
            <w:vAlign w:val="bottom"/>
          </w:tcPr>
          <w:p>
            <w:pPr>
              <w:spacing w:after="0"/>
              <w:rPr>
                <w:sz w:val="23"/>
                <w:szCs w:val="23"/>
                <w:color w:val="auto"/>
              </w:rPr>
            </w:pPr>
          </w:p>
        </w:tc>
        <w:tc>
          <w:tcPr>
            <w:tcW w:w="5640" w:type="dxa"/>
            <w:vAlign w:val="bottom"/>
            <w:gridSpan w:val="4"/>
          </w:tcPr>
          <w:p>
            <w:pPr>
              <w:spacing w:after="0"/>
              <w:rPr>
                <w:sz w:val="20"/>
                <w:szCs w:val="20"/>
                <w:color w:val="auto"/>
              </w:rPr>
            </w:pPr>
            <w:r>
              <w:rPr>
                <w:rFonts w:ascii="Arial" w:cs="Arial" w:eastAsia="Arial" w:hAnsi="Arial"/>
                <w:sz w:val="17"/>
                <w:szCs w:val="17"/>
                <w:color w:val="auto"/>
              </w:rPr>
              <w:t>Inline XBRL Taxonomy Extension Schema Document.</w:t>
            </w:r>
          </w:p>
        </w:tc>
      </w:tr>
      <w:tr>
        <w:trPr>
          <w:trHeight w:val="271"/>
        </w:trPr>
        <w:tc>
          <w:tcPr>
            <w:tcW w:w="680" w:type="dxa"/>
            <w:vAlign w:val="bottom"/>
          </w:tcPr>
          <w:p>
            <w:pPr>
              <w:ind w:left="20"/>
              <w:spacing w:after="0"/>
              <w:rPr>
                <w:sz w:val="20"/>
                <w:szCs w:val="20"/>
                <w:color w:val="auto"/>
              </w:rPr>
            </w:pPr>
            <w:r>
              <w:rPr>
                <w:rFonts w:ascii="Arial" w:cs="Arial" w:eastAsia="Arial" w:hAnsi="Arial"/>
                <w:sz w:val="17"/>
                <w:szCs w:val="17"/>
                <w:color w:val="auto"/>
                <w:w w:val="96"/>
              </w:rPr>
              <w:t>101.CAL</w:t>
            </w:r>
          </w:p>
        </w:tc>
        <w:tc>
          <w:tcPr>
            <w:tcW w:w="780" w:type="dxa"/>
            <w:vAlign w:val="bottom"/>
          </w:tcPr>
          <w:p>
            <w:pPr>
              <w:spacing w:after="0"/>
              <w:rPr>
                <w:sz w:val="23"/>
                <w:szCs w:val="23"/>
                <w:color w:val="auto"/>
              </w:rPr>
            </w:pPr>
          </w:p>
        </w:tc>
        <w:tc>
          <w:tcPr>
            <w:tcW w:w="5640" w:type="dxa"/>
            <w:vAlign w:val="bottom"/>
            <w:gridSpan w:val="4"/>
          </w:tcPr>
          <w:p>
            <w:pPr>
              <w:spacing w:after="0"/>
              <w:rPr>
                <w:sz w:val="20"/>
                <w:szCs w:val="20"/>
                <w:color w:val="auto"/>
              </w:rPr>
            </w:pPr>
            <w:r>
              <w:rPr>
                <w:rFonts w:ascii="Arial" w:cs="Arial" w:eastAsia="Arial" w:hAnsi="Arial"/>
                <w:sz w:val="17"/>
                <w:szCs w:val="17"/>
                <w:color w:val="auto"/>
              </w:rPr>
              <w:t>Inline XBRL Taxonomy Extension Calculation Linkbase Document.</w:t>
            </w:r>
          </w:p>
        </w:tc>
      </w:tr>
      <w:tr>
        <w:trPr>
          <w:trHeight w:val="271"/>
        </w:trPr>
        <w:tc>
          <w:tcPr>
            <w:tcW w:w="680" w:type="dxa"/>
            <w:vAlign w:val="bottom"/>
          </w:tcPr>
          <w:p>
            <w:pPr>
              <w:ind w:left="20"/>
              <w:spacing w:after="0"/>
              <w:rPr>
                <w:sz w:val="20"/>
                <w:szCs w:val="20"/>
                <w:color w:val="auto"/>
              </w:rPr>
            </w:pPr>
            <w:r>
              <w:rPr>
                <w:rFonts w:ascii="Arial" w:cs="Arial" w:eastAsia="Arial" w:hAnsi="Arial"/>
                <w:sz w:val="17"/>
                <w:szCs w:val="17"/>
                <w:color w:val="auto"/>
                <w:w w:val="95"/>
              </w:rPr>
              <w:t>101.DEF</w:t>
            </w:r>
          </w:p>
        </w:tc>
        <w:tc>
          <w:tcPr>
            <w:tcW w:w="780" w:type="dxa"/>
            <w:vAlign w:val="bottom"/>
          </w:tcPr>
          <w:p>
            <w:pPr>
              <w:spacing w:after="0"/>
              <w:rPr>
                <w:sz w:val="23"/>
                <w:szCs w:val="23"/>
                <w:color w:val="auto"/>
              </w:rPr>
            </w:pPr>
          </w:p>
        </w:tc>
        <w:tc>
          <w:tcPr>
            <w:tcW w:w="5640" w:type="dxa"/>
            <w:vAlign w:val="bottom"/>
            <w:gridSpan w:val="4"/>
          </w:tcPr>
          <w:p>
            <w:pPr>
              <w:spacing w:after="0"/>
              <w:rPr>
                <w:sz w:val="20"/>
                <w:szCs w:val="20"/>
                <w:color w:val="auto"/>
              </w:rPr>
            </w:pPr>
            <w:r>
              <w:rPr>
                <w:rFonts w:ascii="Arial" w:cs="Arial" w:eastAsia="Arial" w:hAnsi="Arial"/>
                <w:sz w:val="17"/>
                <w:szCs w:val="17"/>
                <w:color w:val="auto"/>
              </w:rPr>
              <w:t>Inline XBRL Taxonomy Extension Definition Linkbase Document.</w:t>
            </w:r>
          </w:p>
        </w:tc>
      </w:tr>
      <w:tr>
        <w:trPr>
          <w:trHeight w:val="271"/>
        </w:trPr>
        <w:tc>
          <w:tcPr>
            <w:tcW w:w="680" w:type="dxa"/>
            <w:vAlign w:val="bottom"/>
          </w:tcPr>
          <w:p>
            <w:pPr>
              <w:ind w:left="20"/>
              <w:spacing w:after="0"/>
              <w:rPr>
                <w:sz w:val="20"/>
                <w:szCs w:val="20"/>
                <w:color w:val="auto"/>
              </w:rPr>
            </w:pPr>
            <w:r>
              <w:rPr>
                <w:rFonts w:ascii="Arial" w:cs="Arial" w:eastAsia="Arial" w:hAnsi="Arial"/>
                <w:sz w:val="17"/>
                <w:szCs w:val="17"/>
                <w:color w:val="auto"/>
                <w:w w:val="98"/>
              </w:rPr>
              <w:t>101.LAB</w:t>
            </w:r>
          </w:p>
        </w:tc>
        <w:tc>
          <w:tcPr>
            <w:tcW w:w="780" w:type="dxa"/>
            <w:vAlign w:val="bottom"/>
          </w:tcPr>
          <w:p>
            <w:pPr>
              <w:spacing w:after="0"/>
              <w:rPr>
                <w:sz w:val="23"/>
                <w:szCs w:val="23"/>
                <w:color w:val="auto"/>
              </w:rPr>
            </w:pPr>
          </w:p>
        </w:tc>
        <w:tc>
          <w:tcPr>
            <w:tcW w:w="5640" w:type="dxa"/>
            <w:vAlign w:val="bottom"/>
            <w:gridSpan w:val="4"/>
          </w:tcPr>
          <w:p>
            <w:pPr>
              <w:spacing w:after="0"/>
              <w:rPr>
                <w:sz w:val="20"/>
                <w:szCs w:val="20"/>
                <w:color w:val="auto"/>
              </w:rPr>
            </w:pPr>
            <w:r>
              <w:rPr>
                <w:rFonts w:ascii="Arial" w:cs="Arial" w:eastAsia="Arial" w:hAnsi="Arial"/>
                <w:sz w:val="17"/>
                <w:szCs w:val="17"/>
                <w:color w:val="auto"/>
              </w:rPr>
              <w:t>Inline XBRL Taxonomy Extension Label Linkbase Document.</w:t>
            </w:r>
          </w:p>
        </w:tc>
      </w:tr>
      <w:tr>
        <w:trPr>
          <w:trHeight w:val="271"/>
        </w:trPr>
        <w:tc>
          <w:tcPr>
            <w:tcW w:w="680" w:type="dxa"/>
            <w:vAlign w:val="bottom"/>
          </w:tcPr>
          <w:p>
            <w:pPr>
              <w:ind w:left="20"/>
              <w:spacing w:after="0"/>
              <w:rPr>
                <w:sz w:val="20"/>
                <w:szCs w:val="20"/>
                <w:color w:val="auto"/>
              </w:rPr>
            </w:pPr>
            <w:r>
              <w:rPr>
                <w:rFonts w:ascii="Arial" w:cs="Arial" w:eastAsia="Arial" w:hAnsi="Arial"/>
                <w:sz w:val="17"/>
                <w:szCs w:val="17"/>
                <w:color w:val="auto"/>
                <w:w w:val="93"/>
              </w:rPr>
              <w:t>101.PRE</w:t>
            </w:r>
          </w:p>
        </w:tc>
        <w:tc>
          <w:tcPr>
            <w:tcW w:w="780" w:type="dxa"/>
            <w:vAlign w:val="bottom"/>
          </w:tcPr>
          <w:p>
            <w:pPr>
              <w:spacing w:after="0"/>
              <w:rPr>
                <w:sz w:val="23"/>
                <w:szCs w:val="23"/>
                <w:color w:val="auto"/>
              </w:rPr>
            </w:pPr>
          </w:p>
        </w:tc>
        <w:tc>
          <w:tcPr>
            <w:tcW w:w="5640" w:type="dxa"/>
            <w:vAlign w:val="bottom"/>
            <w:gridSpan w:val="4"/>
          </w:tcPr>
          <w:p>
            <w:pPr>
              <w:spacing w:after="0"/>
              <w:rPr>
                <w:sz w:val="20"/>
                <w:szCs w:val="20"/>
                <w:color w:val="auto"/>
              </w:rPr>
            </w:pPr>
            <w:r>
              <w:rPr>
                <w:rFonts w:ascii="Arial" w:cs="Arial" w:eastAsia="Arial" w:hAnsi="Arial"/>
                <w:sz w:val="17"/>
                <w:szCs w:val="17"/>
                <w:color w:val="auto"/>
              </w:rPr>
              <w:t>Inline XBRL Taxonomy Extension Presentation Linkbase Document.</w:t>
            </w:r>
          </w:p>
        </w:tc>
      </w:tr>
    </w:tbl>
    <w:p>
      <w:pPr>
        <w:spacing w:after="0" w:line="54" w:lineRule="exact"/>
        <w:rPr>
          <w:sz w:val="20"/>
          <w:szCs w:val="20"/>
          <w:color w:val="auto"/>
        </w:rPr>
      </w:pPr>
    </w:p>
    <w:p>
      <w:pPr>
        <w:ind w:left="1460" w:hanging="1440"/>
        <w:spacing w:after="0"/>
        <w:tabs>
          <w:tab w:leader="none" w:pos="14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Cover Page Interactive Data File (embedded within the Inline XBRL document)</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343" w:lineRule="exact"/>
        <w:rPr>
          <w:rFonts w:ascii="Arial" w:cs="Arial" w:eastAsia="Arial" w:hAnsi="Arial"/>
          <w:sz w:val="16"/>
          <w:szCs w:val="16"/>
          <w:color w:val="auto"/>
        </w:rPr>
      </w:pPr>
    </w:p>
    <w:p>
      <w:pPr>
        <w:ind w:left="5540"/>
        <w:spacing w:after="0"/>
        <w:rPr>
          <w:rFonts w:ascii="Arial" w:cs="Arial" w:eastAsia="Arial" w:hAnsi="Arial"/>
          <w:sz w:val="16"/>
          <w:szCs w:val="16"/>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139"/>
          </w:cols>
          <w:pgMar w:left="320" w:top="895" w:right="1440" w:bottom="1440" w:gutter="0" w:footer="0" w:header="0"/>
        </w:sectPr>
      </w:pPr>
    </w:p>
    <w:bookmarkStart w:id="48" w:name="page49"/>
    <w:bookmarkEnd w:id="48"/>
    <w:p>
      <w:pPr>
        <w:jc w:val="center"/>
        <w:ind w:right="-59"/>
        <w:spacing w:after="0"/>
        <w:rPr>
          <w:sz w:val="20"/>
          <w:szCs w:val="20"/>
          <w:color w:val="auto"/>
        </w:rPr>
      </w:pPr>
      <w:r>
        <w:rPr>
          <w:rFonts w:ascii="Arial" w:cs="Arial" w:eastAsia="Arial" w:hAnsi="Arial"/>
          <w:sz w:val="17"/>
          <w:szCs w:val="17"/>
          <w:b w:val="1"/>
          <w:bCs w:val="1"/>
          <w:color w:val="auto"/>
        </w:rPr>
        <w:t>SIGNATURES</w:t>
      </w:r>
    </w:p>
    <w:p>
      <w:pPr>
        <w:spacing w:after="0" w:line="223" w:lineRule="exact"/>
        <w:rPr>
          <w:sz w:val="20"/>
          <w:szCs w:val="20"/>
          <w:color w:val="auto"/>
        </w:rPr>
      </w:pPr>
    </w:p>
    <w:p>
      <w:pPr>
        <w:ind w:firstLine="464"/>
        <w:spacing w:after="0" w:line="279" w:lineRule="auto"/>
        <w:rPr>
          <w:sz w:val="20"/>
          <w:szCs w:val="20"/>
          <w:color w:val="auto"/>
        </w:rPr>
      </w:pPr>
      <w:r>
        <w:rPr>
          <w:rFonts w:ascii="Arial" w:cs="Arial" w:eastAsia="Arial" w:hAnsi="Arial"/>
          <w:sz w:val="17"/>
          <w:szCs w:val="17"/>
          <w:color w:val="auto"/>
        </w:rPr>
        <w:t>Pursuant to the requirements of the Securities Exchange Act of 1934, the Company has duly caused this report to be signed on its behalf by the undersigned thereunto duly authorized.</w:t>
      </w:r>
    </w:p>
    <w:p>
      <w:pPr>
        <w:spacing w:after="0" w:line="203" w:lineRule="exact"/>
        <w:rPr>
          <w:sz w:val="20"/>
          <w:szCs w:val="20"/>
          <w:color w:val="auto"/>
        </w:rPr>
      </w:pPr>
    </w:p>
    <w:p>
      <w:pPr>
        <w:ind w:left="5980"/>
        <w:spacing w:after="0"/>
        <w:rPr>
          <w:sz w:val="20"/>
          <w:szCs w:val="20"/>
          <w:color w:val="auto"/>
        </w:rPr>
      </w:pPr>
      <w:r>
        <w:rPr>
          <w:rFonts w:ascii="Arial" w:cs="Arial" w:eastAsia="Arial" w:hAnsi="Arial"/>
          <w:sz w:val="17"/>
          <w:szCs w:val="17"/>
          <w:color w:val="auto"/>
        </w:rPr>
        <w:t>WESTINGHOUSE AIR BRAKE TECHNOLOGIES CORPORATION</w:t>
      </w:r>
    </w:p>
    <w:p>
      <w:pPr>
        <w:spacing w:after="0" w:line="75" w:lineRule="exact"/>
        <w:rPr>
          <w:sz w:val="20"/>
          <w:szCs w:val="20"/>
          <w:color w:val="auto"/>
        </w:rPr>
      </w:pPr>
    </w:p>
    <w:p>
      <w:pPr>
        <w:ind w:left="5980"/>
        <w:spacing w:after="0"/>
        <w:tabs>
          <w:tab w:leader="none" w:pos="826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/s/ JOHN A. OLIN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4275455</wp:posOffset>
            </wp:positionH>
            <wp:positionV relativeFrom="paragraph">
              <wp:posOffset>14605</wp:posOffset>
            </wp:positionV>
            <wp:extent cx="28651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865120" cy="8255"/>
                    </a:xfrm>
                    <a:prstGeom prst="rect">
                      <a:avLst/>
                    </a:prstGeom>
                    <a:noFill/>
                  </pic:spPr>
                </pic:pic>
              </a:graphicData>
            </a:graphic>
          </wp:anchor>
        </w:drawing>
      </w:r>
    </w:p>
    <w:p>
      <w:pPr>
        <w:spacing w:after="0" w:line="7" w:lineRule="exact"/>
        <w:rPr>
          <w:sz w:val="20"/>
          <w:szCs w:val="20"/>
          <w:color w:val="auto"/>
        </w:rPr>
      </w:pPr>
    </w:p>
    <w:p>
      <w:pPr>
        <w:ind w:left="8620"/>
        <w:spacing w:after="0"/>
        <w:rPr>
          <w:sz w:val="20"/>
          <w:szCs w:val="20"/>
          <w:color w:val="auto"/>
        </w:rPr>
      </w:pPr>
      <w:r>
        <w:rPr>
          <w:rFonts w:ascii="Arial" w:cs="Arial" w:eastAsia="Arial" w:hAnsi="Arial"/>
          <w:sz w:val="14"/>
          <w:szCs w:val="14"/>
          <w:b w:val="1"/>
          <w:bCs w:val="1"/>
          <w:color w:val="auto"/>
        </w:rPr>
        <w:t>John A. Olin</w:t>
      </w:r>
    </w:p>
    <w:p>
      <w:pPr>
        <w:spacing w:after="0" w:line="29" w:lineRule="exact"/>
        <w:rPr>
          <w:sz w:val="20"/>
          <w:szCs w:val="20"/>
          <w:color w:val="auto"/>
        </w:rPr>
      </w:pPr>
    </w:p>
    <w:p>
      <w:pPr>
        <w:ind w:left="8140"/>
        <w:spacing w:after="0"/>
        <w:rPr>
          <w:sz w:val="20"/>
          <w:szCs w:val="20"/>
          <w:color w:val="auto"/>
        </w:rPr>
      </w:pPr>
      <w:r>
        <w:rPr>
          <w:rFonts w:ascii="Arial" w:cs="Arial" w:eastAsia="Arial" w:hAnsi="Arial"/>
          <w:sz w:val="14"/>
          <w:szCs w:val="14"/>
          <w:b w:val="1"/>
          <w:bCs w:val="1"/>
          <w:color w:val="auto"/>
        </w:rPr>
        <w:t>Executive Vice President and</w:t>
      </w:r>
    </w:p>
    <w:p>
      <w:pPr>
        <w:ind w:left="8300"/>
        <w:spacing w:after="0"/>
        <w:rPr>
          <w:sz w:val="20"/>
          <w:szCs w:val="20"/>
          <w:color w:val="auto"/>
        </w:rPr>
      </w:pPr>
      <w:r>
        <w:rPr>
          <w:rFonts w:ascii="Arial" w:cs="Arial" w:eastAsia="Arial" w:hAnsi="Arial"/>
          <w:sz w:val="14"/>
          <w:szCs w:val="14"/>
          <w:b w:val="1"/>
          <w:bCs w:val="1"/>
          <w:color w:val="auto"/>
        </w:rPr>
        <w:t>Chief Financial Officer</w:t>
      </w:r>
    </w:p>
    <w:p>
      <w:pPr>
        <w:spacing w:after="0" w:line="258" w:lineRule="exact"/>
        <w:rPr>
          <w:sz w:val="20"/>
          <w:szCs w:val="20"/>
          <w:color w:val="auto"/>
        </w:rPr>
      </w:pPr>
    </w:p>
    <w:p>
      <w:pPr>
        <w:ind w:left="5980"/>
        <w:spacing w:after="0"/>
        <w:rPr>
          <w:sz w:val="20"/>
          <w:szCs w:val="20"/>
          <w:color w:val="auto"/>
        </w:rPr>
      </w:pPr>
      <w:r>
        <w:rPr>
          <w:rFonts w:ascii="Arial" w:cs="Arial" w:eastAsia="Arial" w:hAnsi="Arial"/>
          <w:sz w:val="17"/>
          <w:szCs w:val="17"/>
          <w:color w:val="auto"/>
        </w:rPr>
        <w:t>(Duly Authorized Officer and Principal Financial Officer)</w:t>
      </w:r>
    </w:p>
    <w:p>
      <w:pPr>
        <w:spacing w:after="0" w:line="269" w:lineRule="exact"/>
        <w:rPr>
          <w:sz w:val="20"/>
          <w:szCs w:val="20"/>
          <w:color w:val="auto"/>
        </w:rPr>
      </w:pPr>
    </w:p>
    <w:p>
      <w:pPr>
        <w:ind w:left="5980"/>
        <w:spacing w:after="0"/>
        <w:tabs>
          <w:tab w:leader="none" w:pos="6720" w:val="left"/>
        </w:tabs>
        <w:rPr>
          <w:sz w:val="20"/>
          <w:szCs w:val="20"/>
          <w:color w:val="auto"/>
        </w:rPr>
      </w:pPr>
      <w:r>
        <w:rPr>
          <w:rFonts w:ascii="Arial" w:cs="Arial" w:eastAsia="Arial" w:hAnsi="Arial"/>
          <w:sz w:val="17"/>
          <w:szCs w:val="17"/>
          <w:color w:val="auto"/>
        </w:rPr>
        <w:t>DATE:</w:t>
        <w:tab/>
        <w:t>October 25,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49</w:t>
      </w:r>
    </w:p>
    <w:p>
      <w:pPr>
        <w:sectPr>
          <w:pgSz w:w="11900" w:h="16838" w:orient="portrait"/>
          <w:cols w:equalWidth="0" w:num="1">
            <w:col w:w="11180"/>
          </w:cols>
          <w:pgMar w:left="320" w:top="895" w:right="399" w:bottom="1440" w:gutter="0" w:footer="0" w:header="0"/>
        </w:sectPr>
      </w:pPr>
    </w:p>
    <w:bookmarkStart w:id="49" w:name="page50"/>
    <w:bookmarkEnd w:id="49"/>
    <w:p>
      <w:pPr>
        <w:jc w:val="right"/>
        <w:spacing w:after="0"/>
        <w:rPr>
          <w:sz w:val="20"/>
          <w:szCs w:val="20"/>
          <w:color w:val="auto"/>
        </w:rPr>
      </w:pPr>
      <w:r>
        <w:rPr>
          <w:rFonts w:ascii="Arial" w:cs="Arial" w:eastAsia="Arial" w:hAnsi="Arial"/>
          <w:sz w:val="19"/>
          <w:szCs w:val="19"/>
          <w:b w:val="1"/>
          <w:bCs w:val="1"/>
          <w:color w:val="auto"/>
        </w:rPr>
        <w:t>Exhibit 22.1</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9"/>
          <w:szCs w:val="19"/>
          <w:b w:val="1"/>
          <w:bCs w:val="1"/>
          <w:u w:val="single" w:color="auto"/>
          <w:color w:val="auto"/>
        </w:rPr>
        <w:t>Guarantor Subsidiaries of Westinghouse Air Brake Technologies</w:t>
      </w:r>
    </w:p>
    <w:p>
      <w:pPr>
        <w:spacing w:after="0" w:line="140" w:lineRule="exact"/>
        <w:rPr>
          <w:sz w:val="20"/>
          <w:szCs w:val="20"/>
          <w:color w:val="auto"/>
        </w:rPr>
      </w:pPr>
    </w:p>
    <w:p>
      <w:pPr>
        <w:ind w:right="200"/>
        <w:spacing w:after="0" w:line="236" w:lineRule="auto"/>
        <w:rPr>
          <w:sz w:val="20"/>
          <w:szCs w:val="20"/>
          <w:color w:val="auto"/>
        </w:rPr>
      </w:pPr>
      <w:r>
        <w:rPr>
          <w:rFonts w:ascii="Arial" w:cs="Arial" w:eastAsia="Arial" w:hAnsi="Arial"/>
          <w:sz w:val="17"/>
          <w:szCs w:val="17"/>
          <w:color w:val="auto"/>
        </w:rPr>
        <w:t>The obligations under the Company's US Notes and the Restated Credit Agreement have been fully and unconditionally guaranteed by certain of the Company's U.S. subsidiaries. Each guarantor is 100% owned by the parent company, with the exception of GE Transportation, a Wabtec Company, which has 15,000 shares outstanding of Class A Non-Voting Preferred Stock held by General Electric Company. The Euro Notes are issued by Wabtec Netherlands and are fully and unconditionally guaranteed by the Company.</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As of September 30, 2023:</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The US Notes and Restated Credit Agreement</w:t>
      </w:r>
    </w:p>
    <w:p>
      <w:pPr>
        <w:spacing w:after="0" w:line="5" w:lineRule="exact"/>
        <w:rPr>
          <w:sz w:val="20"/>
          <w:szCs w:val="20"/>
          <w:color w:val="auto"/>
        </w:rPr>
      </w:pPr>
    </w:p>
    <w:p>
      <w:pPr>
        <w:spacing w:after="0"/>
        <w:tabs>
          <w:tab w:leader="none" w:pos="620" w:val="left"/>
        </w:tabs>
        <w:rPr>
          <w:sz w:val="20"/>
          <w:szCs w:val="20"/>
          <w:color w:val="auto"/>
        </w:rPr>
      </w:pPr>
      <w:r>
        <w:rPr>
          <w:rFonts w:ascii="Arial" w:cs="Arial" w:eastAsia="Arial" w:hAnsi="Arial"/>
          <w:sz w:val="17"/>
          <w:szCs w:val="17"/>
          <w:i w:val="1"/>
          <w:iCs w:val="1"/>
          <w:u w:val="single" w:color="auto"/>
          <w:color w:val="auto"/>
        </w:rPr>
        <w:t>Issuer</w:t>
      </w:r>
      <w:r>
        <w:rPr>
          <w:rFonts w:ascii="Arial" w:cs="Arial" w:eastAsia="Arial" w:hAnsi="Arial"/>
          <w:sz w:val="17"/>
          <w:szCs w:val="17"/>
          <w:color w:val="auto"/>
        </w:rPr>
        <w:t>:</w:t>
      </w:r>
      <w:r>
        <w:rPr>
          <w:sz w:val="20"/>
          <w:szCs w:val="20"/>
          <w:color w:val="auto"/>
        </w:rPr>
        <w:tab/>
      </w:r>
      <w:r>
        <w:rPr>
          <w:rFonts w:ascii="Arial" w:cs="Arial" w:eastAsia="Arial" w:hAnsi="Arial"/>
          <w:sz w:val="15"/>
          <w:szCs w:val="15"/>
          <w:color w:val="auto"/>
        </w:rPr>
        <w:t>Westinghouse Air Brake Technologies Corporation</w:t>
      </w:r>
    </w:p>
    <w:p>
      <w:pPr>
        <w:spacing w:after="0" w:line="8" w:lineRule="exact"/>
        <w:rPr>
          <w:sz w:val="20"/>
          <w:szCs w:val="20"/>
          <w:color w:val="auto"/>
        </w:rPr>
      </w:pPr>
    </w:p>
    <w:p>
      <w:pPr>
        <w:spacing w:after="0"/>
        <w:tabs>
          <w:tab w:leader="none" w:pos="1000" w:val="left"/>
        </w:tabs>
        <w:rPr>
          <w:sz w:val="20"/>
          <w:szCs w:val="20"/>
          <w:color w:val="auto"/>
        </w:rPr>
      </w:pPr>
      <w:r>
        <w:rPr>
          <w:rFonts w:ascii="Arial" w:cs="Arial" w:eastAsia="Arial" w:hAnsi="Arial"/>
          <w:sz w:val="17"/>
          <w:szCs w:val="17"/>
          <w:i w:val="1"/>
          <w:iCs w:val="1"/>
          <w:u w:val="single" w:color="auto"/>
          <w:color w:val="auto"/>
        </w:rPr>
        <w:t>Guarantors</w:t>
      </w:r>
      <w:r>
        <w:rPr>
          <w:rFonts w:ascii="Arial" w:cs="Arial" w:eastAsia="Arial" w:hAnsi="Arial"/>
          <w:sz w:val="17"/>
          <w:szCs w:val="17"/>
          <w:color w:val="auto"/>
        </w:rPr>
        <w:t>:</w:t>
      </w:r>
      <w:r>
        <w:rPr>
          <w:sz w:val="20"/>
          <w:szCs w:val="20"/>
          <w:color w:val="auto"/>
        </w:rPr>
        <w:tab/>
      </w:r>
      <w:r>
        <w:rPr>
          <w:rFonts w:ascii="Arial" w:cs="Arial" w:eastAsia="Arial" w:hAnsi="Arial"/>
          <w:sz w:val="15"/>
          <w:szCs w:val="15"/>
          <w:color w:val="auto"/>
        </w:rPr>
        <w:t>GE Transportation, a Wabtec Company</w:t>
      </w:r>
    </w:p>
    <w:p>
      <w:pPr>
        <w:spacing w:after="0" w:line="11"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RFPC Holding Corp.</w:t>
      </w:r>
    </w:p>
    <w:p>
      <w:pPr>
        <w:ind w:left="1240"/>
        <w:spacing w:after="0" w:line="238" w:lineRule="auto"/>
        <w:rPr>
          <w:sz w:val="20"/>
          <w:szCs w:val="20"/>
          <w:color w:val="auto"/>
        </w:rPr>
      </w:pPr>
      <w:r>
        <w:rPr>
          <w:rFonts w:ascii="Arial" w:cs="Arial" w:eastAsia="Arial" w:hAnsi="Arial"/>
          <w:sz w:val="17"/>
          <w:szCs w:val="17"/>
          <w:color w:val="auto"/>
        </w:rPr>
        <w:t>Transportation IP Holdings, LLC</w:t>
      </w:r>
    </w:p>
    <w:p>
      <w:pPr>
        <w:ind w:left="1240"/>
        <w:spacing w:after="0" w:line="238" w:lineRule="auto"/>
        <w:rPr>
          <w:sz w:val="20"/>
          <w:szCs w:val="20"/>
          <w:color w:val="auto"/>
        </w:rPr>
      </w:pPr>
      <w:r>
        <w:rPr>
          <w:rFonts w:ascii="Arial" w:cs="Arial" w:eastAsia="Arial" w:hAnsi="Arial"/>
          <w:sz w:val="17"/>
          <w:szCs w:val="17"/>
          <w:color w:val="auto"/>
        </w:rPr>
        <w:t>Transportation Systems Services Operations Inc.</w:t>
      </w:r>
    </w:p>
    <w:p>
      <w:pPr>
        <w:ind w:left="1240"/>
        <w:spacing w:after="0" w:line="237" w:lineRule="auto"/>
        <w:rPr>
          <w:sz w:val="20"/>
          <w:szCs w:val="20"/>
          <w:color w:val="auto"/>
        </w:rPr>
      </w:pPr>
      <w:r>
        <w:rPr>
          <w:rFonts w:ascii="Arial" w:cs="Arial" w:eastAsia="Arial" w:hAnsi="Arial"/>
          <w:sz w:val="17"/>
          <w:szCs w:val="17"/>
          <w:color w:val="auto"/>
        </w:rPr>
        <w:t>Wabtec Components, LLC</w:t>
      </w:r>
    </w:p>
    <w:p>
      <w:pPr>
        <w:ind w:left="1240"/>
        <w:spacing w:after="0" w:line="222" w:lineRule="auto"/>
        <w:rPr>
          <w:sz w:val="20"/>
          <w:szCs w:val="20"/>
          <w:color w:val="auto"/>
        </w:rPr>
      </w:pPr>
      <w:r>
        <w:rPr>
          <w:rFonts w:ascii="Arial" w:cs="Arial" w:eastAsia="Arial" w:hAnsi="Arial"/>
          <w:sz w:val="17"/>
          <w:szCs w:val="17"/>
          <w:color w:val="auto"/>
        </w:rPr>
        <w:t>Wabtec Holding, LLC</w:t>
      </w:r>
    </w:p>
    <w:p>
      <w:pPr>
        <w:ind w:left="1240"/>
        <w:spacing w:after="0" w:line="237" w:lineRule="auto"/>
        <w:rPr>
          <w:sz w:val="20"/>
          <w:szCs w:val="20"/>
          <w:color w:val="auto"/>
        </w:rPr>
      </w:pPr>
      <w:r>
        <w:rPr>
          <w:rFonts w:ascii="Arial" w:cs="Arial" w:eastAsia="Arial" w:hAnsi="Arial"/>
          <w:sz w:val="17"/>
          <w:szCs w:val="17"/>
          <w:color w:val="auto"/>
        </w:rPr>
        <w:t>Wabtec Railway Electronics Holdings, LLC</w:t>
      </w:r>
    </w:p>
    <w:p>
      <w:pPr>
        <w:ind w:left="1240"/>
        <w:spacing w:after="0"/>
        <w:rPr>
          <w:sz w:val="20"/>
          <w:szCs w:val="20"/>
          <w:color w:val="auto"/>
        </w:rPr>
      </w:pPr>
      <w:r>
        <w:rPr>
          <w:rFonts w:ascii="Arial" w:cs="Arial" w:eastAsia="Arial" w:hAnsi="Arial"/>
          <w:sz w:val="17"/>
          <w:szCs w:val="17"/>
          <w:color w:val="auto"/>
        </w:rPr>
        <w:t>Wabtec Transportation Systems, LLC</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The Euro Notes</w:t>
      </w:r>
    </w:p>
    <w:p>
      <w:pPr>
        <w:spacing w:after="0" w:line="30" w:lineRule="exact"/>
        <w:rPr>
          <w:sz w:val="20"/>
          <w:szCs w:val="20"/>
          <w:color w:val="auto"/>
        </w:rPr>
      </w:pPr>
    </w:p>
    <w:p>
      <w:pPr>
        <w:spacing w:after="0"/>
        <w:tabs>
          <w:tab w:leader="none" w:pos="800" w:val="left"/>
        </w:tabs>
        <w:rPr>
          <w:sz w:val="20"/>
          <w:szCs w:val="20"/>
          <w:color w:val="auto"/>
        </w:rPr>
      </w:pPr>
      <w:r>
        <w:rPr>
          <w:rFonts w:ascii="Arial" w:cs="Arial" w:eastAsia="Arial" w:hAnsi="Arial"/>
          <w:sz w:val="17"/>
          <w:szCs w:val="17"/>
          <w:i w:val="1"/>
          <w:iCs w:val="1"/>
          <w:u w:val="single" w:color="auto"/>
          <w:color w:val="auto"/>
        </w:rPr>
        <w:t>Issuer</w:t>
      </w:r>
      <w:r>
        <w:rPr>
          <w:rFonts w:ascii="Arial" w:cs="Arial" w:eastAsia="Arial" w:hAnsi="Arial"/>
          <w:sz w:val="17"/>
          <w:szCs w:val="17"/>
          <w:color w:val="auto"/>
        </w:rPr>
        <w:t>:</w:t>
      </w:r>
      <w:r>
        <w:rPr>
          <w:sz w:val="20"/>
          <w:szCs w:val="20"/>
          <w:color w:val="auto"/>
        </w:rPr>
        <w:tab/>
      </w:r>
      <w:r>
        <w:rPr>
          <w:rFonts w:ascii="Arial" w:cs="Arial" w:eastAsia="Arial" w:hAnsi="Arial"/>
          <w:sz w:val="15"/>
          <w:szCs w:val="15"/>
          <w:color w:val="auto"/>
        </w:rPr>
        <w:t>Wabtec Transportation Netherlands B.V.</w:t>
      </w:r>
    </w:p>
    <w:p>
      <w:pPr>
        <w:spacing w:after="0" w:line="12" w:lineRule="exact"/>
        <w:rPr>
          <w:sz w:val="20"/>
          <w:szCs w:val="20"/>
          <w:color w:val="auto"/>
        </w:rPr>
      </w:pPr>
    </w:p>
    <w:p>
      <w:pPr>
        <w:spacing w:after="0"/>
        <w:tabs>
          <w:tab w:leader="none" w:pos="940" w:val="left"/>
        </w:tabs>
        <w:rPr>
          <w:sz w:val="20"/>
          <w:szCs w:val="20"/>
          <w:color w:val="auto"/>
        </w:rPr>
      </w:pPr>
      <w:r>
        <w:rPr>
          <w:rFonts w:ascii="Arial" w:cs="Arial" w:eastAsia="Arial" w:hAnsi="Arial"/>
          <w:sz w:val="17"/>
          <w:szCs w:val="17"/>
          <w:i w:val="1"/>
          <w:iCs w:val="1"/>
          <w:u w:val="single" w:color="auto"/>
          <w:color w:val="auto"/>
        </w:rPr>
        <w:t>Guarantor</w:t>
      </w:r>
      <w:r>
        <w:rPr>
          <w:rFonts w:ascii="Arial" w:cs="Arial" w:eastAsia="Arial" w:hAnsi="Arial"/>
          <w:sz w:val="17"/>
          <w:szCs w:val="17"/>
          <w:color w:val="auto"/>
        </w:rPr>
        <w:t>:</w:t>
      </w:r>
      <w:r>
        <w:rPr>
          <w:sz w:val="20"/>
          <w:szCs w:val="20"/>
          <w:color w:val="auto"/>
        </w:rPr>
        <w:tab/>
      </w:r>
      <w:r>
        <w:rPr>
          <w:rFonts w:ascii="Arial" w:cs="Arial" w:eastAsia="Arial" w:hAnsi="Arial"/>
          <w:sz w:val="15"/>
          <w:szCs w:val="15"/>
          <w:color w:val="auto"/>
        </w:rPr>
        <w:t>Westinghouse Air Brake Technologies Corporation</w:t>
      </w:r>
    </w:p>
    <w:p>
      <w:pPr>
        <w:sectPr>
          <w:pgSz w:w="11900" w:h="16838" w:orient="portrait"/>
          <w:cols w:equalWidth="0" w:num="1">
            <w:col w:w="11240"/>
          </w:cols>
          <w:pgMar w:left="320" w:top="1367" w:right="339" w:bottom="1440" w:gutter="0" w:footer="0" w:header="0"/>
        </w:sectPr>
      </w:pPr>
    </w:p>
    <w:bookmarkStart w:id="50" w:name="page51"/>
    <w:bookmarkEnd w:id="50"/>
    <w:p>
      <w:pPr>
        <w:jc w:val="right"/>
        <w:spacing w:after="0"/>
        <w:rPr>
          <w:sz w:val="20"/>
          <w:szCs w:val="20"/>
          <w:color w:val="auto"/>
        </w:rPr>
      </w:pPr>
      <w:r>
        <w:rPr>
          <w:rFonts w:ascii="Arial" w:cs="Arial" w:eastAsia="Arial" w:hAnsi="Arial"/>
          <w:sz w:val="17"/>
          <w:szCs w:val="17"/>
          <w:b w:val="1"/>
          <w:bCs w:val="1"/>
          <w:color w:val="auto"/>
        </w:rPr>
        <w:t>Exhibit 31.1</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I, Rafael Santana, certify that:</w:t>
      </w:r>
    </w:p>
    <w:p>
      <w:pPr>
        <w:spacing w:after="0" w:line="114" w:lineRule="exact"/>
        <w:rPr>
          <w:sz w:val="20"/>
          <w:szCs w:val="20"/>
          <w:color w:val="auto"/>
        </w:rPr>
      </w:pPr>
    </w:p>
    <w:p>
      <w:pPr>
        <w:ind w:left="640" w:hanging="173"/>
        <w:spacing w:after="0"/>
        <w:tabs>
          <w:tab w:leader="none" w:pos="6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Westinghouse Air Brake Technologies Corporation.</w:t>
      </w:r>
    </w:p>
    <w:p>
      <w:pPr>
        <w:spacing w:after="0" w:line="113" w:lineRule="exact"/>
        <w:rPr>
          <w:rFonts w:ascii="Arial" w:cs="Arial" w:eastAsia="Arial" w:hAnsi="Arial"/>
          <w:sz w:val="17"/>
          <w:szCs w:val="17"/>
          <w:color w:val="auto"/>
        </w:rPr>
      </w:pPr>
    </w:p>
    <w:p>
      <w:pPr>
        <w:ind w:right="200" w:firstLine="467"/>
        <w:spacing w:after="0" w:line="266" w:lineRule="auto"/>
        <w:tabs>
          <w:tab w:leader="none" w:pos="636" w:val="left"/>
        </w:tabs>
        <w:numPr>
          <w:ilvl w:val="0"/>
          <w:numId w:val="23"/>
        </w:numPr>
        <w:rPr>
          <w:rFonts w:ascii="Arial" w:cs="Arial" w:eastAsia="Arial" w:hAnsi="Arial"/>
          <w:sz w:val="17"/>
          <w:szCs w:val="17"/>
          <w:color w:val="auto"/>
        </w:rPr>
      </w:pPr>
      <w:r>
        <w:rPr>
          <w:rFonts w:ascii="Arial" w:cs="Arial" w:eastAsia="Arial" w:hAnsi="Arial"/>
          <w:sz w:val="17"/>
          <w:szCs w:val="17"/>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71" w:lineRule="exact"/>
        <w:rPr>
          <w:rFonts w:ascii="Arial" w:cs="Arial" w:eastAsia="Arial" w:hAnsi="Arial"/>
          <w:sz w:val="17"/>
          <w:szCs w:val="17"/>
          <w:color w:val="auto"/>
        </w:rPr>
      </w:pPr>
    </w:p>
    <w:p>
      <w:pPr>
        <w:ind w:right="160" w:firstLine="467"/>
        <w:spacing w:after="0" w:line="312" w:lineRule="auto"/>
        <w:tabs>
          <w:tab w:leader="none" w:pos="636" w:val="left"/>
        </w:tabs>
        <w:numPr>
          <w:ilvl w:val="0"/>
          <w:numId w:val="2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37" w:lineRule="exact"/>
        <w:rPr>
          <w:rFonts w:ascii="Arial" w:cs="Arial" w:eastAsia="Arial" w:hAnsi="Arial"/>
          <w:sz w:val="16"/>
          <w:szCs w:val="16"/>
          <w:color w:val="auto"/>
        </w:rPr>
      </w:pPr>
    </w:p>
    <w:p>
      <w:pPr>
        <w:jc w:val="both"/>
        <w:ind w:right="60" w:firstLine="467"/>
        <w:spacing w:after="0" w:line="266" w:lineRule="auto"/>
        <w:tabs>
          <w:tab w:leader="none" w:pos="636"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71" w:lineRule="exact"/>
        <w:rPr>
          <w:rFonts w:ascii="Arial" w:cs="Arial" w:eastAsia="Arial" w:hAnsi="Arial"/>
          <w:sz w:val="17"/>
          <w:szCs w:val="17"/>
          <w:color w:val="auto"/>
        </w:rPr>
      </w:pPr>
    </w:p>
    <w:p>
      <w:pPr>
        <w:ind w:right="160" w:firstLine="970"/>
        <w:spacing w:after="0" w:line="266" w:lineRule="auto"/>
        <w:tabs>
          <w:tab w:leader="none" w:pos="1200" w:val="left"/>
        </w:tabs>
        <w:numPr>
          <w:ilvl w:val="1"/>
          <w:numId w:val="23"/>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71" w:lineRule="exact"/>
        <w:rPr>
          <w:rFonts w:ascii="Arial" w:cs="Arial" w:eastAsia="Arial" w:hAnsi="Arial"/>
          <w:sz w:val="17"/>
          <w:szCs w:val="17"/>
          <w:color w:val="auto"/>
        </w:rPr>
      </w:pPr>
    </w:p>
    <w:p>
      <w:pPr>
        <w:ind w:right="360" w:firstLine="970"/>
        <w:spacing w:after="0" w:line="266" w:lineRule="auto"/>
        <w:tabs>
          <w:tab w:leader="none" w:pos="1210" w:val="left"/>
        </w:tabs>
        <w:numPr>
          <w:ilvl w:val="1"/>
          <w:numId w:val="23"/>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1" w:lineRule="exact"/>
        <w:rPr>
          <w:rFonts w:ascii="Arial" w:cs="Arial" w:eastAsia="Arial" w:hAnsi="Arial"/>
          <w:sz w:val="17"/>
          <w:szCs w:val="17"/>
          <w:color w:val="auto"/>
        </w:rPr>
      </w:pPr>
    </w:p>
    <w:p>
      <w:pPr>
        <w:ind w:right="120" w:firstLine="970"/>
        <w:spacing w:after="0" w:line="312" w:lineRule="auto"/>
        <w:tabs>
          <w:tab w:leader="none" w:pos="1200" w:val="left"/>
        </w:tabs>
        <w:numPr>
          <w:ilvl w:val="1"/>
          <w:numId w:val="2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37" w:lineRule="exact"/>
        <w:rPr>
          <w:rFonts w:ascii="Arial" w:cs="Arial" w:eastAsia="Arial" w:hAnsi="Arial"/>
          <w:sz w:val="16"/>
          <w:szCs w:val="16"/>
          <w:color w:val="auto"/>
        </w:rPr>
      </w:pPr>
    </w:p>
    <w:p>
      <w:pPr>
        <w:ind w:right="80" w:firstLine="970"/>
        <w:spacing w:after="0" w:line="312" w:lineRule="auto"/>
        <w:tabs>
          <w:tab w:leader="none" w:pos="1210" w:val="left"/>
        </w:tabs>
        <w:numPr>
          <w:ilvl w:val="1"/>
          <w:numId w:val="23"/>
        </w:numPr>
        <w:rPr>
          <w:rFonts w:ascii="Arial" w:cs="Arial" w:eastAsia="Arial" w:hAnsi="Arial"/>
          <w:sz w:val="16"/>
          <w:szCs w:val="16"/>
          <w:color w:val="auto"/>
        </w:rPr>
      </w:pPr>
      <w:r>
        <w:rPr>
          <w:rFonts w:ascii="Arial" w:cs="Arial" w:eastAsia="Arial" w:hAnsi="Arial"/>
          <w:sz w:val="16"/>
          <w:szCs w:val="16"/>
          <w:color w:val="auto"/>
        </w:rPr>
        <w:t>Disclosed in this quarterly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37" w:lineRule="exact"/>
        <w:rPr>
          <w:rFonts w:ascii="Arial" w:cs="Arial" w:eastAsia="Arial" w:hAnsi="Arial"/>
          <w:sz w:val="16"/>
          <w:szCs w:val="16"/>
          <w:color w:val="auto"/>
        </w:rPr>
      </w:pPr>
    </w:p>
    <w:p>
      <w:pPr>
        <w:ind w:right="440" w:firstLine="467"/>
        <w:spacing w:after="0" w:line="279" w:lineRule="auto"/>
        <w:tabs>
          <w:tab w:leader="none" w:pos="636"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61" w:lineRule="exact"/>
        <w:rPr>
          <w:rFonts w:ascii="Arial" w:cs="Arial" w:eastAsia="Arial" w:hAnsi="Arial"/>
          <w:sz w:val="17"/>
          <w:szCs w:val="17"/>
          <w:color w:val="auto"/>
        </w:rPr>
      </w:pPr>
    </w:p>
    <w:p>
      <w:pPr>
        <w:ind w:right="200" w:firstLine="970"/>
        <w:spacing w:after="0" w:line="279" w:lineRule="auto"/>
        <w:tabs>
          <w:tab w:leader="none" w:pos="1200" w:val="left"/>
        </w:tabs>
        <w:numPr>
          <w:ilvl w:val="1"/>
          <w:numId w:val="2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1" w:lineRule="exact"/>
        <w:rPr>
          <w:rFonts w:ascii="Arial" w:cs="Arial" w:eastAsia="Arial" w:hAnsi="Arial"/>
          <w:sz w:val="17"/>
          <w:szCs w:val="17"/>
          <w:color w:val="auto"/>
        </w:rPr>
      </w:pPr>
    </w:p>
    <w:p>
      <w:pPr>
        <w:ind w:right="140" w:firstLine="970"/>
        <w:spacing w:after="0" w:line="279" w:lineRule="auto"/>
        <w:tabs>
          <w:tab w:leader="none" w:pos="1210" w:val="left"/>
        </w:tabs>
        <w:numPr>
          <w:ilvl w:val="1"/>
          <w:numId w:val="23"/>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Date: </w:t>
      </w:r>
      <w:r>
        <w:rPr>
          <w:rFonts w:ascii="Arial" w:cs="Arial" w:eastAsia="Arial" w:hAnsi="Arial"/>
          <w:sz w:val="17"/>
          <w:szCs w:val="17"/>
          <w:color w:val="auto"/>
        </w:rPr>
        <w:t>October 25, 2023</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9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By:</w:t>
            </w:r>
          </w:p>
        </w:tc>
        <w:tc>
          <w:tcPr>
            <w:tcW w:w="10240" w:type="dxa"/>
            <w:vAlign w:val="bottom"/>
            <w:tcBorders>
              <w:bottom w:val="single" w:sz="8" w:color="auto"/>
            </w:tcBorders>
          </w:tcPr>
          <w:p>
            <w:pPr>
              <w:ind w:left="480"/>
              <w:spacing w:after="0"/>
              <w:rPr>
                <w:sz w:val="20"/>
                <w:szCs w:val="20"/>
                <w:color w:val="auto"/>
              </w:rPr>
            </w:pPr>
            <w:r>
              <w:rPr>
                <w:rFonts w:ascii="Arial" w:cs="Arial" w:eastAsia="Arial" w:hAnsi="Arial"/>
                <w:sz w:val="17"/>
                <w:szCs w:val="17"/>
                <w:color w:val="auto"/>
              </w:rPr>
              <w:t>/s/  RAFAEL SANTANA</w:t>
            </w:r>
          </w:p>
        </w:tc>
      </w:tr>
      <w:tr>
        <w:trPr>
          <w:trHeight w:val="214"/>
        </w:trPr>
        <w:tc>
          <w:tcPr>
            <w:tcW w:w="980" w:type="dxa"/>
            <w:vAlign w:val="bottom"/>
          </w:tcPr>
          <w:p>
            <w:pPr>
              <w:ind w:left="20"/>
              <w:spacing w:after="0"/>
              <w:rPr>
                <w:sz w:val="20"/>
                <w:szCs w:val="20"/>
                <w:color w:val="auto"/>
              </w:rPr>
            </w:pPr>
            <w:r>
              <w:rPr>
                <w:rFonts w:ascii="Arial" w:cs="Arial" w:eastAsia="Arial" w:hAnsi="Arial"/>
                <w:sz w:val="17"/>
                <w:szCs w:val="17"/>
                <w:b w:val="1"/>
                <w:bCs w:val="1"/>
                <w:color w:val="auto"/>
              </w:rPr>
              <w:t>Name:</w:t>
            </w:r>
          </w:p>
        </w:tc>
        <w:tc>
          <w:tcPr>
            <w:tcW w:w="10240" w:type="dxa"/>
            <w:vAlign w:val="bottom"/>
          </w:tcPr>
          <w:p>
            <w:pPr>
              <w:ind w:left="480"/>
              <w:spacing w:after="0"/>
              <w:rPr>
                <w:sz w:val="20"/>
                <w:szCs w:val="20"/>
                <w:color w:val="auto"/>
              </w:rPr>
            </w:pPr>
            <w:r>
              <w:rPr>
                <w:rFonts w:ascii="Arial" w:cs="Arial" w:eastAsia="Arial" w:hAnsi="Arial"/>
                <w:sz w:val="14"/>
                <w:szCs w:val="14"/>
                <w:b w:val="1"/>
                <w:bCs w:val="1"/>
                <w:color w:val="auto"/>
              </w:rPr>
              <w:t>Rafael Santana</w:t>
            </w:r>
          </w:p>
        </w:tc>
      </w:tr>
      <w:tr>
        <w:trPr>
          <w:trHeight w:val="223"/>
        </w:trPr>
        <w:tc>
          <w:tcPr>
            <w:tcW w:w="980" w:type="dxa"/>
            <w:vAlign w:val="bottom"/>
          </w:tcPr>
          <w:p>
            <w:pPr>
              <w:ind w:left="20"/>
              <w:spacing w:after="0"/>
              <w:rPr>
                <w:sz w:val="20"/>
                <w:szCs w:val="20"/>
                <w:color w:val="auto"/>
              </w:rPr>
            </w:pPr>
            <w:r>
              <w:rPr>
                <w:rFonts w:ascii="Arial" w:cs="Arial" w:eastAsia="Arial" w:hAnsi="Arial"/>
                <w:sz w:val="17"/>
                <w:szCs w:val="17"/>
                <w:b w:val="1"/>
                <w:bCs w:val="1"/>
                <w:color w:val="auto"/>
              </w:rPr>
              <w:t>Title:</w:t>
            </w:r>
          </w:p>
        </w:tc>
        <w:tc>
          <w:tcPr>
            <w:tcW w:w="10240" w:type="dxa"/>
            <w:vAlign w:val="bottom"/>
          </w:tcPr>
          <w:p>
            <w:pPr>
              <w:ind w:left="480"/>
              <w:spacing w:after="0"/>
              <w:rPr>
                <w:sz w:val="20"/>
                <w:szCs w:val="20"/>
                <w:color w:val="auto"/>
              </w:rPr>
            </w:pPr>
            <w:r>
              <w:rPr>
                <w:rFonts w:ascii="Arial" w:cs="Arial" w:eastAsia="Arial" w:hAnsi="Arial"/>
                <w:sz w:val="14"/>
                <w:szCs w:val="14"/>
                <w:b w:val="1"/>
                <w:bCs w:val="1"/>
                <w:color w:val="auto"/>
              </w:rPr>
              <w:t>President and Chief Executive Officer</w:t>
            </w:r>
          </w:p>
        </w:tc>
      </w:tr>
    </w:tbl>
    <w:p>
      <w:pPr>
        <w:sectPr>
          <w:pgSz w:w="11900" w:h="16838" w:orient="portrait"/>
          <w:cols w:equalWidth="0" w:num="1">
            <w:col w:w="11240"/>
          </w:cols>
          <w:pgMar w:left="320" w:top="856" w:right="339" w:bottom="1440" w:gutter="0" w:footer="0" w:header="0"/>
        </w:sectPr>
      </w:pPr>
    </w:p>
    <w:bookmarkStart w:id="51" w:name="page52"/>
    <w:bookmarkEnd w:id="51"/>
    <w:p>
      <w:pPr>
        <w:jc w:val="right"/>
        <w:spacing w:after="0"/>
        <w:rPr>
          <w:sz w:val="20"/>
          <w:szCs w:val="20"/>
          <w:color w:val="auto"/>
        </w:rPr>
      </w:pPr>
      <w:r>
        <w:rPr>
          <w:rFonts w:ascii="Arial" w:cs="Arial" w:eastAsia="Arial" w:hAnsi="Arial"/>
          <w:sz w:val="17"/>
          <w:szCs w:val="17"/>
          <w:b w:val="1"/>
          <w:bCs w:val="1"/>
          <w:color w:val="auto"/>
        </w:rPr>
        <w:t>Exhibit 31.2</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I, John A. Olin, certify that:</w:t>
      </w:r>
    </w:p>
    <w:p>
      <w:pPr>
        <w:spacing w:after="0" w:line="114" w:lineRule="exact"/>
        <w:rPr>
          <w:sz w:val="20"/>
          <w:szCs w:val="20"/>
          <w:color w:val="auto"/>
        </w:rPr>
      </w:pPr>
    </w:p>
    <w:p>
      <w:pPr>
        <w:ind w:left="640" w:hanging="173"/>
        <w:spacing w:after="0"/>
        <w:tabs>
          <w:tab w:leader="none" w:pos="6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Westinghouse Air Brake Technologies Corporation.</w:t>
      </w:r>
    </w:p>
    <w:p>
      <w:pPr>
        <w:spacing w:after="0" w:line="113" w:lineRule="exact"/>
        <w:rPr>
          <w:rFonts w:ascii="Arial" w:cs="Arial" w:eastAsia="Arial" w:hAnsi="Arial"/>
          <w:sz w:val="17"/>
          <w:szCs w:val="17"/>
          <w:color w:val="auto"/>
        </w:rPr>
      </w:pPr>
    </w:p>
    <w:p>
      <w:pPr>
        <w:ind w:right="200" w:firstLine="467"/>
        <w:spacing w:after="0" w:line="266" w:lineRule="auto"/>
        <w:tabs>
          <w:tab w:leader="none" w:pos="636" w:val="left"/>
        </w:tabs>
        <w:numPr>
          <w:ilvl w:val="0"/>
          <w:numId w:val="24"/>
        </w:numPr>
        <w:rPr>
          <w:rFonts w:ascii="Arial" w:cs="Arial" w:eastAsia="Arial" w:hAnsi="Arial"/>
          <w:sz w:val="17"/>
          <w:szCs w:val="17"/>
          <w:color w:val="auto"/>
        </w:rPr>
      </w:pPr>
      <w:r>
        <w:rPr>
          <w:rFonts w:ascii="Arial" w:cs="Arial" w:eastAsia="Arial" w:hAnsi="Arial"/>
          <w:sz w:val="17"/>
          <w:szCs w:val="17"/>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71" w:lineRule="exact"/>
        <w:rPr>
          <w:rFonts w:ascii="Arial" w:cs="Arial" w:eastAsia="Arial" w:hAnsi="Arial"/>
          <w:sz w:val="17"/>
          <w:szCs w:val="17"/>
          <w:color w:val="auto"/>
        </w:rPr>
      </w:pPr>
    </w:p>
    <w:p>
      <w:pPr>
        <w:ind w:right="160" w:firstLine="467"/>
        <w:spacing w:after="0" w:line="312" w:lineRule="auto"/>
        <w:tabs>
          <w:tab w:leader="none" w:pos="636" w:val="left"/>
        </w:tabs>
        <w:numPr>
          <w:ilvl w:val="0"/>
          <w:numId w:val="2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37" w:lineRule="exact"/>
        <w:rPr>
          <w:rFonts w:ascii="Arial" w:cs="Arial" w:eastAsia="Arial" w:hAnsi="Arial"/>
          <w:sz w:val="16"/>
          <w:szCs w:val="16"/>
          <w:color w:val="auto"/>
        </w:rPr>
      </w:pPr>
    </w:p>
    <w:p>
      <w:pPr>
        <w:jc w:val="both"/>
        <w:ind w:right="60" w:firstLine="467"/>
        <w:spacing w:after="0" w:line="266" w:lineRule="auto"/>
        <w:tabs>
          <w:tab w:leader="none" w:pos="636"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71" w:lineRule="exact"/>
        <w:rPr>
          <w:rFonts w:ascii="Arial" w:cs="Arial" w:eastAsia="Arial" w:hAnsi="Arial"/>
          <w:sz w:val="17"/>
          <w:szCs w:val="17"/>
          <w:color w:val="auto"/>
        </w:rPr>
      </w:pPr>
    </w:p>
    <w:p>
      <w:pPr>
        <w:ind w:right="160" w:firstLine="970"/>
        <w:spacing w:after="0" w:line="266" w:lineRule="auto"/>
        <w:tabs>
          <w:tab w:leader="none" w:pos="1200" w:val="left"/>
        </w:tabs>
        <w:numPr>
          <w:ilvl w:val="1"/>
          <w:numId w:val="24"/>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71" w:lineRule="exact"/>
        <w:rPr>
          <w:rFonts w:ascii="Arial" w:cs="Arial" w:eastAsia="Arial" w:hAnsi="Arial"/>
          <w:sz w:val="17"/>
          <w:szCs w:val="17"/>
          <w:color w:val="auto"/>
        </w:rPr>
      </w:pPr>
    </w:p>
    <w:p>
      <w:pPr>
        <w:ind w:right="360" w:firstLine="970"/>
        <w:spacing w:after="0" w:line="266" w:lineRule="auto"/>
        <w:tabs>
          <w:tab w:leader="none" w:pos="1210" w:val="left"/>
        </w:tabs>
        <w:numPr>
          <w:ilvl w:val="1"/>
          <w:numId w:val="24"/>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1" w:lineRule="exact"/>
        <w:rPr>
          <w:rFonts w:ascii="Arial" w:cs="Arial" w:eastAsia="Arial" w:hAnsi="Arial"/>
          <w:sz w:val="17"/>
          <w:szCs w:val="17"/>
          <w:color w:val="auto"/>
        </w:rPr>
      </w:pPr>
    </w:p>
    <w:p>
      <w:pPr>
        <w:ind w:right="120" w:firstLine="970"/>
        <w:spacing w:after="0" w:line="312" w:lineRule="auto"/>
        <w:tabs>
          <w:tab w:leader="none" w:pos="1200" w:val="left"/>
        </w:tabs>
        <w:numPr>
          <w:ilvl w:val="1"/>
          <w:numId w:val="2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37" w:lineRule="exact"/>
        <w:rPr>
          <w:rFonts w:ascii="Arial" w:cs="Arial" w:eastAsia="Arial" w:hAnsi="Arial"/>
          <w:sz w:val="16"/>
          <w:szCs w:val="16"/>
          <w:color w:val="auto"/>
        </w:rPr>
      </w:pPr>
    </w:p>
    <w:p>
      <w:pPr>
        <w:ind w:right="80" w:firstLine="970"/>
        <w:spacing w:after="0" w:line="312" w:lineRule="auto"/>
        <w:tabs>
          <w:tab w:leader="none" w:pos="1210" w:val="left"/>
        </w:tabs>
        <w:numPr>
          <w:ilvl w:val="1"/>
          <w:numId w:val="24"/>
        </w:numPr>
        <w:rPr>
          <w:rFonts w:ascii="Arial" w:cs="Arial" w:eastAsia="Arial" w:hAnsi="Arial"/>
          <w:sz w:val="16"/>
          <w:szCs w:val="16"/>
          <w:color w:val="auto"/>
        </w:rPr>
      </w:pPr>
      <w:r>
        <w:rPr>
          <w:rFonts w:ascii="Arial" w:cs="Arial" w:eastAsia="Arial" w:hAnsi="Arial"/>
          <w:sz w:val="16"/>
          <w:szCs w:val="16"/>
          <w:color w:val="auto"/>
        </w:rPr>
        <w:t>Disclosed in this quarterly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37" w:lineRule="exact"/>
        <w:rPr>
          <w:rFonts w:ascii="Arial" w:cs="Arial" w:eastAsia="Arial" w:hAnsi="Arial"/>
          <w:sz w:val="16"/>
          <w:szCs w:val="16"/>
          <w:color w:val="auto"/>
        </w:rPr>
      </w:pPr>
    </w:p>
    <w:p>
      <w:pPr>
        <w:ind w:right="440" w:firstLine="467"/>
        <w:spacing w:after="0" w:line="279" w:lineRule="auto"/>
        <w:tabs>
          <w:tab w:leader="none" w:pos="636"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61" w:lineRule="exact"/>
        <w:rPr>
          <w:rFonts w:ascii="Arial" w:cs="Arial" w:eastAsia="Arial" w:hAnsi="Arial"/>
          <w:sz w:val="17"/>
          <w:szCs w:val="17"/>
          <w:color w:val="auto"/>
        </w:rPr>
      </w:pPr>
    </w:p>
    <w:p>
      <w:pPr>
        <w:ind w:right="200" w:firstLine="970"/>
        <w:spacing w:after="0" w:line="279" w:lineRule="auto"/>
        <w:tabs>
          <w:tab w:leader="none" w:pos="1200" w:val="left"/>
        </w:tabs>
        <w:numPr>
          <w:ilvl w:val="1"/>
          <w:numId w:val="2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1" w:lineRule="exact"/>
        <w:rPr>
          <w:rFonts w:ascii="Arial" w:cs="Arial" w:eastAsia="Arial" w:hAnsi="Arial"/>
          <w:sz w:val="17"/>
          <w:szCs w:val="17"/>
          <w:color w:val="auto"/>
        </w:rPr>
      </w:pPr>
    </w:p>
    <w:p>
      <w:pPr>
        <w:ind w:right="140" w:firstLine="970"/>
        <w:spacing w:after="0" w:line="279" w:lineRule="auto"/>
        <w:tabs>
          <w:tab w:leader="none" w:pos="1210" w:val="left"/>
        </w:tabs>
        <w:numPr>
          <w:ilvl w:val="1"/>
          <w:numId w:val="24"/>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Date: </w:t>
      </w:r>
      <w:r>
        <w:rPr>
          <w:rFonts w:ascii="Arial" w:cs="Arial" w:eastAsia="Arial" w:hAnsi="Arial"/>
          <w:sz w:val="17"/>
          <w:szCs w:val="17"/>
          <w:color w:val="auto"/>
        </w:rPr>
        <w:t>October 25, 2023</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10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By:</w:t>
            </w:r>
          </w:p>
        </w:tc>
        <w:tc>
          <w:tcPr>
            <w:tcW w:w="10200" w:type="dxa"/>
            <w:vAlign w:val="bottom"/>
            <w:tcBorders>
              <w:bottom w:val="single" w:sz="8" w:color="auto"/>
            </w:tcBorders>
          </w:tcPr>
          <w:p>
            <w:pPr>
              <w:ind w:left="500"/>
              <w:spacing w:after="0"/>
              <w:rPr>
                <w:sz w:val="20"/>
                <w:szCs w:val="20"/>
                <w:color w:val="auto"/>
              </w:rPr>
            </w:pPr>
            <w:r>
              <w:rPr>
                <w:rFonts w:ascii="Arial" w:cs="Arial" w:eastAsia="Arial" w:hAnsi="Arial"/>
                <w:sz w:val="17"/>
                <w:szCs w:val="17"/>
                <w:color w:val="auto"/>
              </w:rPr>
              <w:t>/</w:t>
            </w:r>
            <w:r>
              <w:rPr>
                <w:rFonts w:ascii="Arial" w:cs="Arial" w:eastAsia="Arial" w:hAnsi="Arial"/>
                <w:sz w:val="13"/>
                <w:szCs w:val="13"/>
                <w:color w:val="auto"/>
              </w:rPr>
              <w:t>S</w:t>
            </w:r>
            <w:r>
              <w:rPr>
                <w:rFonts w:ascii="Arial" w:cs="Arial" w:eastAsia="Arial" w:hAnsi="Arial"/>
                <w:sz w:val="17"/>
                <w:szCs w:val="17"/>
                <w:color w:val="auto"/>
              </w:rPr>
              <w:t>/  JOHN A. OLIN</w:t>
            </w:r>
          </w:p>
        </w:tc>
      </w:tr>
      <w:tr>
        <w:trPr>
          <w:trHeight w:val="214"/>
        </w:trPr>
        <w:tc>
          <w:tcPr>
            <w:tcW w:w="1000" w:type="dxa"/>
            <w:vAlign w:val="bottom"/>
          </w:tcPr>
          <w:p>
            <w:pPr>
              <w:ind w:left="20"/>
              <w:spacing w:after="0"/>
              <w:rPr>
                <w:sz w:val="20"/>
                <w:szCs w:val="20"/>
                <w:color w:val="auto"/>
              </w:rPr>
            </w:pPr>
            <w:r>
              <w:rPr>
                <w:rFonts w:ascii="Arial" w:cs="Arial" w:eastAsia="Arial" w:hAnsi="Arial"/>
                <w:sz w:val="17"/>
                <w:szCs w:val="17"/>
                <w:b w:val="1"/>
                <w:bCs w:val="1"/>
                <w:color w:val="auto"/>
              </w:rPr>
              <w:t>Name:</w:t>
            </w:r>
          </w:p>
        </w:tc>
        <w:tc>
          <w:tcPr>
            <w:tcW w:w="10200" w:type="dxa"/>
            <w:vAlign w:val="bottom"/>
          </w:tcPr>
          <w:p>
            <w:pPr>
              <w:ind w:left="500"/>
              <w:spacing w:after="0"/>
              <w:rPr>
                <w:sz w:val="20"/>
                <w:szCs w:val="20"/>
                <w:color w:val="auto"/>
              </w:rPr>
            </w:pPr>
            <w:r>
              <w:rPr>
                <w:rFonts w:ascii="Arial" w:cs="Arial" w:eastAsia="Arial" w:hAnsi="Arial"/>
                <w:sz w:val="14"/>
                <w:szCs w:val="14"/>
                <w:b w:val="1"/>
                <w:bCs w:val="1"/>
                <w:color w:val="auto"/>
              </w:rPr>
              <w:t>John A. Olin</w:t>
            </w:r>
          </w:p>
        </w:tc>
      </w:tr>
      <w:tr>
        <w:trPr>
          <w:trHeight w:val="223"/>
        </w:trPr>
        <w:tc>
          <w:tcPr>
            <w:tcW w:w="1000" w:type="dxa"/>
            <w:vAlign w:val="bottom"/>
          </w:tcPr>
          <w:p>
            <w:pPr>
              <w:ind w:left="20"/>
              <w:spacing w:after="0"/>
              <w:rPr>
                <w:sz w:val="20"/>
                <w:szCs w:val="20"/>
                <w:color w:val="auto"/>
              </w:rPr>
            </w:pPr>
            <w:r>
              <w:rPr>
                <w:rFonts w:ascii="Arial" w:cs="Arial" w:eastAsia="Arial" w:hAnsi="Arial"/>
                <w:sz w:val="17"/>
                <w:szCs w:val="17"/>
                <w:b w:val="1"/>
                <w:bCs w:val="1"/>
                <w:color w:val="auto"/>
              </w:rPr>
              <w:t>Title:</w:t>
            </w:r>
          </w:p>
        </w:tc>
        <w:tc>
          <w:tcPr>
            <w:tcW w:w="10200" w:type="dxa"/>
            <w:vAlign w:val="bottom"/>
          </w:tcPr>
          <w:p>
            <w:pPr>
              <w:ind w:left="500"/>
              <w:spacing w:after="0"/>
              <w:rPr>
                <w:sz w:val="20"/>
                <w:szCs w:val="20"/>
                <w:color w:val="auto"/>
              </w:rPr>
            </w:pPr>
            <w:r>
              <w:rPr>
                <w:rFonts w:ascii="Arial" w:cs="Arial" w:eastAsia="Arial" w:hAnsi="Arial"/>
                <w:sz w:val="14"/>
                <w:szCs w:val="14"/>
                <w:b w:val="1"/>
                <w:bCs w:val="1"/>
                <w:color w:val="auto"/>
              </w:rPr>
              <w:t>Executive Vice President and Chief Financial Officer</w:t>
            </w:r>
          </w:p>
        </w:tc>
      </w:tr>
    </w:tbl>
    <w:p>
      <w:pPr>
        <w:sectPr>
          <w:pgSz w:w="11900" w:h="16838" w:orient="portrait"/>
          <w:cols w:equalWidth="0" w:num="1">
            <w:col w:w="11240"/>
          </w:cols>
          <w:pgMar w:left="320" w:top="856" w:right="339" w:bottom="1440" w:gutter="0" w:footer="0" w:header="0"/>
        </w:sectPr>
      </w:pPr>
    </w:p>
    <w:bookmarkStart w:id="52" w:name="page53"/>
    <w:bookmarkEnd w:id="52"/>
    <w:p>
      <w:pPr>
        <w:jc w:val="right"/>
        <w:spacing w:after="0"/>
        <w:rPr>
          <w:sz w:val="20"/>
          <w:szCs w:val="20"/>
          <w:color w:val="auto"/>
        </w:rPr>
      </w:pPr>
      <w:r>
        <w:rPr>
          <w:rFonts w:ascii="Arial" w:cs="Arial" w:eastAsia="Arial" w:hAnsi="Arial"/>
          <w:sz w:val="17"/>
          <w:szCs w:val="17"/>
          <w:b w:val="1"/>
          <w:bCs w:val="1"/>
          <w:color w:val="auto"/>
        </w:rPr>
        <w:t>Exhibit 32.1</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w:t>
      </w:r>
    </w:p>
    <w:p>
      <w:pPr>
        <w:spacing w:after="0" w:line="223" w:lineRule="exact"/>
        <w:rPr>
          <w:sz w:val="20"/>
          <w:szCs w:val="20"/>
          <w:color w:val="auto"/>
        </w:rPr>
      </w:pPr>
    </w:p>
    <w:p>
      <w:pPr>
        <w:ind w:right="20" w:firstLine="464"/>
        <w:spacing w:after="0" w:line="262" w:lineRule="auto"/>
        <w:rPr>
          <w:sz w:val="20"/>
          <w:szCs w:val="20"/>
          <w:color w:val="auto"/>
        </w:rPr>
      </w:pPr>
      <w:r>
        <w:rPr>
          <w:rFonts w:ascii="Arial" w:cs="Arial" w:eastAsia="Arial" w:hAnsi="Arial"/>
          <w:sz w:val="17"/>
          <w:szCs w:val="17"/>
          <w:color w:val="auto"/>
        </w:rPr>
        <w:t>Pursuant to 18 U.S.C. § 1350, the undersigned officers of Westinghouse Air Brake Technologies Corporation (the “</w:t>
      </w:r>
      <w:r>
        <w:rPr>
          <w:rFonts w:ascii="Arial" w:cs="Arial" w:eastAsia="Arial" w:hAnsi="Arial"/>
          <w:sz w:val="17"/>
          <w:szCs w:val="17"/>
          <w:i w:val="1"/>
          <w:iCs w:val="1"/>
          <w:color w:val="auto"/>
        </w:rPr>
        <w:t>Company</w:t>
      </w:r>
      <w:r>
        <w:rPr>
          <w:rFonts w:ascii="Arial" w:cs="Arial" w:eastAsia="Arial" w:hAnsi="Arial"/>
          <w:sz w:val="17"/>
          <w:szCs w:val="17"/>
          <w:color w:val="auto"/>
        </w:rPr>
        <w:t>”), hereby certify, to the best of their knowledge, that the Company’s Quarterly Report on Form 10-Q for the quarter ended September 30, 2023 (the “</w:t>
      </w:r>
      <w:r>
        <w:rPr>
          <w:rFonts w:ascii="Arial" w:cs="Arial" w:eastAsia="Arial" w:hAnsi="Arial"/>
          <w:sz w:val="17"/>
          <w:szCs w:val="17"/>
          <w:i w:val="1"/>
          <w:iCs w:val="1"/>
          <w:color w:val="auto"/>
        </w:rPr>
        <w:t>Report</w:t>
      </w:r>
      <w:r>
        <w:rPr>
          <w:rFonts w:ascii="Arial" w:cs="Arial" w:eastAsia="Arial" w:hAnsi="Arial"/>
          <w:sz w:val="17"/>
          <w:szCs w:val="17"/>
          <w:color w:val="auto"/>
        </w:rPr>
        <w:t>”) fully complies with the requirements of Section 13(a) or 15(d), as applicable, of the Securities Exchange Act of 1934 and that the information contained in the Report fairly presents, in all material respects, the financial condition and results of operations of the Company.</w:t>
      </w:r>
    </w:p>
    <w:p>
      <w:pPr>
        <w:spacing w:after="0" w:line="255" w:lineRule="exact"/>
        <w:rPr>
          <w:sz w:val="20"/>
          <w:szCs w:val="20"/>
          <w:color w:val="auto"/>
        </w:rPr>
      </w:pPr>
    </w:p>
    <w:tbl>
      <w:tblPr>
        <w:tblLayout w:type="fixed"/>
        <w:tblInd w:w="20" w:type="dxa"/>
        <w:tblCellMar>
          <w:top w:w="0" w:type="dxa"/>
          <w:left w:w="0" w:type="dxa"/>
          <w:bottom w:w="0" w:type="dxa"/>
          <w:right w:w="0" w:type="dxa"/>
        </w:tblCellMar>
      </w:tblPr>
      <w:tr>
        <w:trPr>
          <w:trHeight w:val="224"/>
        </w:trPr>
        <w:tc>
          <w:tcPr>
            <w:tcW w:w="1420" w:type="dxa"/>
            <w:vAlign w:val="bottom"/>
          </w:tcPr>
          <w:p>
            <w:pPr>
              <w:spacing w:after="0"/>
              <w:rPr>
                <w:sz w:val="20"/>
                <w:szCs w:val="20"/>
                <w:color w:val="auto"/>
              </w:rPr>
            </w:pPr>
            <w:r>
              <w:rPr>
                <w:rFonts w:ascii="Arial" w:cs="Arial" w:eastAsia="Arial" w:hAnsi="Arial"/>
                <w:sz w:val="17"/>
                <w:szCs w:val="17"/>
                <w:color w:val="auto"/>
              </w:rPr>
              <w:t>By:</w:t>
            </w:r>
          </w:p>
        </w:tc>
        <w:tc>
          <w:tcPr>
            <w:tcW w:w="2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w:t>
            </w:r>
          </w:p>
        </w:tc>
        <w:tc>
          <w:tcPr>
            <w:tcW w:w="9520" w:type="dxa"/>
            <w:vAlign w:val="bottom"/>
            <w:tcBorders>
              <w:bottom w:val="single" w:sz="8" w:color="auto"/>
            </w:tcBorders>
          </w:tcPr>
          <w:p>
            <w:pPr>
              <w:ind w:left="80"/>
              <w:spacing w:after="0"/>
              <w:rPr>
                <w:sz w:val="20"/>
                <w:szCs w:val="20"/>
                <w:color w:val="auto"/>
              </w:rPr>
            </w:pPr>
            <w:r>
              <w:rPr>
                <w:rFonts w:ascii="Arial" w:cs="Arial" w:eastAsia="Arial" w:hAnsi="Arial"/>
                <w:sz w:val="17"/>
                <w:szCs w:val="17"/>
                <w:color w:val="auto"/>
              </w:rPr>
              <w:t>R</w:t>
            </w:r>
            <w:r>
              <w:rPr>
                <w:rFonts w:ascii="Arial" w:cs="Arial" w:eastAsia="Arial" w:hAnsi="Arial"/>
                <w:sz w:val="13"/>
                <w:szCs w:val="13"/>
                <w:color w:val="auto"/>
              </w:rPr>
              <w:t>AFAEL SANTANA</w:t>
            </w:r>
          </w:p>
        </w:tc>
      </w:tr>
      <w:tr>
        <w:trPr>
          <w:trHeight w:val="132"/>
        </w:trPr>
        <w:tc>
          <w:tcPr>
            <w:tcW w:w="1420" w:type="dxa"/>
            <w:vAlign w:val="bottom"/>
          </w:tcPr>
          <w:p>
            <w:pPr>
              <w:spacing w:after="0"/>
              <w:rPr>
                <w:sz w:val="11"/>
                <w:szCs w:val="11"/>
                <w:color w:val="auto"/>
              </w:rPr>
            </w:pPr>
          </w:p>
        </w:tc>
        <w:tc>
          <w:tcPr>
            <w:tcW w:w="9780" w:type="dxa"/>
            <w:vAlign w:val="bottom"/>
            <w:gridSpan w:val="2"/>
          </w:tcPr>
          <w:p>
            <w:pPr>
              <w:ind w:left="20"/>
              <w:spacing w:after="0" w:line="133" w:lineRule="exact"/>
              <w:rPr>
                <w:sz w:val="20"/>
                <w:szCs w:val="20"/>
                <w:color w:val="auto"/>
              </w:rPr>
            </w:pPr>
            <w:r>
              <w:rPr>
                <w:rFonts w:ascii="Arial" w:cs="Arial" w:eastAsia="Arial" w:hAnsi="Arial"/>
                <w:sz w:val="14"/>
                <w:szCs w:val="14"/>
                <w:b w:val="1"/>
                <w:bCs w:val="1"/>
                <w:color w:val="auto"/>
              </w:rPr>
              <w:t>Rafael Santana</w:t>
            </w:r>
          </w:p>
        </w:tc>
      </w:tr>
      <w:tr>
        <w:trPr>
          <w:trHeight w:val="178"/>
        </w:trPr>
        <w:tc>
          <w:tcPr>
            <w:tcW w:w="1420" w:type="dxa"/>
            <w:vAlign w:val="bottom"/>
          </w:tcPr>
          <w:p>
            <w:pPr>
              <w:spacing w:after="0"/>
              <w:rPr>
                <w:sz w:val="15"/>
                <w:szCs w:val="15"/>
                <w:color w:val="auto"/>
              </w:rPr>
            </w:pPr>
          </w:p>
        </w:tc>
        <w:tc>
          <w:tcPr>
            <w:tcW w:w="9780" w:type="dxa"/>
            <w:vAlign w:val="bottom"/>
            <w:gridSpan w:val="2"/>
          </w:tcPr>
          <w:p>
            <w:pPr>
              <w:ind w:left="20"/>
              <w:spacing w:after="0"/>
              <w:rPr>
                <w:sz w:val="20"/>
                <w:szCs w:val="20"/>
                <w:color w:val="auto"/>
              </w:rPr>
            </w:pPr>
            <w:r>
              <w:rPr>
                <w:rFonts w:ascii="Arial" w:cs="Arial" w:eastAsia="Arial" w:hAnsi="Arial"/>
                <w:sz w:val="14"/>
                <w:szCs w:val="14"/>
                <w:b w:val="1"/>
                <w:bCs w:val="1"/>
                <w:color w:val="auto"/>
              </w:rPr>
              <w:t>President and Chief Executive Officer</w:t>
            </w:r>
          </w:p>
        </w:tc>
      </w:tr>
      <w:tr>
        <w:trPr>
          <w:trHeight w:val="229"/>
        </w:trPr>
        <w:tc>
          <w:tcPr>
            <w:tcW w:w="1420" w:type="dxa"/>
            <w:vAlign w:val="bottom"/>
          </w:tcPr>
          <w:p>
            <w:pPr>
              <w:spacing w:after="0"/>
              <w:rPr>
                <w:sz w:val="20"/>
                <w:szCs w:val="20"/>
                <w:color w:val="auto"/>
              </w:rPr>
            </w:pPr>
            <w:r>
              <w:rPr>
                <w:rFonts w:ascii="Arial" w:cs="Arial" w:eastAsia="Arial" w:hAnsi="Arial"/>
                <w:sz w:val="17"/>
                <w:szCs w:val="17"/>
                <w:b w:val="1"/>
                <w:bCs w:val="1"/>
                <w:color w:val="auto"/>
              </w:rPr>
              <w:t>Date:</w:t>
            </w:r>
          </w:p>
        </w:tc>
        <w:tc>
          <w:tcPr>
            <w:tcW w:w="9780" w:type="dxa"/>
            <w:vAlign w:val="bottom"/>
            <w:gridSpan w:val="2"/>
          </w:tcPr>
          <w:p>
            <w:pPr>
              <w:ind w:left="20"/>
              <w:spacing w:after="0"/>
              <w:rPr>
                <w:sz w:val="20"/>
                <w:szCs w:val="20"/>
                <w:color w:val="auto"/>
              </w:rPr>
            </w:pPr>
            <w:r>
              <w:rPr>
                <w:rFonts w:ascii="Arial" w:cs="Arial" w:eastAsia="Arial" w:hAnsi="Arial"/>
                <w:sz w:val="17"/>
                <w:szCs w:val="17"/>
                <w:color w:val="auto"/>
              </w:rPr>
              <w:t>October 25, 2023</w:t>
            </w:r>
          </w:p>
        </w:tc>
      </w:tr>
      <w:tr>
        <w:trPr>
          <w:trHeight w:val="471"/>
        </w:trPr>
        <w:tc>
          <w:tcPr>
            <w:tcW w:w="1420" w:type="dxa"/>
            <w:vAlign w:val="bottom"/>
          </w:tcPr>
          <w:p>
            <w:pPr>
              <w:spacing w:after="0"/>
              <w:rPr>
                <w:sz w:val="20"/>
                <w:szCs w:val="20"/>
                <w:color w:val="auto"/>
              </w:rPr>
            </w:pPr>
            <w:r>
              <w:rPr>
                <w:rFonts w:ascii="Arial" w:cs="Arial" w:eastAsia="Arial" w:hAnsi="Arial"/>
                <w:sz w:val="17"/>
                <w:szCs w:val="17"/>
                <w:color w:val="auto"/>
              </w:rPr>
              <w:t>By:</w:t>
            </w:r>
          </w:p>
        </w:tc>
        <w:tc>
          <w:tcPr>
            <w:tcW w:w="2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w:t>
            </w:r>
          </w:p>
        </w:tc>
        <w:tc>
          <w:tcPr>
            <w:tcW w:w="9520" w:type="dxa"/>
            <w:vAlign w:val="bottom"/>
            <w:tcBorders>
              <w:bottom w:val="single" w:sz="8" w:color="auto"/>
            </w:tcBorders>
          </w:tcPr>
          <w:p>
            <w:pPr>
              <w:ind w:left="80"/>
              <w:spacing w:after="0"/>
              <w:rPr>
                <w:sz w:val="20"/>
                <w:szCs w:val="20"/>
                <w:color w:val="auto"/>
              </w:rPr>
            </w:pPr>
            <w:r>
              <w:rPr>
                <w:rFonts w:ascii="Arial" w:cs="Arial" w:eastAsia="Arial" w:hAnsi="Arial"/>
                <w:sz w:val="17"/>
                <w:szCs w:val="17"/>
                <w:color w:val="auto"/>
              </w:rPr>
              <w:t>JOHN A. OLIN</w:t>
            </w:r>
          </w:p>
        </w:tc>
      </w:tr>
      <w:tr>
        <w:trPr>
          <w:trHeight w:val="132"/>
        </w:trPr>
        <w:tc>
          <w:tcPr>
            <w:tcW w:w="1420" w:type="dxa"/>
            <w:vAlign w:val="bottom"/>
          </w:tcPr>
          <w:p>
            <w:pPr>
              <w:spacing w:after="0"/>
              <w:rPr>
                <w:sz w:val="11"/>
                <w:szCs w:val="11"/>
                <w:color w:val="auto"/>
              </w:rPr>
            </w:pPr>
          </w:p>
        </w:tc>
        <w:tc>
          <w:tcPr>
            <w:tcW w:w="9780" w:type="dxa"/>
            <w:vAlign w:val="bottom"/>
            <w:gridSpan w:val="2"/>
          </w:tcPr>
          <w:p>
            <w:pPr>
              <w:ind w:left="20"/>
              <w:spacing w:after="0" w:line="133" w:lineRule="exact"/>
              <w:rPr>
                <w:sz w:val="20"/>
                <w:szCs w:val="20"/>
                <w:color w:val="auto"/>
              </w:rPr>
            </w:pPr>
            <w:r>
              <w:rPr>
                <w:rFonts w:ascii="Arial" w:cs="Arial" w:eastAsia="Arial" w:hAnsi="Arial"/>
                <w:sz w:val="14"/>
                <w:szCs w:val="14"/>
                <w:b w:val="1"/>
                <w:bCs w:val="1"/>
                <w:color w:val="auto"/>
              </w:rPr>
              <w:t>John A. Olin</w:t>
            </w:r>
          </w:p>
        </w:tc>
      </w:tr>
      <w:tr>
        <w:trPr>
          <w:trHeight w:val="178"/>
        </w:trPr>
        <w:tc>
          <w:tcPr>
            <w:tcW w:w="1420" w:type="dxa"/>
            <w:vAlign w:val="bottom"/>
          </w:tcPr>
          <w:p>
            <w:pPr>
              <w:spacing w:after="0"/>
              <w:rPr>
                <w:sz w:val="15"/>
                <w:szCs w:val="15"/>
                <w:color w:val="auto"/>
              </w:rPr>
            </w:pPr>
          </w:p>
        </w:tc>
        <w:tc>
          <w:tcPr>
            <w:tcW w:w="9780" w:type="dxa"/>
            <w:vAlign w:val="bottom"/>
            <w:gridSpan w:val="2"/>
          </w:tcPr>
          <w:p>
            <w:pPr>
              <w:ind w:left="20"/>
              <w:spacing w:after="0"/>
              <w:rPr>
                <w:sz w:val="20"/>
                <w:szCs w:val="20"/>
                <w:color w:val="auto"/>
              </w:rPr>
            </w:pPr>
            <w:r>
              <w:rPr>
                <w:rFonts w:ascii="Arial" w:cs="Arial" w:eastAsia="Arial" w:hAnsi="Arial"/>
                <w:sz w:val="14"/>
                <w:szCs w:val="14"/>
                <w:b w:val="1"/>
                <w:bCs w:val="1"/>
                <w:color w:val="auto"/>
              </w:rPr>
              <w:t>Executive Vice President and Chief Financial Officer</w:t>
            </w:r>
          </w:p>
        </w:tc>
      </w:tr>
      <w:tr>
        <w:trPr>
          <w:trHeight w:val="229"/>
        </w:trPr>
        <w:tc>
          <w:tcPr>
            <w:tcW w:w="1420" w:type="dxa"/>
            <w:vAlign w:val="bottom"/>
          </w:tcPr>
          <w:p>
            <w:pPr>
              <w:spacing w:after="0"/>
              <w:rPr>
                <w:sz w:val="20"/>
                <w:szCs w:val="20"/>
                <w:color w:val="auto"/>
              </w:rPr>
            </w:pPr>
            <w:r>
              <w:rPr>
                <w:rFonts w:ascii="Arial" w:cs="Arial" w:eastAsia="Arial" w:hAnsi="Arial"/>
                <w:sz w:val="17"/>
                <w:szCs w:val="17"/>
                <w:b w:val="1"/>
                <w:bCs w:val="1"/>
                <w:color w:val="auto"/>
              </w:rPr>
              <w:t>Date:</w:t>
            </w:r>
          </w:p>
        </w:tc>
        <w:tc>
          <w:tcPr>
            <w:tcW w:w="9780" w:type="dxa"/>
            <w:vAlign w:val="bottom"/>
            <w:gridSpan w:val="2"/>
          </w:tcPr>
          <w:p>
            <w:pPr>
              <w:ind w:left="20"/>
              <w:spacing w:after="0"/>
              <w:rPr>
                <w:sz w:val="20"/>
                <w:szCs w:val="20"/>
                <w:color w:val="auto"/>
              </w:rPr>
            </w:pPr>
            <w:r>
              <w:rPr>
                <w:rFonts w:ascii="Arial" w:cs="Arial" w:eastAsia="Arial" w:hAnsi="Arial"/>
                <w:sz w:val="17"/>
                <w:szCs w:val="17"/>
                <w:color w:val="auto"/>
              </w:rPr>
              <w:t>October 25, 2023</w:t>
            </w:r>
          </w:p>
        </w:tc>
      </w:tr>
    </w:tbl>
    <w:p>
      <w:pPr>
        <w:spacing w:after="0" w:line="1" w:lineRule="exact"/>
        <w:rPr>
          <w:sz w:val="20"/>
          <w:szCs w:val="20"/>
          <w:color w:val="auto"/>
        </w:rPr>
      </w:pPr>
    </w:p>
    <w:sectPr>
      <w:pgSz w:w="11900" w:h="16838" w:orient="portrait"/>
      <w:cols w:equalWidth="0" w:num="1">
        <w:col w:w="11240"/>
      </w:cols>
      <w:pgMar w:left="320" w:top="85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
      <w:numFmt w:val="bullet"/>
      <w:start w:val="1"/>
    </w:lvl>
  </w:abstractNum>
  <w:abstractNum w:abstractNumId="3">
    <w:nsid w:val="DED7263"/>
    <w:multiLevelType w:val="hybridMultilevel"/>
    <w:lvl w:ilvl="0">
      <w:lvlJc w:val="left"/>
      <w:lvlText w:val="•"/>
      <w:numFmt w:val="bullet"/>
      <w:start w:val="1"/>
    </w:lvl>
  </w:abstractNum>
  <w:abstractNum w:abstractNumId="4">
    <w:nsid w:val="7FDCC233"/>
    <w:multiLevelType w:val="hybridMultilevel"/>
    <w:lvl w:ilvl="0">
      <w:lvlJc w:val="left"/>
      <w:lvlText w:val="•"/>
      <w:numFmt w:val="bullet"/>
      <w:start w:val="1"/>
    </w:lvl>
  </w:abstractNum>
  <w:abstractNum w:abstractNumId="5">
    <w:nsid w:val="1BEFD79F"/>
    <w:multiLevelType w:val="hybridMultilevel"/>
    <w:lvl w:ilvl="0">
      <w:lvlJc w:val="left"/>
      <w:lvlText w:val="•"/>
      <w:numFmt w:val="bullet"/>
      <w:start w:val="1"/>
    </w:lvl>
  </w:abstractNum>
  <w:abstractNum w:abstractNumId="6">
    <w:nsid w:val="41A7C4C9"/>
    <w:multiLevelType w:val="hybridMultilevel"/>
    <w:lvl w:ilvl="0">
      <w:lvlJc w:val="left"/>
      <w:lvlText w:val="•"/>
      <w:numFmt w:val="bullet"/>
      <w:start w:val="1"/>
    </w:lvl>
  </w:abstractNum>
  <w:abstractNum w:abstractNumId="7">
    <w:nsid w:val="6B68079A"/>
    <w:multiLevelType w:val="hybridMultilevel"/>
    <w:lvl w:ilvl="0">
      <w:lvlJc w:val="left"/>
      <w:lvlText w:val="•"/>
      <w:numFmt w:val="bullet"/>
      <w:start w:val="1"/>
    </w:lvl>
  </w:abstractNum>
  <w:abstractNum w:abstractNumId="8">
    <w:nsid w:val="4E6AFB66"/>
    <w:multiLevelType w:val="hybridMultilevel"/>
    <w:lvl w:ilvl="0">
      <w:lvlJc w:val="left"/>
      <w:lvlText w:val="•"/>
      <w:numFmt w:val="bullet"/>
      <w:start w:val="1"/>
    </w:lvl>
  </w:abstractNum>
  <w:abstractNum w:abstractNumId="9">
    <w:nsid w:val="25E45D32"/>
    <w:multiLevelType w:val="hybridMultilevel"/>
    <w:lvl w:ilvl="0">
      <w:lvlJc w:val="left"/>
      <w:lvlText w:val="•"/>
      <w:numFmt w:val="bullet"/>
      <w:start w:val="1"/>
    </w:lvl>
  </w:abstractNum>
  <w:abstractNum w:abstractNumId="10">
    <w:nsid w:val="519B500D"/>
    <w:multiLevelType w:val="hybridMultilevel"/>
    <w:lvl w:ilvl="0">
      <w:lvlJc w:val="left"/>
      <w:lvlText w:val="•"/>
      <w:numFmt w:val="bullet"/>
      <w:start w:val="1"/>
    </w:lvl>
  </w:abstractNum>
  <w:abstractNum w:abstractNumId="11">
    <w:nsid w:val="431BD7B7"/>
    <w:multiLevelType w:val="hybridMultilevel"/>
    <w:lvl w:ilvl="0">
      <w:lvlJc w:val="left"/>
      <w:lvlText w:val="•"/>
      <w:numFmt w:val="bullet"/>
      <w:start w:val="1"/>
    </w:lvl>
  </w:abstractNum>
  <w:abstractNum w:abstractNumId="12">
    <w:nsid w:val="3F2DBA31"/>
    <w:multiLevelType w:val="hybridMultilevel"/>
    <w:lvl w:ilvl="0">
      <w:lvlJc w:val="left"/>
      <w:lvlText w:val="•"/>
      <w:numFmt w:val="bullet"/>
      <w:start w:val="1"/>
    </w:lvl>
  </w:abstractNum>
  <w:abstractNum w:abstractNumId="13">
    <w:nsid w:val="7C83E458"/>
    <w:multiLevelType w:val="hybridMultilevel"/>
    <w:lvl w:ilvl="0">
      <w:lvlJc w:val="left"/>
      <w:lvlText w:val="•"/>
      <w:numFmt w:val="bullet"/>
      <w:start w:val="1"/>
    </w:lvl>
  </w:abstractNum>
  <w:abstractNum w:abstractNumId="14">
    <w:nsid w:val="257130A3"/>
    <w:multiLevelType w:val="hybridMultilevel"/>
    <w:lvl w:ilvl="0">
      <w:lvlJc w:val="left"/>
      <w:lvlText w:val="•"/>
      <w:numFmt w:val="bullet"/>
      <w:start w:val="1"/>
    </w:lvl>
  </w:abstractNum>
  <w:abstractNum w:abstractNumId="15">
    <w:nsid w:val="62BBD95A"/>
    <w:multiLevelType w:val="hybridMultilevel"/>
    <w:lvl w:ilvl="0">
      <w:lvlJc w:val="left"/>
      <w:lvlText w:val="•"/>
      <w:numFmt w:val="bullet"/>
      <w:start w:val="1"/>
    </w:lvl>
  </w:abstractNum>
  <w:abstractNum w:abstractNumId="16">
    <w:nsid w:val="436C6125"/>
    <w:multiLevelType w:val="hybridMultilevel"/>
    <w:lvl w:ilvl="0">
      <w:lvlJc w:val="left"/>
      <w:lvlText w:val="•"/>
      <w:numFmt w:val="bullet"/>
      <w:start w:val="1"/>
    </w:lvl>
  </w:abstractNum>
  <w:abstractNum w:abstractNumId="17">
    <w:nsid w:val="628C895D"/>
    <w:multiLevelType w:val="hybridMultilevel"/>
    <w:lvl w:ilvl="0">
      <w:lvlJc w:val="left"/>
      <w:lvlText w:val="•"/>
      <w:numFmt w:val="bullet"/>
      <w:start w:val="1"/>
    </w:lvl>
  </w:abstractNum>
  <w:abstractNum w:abstractNumId="18">
    <w:nsid w:val="333AB105"/>
    <w:multiLevelType w:val="hybridMultilevel"/>
    <w:lvl w:ilvl="0">
      <w:lvlJc w:val="left"/>
      <w:lvlText w:val="•"/>
      <w:numFmt w:val="bullet"/>
      <w:start w:val="1"/>
    </w:lvl>
  </w:abstractNum>
  <w:abstractNum w:abstractNumId="19">
    <w:nsid w:val="721DA317"/>
    <w:multiLevelType w:val="hybridMultilevel"/>
    <w:lvl w:ilvl="0">
      <w:lvlJc w:val="left"/>
      <w:lvlText w:val="•"/>
      <w:numFmt w:val="bullet"/>
      <w:start w:val="1"/>
    </w:lvl>
  </w:abstractNum>
  <w:abstractNum w:abstractNumId="20">
    <w:nsid w:val="2443A858"/>
    <w:multiLevelType w:val="hybridMultilevel"/>
    <w:lvl w:ilvl="0">
      <w:lvlJc w:val="left"/>
      <w:lvlText w:val="(%1)"/>
      <w:numFmt w:val="decimal"/>
      <w:start w:val="1"/>
    </w:lvl>
  </w:abstractNum>
  <w:abstractNum w:abstractNumId="21">
    <w:nsid w:val="2D1D5AE9"/>
    <w:multiLevelType w:val="hybridMultilevel"/>
    <w:lvl w:ilvl="0">
      <w:lvlJc w:val="left"/>
      <w:lvlText w:val="%1"/>
      <w:numFmt w:val="decimal"/>
      <w:start w:val="104"/>
    </w:lvl>
  </w:abstractNum>
  <w:abstractNum w:abstractNumId="22">
    <w:nsid w:val="6763845E"/>
    <w:multiLevelType w:val="hybridMultilevel"/>
    <w:lvl w:ilvl="0">
      <w:lvlJc w:val="left"/>
      <w:lvlText w:val="%1."/>
      <w:numFmt w:val="decimal"/>
      <w:start w:val="1"/>
    </w:lvl>
    <w:lvl w:ilvl="1">
      <w:lvlJc w:val="left"/>
      <w:lvlText w:val="(%2)"/>
      <w:numFmt w:val="lowerLetter"/>
      <w:start w:val="1"/>
    </w:lvl>
  </w:abstractNum>
  <w:abstractNum w:abstractNumId="23">
    <w:nsid w:val="75A2A8D4"/>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2023-10-25T14:13:36Z</dcterms:created>
  <dcterms:modified xsi:type="dcterms:W3CDTF">2023-10-25T14:13:36Z</dcterms:modified>
</cp:coreProperties>
</file>