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645795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612775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3" w:lineRule="exact"/>
        <w:rPr>
          <w:sz w:val="24"/>
          <w:szCs w:val="24"/>
          <w:color w:val="auto"/>
        </w:rPr>
      </w:pPr>
    </w:p>
    <w:p>
      <w:pPr>
        <w:ind w:left="480" w:hanging="460"/>
        <w:spacing w:after="0"/>
        <w:tabs>
          <w:tab w:leader="none" w:pos="4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2024</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5" w:lineRule="exact"/>
        <w:rPr>
          <w:sz w:val="24"/>
          <w:szCs w:val="24"/>
          <w:color w:val="auto"/>
        </w:rPr>
      </w:pPr>
    </w:p>
    <w:p>
      <w:pPr>
        <w:ind w:left="480" w:hanging="460"/>
        <w:spacing w:after="0"/>
        <w:tabs>
          <w:tab w:leader="none" w:pos="4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200"/>
          </w:cols>
          <w:pgMar w:left="320" w:top="1087" w:right="379" w:bottom="1440" w:gutter="0" w:footer="0" w:header="0"/>
        </w:sectPr>
      </w:pP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sectPr>
          <w:pgSz w:w="11900" w:h="16838" w:orient="portrait"/>
          <w:cols w:equalWidth="0" w:num="2">
            <w:col w:w="2880" w:space="720"/>
            <w:col w:w="7600"/>
          </w:cols>
          <w:pgMar w:left="320" w:top="1087"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033-90866</w:t>
      </w:r>
    </w:p>
    <w:p>
      <w:pPr>
        <w:spacing w:after="0" w:line="6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WESTINGHOUSE AIR BRAKE TECHNOLOGIES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CORPORATION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ectPr>
          <w:pgSz w:w="11900" w:h="16838" w:orient="portrait"/>
          <w:cols w:equalWidth="0" w:num="1">
            <w:col w:w="11200"/>
          </w:cols>
          <w:pgMar w:left="320" w:top="1087" w:right="379" w:bottom="1440" w:gutter="0" w:footer="0" w:header="0"/>
          <w:type w:val="continuous"/>
        </w:sectPr>
      </w:pPr>
    </w:p>
    <w:p>
      <w:pPr>
        <w:spacing w:after="0" w:line="23"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25-1615902</w:t>
      </w:r>
    </w:p>
    <w:p>
      <w:pPr>
        <w:spacing w:after="0" w:line="46" w:lineRule="exact"/>
        <w:rPr>
          <w:sz w:val="24"/>
          <w:szCs w:val="24"/>
          <w:color w:val="auto"/>
        </w:rPr>
      </w:pPr>
    </w:p>
    <w:p>
      <w:pPr>
        <w:sectPr>
          <w:pgSz w:w="11900" w:h="16838" w:orient="portrait"/>
          <w:cols w:equalWidth="0" w:num="2">
            <w:col w:w="7320" w:space="720"/>
            <w:col w:w="3160"/>
          </w:cols>
          <w:pgMar w:left="320" w:top="1087" w:right="3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83" w:lineRule="exact"/>
        <w:rPr>
          <w:sz w:val="24"/>
          <w:szCs w:val="24"/>
          <w:color w:val="auto"/>
        </w:rPr>
      </w:pPr>
    </w:p>
    <w:p>
      <w:pPr>
        <w:sectPr>
          <w:pgSz w:w="11900" w:h="16838" w:orient="portrait"/>
          <w:cols w:equalWidth="0" w:num="2">
            <w:col w:w="6720" w:space="720"/>
            <w:col w:w="3760"/>
          </w:cols>
          <w:pgMar w:left="320" w:top="1087" w:right="37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15212</w:t>
      </w:r>
    </w:p>
    <w:p>
      <w:pPr>
        <w:spacing w:after="0" w:line="46" w:lineRule="exact"/>
        <w:rPr>
          <w:sz w:val="24"/>
          <w:szCs w:val="24"/>
          <w:color w:val="auto"/>
        </w:rPr>
      </w:pPr>
    </w:p>
    <w:p>
      <w:pPr>
        <w:sectPr>
          <w:pgSz w:w="11900" w:h="16838" w:orient="portrait"/>
          <w:cols w:equalWidth="0" w:num="2">
            <w:col w:w="7500" w:space="720"/>
            <w:col w:w="2980"/>
          </w:cols>
          <w:pgMar w:left="320" w:top="1087" w:right="37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01" w:lineRule="exact"/>
        <w:rPr>
          <w:sz w:val="24"/>
          <w:szCs w:val="24"/>
          <w:color w:val="auto"/>
        </w:rPr>
      </w:pPr>
    </w:p>
    <w:p>
      <w:pPr>
        <w:sectPr>
          <w:pgSz w:w="11900" w:h="16838" w:orient="portrait"/>
          <w:cols w:equalWidth="0" w:num="2">
            <w:col w:w="7420" w:space="720"/>
            <w:col w:w="3060"/>
          </w:cols>
          <w:pgMar w:left="320" w:top="1087"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412-825-1000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ectPr>
          <w:pgSz w:w="11900" w:h="16838" w:orient="portrait"/>
          <w:cols w:equalWidth="0" w:num="1">
            <w:col w:w="11200"/>
          </w:cols>
          <w:pgMar w:left="320" w:top="1087" w:right="379" w:bottom="1440" w:gutter="0" w:footer="0" w:header="0"/>
          <w:type w:val="continuous"/>
        </w:sectPr>
      </w:pP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0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4260" w:type="dxa"/>
            <w:vAlign w:val="bottom"/>
            <w:tcBorders>
              <w:top w:val="single" w:sz="8" w:color="auto"/>
              <w:left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Borders>
              <w:top w:val="single" w:sz="8" w:color="auto"/>
              <w:right w:val="single" w:sz="8" w:color="auto"/>
            </w:tcBorders>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4260" w:type="dxa"/>
            <w:vAlign w:val="bottom"/>
            <w:tcBorders>
              <w:left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right w:val="single" w:sz="8" w:color="auto"/>
            </w:tcBorders>
          </w:tcPr>
          <w:p>
            <w:pPr>
              <w:spacing w:after="0" w:line="20" w:lineRule="exact"/>
              <w:rPr>
                <w:sz w:val="1"/>
                <w:szCs w:val="1"/>
                <w:color w:val="auto"/>
              </w:rPr>
            </w:pPr>
          </w:p>
        </w:tc>
      </w:tr>
      <w:tr>
        <w:trPr>
          <w:trHeight w:val="185"/>
        </w:trPr>
        <w:tc>
          <w:tcPr>
            <w:tcW w:w="4260" w:type="dxa"/>
            <w:vAlign w:val="bottom"/>
            <w:tcBorders>
              <w:left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Common Stock, $.01 par value per share</w:t>
            </w:r>
          </w:p>
        </w:tc>
        <w:tc>
          <w:tcPr>
            <w:tcW w:w="2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5"/>
                <w:szCs w:val="15"/>
                <w:color w:val="auto"/>
              </w:rPr>
              <w:t>WAB</w:t>
            </w:r>
          </w:p>
        </w:tc>
        <w:tc>
          <w:tcPr>
            <w:tcW w:w="4400" w:type="dxa"/>
            <w:vAlign w:val="bottom"/>
            <w:tcBorders>
              <w:bottom w:val="single" w:sz="8" w:color="auto"/>
              <w:right w:val="single" w:sz="8" w:color="auto"/>
            </w:tcBorders>
          </w:tcPr>
          <w:p>
            <w:pPr>
              <w:jc w:val="center"/>
              <w:ind w:right="389"/>
              <w:spacing w:after="0"/>
              <w:rPr>
                <w:sz w:val="20"/>
                <w:szCs w:val="20"/>
                <w:color w:val="auto"/>
              </w:rPr>
            </w:pPr>
            <w:r>
              <w:rPr>
                <w:rFonts w:ascii="Times New Roman" w:cs="Times New Roman" w:eastAsia="Times New Roman" w:hAnsi="Times New Roman"/>
                <w:sz w:val="15"/>
                <w:szCs w:val="15"/>
                <w:color w:val="auto"/>
                <w:w w:val="96"/>
              </w:rPr>
              <w:t>New York Stock Exchange</w:t>
            </w:r>
          </w:p>
        </w:tc>
      </w:tr>
    </w:tbl>
    <w:p>
      <w:pPr>
        <w:spacing w:after="0" w:line="83" w:lineRule="exact"/>
        <w:rPr>
          <w:sz w:val="24"/>
          <w:szCs w:val="24"/>
          <w:color w:val="auto"/>
        </w:rPr>
      </w:pPr>
    </w:p>
    <w:p>
      <w:pPr>
        <w:ind w:right="22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420" w:firstLine="46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087" w:right="379" w:bottom="1440" w:gutter="0" w:footer="0" w:header="0"/>
          <w:type w:val="continuous"/>
        </w:sectPr>
      </w:pPr>
    </w:p>
    <w:p>
      <w:pPr>
        <w:spacing w:after="0" w:line="32" w:lineRule="exact"/>
        <w:rPr>
          <w:sz w:val="24"/>
          <w:szCs w:val="24"/>
          <w:color w:val="auto"/>
        </w:rPr>
      </w:pPr>
    </w:p>
    <w:p>
      <w:pPr>
        <w:ind w:left="20" w:right="120"/>
        <w:spacing w:after="0" w:line="331" w:lineRule="auto"/>
        <w:rPr>
          <w:sz w:val="20"/>
          <w:szCs w:val="20"/>
          <w:color w:val="auto"/>
        </w:rPr>
      </w:pPr>
      <w:r>
        <w:rPr>
          <w:rFonts w:ascii="Times New Roman" w:cs="Times New Roman" w:eastAsia="Times New Roman" w:hAnsi="Times New Roman"/>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65" w:lineRule="exact"/>
        <w:rPr>
          <w:sz w:val="24"/>
          <w:szCs w:val="24"/>
          <w:color w:val="auto"/>
        </w:rPr>
      </w:pPr>
    </w:p>
    <w:p>
      <w:pPr>
        <w:sectPr>
          <w:pgSz w:w="11900" w:h="16838" w:orient="portrait"/>
          <w:cols w:equalWidth="0" w:num="6">
            <w:col w:w="1740" w:space="720"/>
            <w:col w:w="140" w:space="320"/>
            <w:col w:w="1700" w:space="720"/>
            <w:col w:w="140" w:space="320"/>
            <w:col w:w="1240" w:space="660"/>
            <w:col w:w="3500"/>
          </w:cols>
          <w:pgMar w:left="320" w:top="1087" w:right="379" w:bottom="1440" w:gutter="0" w:footer="0" w:header="0"/>
          <w:type w:val="continuous"/>
        </w:sectPr>
      </w:pPr>
    </w:p>
    <w:p>
      <w:pPr>
        <w:ind w:firstLine="464"/>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44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October 18, 2024, there were 171,889,624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774065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66040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1087" w:right="37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TECHNOLOGIES CORPORATION</w:t>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980" w:type="dxa"/>
            <w:vAlign w:val="bottom"/>
          </w:tcPr>
          <w:p>
            <w:pPr>
              <w:spacing w:after="0" w:line="20" w:lineRule="exact"/>
              <w:rPr>
                <w:sz w:val="1"/>
                <w:szCs w:val="1"/>
                <w:color w:val="auto"/>
              </w:rPr>
            </w:pPr>
          </w:p>
        </w:tc>
        <w:tc>
          <w:tcPr>
            <w:tcW w:w="9560" w:type="dxa"/>
            <w:vAlign w:val="bottom"/>
            <w:gridSpan w:val="17"/>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95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Financial Statements - (Unaudited)</w:t>
            </w:r>
          </w:p>
        </w:tc>
        <w:tc>
          <w:tcPr>
            <w:tcW w:w="6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6280" w:type="dxa"/>
            <w:vAlign w:val="bottom"/>
            <w:tcBorders>
              <w:bottom w:val="single" w:sz="8" w:color="0000FF"/>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Balance Sheets as of September 30, 2024 and December 31, 2023</w:t>
            </w:r>
          </w:p>
        </w:tc>
        <w:tc>
          <w:tcPr>
            <w:tcW w:w="3280" w:type="dxa"/>
            <w:vAlign w:val="bottom"/>
            <w:gridSpan w:val="5"/>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Income for the three and nine months ended September 30, 2024 and 2023</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nine months ended September 30, 2024 and 2023</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spacing w:after="0"/>
              <w:rPr>
                <w:sz w:val="18"/>
                <w:szCs w:val="18"/>
                <w:color w:val="auto"/>
              </w:rPr>
            </w:pPr>
          </w:p>
        </w:tc>
        <w:tc>
          <w:tcPr>
            <w:tcW w:w="7480" w:type="dxa"/>
            <w:vAlign w:val="bottom"/>
            <w:tcBorders>
              <w:top w:val="single" w:sz="8" w:color="0000FF"/>
              <w:bottom w:val="single" w:sz="8" w:color="0000FF"/>
            </w:tcBorders>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Cash Flows for the nine months ended September 30, 2024 and 2023</w:t>
            </w:r>
          </w:p>
        </w:tc>
        <w:tc>
          <w:tcPr>
            <w:tcW w:w="15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8780" w:type="dxa"/>
            <w:vAlign w:val="bottom"/>
            <w:tcBorders>
              <w:bottom w:val="single" w:sz="8" w:color="0000FF"/>
            </w:tcBorders>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for the three and nine months ended September 30, 2024 and 2023</w:t>
            </w:r>
          </w:p>
        </w:tc>
        <w:tc>
          <w:tcPr>
            <w:tcW w:w="780" w:type="dxa"/>
            <w:vAlign w:val="bottom"/>
            <w:gridSpan w:val="2"/>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9</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6160" w:type="dxa"/>
            <w:vAlign w:val="bottom"/>
            <w:tcBorders>
              <w:bottom w:val="single" w:sz="8" w:color="0000FF"/>
            </w:tcBorders>
            <w:gridSpan w:val="11"/>
          </w:tcPr>
          <w:p>
            <w:pPr>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400" w:type="dxa"/>
            <w:vAlign w:val="bottom"/>
            <w:gridSpan w:val="6"/>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28</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3.</w:t>
            </w: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46</w:t>
            </w:r>
          </w:p>
        </w:tc>
        <w:tc>
          <w:tcPr>
            <w:tcW w:w="0" w:type="dxa"/>
            <w:vAlign w:val="bottom"/>
          </w:tcPr>
          <w:p>
            <w:pPr>
              <w:spacing w:after="0"/>
              <w:rPr>
                <w:sz w:val="1"/>
                <w:szCs w:val="1"/>
                <w:color w:val="auto"/>
              </w:rPr>
            </w:pPr>
          </w:p>
        </w:tc>
      </w:tr>
      <w:tr>
        <w:trPr>
          <w:trHeight w:val="18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4.</w:t>
            </w:r>
          </w:p>
        </w:tc>
        <w:tc>
          <w:tcPr>
            <w:tcW w:w="4100" w:type="dxa"/>
            <w:vAlign w:val="bottom"/>
            <w:tcBorders>
              <w:top w:val="single" w:sz="8" w:color="0000FF"/>
            </w:tcBorders>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546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46</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80" w:type="dxa"/>
            <w:vAlign w:val="bottom"/>
            <w:shd w:val="clear" w:color="auto" w:fill="CCEEFF"/>
          </w:tcPr>
          <w:p>
            <w:pPr>
              <w:spacing w:after="0"/>
              <w:rPr>
                <w:sz w:val="19"/>
                <w:szCs w:val="19"/>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II—OTHER INFORMATION</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top w:val="single" w:sz="8" w:color="0000FF"/>
              <w:bottom w:val="single" w:sz="8" w:color="0000FF"/>
            </w:tcBorders>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8"/>
              </w:rPr>
              <w:t>Risk Factors</w:t>
            </w:r>
          </w:p>
        </w:tc>
        <w:tc>
          <w:tcPr>
            <w:tcW w:w="4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8300" w:type="dxa"/>
            <w:vAlign w:val="bottom"/>
            <w:tcBorders>
              <w:bottom w:val="single" w:sz="8" w:color="CCEEFF"/>
            </w:tcBorders>
            <w:gridSpan w:val="12"/>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4.</w:t>
            </w:r>
          </w:p>
        </w:tc>
        <w:tc>
          <w:tcPr>
            <w:tcW w:w="4140" w:type="dxa"/>
            <w:vAlign w:val="bottom"/>
            <w:tcBorders>
              <w:top w:val="single" w:sz="8" w:color="0000FF"/>
            </w:tcBorders>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Mine Safety Disclosures</w:t>
            </w:r>
          </w:p>
        </w:tc>
        <w:tc>
          <w:tcPr>
            <w:tcW w:w="5420" w:type="dxa"/>
            <w:vAlign w:val="bottom"/>
            <w:gridSpan w:val="7"/>
            <w:shd w:val="clear" w:color="auto" w:fill="CCEEFF"/>
          </w:tcPr>
          <w:p>
            <w:pPr>
              <w:spacing w:after="0"/>
              <w:rPr>
                <w:sz w:val="18"/>
                <w:szCs w:val="18"/>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5.</w:t>
            </w:r>
          </w:p>
        </w:tc>
        <w:tc>
          <w:tcPr>
            <w:tcW w:w="1680" w:type="dxa"/>
            <w:vAlign w:val="bottom"/>
            <w:tcBorders>
              <w:top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Other Information</w:t>
            </w:r>
          </w:p>
        </w:tc>
        <w:tc>
          <w:tcPr>
            <w:tcW w:w="7880" w:type="dxa"/>
            <w:vAlign w:val="bottom"/>
            <w:tcBorders>
              <w:top w:val="single" w:sz="8" w:color="CCEEFF"/>
            </w:tcBorders>
            <w:gridSpan w:val="11"/>
          </w:tcPr>
          <w:p>
            <w:pPr>
              <w:spacing w:after="0"/>
              <w:rPr>
                <w:sz w:val="16"/>
                <w:szCs w:val="16"/>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6.</w:t>
            </w:r>
          </w:p>
        </w:tc>
        <w:tc>
          <w:tcPr>
            <w:tcW w:w="1240" w:type="dxa"/>
            <w:vAlign w:val="bottom"/>
            <w:tcBorders>
              <w:top w:val="single" w:sz="8" w:color="0000FF"/>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Exhibits</w:t>
            </w:r>
          </w:p>
        </w:tc>
        <w:tc>
          <w:tcPr>
            <w:tcW w:w="8320" w:type="dxa"/>
            <w:vAlign w:val="bottom"/>
            <w:gridSpan w:val="13"/>
            <w:shd w:val="clear" w:color="auto" w:fill="CCEEFF"/>
          </w:tcPr>
          <w:p>
            <w:pPr>
              <w:spacing w:after="0"/>
              <w:rPr>
                <w:sz w:val="16"/>
                <w:szCs w:val="16"/>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48</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spacing w:after="0"/>
              <w:rPr>
                <w:sz w:val="15"/>
                <w:szCs w:val="15"/>
                <w:color w:val="auto"/>
              </w:rPr>
            </w:pPr>
          </w:p>
        </w:tc>
        <w:tc>
          <w:tcPr>
            <w:tcW w:w="720" w:type="dxa"/>
            <w:vAlign w:val="bottom"/>
            <w:tcBorders>
              <w:bottom w:val="single" w:sz="8" w:color="0000FF"/>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7"/>
              </w:rPr>
              <w:t>Signatures</w:t>
            </w:r>
          </w:p>
        </w:tc>
        <w:tc>
          <w:tcPr>
            <w:tcW w:w="8840" w:type="dxa"/>
            <w:vAlign w:val="bottom"/>
            <w:gridSpan w:val="15"/>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893"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8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par value</w:t>
            </w: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144"/>
              <w:spacing w:after="0" w:line="123"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83"/>
              <w:spacing w:after="0" w:line="12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8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4"/>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43"/>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420" w:type="dxa"/>
            <w:vAlign w:val="bottom"/>
            <w:shd w:val="clear" w:color="auto" w:fill="CCEEFF"/>
          </w:tcPr>
          <w:p>
            <w:pPr>
              <w:jc w:val="center"/>
              <w:ind w:right="157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Unbilled accounts receivable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Inventories, net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4,855</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1,485</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8,780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3,205</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noncurrent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13,870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18,644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420" w:type="dxa"/>
            <w:vAlign w:val="bottom"/>
            <w:shd w:val="clear" w:color="auto" w:fill="CCEEFF"/>
          </w:tcPr>
          <w:p>
            <w:pPr>
              <w:jc w:val="center"/>
              <w:ind w:right="1571"/>
              <w:spacing w:after="0" w:line="159" w:lineRule="exact"/>
              <w:rPr>
                <w:sz w:val="20"/>
                <w:szCs w:val="20"/>
                <w:color w:val="auto"/>
              </w:rPr>
            </w:pPr>
            <w:r>
              <w:rPr>
                <w:rFonts w:ascii="Times New Roman" w:cs="Times New Roman" w:eastAsia="Times New Roman" w:hAnsi="Times New Roman"/>
                <w:sz w:val="14"/>
                <w:szCs w:val="14"/>
                <w:b w:val="1"/>
                <w:bCs w:val="1"/>
                <w:color w:val="auto"/>
                <w:w w:val="98"/>
              </w:rPr>
              <w:t>Liabilities and Shareholders’ Equity</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deposits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compensation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Accrued warranty</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660</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Long-term debt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3,288</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postretirement and pension benefits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6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Common stock, $.01 par value; 500.0 shares authorized and 226.9 shares issued: 171.9 and 177.8 outstanding at September 30,</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5"/>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 and December 31, 2023, respectively</w:t>
            </w: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7,977</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Treasury stock, at cost, 55.0 and 49.1 shares, at September 30, 2024 and December 31, 2023, respectively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(2,171)</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5,269</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w:t>
            </w:r>
          </w:p>
        </w:tc>
        <w:tc>
          <w:tcPr>
            <w:tcW w:w="0" w:type="dxa"/>
            <w:vAlign w:val="bottom"/>
          </w:tcPr>
          <w:p>
            <w:pPr>
              <w:spacing w:after="0"/>
              <w:rPr>
                <w:sz w:val="1"/>
                <w:szCs w:val="1"/>
                <w:color w:val="auto"/>
              </w:rPr>
            </w:pPr>
          </w:p>
        </w:tc>
      </w:tr>
      <w:tr>
        <w:trPr>
          <w:trHeight w:val="196"/>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Westinghouse Air Brake Technologies Corporation shareholders’ equity</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Total Equity</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10,291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10,524</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18,644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3"/>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8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gridSpan w:val="3"/>
          </w:tcPr>
          <w:p>
            <w:pPr>
              <w:jc w:val="center"/>
              <w:ind w:right="278"/>
              <w:spacing w:after="0" w:line="153"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center"/>
              <w:ind w:right="195"/>
              <w:spacing w:after="0" w:line="153" w:lineRule="exact"/>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85"/>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20" w:type="dxa"/>
            <w:vAlign w:val="bottom"/>
            <w:tcBorders>
              <w:bottom w:val="single" w:sz="8" w:color="auto"/>
            </w:tcBorders>
          </w:tcPr>
          <w:p>
            <w:pPr>
              <w:spacing w:after="0"/>
              <w:rPr>
                <w:sz w:val="16"/>
                <w:szCs w:val="16"/>
                <w:color w:val="auto"/>
              </w:rPr>
            </w:pPr>
          </w:p>
        </w:tc>
      </w:tr>
      <w:tr>
        <w:trPr>
          <w:trHeight w:val="142"/>
        </w:trPr>
        <w:tc>
          <w:tcPr>
            <w:tcW w:w="54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9"/>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Sales of goods</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5,631</w:t>
            </w:r>
          </w:p>
        </w:tc>
      </w:tr>
      <w:tr>
        <w:trPr>
          <w:trHeight w:val="219"/>
        </w:trPr>
        <w:tc>
          <w:tcPr>
            <w:tcW w:w="2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Sales of services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1,520</w:t>
            </w:r>
          </w:p>
        </w:tc>
      </w:tr>
      <w:tr>
        <w:trPr>
          <w:trHeight w:val="212"/>
        </w:trPr>
        <w:tc>
          <w:tcPr>
            <w:tcW w:w="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net sales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7,151</w:t>
            </w:r>
          </w:p>
        </w:tc>
      </w:tr>
      <w:tr>
        <w:trPr>
          <w:trHeight w:val="219"/>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goods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(4,132)</w:t>
            </w:r>
          </w:p>
        </w:tc>
      </w:tr>
      <w:tr>
        <w:trPr>
          <w:trHeight w:val="219"/>
        </w:trPr>
        <w:tc>
          <w:tcPr>
            <w:tcW w:w="2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Cost of services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w:t>
            </w:r>
          </w:p>
        </w:tc>
      </w:tr>
      <w:tr>
        <w:trPr>
          <w:trHeight w:val="212"/>
        </w:trPr>
        <w:tc>
          <w:tcPr>
            <w:tcW w:w="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cost of sales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w:t>
            </w:r>
          </w:p>
        </w:tc>
      </w:tr>
      <w:tr>
        <w:trPr>
          <w:trHeight w:val="212"/>
        </w:trPr>
        <w:tc>
          <w:tcPr>
            <w:tcW w:w="2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2,180</w:t>
            </w:r>
          </w:p>
        </w:tc>
      </w:tr>
      <w:tr>
        <w:trPr>
          <w:trHeight w:val="219"/>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3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Engineering expenses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19"/>
        </w:trPr>
        <w:tc>
          <w:tcPr>
            <w:tcW w:w="2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Amortization expense</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2"/>
        </w:trPr>
        <w:tc>
          <w:tcPr>
            <w:tcW w:w="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w:t>
            </w:r>
          </w:p>
        </w:tc>
      </w:tr>
      <w:tr>
        <w:trPr>
          <w:trHeight w:val="212"/>
        </w:trPr>
        <w:tc>
          <w:tcPr>
            <w:tcW w:w="2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r>
      <w:tr>
        <w:trPr>
          <w:trHeight w:val="219"/>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3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Interest expense,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(expense) income, net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2"/>
        </w:trPr>
        <w:tc>
          <w:tcPr>
            <w:tcW w:w="2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tax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12"/>
        </w:trPr>
        <w:tc>
          <w:tcPr>
            <w:tcW w:w="2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w:t>
            </w: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2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540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Diluted</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w:t>
            </w:r>
          </w:p>
        </w:tc>
      </w:tr>
      <w:tr>
        <w:trPr>
          <w:trHeight w:val="223"/>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179.7</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gridSpan w:val="3"/>
          </w:tcPr>
          <w:p>
            <w:pPr>
              <w:jc w:val="center"/>
              <w:ind w:left="77"/>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gridSpan w:val="3"/>
          </w:tcPr>
          <w:p>
            <w:pPr>
              <w:jc w:val="center"/>
              <w:ind w:right="397"/>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42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gridSpan w:val="3"/>
          </w:tcPr>
          <w:p>
            <w:pPr>
              <w:jc w:val="center"/>
              <w:ind w:left="57"/>
              <w:spacing w:after="0" w:line="160"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4"/>
          </w:tcPr>
          <w:p>
            <w:pPr>
              <w:jc w:val="center"/>
              <w:ind w:left="358"/>
              <w:spacing w:after="0" w:line="160" w:lineRule="exact"/>
              <w:rPr>
                <w:sz w:val="20"/>
                <w:szCs w:val="20"/>
                <w:color w:val="auto"/>
              </w:rPr>
            </w:pPr>
            <w:r>
              <w:rPr>
                <w:rFonts w:ascii="Times New Roman" w:cs="Times New Roman" w:eastAsia="Times New Roman" w:hAnsi="Times New Roman"/>
                <w:sz w:val="15"/>
                <w:szCs w:val="15"/>
                <w:b w:val="1"/>
                <w:bCs w:val="1"/>
                <w:color w:val="auto"/>
              </w:rPr>
              <w:t>Nine Months Ended</w:t>
            </w:r>
          </w:p>
        </w:tc>
        <w:tc>
          <w:tcPr>
            <w:tcW w:w="42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center"/>
              <w:ind w:left="77"/>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397"/>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20" w:type="dxa"/>
            <w:vAlign w:val="bottom"/>
            <w:tcBorders>
              <w:bottom w:val="single" w:sz="8" w:color="auto"/>
            </w:tcBorders>
          </w:tcPr>
          <w:p>
            <w:pPr>
              <w:spacing w:after="0"/>
              <w:rPr>
                <w:sz w:val="17"/>
                <w:szCs w:val="17"/>
                <w:color w:val="auto"/>
              </w:rPr>
            </w:pPr>
          </w:p>
        </w:tc>
      </w:tr>
      <w:tr>
        <w:trPr>
          <w:trHeight w:val="149"/>
        </w:trPr>
        <w:tc>
          <w:tcPr>
            <w:tcW w:w="51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2"/>
                <w:szCs w:val="12"/>
                <w:color w:val="auto"/>
              </w:rPr>
            </w:pPr>
          </w:p>
        </w:tc>
        <w:tc>
          <w:tcPr>
            <w:tcW w:w="1180" w:type="dxa"/>
            <w:vAlign w:val="bottom"/>
          </w:tcPr>
          <w:p>
            <w:pPr>
              <w:jc w:val="right"/>
              <w:ind w:right="53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10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420" w:type="dxa"/>
            <w:vAlign w:val="bottom"/>
          </w:tcPr>
          <w:p>
            <w:pPr>
              <w:spacing w:after="0"/>
              <w:rPr>
                <w:sz w:val="12"/>
                <w:szCs w:val="12"/>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12"/>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gain (loss)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19"/>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(loss) gain on derivative contracts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168"/>
        </w:trPr>
        <w:tc>
          <w:tcPr>
            <w:tcW w:w="518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7"/>
                <w:szCs w:val="17"/>
                <w:color w:val="auto"/>
              </w:rPr>
              <w:t>Change in unrealized gain (loss) on pension and post-retirement benefit</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32"/>
        </w:trPr>
        <w:tc>
          <w:tcPr>
            <w:tcW w:w="51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plans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income (loss) before tax</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168"/>
        </w:trPr>
        <w:tc>
          <w:tcPr>
            <w:tcW w:w="20" w:type="dxa"/>
            <w:vAlign w:val="bottom"/>
          </w:tcPr>
          <w:p>
            <w:pPr>
              <w:spacing w:after="0"/>
              <w:rPr>
                <w:sz w:val="14"/>
                <w:szCs w:val="14"/>
                <w:color w:val="auto"/>
              </w:rPr>
            </w:pPr>
          </w:p>
        </w:tc>
        <w:tc>
          <w:tcPr>
            <w:tcW w:w="516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Income tax expense related to components of other comprehensive</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32"/>
        </w:trPr>
        <w:tc>
          <w:tcPr>
            <w:tcW w:w="20" w:type="dxa"/>
            <w:vAlign w:val="bottom"/>
          </w:tcPr>
          <w:p>
            <w:pPr>
              <w:spacing w:after="0"/>
              <w:rPr>
                <w:sz w:val="20"/>
                <w:szCs w:val="20"/>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w:t>
            </w: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2"/>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Wabtec shareholders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ind w:left="30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center"/>
              <w:ind w:left="55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0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4"/>
          </w:tcPr>
          <w:p>
            <w:pPr>
              <w:jc w:val="center"/>
              <w:ind w:right="254"/>
              <w:spacing w:after="0" w:line="160" w:lineRule="exact"/>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55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14"/>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Below market intangible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Net loss on disposal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 and dispositions: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Accounts receivable and unbilled accounts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Accrued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Accrued liabilities and customer deposits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dispositions of businesses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Proceeds from disposal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Acquisitions of businesses, net of cash acquired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used for investing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Proceeds from debt, net of issuance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Payments of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(4,302)</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Repurchase of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dividends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Payment of income tax withholding on share-based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used for financing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changes in currency exchange rates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Decrease in cash</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1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12"/>
                <w:szCs w:val="12"/>
                <w:color w:val="auto"/>
              </w:rPr>
            </w:pPr>
          </w:p>
        </w:tc>
        <w:tc>
          <w:tcPr>
            <w:tcW w:w="600" w:type="dxa"/>
            <w:vAlign w:val="bottom"/>
            <w:vMerge w:val="restart"/>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00"/>
        </w:trPr>
        <w:tc>
          <w:tcPr>
            <w:tcW w:w="2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Stock Amount</w:t>
            </w:r>
          </w:p>
        </w:tc>
        <w:tc>
          <w:tcPr>
            <w:tcW w:w="140" w:type="dxa"/>
            <w:vAlign w:val="bottom"/>
          </w:tcPr>
          <w:p>
            <w:pPr>
              <w:spacing w:after="0"/>
              <w:rPr>
                <w:sz w:val="8"/>
                <w:szCs w:val="8"/>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tcPr>
          <w:p>
            <w:pPr>
              <w:spacing w:after="0"/>
              <w:rPr>
                <w:sz w:val="8"/>
                <w:szCs w:val="8"/>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160" w:type="dxa"/>
            <w:vAlign w:val="bottom"/>
          </w:tcPr>
          <w:p>
            <w:pPr>
              <w:spacing w:after="0"/>
              <w:rPr>
                <w:sz w:val="8"/>
                <w:szCs w:val="8"/>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480" w:type="dxa"/>
            <w:vAlign w:val="bottom"/>
            <w:gridSpan w:val="3"/>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dividends ($0.20 dividend per share)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36"/>
        </w:trPr>
        <w:tc>
          <w:tcPr>
            <w:tcW w:w="2480" w:type="dxa"/>
            <w:vAlign w:val="bottom"/>
            <w:gridSpan w:val="3"/>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2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79"/>
        </w:trPr>
        <w:tc>
          <w:tcPr>
            <w:tcW w:w="2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7,967</w:t>
            </w: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10,504</w:t>
            </w:r>
          </w:p>
        </w:tc>
        <w:tc>
          <w:tcPr>
            <w:tcW w:w="0" w:type="dxa"/>
            <w:vAlign w:val="bottom"/>
          </w:tcPr>
          <w:p>
            <w:pPr>
              <w:spacing w:after="0"/>
              <w:rPr>
                <w:sz w:val="1"/>
                <w:szCs w:val="1"/>
                <w:color w:val="auto"/>
              </w:rPr>
            </w:pPr>
          </w:p>
        </w:tc>
      </w:tr>
      <w:tr>
        <w:trPr>
          <w:trHeight w:val="193"/>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($0.20 dividend per share)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29"/>
        </w:trPr>
        <w:tc>
          <w:tcPr>
            <w:tcW w:w="24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8"/>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94"/>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7,981</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($0.20 dividend per share)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29"/>
        </w:trPr>
        <w:tc>
          <w:tcPr>
            <w:tcW w:w="24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8"/>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94"/>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6,007</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1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12"/>
                <w:szCs w:val="12"/>
                <w:color w:val="auto"/>
              </w:rPr>
            </w:pPr>
          </w:p>
        </w:tc>
        <w:tc>
          <w:tcPr>
            <w:tcW w:w="600" w:type="dxa"/>
            <w:vAlign w:val="bottom"/>
            <w:vMerge w:val="restart"/>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00"/>
        </w:trPr>
        <w:tc>
          <w:tcPr>
            <w:tcW w:w="2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Stock Amount</w:t>
            </w:r>
          </w:p>
        </w:tc>
        <w:tc>
          <w:tcPr>
            <w:tcW w:w="140" w:type="dxa"/>
            <w:vAlign w:val="bottom"/>
          </w:tcPr>
          <w:p>
            <w:pPr>
              <w:spacing w:after="0"/>
              <w:rPr>
                <w:sz w:val="8"/>
                <w:szCs w:val="8"/>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tcPr>
          <w:p>
            <w:pPr>
              <w:spacing w:after="0"/>
              <w:rPr>
                <w:sz w:val="8"/>
                <w:szCs w:val="8"/>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160" w:type="dxa"/>
            <w:vAlign w:val="bottom"/>
          </w:tcPr>
          <w:p>
            <w:pPr>
              <w:spacing w:after="0"/>
              <w:rPr>
                <w:sz w:val="8"/>
                <w:szCs w:val="8"/>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480" w:type="dxa"/>
            <w:vAlign w:val="bottom"/>
            <w:gridSpan w:val="3"/>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dividends ($0.17 dividend per share)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2"/>
        </w:trPr>
        <w:tc>
          <w:tcPr>
            <w:tcW w:w="248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80" w:type="dxa"/>
            <w:vAlign w:val="bottom"/>
            <w:gridSpan w:val="3"/>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79"/>
        </w:trPr>
        <w:tc>
          <w:tcPr>
            <w:tcW w:w="2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7,940</w:t>
            </w: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10,134</w:t>
            </w:r>
          </w:p>
        </w:tc>
        <w:tc>
          <w:tcPr>
            <w:tcW w:w="0" w:type="dxa"/>
            <w:vAlign w:val="bottom"/>
          </w:tcPr>
          <w:p>
            <w:pPr>
              <w:spacing w:after="0"/>
              <w:rPr>
                <w:sz w:val="1"/>
                <w:szCs w:val="1"/>
                <w:color w:val="auto"/>
              </w:rPr>
            </w:pPr>
          </w:p>
        </w:tc>
      </w:tr>
      <w:tr>
        <w:trPr>
          <w:trHeight w:val="193"/>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($0.17 dividend per share)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34"/>
        </w:trPr>
        <w:tc>
          <w:tcPr>
            <w:tcW w:w="24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8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4"/>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7,949</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4,875</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($0.17 dividend per share)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34"/>
        </w:trPr>
        <w:tc>
          <w:tcPr>
            <w:tcW w:w="24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8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8" w:name="page9"/>
    <w:bookmarkEnd w:id="8"/>
    <w:p>
      <w:pPr>
        <w:jc w:val="center"/>
        <w:ind w:left="340" w:right="2520"/>
        <w:spacing w:after="0" w:line="272" w:lineRule="auto"/>
        <w:rPr>
          <w:sz w:val="20"/>
          <w:szCs w:val="20"/>
          <w:color w:val="auto"/>
        </w:rPr>
      </w:pPr>
      <w:r>
        <w:rPr>
          <w:rFonts w:ascii="Times New Roman" w:cs="Times New Roman" w:eastAsia="Times New Roman" w:hAnsi="Times New Roman"/>
          <w:sz w:val="17"/>
          <w:szCs w:val="17"/>
          <w:b w:val="1"/>
          <w:bCs w:val="1"/>
          <w:color w:val="auto"/>
        </w:rPr>
        <w:t>WESTINGHOUSE AIR BRAKE TECHNOLOGIES CORPORATION NOTES TO CONDENSED CONSOLIDATED FINANCIAL STATEMENTS FOR THE QUARTERLY PERIOD ENDED SEPTEMBER 30, 2024 (UNAUDITED)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nine months of 2024, approximately 52% of the Company’s Net sales came from customers outside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ACCOUNTING POLICIES</w:t>
      </w:r>
    </w:p>
    <w:p>
      <w:pPr>
        <w:spacing w:after="0" w:line="99" w:lineRule="exact"/>
        <w:rPr>
          <w:sz w:val="20"/>
          <w:szCs w:val="20"/>
          <w:color w:val="auto"/>
        </w:rPr>
      </w:pPr>
    </w:p>
    <w:p>
      <w:pPr>
        <w:ind w:right="60" w:firstLine="464"/>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Basis of Presentation </w:t>
      </w:r>
      <w:r>
        <w:rPr>
          <w:rFonts w:ascii="Times New Roman" w:cs="Times New Roman" w:eastAsia="Times New Roman" w:hAnsi="Times New Roman"/>
          <w:sz w:val="17"/>
          <w:szCs w:val="17"/>
          <w:color w:val="auto"/>
        </w:rPr>
        <w:t>The unaudited condensed consolidated interim financial statements have been prepared in accordance with generally accepted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72" w:lineRule="exact"/>
        <w:rPr>
          <w:sz w:val="20"/>
          <w:szCs w:val="20"/>
          <w:color w:val="auto"/>
        </w:rPr>
      </w:pPr>
    </w:p>
    <w:p>
      <w:pPr>
        <w:ind w:right="200" w:firstLine="464"/>
        <w:spacing w:after="0" w:line="241" w:lineRule="auto"/>
        <w:rPr>
          <w:sz w:val="20"/>
          <w:szCs w:val="20"/>
          <w:color w:val="auto"/>
        </w:rPr>
      </w:pPr>
      <w:r>
        <w:rPr>
          <w:rFonts w:ascii="Times New Roman" w:cs="Times New Roman" w:eastAsia="Times New Roman" w:hAnsi="Times New Roman"/>
          <w:sz w:val="17"/>
          <w:szCs w:val="17"/>
          <w:color w:val="auto"/>
        </w:rPr>
        <w:t>Results for these interim periods are not necessarily indicative of results to be expected for the full year, particularly in light of ongoing volatility in the macroeconomic environment caused by supply chain disruptions, labor availability, broad-based inflation, and the impacts from regional conflicts.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may have on our business, global supply chain operations and our customers, suppliers, and end-markets.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operates on a four-four-five week accounting quarter, and the quarters end on or about March 31, June 30, September 30, and December 31.</w:t>
      </w:r>
    </w:p>
    <w:p>
      <w:pPr>
        <w:spacing w:after="0" w:line="114"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The notes included herein should be read in conjunction with the audited consolidated financial statements included in Wabtec’s Annual Report on Form 10-K for the year ended December 31, 2023. The December 31, 2023 information has been derived from the Company’s Annual Report on Form 10-K for the year ended December 31, 2023.</w:t>
      </w:r>
    </w:p>
    <w:p>
      <w:pPr>
        <w:spacing w:after="0" w:line="56" w:lineRule="exact"/>
        <w:rPr>
          <w:sz w:val="20"/>
          <w:szCs w:val="20"/>
          <w:color w:val="auto"/>
        </w:rPr>
      </w:pPr>
    </w:p>
    <w:p>
      <w:pPr>
        <w:ind w:right="1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GAAP in the United States requires the Company to make estimates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58" w:lineRule="exact"/>
        <w:rPr>
          <w:sz w:val="20"/>
          <w:szCs w:val="20"/>
          <w:color w:val="auto"/>
        </w:rPr>
      </w:pPr>
    </w:p>
    <w:p>
      <w:pPr>
        <w:ind w:right="1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A majority of the Company’s revenues are derived from performance obligations that are satisfied at a point in time when control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passes to the customer. The remaining revenues are earned over time. Generally, for performance obligations satisfied at a point in time control passes at the time of shipment in accordance with agreed upon delivery terms.</w:t>
      </w:r>
    </w:p>
    <w:p>
      <w:pPr>
        <w:spacing w:after="0" w:line="61"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2"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70" w:lineRule="exact"/>
        <w:rPr>
          <w:sz w:val="20"/>
          <w:szCs w:val="20"/>
          <w:color w:val="auto"/>
        </w:rPr>
      </w:pPr>
    </w:p>
    <w:p>
      <w:pPr>
        <w:ind w:right="680" w:firstLine="464"/>
        <w:spacing w:after="0" w:line="270" w:lineRule="auto"/>
        <w:rPr>
          <w:sz w:val="20"/>
          <w:szCs w:val="20"/>
          <w:color w:val="auto"/>
        </w:rPr>
      </w:pPr>
      <w:r>
        <w:rPr>
          <w:rFonts w:ascii="Times New Roman" w:cs="Times New Roman" w:eastAsia="Times New Roman" w:hAnsi="Times New Roman"/>
          <w:sz w:val="17"/>
          <w:szCs w:val="17"/>
          <w:color w:val="auto"/>
        </w:rPr>
        <w:t>Remaining performance obligations represent the allocated transaction price of unsatisfied or partially unsatisfied performance obligations. As of September 30, 2024, the Company's remaining performance obligations were approximately $22.2 billion. The Company expects to recognize revenue of approximately 34% of the remaining performance obligations over the next 12 months, with the remainder recognized thereafter.</w:t>
      </w:r>
    </w:p>
    <w:p>
      <w:pPr>
        <w:spacing w:after="0" w:line="56"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Revolving Receivables Program </w:t>
      </w:r>
      <w:r>
        <w:rPr>
          <w:rFonts w:ascii="Times New Roman" w:cs="Times New Roman" w:eastAsia="Times New Roman" w:hAnsi="Times New Roman"/>
          <w:sz w:val="17"/>
          <w:szCs w:val="17"/>
          <w:color w:val="auto"/>
        </w:rPr>
        <w:t>The Company utilizes a revolving facility to sell up to $350 million of certain receivables of the Company and certain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its subsidiaries (the "Originators"). The Originators contribute receivables to our bankruptcy-remote subsidiary, which sells the receivables to a financial institution on a recurring basis in exchange for cash equal to the gross receivables sold. The bankruptcy remote subsidiary is a separate legal entity with its own creditors, and its assets are not available to pay creditors of the Company or any other affiliates of the Company. As customers pay their balances, we transfer additional receivables into the program, which could result in our gross receivables sold being higher or lower than customer collections remitted to the financial institution for any applicable period. The sold receivables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74" w:lineRule="exact"/>
        <w:rPr>
          <w:sz w:val="20"/>
          <w:szCs w:val="20"/>
          <w:color w:val="auto"/>
        </w:rPr>
      </w:pPr>
    </w:p>
    <w:p>
      <w:pPr>
        <w:ind w:right="100" w:firstLine="464"/>
        <w:spacing w:after="0" w:line="269" w:lineRule="auto"/>
        <w:rPr>
          <w:sz w:val="20"/>
          <w:szCs w:val="20"/>
          <w:color w:val="auto"/>
        </w:rPr>
      </w:pPr>
      <w:r>
        <w:rPr>
          <w:rFonts w:ascii="Times New Roman" w:cs="Times New Roman" w:eastAsia="Times New Roman" w:hAnsi="Times New Roman"/>
          <w:sz w:val="17"/>
          <w:szCs w:val="17"/>
          <w:color w:val="auto"/>
        </w:rPr>
        <w:t>At September 30, 2024 and December 31, 2023, the bankruptcy-remote subsidiary held receivables of $646 million and $674 million, respectively, which are included in the Company's Condensed Consolidated Balance Sheets. The receivables held by the bankruptcy-remote subsidiary collateralize the outstanding receivables sold, which were $95 million and $20 million at September 30, 2024 and December 31, 2023, respectively. The transfers are recorded at the fair value</w:t>
      </w:r>
    </w:p>
    <w:p>
      <w:pPr>
        <w:ind w:right="140"/>
        <w:spacing w:after="0" w:line="270" w:lineRule="auto"/>
        <w:rPr>
          <w:sz w:val="20"/>
          <w:szCs w:val="20"/>
          <w:color w:val="auto"/>
        </w:rPr>
      </w:pPr>
      <w:r>
        <w:rPr>
          <w:rFonts w:ascii="Times New Roman" w:cs="Times New Roman" w:eastAsia="Times New Roman" w:hAnsi="Times New Roman"/>
          <w:sz w:val="17"/>
          <w:szCs w:val="17"/>
          <w:color w:val="auto"/>
        </w:rPr>
        <w:t>of the proceeds received and obligations assumed less derecognized receivables. No obligation was recorded at September 30, 2024 or December 31, 2023 as the estimated expected credit losses on receivables sold is insignificant. Our maximum exposure to losses related to these receivables transferred is limited to the amount outstanding.</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a summary of receivables sold and the resulting impact of net cash proceeds included in cash from operations: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3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0"/>
        </w:trPr>
        <w:tc>
          <w:tcPr>
            <w:tcW w:w="8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September 30, 2024</w:t>
            </w:r>
          </w:p>
        </w:tc>
        <w:tc>
          <w:tcPr>
            <w:tcW w:w="140" w:type="dxa"/>
            <w:vAlign w:val="bottom"/>
          </w:tcPr>
          <w:p>
            <w:pPr>
              <w:spacing w:after="0"/>
              <w:rPr>
                <w:sz w:val="12"/>
                <w:szCs w:val="12"/>
                <w:color w:val="auto"/>
              </w:rPr>
            </w:pPr>
          </w:p>
        </w:tc>
        <w:tc>
          <w:tcPr>
            <w:tcW w:w="1380" w:type="dxa"/>
            <w:vAlign w:val="bottom"/>
          </w:tcPr>
          <w:p>
            <w:pPr>
              <w:jc w:val="right"/>
              <w:ind w:right="102"/>
              <w:spacing w:after="0" w:line="121" w:lineRule="exact"/>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receivables sold/cash proceeds received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926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Customer collections remitted to financial institution</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proceeds received included in cash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2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Cash </w:t>
      </w:r>
      <w:r>
        <w:rPr>
          <w:rFonts w:ascii="Times New Roman" w:cs="Times New Roman" w:eastAsia="Times New Roman" w:hAnsi="Times New Roman"/>
          <w:sz w:val="17"/>
          <w:szCs w:val="17"/>
          <w:color w:val="auto"/>
        </w:rPr>
        <w:t>At September 30, 2024 and December 31, 2023, the Company classified cash of $9 million and $5 million, respectively, as restricted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cash held in escrow related to acquisitions.</w:t>
      </w:r>
    </w:p>
    <w:p>
      <w:pPr>
        <w:spacing w:after="0" w:line="88" w:lineRule="exact"/>
        <w:rPr>
          <w:sz w:val="20"/>
          <w:szCs w:val="20"/>
          <w:color w:val="auto"/>
        </w:rPr>
      </w:pPr>
    </w:p>
    <w:p>
      <w:pPr>
        <w:ind w:right="2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Expense </w:t>
      </w:r>
      <w:r>
        <w:rPr>
          <w:rFonts w:ascii="Times New Roman" w:cs="Times New Roman" w:eastAsia="Times New Roman" w:hAnsi="Times New Roman"/>
          <w:sz w:val="17"/>
          <w:szCs w:val="17"/>
          <w:color w:val="auto"/>
        </w:rPr>
        <w:t>Depreciation of property, plant and equipment related to the manufacturing of products or services provided is included in Cost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goods or Cost of services. Depreciation of other property, plant and equipment that is not attributable to the manufacturing of products or services provided is included in Selling, general and administrative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expenses or Engineering expenses to the extent the property, plant, and equipment is used for research and development purposes.</w:t>
      </w:r>
    </w:p>
    <w:p>
      <w:pPr>
        <w:spacing w:after="0" w:line="108" w:lineRule="exact"/>
        <w:rPr>
          <w:sz w:val="20"/>
          <w:szCs w:val="20"/>
          <w:color w:val="auto"/>
        </w:rPr>
      </w:pPr>
    </w:p>
    <w:p>
      <w:pPr>
        <w:ind w:right="120"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and Intangible Assets </w:t>
      </w:r>
      <w:r>
        <w:rPr>
          <w:rFonts w:ascii="Times New Roman" w:cs="Times New Roman" w:eastAsia="Times New Roman" w:hAnsi="Times New Roman"/>
          <w:sz w:val="17"/>
          <w:szCs w:val="17"/>
          <w:color w:val="auto"/>
        </w:rPr>
        <w:t>Goodwill and other intangible assets with indefinite lives are not amortized. Other intangibles (with definite lives)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performing a quantitative test for each identified reporting unit at least every three years. Periodically, Management of the Company assesses whether or not an indicator of impairment is present that would necessitate an impairment analysis be performed. No impairment indicators were identified during the current quarter.</w:t>
      </w:r>
    </w:p>
    <w:p>
      <w:pPr>
        <w:spacing w:after="0" w:line="66"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Accounting Standards Recently Issued </w:t>
      </w:r>
      <w:r>
        <w:rPr>
          <w:rFonts w:ascii="Times New Roman" w:cs="Times New Roman" w:eastAsia="Times New Roman" w:hAnsi="Times New Roman"/>
          <w:sz w:val="17"/>
          <w:szCs w:val="17"/>
          <w:color w:val="auto"/>
        </w:rPr>
        <w:t>In November 2023, the Financial Accounting Standards Board ("FASB") issued Accounting Standards Update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The amendments in this update are intended to improve reportable segment disclosure requirements, primarily through enhanced disclosures about significant segment expenses. In addition to the current requirements, the amendments specify additional information be provided about the chief operating decision maker ("CODM") as well as disaggregated expense categories, to the extent that the CODM utilizes such data in deciding how to allocate resources. The amendments in this update do not affect the recognition, measurement, or financial statement presentation of expenses, and will be effective for Wabtec's annual reporting periods beginning January 1, 2024 and interim reporting periods beginning January 1, 2025. The amendments will require increased interim and annual disclosures on current and comparable reporting periods presented in annual and interim company filings.</w:t>
      </w:r>
    </w:p>
    <w:p>
      <w:pPr>
        <w:spacing w:after="0" w:line="68" w:lineRule="exact"/>
        <w:rPr>
          <w:sz w:val="20"/>
          <w:szCs w:val="20"/>
          <w:color w:val="auto"/>
        </w:rPr>
      </w:pPr>
    </w:p>
    <w:p>
      <w:pPr>
        <w:ind w:right="40" w:firstLine="464"/>
        <w:spacing w:after="0" w:line="259"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The amendments in this update require entities to disclose on an annual basis specific categories within the income tax rate reconciliation and provide additional information for reconciling items that meet a quantitative threshold. The amendments in this update also require enhanced disaggregation of disclosures about income taxes paid and income tax expense, among other changes. The amendments in this update do not affect the recognition, measurement, or financial statement presentation of income taxes and will be effective for Wabtec's annual reporting periods beginning January 1, 2025. The amendments will require increased annual disclosures on current and comparable reporting periods presented in annual and interim company filings. The Company is assessing the extent of the impact of the amendments on its future filings.</w:t>
      </w:r>
    </w:p>
    <w:p>
      <w:pPr>
        <w:spacing w:after="0" w:line="68" w:lineRule="exact"/>
        <w:rPr>
          <w:sz w:val="20"/>
          <w:szCs w:val="20"/>
          <w:color w:val="auto"/>
        </w:rPr>
      </w:pPr>
    </w:p>
    <w:p>
      <w:pPr>
        <w:ind w:right="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Accumulated Other Comprehensive Loss </w:t>
      </w:r>
      <w:r>
        <w:rPr>
          <w:rFonts w:ascii="Times New Roman" w:cs="Times New Roman" w:eastAsia="Times New Roman" w:hAnsi="Times New Roman"/>
          <w:sz w:val="17"/>
          <w:szCs w:val="17"/>
          <w:color w:val="auto"/>
        </w:rPr>
        <w:t>Comprehensive (loss) income comprises both Net income and Other comprehensive (loss) income resulting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change in equity from transactions and other events and circumstances from non-owner sources.</w:t>
      </w:r>
    </w:p>
    <w:p>
      <w:pPr>
        <w:spacing w:after="0" w:line="43" w:lineRule="exact"/>
        <w:rPr>
          <w:sz w:val="20"/>
          <w:szCs w:val="20"/>
          <w:color w:val="auto"/>
        </w:rPr>
      </w:pPr>
    </w:p>
    <w:p>
      <w:pPr>
        <w:ind w:right="80" w:firstLine="464"/>
        <w:spacing w:after="0" w:line="272" w:lineRule="auto"/>
        <w:rPr>
          <w:sz w:val="20"/>
          <w:szCs w:val="20"/>
          <w:color w:val="auto"/>
        </w:rPr>
      </w:pPr>
      <w:r>
        <w:rPr>
          <w:rFonts w:ascii="Times New Roman" w:cs="Times New Roman" w:eastAsia="Times New Roman" w:hAnsi="Times New Roman"/>
          <w:sz w:val="17"/>
          <w:szCs w:val="17"/>
          <w:color w:val="auto"/>
        </w:rPr>
        <w:t>The changes in Accumulated other comprehensive loss by component, including any tax impacts, for the three months ended September 30, 2024 and 2023 are as follows: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60" w:type="dxa"/>
            <w:vAlign w:val="bottom"/>
          </w:tcPr>
          <w:p>
            <w:pPr>
              <w:spacing w:after="0"/>
              <w:rPr>
                <w:sz w:val="12"/>
                <w:szCs w:val="1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76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Pension and postretirement</w:t>
            </w:r>
          </w:p>
        </w:tc>
        <w:tc>
          <w:tcPr>
            <w:tcW w:w="20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center"/>
              <w:ind w:left="123"/>
              <w:spacing w:after="0"/>
              <w:rPr>
                <w:sz w:val="20"/>
                <w:szCs w:val="20"/>
                <w:color w:val="auto"/>
              </w:rPr>
            </w:pPr>
            <w:r>
              <w:rPr>
                <w:rFonts w:ascii="Times New Roman" w:cs="Times New Roman" w:eastAsia="Times New Roman" w:hAnsi="Times New Roman"/>
                <w:sz w:val="17"/>
                <w:szCs w:val="17"/>
                <w:color w:val="auto"/>
                <w:w w:val="97"/>
              </w:rPr>
              <w:t>(678)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center"/>
              <w:ind w:left="201"/>
              <w:spacing w:after="0"/>
              <w:rPr>
                <w:sz w:val="20"/>
                <w:szCs w:val="20"/>
                <w:color w:val="auto"/>
              </w:rPr>
            </w:pPr>
            <w:r>
              <w:rPr>
                <w:rFonts w:ascii="Times New Roman" w:cs="Times New Roman" w:eastAsia="Times New Roman" w:hAnsi="Times New Roman"/>
                <w:sz w:val="17"/>
                <w:szCs w:val="17"/>
                <w:color w:val="auto"/>
                <w:w w:val="98"/>
              </w:rPr>
              <w:t>(59)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center"/>
              <w:ind w:left="141"/>
              <w:spacing w:after="0"/>
              <w:rPr>
                <w:sz w:val="20"/>
                <w:szCs w:val="20"/>
                <w:color w:val="auto"/>
              </w:rPr>
            </w:pPr>
            <w:r>
              <w:rPr>
                <w:rFonts w:ascii="Times New Roman" w:cs="Times New Roman" w:eastAsia="Times New Roman" w:hAnsi="Times New Roman"/>
                <w:sz w:val="17"/>
                <w:szCs w:val="17"/>
                <w:color w:val="auto"/>
                <w:w w:val="97"/>
              </w:rPr>
              <w:t>(720)</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143"/>
              <w:spacing w:after="0"/>
              <w:rPr>
                <w:sz w:val="20"/>
                <w:szCs w:val="20"/>
                <w:color w:val="auto"/>
              </w:rPr>
            </w:pPr>
            <w:r>
              <w:rPr>
                <w:rFonts w:ascii="Times New Roman" w:cs="Times New Roman" w:eastAsia="Times New Roman" w:hAnsi="Times New Roman"/>
                <w:sz w:val="17"/>
                <w:szCs w:val="17"/>
                <w:color w:val="auto"/>
              </w:rPr>
              <w:t>114</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161"/>
              <w:spacing w:after="0"/>
              <w:rPr>
                <w:sz w:val="20"/>
                <w:szCs w:val="20"/>
                <w:color w:val="auto"/>
              </w:rPr>
            </w:pPr>
            <w:r>
              <w:rPr>
                <w:rFonts w:ascii="Times New Roman" w:cs="Times New Roman" w:eastAsia="Times New Roman" w:hAnsi="Times New Roman"/>
                <w:sz w:val="17"/>
                <w:szCs w:val="17"/>
                <w:color w:val="auto"/>
              </w:rPr>
              <w:t>113</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center"/>
              <w:ind w:left="123"/>
              <w:spacing w:after="0"/>
              <w:rPr>
                <w:sz w:val="20"/>
                <w:szCs w:val="20"/>
                <w:color w:val="auto"/>
              </w:rPr>
            </w:pPr>
            <w:r>
              <w:rPr>
                <w:rFonts w:ascii="Times New Roman" w:cs="Times New Roman" w:eastAsia="Times New Roman" w:hAnsi="Times New Roman"/>
                <w:sz w:val="17"/>
                <w:szCs w:val="17"/>
                <w:color w:val="auto"/>
                <w:w w:val="97"/>
              </w:rPr>
              <w:t>(564)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center"/>
              <w:ind w:left="201"/>
              <w:spacing w:after="0"/>
              <w:rPr>
                <w:sz w:val="20"/>
                <w:szCs w:val="20"/>
                <w:color w:val="auto"/>
              </w:rPr>
            </w:pPr>
            <w:r>
              <w:rPr>
                <w:rFonts w:ascii="Times New Roman" w:cs="Times New Roman" w:eastAsia="Times New Roman" w:hAnsi="Times New Roman"/>
                <w:sz w:val="17"/>
                <w:szCs w:val="17"/>
                <w:color w:val="auto"/>
                <w:w w:val="98"/>
              </w:rPr>
              <w:t>(59)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center"/>
              <w:ind w:left="141"/>
              <w:spacing w:after="0"/>
              <w:rPr>
                <w:sz w:val="20"/>
                <w:szCs w:val="20"/>
                <w:color w:val="auto"/>
              </w:rPr>
            </w:pPr>
            <w:r>
              <w:rPr>
                <w:rFonts w:ascii="Times New Roman" w:cs="Times New Roman" w:eastAsia="Times New Roman" w:hAnsi="Times New Roman"/>
                <w:sz w:val="17"/>
                <w:szCs w:val="17"/>
                <w:color w:val="auto"/>
                <w:w w:val="97"/>
              </w:rPr>
              <w:t>(607)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1" w:name="page12"/>
    <w:bookmarkEnd w:id="11"/>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The changes in Accumulated other comprehensive loss by component, including any tax impacts, for the nine months ended September 30, 2024 and 2023 are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60" w:type="dxa"/>
            <w:vAlign w:val="bottom"/>
          </w:tcPr>
          <w:p>
            <w:pPr>
              <w:spacing w:after="0"/>
              <w:rPr>
                <w:sz w:val="13"/>
                <w:szCs w:val="13"/>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and postretirement</w:t>
            </w:r>
          </w:p>
        </w:tc>
        <w:tc>
          <w:tcPr>
            <w:tcW w:w="20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0" w:type="dxa"/>
            <w:vAlign w:val="bottom"/>
          </w:tcPr>
          <w:p>
            <w:pPr>
              <w:spacing w:after="0"/>
              <w:rPr>
                <w:sz w:val="1"/>
                <w:szCs w:val="1"/>
                <w:color w:val="auto"/>
              </w:rPr>
            </w:pPr>
          </w:p>
        </w:tc>
      </w:tr>
      <w:tr>
        <w:trPr>
          <w:trHeight w:val="212"/>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168"/>
        </w:trPr>
        <w:tc>
          <w:tcPr>
            <w:tcW w:w="430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w:t>
            </w: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480" w:firstLine="464"/>
        <w:spacing w:after="0" w:line="287" w:lineRule="auto"/>
        <w:rPr>
          <w:sz w:val="20"/>
          <w:szCs w:val="20"/>
          <w:color w:val="auto"/>
        </w:rPr>
      </w:pPr>
      <w:r>
        <w:rPr>
          <w:rFonts w:ascii="Times New Roman" w:cs="Times New Roman" w:eastAsia="Times New Roman" w:hAnsi="Times New Roman"/>
          <w:sz w:val="17"/>
          <w:szCs w:val="17"/>
          <w:color w:val="auto"/>
        </w:rPr>
        <w:t>Amounts reclassified from Accumulated other comprehensive loss are recognized in "Other (expense) income, net" with the tax impact recognized in "Income tax expense" on the Condensed Consolidated Statements of Income.</w:t>
      </w:r>
    </w:p>
    <w:p>
      <w:pPr>
        <w:spacing w:after="0" w:line="42"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Chain Financing Program </w:t>
      </w:r>
      <w:r>
        <w:rPr>
          <w:rFonts w:ascii="Times New Roman" w:cs="Times New Roman" w:eastAsia="Times New Roman" w:hAnsi="Times New Roman"/>
          <w:sz w:val="17"/>
          <w:szCs w:val="17"/>
          <w:color w:val="auto"/>
        </w:rPr>
        <w:t>The Company has entered into supply chain financing arrangements with third-party financial institutions to provide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45 and net 180 days, and does not result in a change in the classification of amounts due as Accounts payable in the Condensed Consolidated Balance Sheets. Suppliers utilized the program to accelerate receipt of payment from these financial institutions for $338 million and $305 million of the Company's outstanding Accounts payable as of September 30, 2024 and December 31, 2023, respectively. The supplier invoices included under the program require payment in full to the financial institutions consistent with the Company’s normal terms and conditions as agreed upon with the vendor.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3. ACQUISITIONS</w:t>
      </w:r>
    </w:p>
    <w:p>
      <w:pPr>
        <w:spacing w:after="0" w:line="11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On December 22, 2023, the Company purchased the remaining ownership shares of Lokomotiv Kurastyru Zauyty ("LKZ"), a locomotive manufacturing and assembly company located in Kazakhstan, at which time it became a wholly owned subsidiary of the Company. Prior to this purchase, Wabtec owned 50% of LKZ as a joint venture partner and accounted for its ownership interest as an equity method investment. Total purchase price for the remaining 50% interest was</w:t>
      </w:r>
    </w:p>
    <w:p>
      <w:pPr>
        <w:ind w:right="220"/>
        <w:spacing w:after="0" w:line="259" w:lineRule="auto"/>
        <w:rPr>
          <w:sz w:val="20"/>
          <w:szCs w:val="20"/>
          <w:color w:val="auto"/>
        </w:rPr>
      </w:pPr>
      <w:r>
        <w:rPr>
          <w:rFonts w:ascii="Times New Roman" w:cs="Times New Roman" w:eastAsia="Times New Roman" w:hAnsi="Times New Roman"/>
          <w:sz w:val="17"/>
          <w:szCs w:val="17"/>
          <w:color w:val="auto"/>
        </w:rPr>
        <w:t>$111 million. Upon acquisition, Wabtec's previously held equity interest balance was remeasured to fair value and the Company ceased accounting for the investment using the equity method and recognized 100% of LKZ's identifiable assets and liabilities. LKZ's results of operations and cash flows have been fully consolidated subsequent to the acquisition date.</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fair value of 100% of the LKZ assets acquired and liabilities assumed: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tcPr>
          <w:p>
            <w:pPr>
              <w:spacing w:after="0"/>
              <w:rPr>
                <w:sz w:val="18"/>
                <w:szCs w:val="18"/>
                <w:color w:val="auto"/>
              </w:rPr>
            </w:pPr>
          </w:p>
        </w:tc>
        <w:tc>
          <w:tcPr>
            <w:tcW w:w="9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assets acquired</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tcBorders>
              <w:bottom w:val="single" w:sz="8" w:color="CCEEFF"/>
            </w:tcBorders>
          </w:tcPr>
          <w:p>
            <w:pPr>
              <w:spacing w:after="0"/>
              <w:rPr>
                <w:sz w:val="18"/>
                <w:szCs w:val="18"/>
                <w:color w:val="auto"/>
              </w:rPr>
            </w:pPr>
          </w:p>
        </w:tc>
        <w:tc>
          <w:tcPr>
            <w:tcW w:w="9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assets acquired</w:t>
            </w: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The fair values of the assets acquired and liabilities assumed were determined using the income, cost and market approaches. These estimates are preliminary in nature and subject to adjustments, which could be material as the Company has not completed its valuation of acquired assets and liabilities. Any necessary adjustments will be finalized within one year from the date of acquisition.</w:t>
      </w:r>
    </w:p>
    <w:p>
      <w:pPr>
        <w:spacing w:after="0" w:line="62"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of expanding our global operations expected to be achieved as a result of the acquisition. The purchased goodwill is not expected to be deductible for tax purposes. The results of this business since the date of acquisition are reported within the Equipment product line of the Freight Segment. The pro forma impact on Wabtec’s sales and results of operations, including the pro forma effect of events that are directly attributable to the acquisition, was not significant.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 w:name="page14"/>
    <w:bookmarkEnd w:id="13"/>
    <w:p>
      <w:pPr>
        <w:ind w:right="660" w:firstLine="464"/>
        <w:spacing w:after="0" w:line="287" w:lineRule="auto"/>
        <w:rPr>
          <w:sz w:val="20"/>
          <w:szCs w:val="20"/>
          <w:color w:val="auto"/>
        </w:rPr>
      </w:pPr>
      <w:r>
        <w:rPr>
          <w:rFonts w:ascii="Times New Roman" w:cs="Times New Roman" w:eastAsia="Times New Roman" w:hAnsi="Times New Roman"/>
          <w:sz w:val="17"/>
          <w:szCs w:val="17"/>
          <w:color w:val="auto"/>
        </w:rPr>
        <w:t>During the second quarter of 2023, the Company acquired L&amp;M Radiator, Inc., a leading manufacturer of heavy-duty equipment radiators and heat exchangers for the mining sector, for a purchase price of approximately $245 million.</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fair value of the L&amp;M Radiator, Inc. assets acquired and liabilities assumed: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intangible assets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tcPr>
          <w:p>
            <w:pPr>
              <w:spacing w:after="0"/>
              <w:rPr>
                <w:sz w:val="18"/>
                <w:szCs w:val="18"/>
                <w:color w:val="auto"/>
              </w:rPr>
            </w:pPr>
          </w:p>
        </w:tc>
        <w:tc>
          <w:tcPr>
            <w:tcW w:w="9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assets acquired</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2"/>
        </w:trPr>
        <w:tc>
          <w:tcPr>
            <w:tcW w:w="20" w:type="dxa"/>
            <w:vAlign w:val="bottom"/>
            <w:tcBorders>
              <w:bottom w:val="single" w:sz="8" w:color="CCEEFF"/>
            </w:tcBorders>
          </w:tcPr>
          <w:p>
            <w:pPr>
              <w:spacing w:after="0"/>
              <w:rPr>
                <w:sz w:val="18"/>
                <w:szCs w:val="18"/>
                <w:color w:val="auto"/>
              </w:rPr>
            </w:pPr>
          </w:p>
        </w:tc>
        <w:tc>
          <w:tcPr>
            <w:tcW w:w="9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assets acquired</w:t>
            </w: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60" w:firstLine="464"/>
        <w:spacing w:after="0" w:line="264" w:lineRule="auto"/>
        <w:rPr>
          <w:sz w:val="20"/>
          <w:szCs w:val="20"/>
          <w:color w:val="auto"/>
        </w:rPr>
      </w:pPr>
      <w:r>
        <w:rPr>
          <w:rFonts w:ascii="Times New Roman" w:cs="Times New Roman" w:eastAsia="Times New Roman" w:hAnsi="Times New Roman"/>
          <w:sz w:val="17"/>
          <w:szCs w:val="17"/>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w:t>
      </w:r>
    </w:p>
    <w:p>
      <w:pPr>
        <w:spacing w:after="0" w:line="68" w:lineRule="exact"/>
        <w:rPr>
          <w:sz w:val="20"/>
          <w:szCs w:val="20"/>
          <w:color w:val="auto"/>
        </w:rPr>
      </w:pPr>
    </w:p>
    <w:p>
      <w:pPr>
        <w:ind w:right="120" w:firstLine="464"/>
        <w:spacing w:after="0" w:line="261" w:lineRule="auto"/>
        <w:rPr>
          <w:sz w:val="20"/>
          <w:szCs w:val="20"/>
          <w:color w:val="auto"/>
        </w:rPr>
      </w:pPr>
      <w:r>
        <w:rPr>
          <w:rFonts w:ascii="Times New Roman" w:cs="Times New Roman" w:eastAsia="Times New Roman" w:hAnsi="Times New Roman"/>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Components product line of the Freight Segment. The pro forma impact on Wabtec’s sales and results of operations, including the pro forma effect of events that are directly attributable to the acquisition, was not significant.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also made smaller acquisitions during the periods presented, none of which were material.</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inventory, net of reserves, were: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0" w:type="dxa"/>
            <w:vAlign w:val="bottom"/>
          </w:tcPr>
          <w:p>
            <w:pPr>
              <w:spacing w:after="0"/>
              <w:rPr>
                <w:sz w:val="1"/>
                <w:szCs w:val="1"/>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Work-in-progress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0" w:type="dxa"/>
            <w:vAlign w:val="bottom"/>
          </w:tcPr>
          <w:p>
            <w:pPr>
              <w:spacing w:after="0"/>
              <w:rPr>
                <w:sz w:val="1"/>
                <w:szCs w:val="1"/>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Total inventories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5. GOODWILL AND INTANGIBLE ASSETS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goodwill by segment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w:t>
            </w:r>
          </w:p>
        </w:tc>
      </w:tr>
      <w:tr>
        <w:trPr>
          <w:trHeight w:val="219"/>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Additions/adjustments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9"/>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impact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8,786</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100" w:firstLine="464"/>
        <w:spacing w:after="0" w:line="270" w:lineRule="auto"/>
        <w:rPr>
          <w:sz w:val="20"/>
          <w:szCs w:val="20"/>
          <w:color w:val="auto"/>
        </w:rPr>
      </w:pPr>
      <w:r>
        <w:rPr>
          <w:rFonts w:ascii="Times New Roman" w:cs="Times New Roman" w:eastAsia="Times New Roman" w:hAnsi="Times New Roman"/>
          <w:sz w:val="17"/>
          <w:szCs w:val="17"/>
          <w:color w:val="auto"/>
        </w:rPr>
        <w:t>As of September 30, 2024 and December 31, 2023, the Company’s trade names had a net carrying amount of $619 million and $612 million, respectively. The Company believes these intangibles have indefinite lives, with the exception of the right to use the GE Transportation trade name, to which the Company had assigned a useful life of 5 years and has been fully amortized.</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Intangible assets of the Company, other than goodwill and trade names,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0"/>
                <w:szCs w:val="10"/>
                <w:color w:val="auto"/>
              </w:rPr>
            </w:pPr>
          </w:p>
        </w:tc>
        <w:tc>
          <w:tcPr>
            <w:tcW w:w="128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0"/>
                <w:szCs w:val="10"/>
                <w:color w:val="auto"/>
              </w:rPr>
            </w:pPr>
          </w:p>
        </w:tc>
        <w:tc>
          <w:tcPr>
            <w:tcW w:w="128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Net Carrying Amount</w:t>
            </w:r>
          </w:p>
        </w:tc>
        <w:tc>
          <w:tcPr>
            <w:tcW w:w="0" w:type="dxa"/>
            <w:vAlign w:val="bottom"/>
          </w:tcPr>
          <w:p>
            <w:pPr>
              <w:spacing w:after="0"/>
              <w:rPr>
                <w:sz w:val="1"/>
                <w:szCs w:val="1"/>
                <w:color w:val="auto"/>
              </w:rPr>
            </w:pPr>
          </w:p>
        </w:tc>
      </w:tr>
      <w:tr>
        <w:trPr>
          <w:trHeight w:val="142"/>
        </w:trPr>
        <w:tc>
          <w:tcPr>
            <w:tcW w:w="2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Backlog</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w:t>
            </w:r>
          </w:p>
        </w:tc>
        <w:tc>
          <w:tcPr>
            <w:tcW w:w="0" w:type="dxa"/>
            <w:vAlign w:val="bottom"/>
          </w:tcPr>
          <w:p>
            <w:pPr>
              <w:spacing w:after="0"/>
              <w:rPr>
                <w:sz w:val="1"/>
                <w:szCs w:val="1"/>
                <w:color w:val="auto"/>
              </w:rPr>
            </w:pPr>
          </w:p>
        </w:tc>
      </w:tr>
      <w:tr>
        <w:trPr>
          <w:trHeight w:val="203"/>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w:t>
            </w:r>
          </w:p>
        </w:tc>
        <w:tc>
          <w:tcPr>
            <w:tcW w:w="0" w:type="dxa"/>
            <w:vAlign w:val="bottom"/>
          </w:tcPr>
          <w:p>
            <w:pPr>
              <w:spacing w:after="0"/>
              <w:rPr>
                <w:sz w:val="1"/>
                <w:szCs w:val="1"/>
                <w:color w:val="auto"/>
              </w:rPr>
            </w:pPr>
          </w:p>
        </w:tc>
      </w:tr>
      <w:tr>
        <w:trPr>
          <w:trHeight w:val="206"/>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Acquired technology</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1,296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708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1,283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786</w:t>
            </w:r>
          </w:p>
        </w:tc>
        <w:tc>
          <w:tcPr>
            <w:tcW w:w="0" w:type="dxa"/>
            <w:vAlign w:val="bottom"/>
          </w:tcPr>
          <w:p>
            <w:pPr>
              <w:spacing w:after="0"/>
              <w:rPr>
                <w:sz w:val="1"/>
                <w:szCs w:val="1"/>
                <w:color w:val="auto"/>
              </w:rPr>
            </w:pPr>
          </w:p>
        </w:tc>
      </w:tr>
      <w:tr>
        <w:trPr>
          <w:trHeight w:val="20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4,051</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2,377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4,047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(1,454)</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At September 30, 2024 the weighted average remaining useful lives of backlog, customer relationships and acquired technology were 7 years, 14 years and 6 years, respectively. The backlog intangible asset primarily consists of in-place long-term service agreements acquired by the Company in conjunction with the acquisition of GE Transportation. Amortization expense for intangible assets was $79 million and $224 million for the three and nine months ended September 30, 2024, respectively, and $74 million and $222 million for the three and nine months ended September 30, 2023, respectively.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Amortization expense for the five succeeding years is estimated to be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5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2025</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2026</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2027</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2028</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6. CONTRACT ASSETS AND CONTRACT LIABILITIES</w:t>
      </w:r>
    </w:p>
    <w:p>
      <w:pPr>
        <w:spacing w:after="0" w:line="118" w:lineRule="exact"/>
        <w:rPr>
          <w:sz w:val="20"/>
          <w:szCs w:val="20"/>
          <w:color w:val="auto"/>
        </w:rPr>
      </w:pPr>
    </w:p>
    <w:p>
      <w:pPr>
        <w:ind w:right="320" w:firstLine="464"/>
        <w:spacing w:after="0" w:line="260" w:lineRule="auto"/>
        <w:rPr>
          <w:sz w:val="20"/>
          <w:szCs w:val="20"/>
          <w:color w:val="auto"/>
        </w:rPr>
      </w:pPr>
      <w:r>
        <w:rPr>
          <w:rFonts w:ascii="Times New Roman" w:cs="Times New Roman" w:eastAsia="Times New Roman" w:hAnsi="Times New Roman"/>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$175 million at September 30, 2024 and $154 million at December 31, 2023. The Company has elected to use the practical expedient and does not consider unbilled amounts anticipated to be paid within one year as significant financing components.</w:t>
      </w:r>
    </w:p>
    <w:p>
      <w:pPr>
        <w:spacing w:after="0" w:line="70" w:lineRule="exact"/>
        <w:rPr>
          <w:sz w:val="20"/>
          <w:szCs w:val="20"/>
          <w:color w:val="auto"/>
        </w:rPr>
      </w:pPr>
    </w:p>
    <w:p>
      <w:pPr>
        <w:ind w:right="40" w:firstLine="464"/>
        <w:spacing w:after="0" w:line="257" w:lineRule="auto"/>
        <w:rPr>
          <w:sz w:val="20"/>
          <w:szCs w:val="20"/>
          <w:color w:val="auto"/>
        </w:rPr>
      </w:pPr>
      <w:r>
        <w:rPr>
          <w:rFonts w:ascii="Times New Roman" w:cs="Times New Roman" w:eastAsia="Times New Roman" w:hAnsi="Times New Roman"/>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$319 million at September 30, 2024 and $174 million at December 31, 2023.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$89 million and $104 million at September 30, 2024 and December 31, 2023, respectively. These provisions for estimated losses are classified as current liabilities and included within the caption “Other accrued liabilities” on the Condensed Consolidated Balance Sheets.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contract assets and contract liabilities for the nine months ended September 30, 2024 and 2023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Reclassified to accounts receivable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Acquisitions/adjustments</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2"/>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September 30</w:t>
            </w:r>
          </w:p>
        </w:tc>
        <w:tc>
          <w:tcPr>
            <w:tcW w:w="34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vMerge w:val="restart"/>
          </w:tcPr>
          <w:p>
            <w:pPr>
              <w:spacing w:after="0"/>
              <w:rPr>
                <w:sz w:val="2"/>
                <w:szCs w:val="2"/>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tcPr>
          <w:p>
            <w:pPr>
              <w:spacing w:after="0"/>
              <w:rPr>
                <w:sz w:val="18"/>
                <w:szCs w:val="18"/>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Amounts in beginning balance reclassified to revenue</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year amounts reclassified to revenue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2"/>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September 30</w:t>
            </w:r>
          </w:p>
        </w:tc>
        <w:tc>
          <w:tcPr>
            <w:tcW w:w="34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vMerge w:val="restart"/>
          </w:tcPr>
          <w:p>
            <w:pPr>
              <w:jc w:val="right"/>
              <w:ind w:right="2314"/>
              <w:spacing w:after="0"/>
              <w:rPr>
                <w:sz w:val="20"/>
                <w:szCs w:val="20"/>
                <w:color w:val="auto"/>
              </w:rPr>
            </w:pPr>
            <w:r>
              <w:rPr>
                <w:rFonts w:ascii="Times New Roman" w:cs="Times New Roman" w:eastAsia="Times New Roman" w:hAnsi="Times New Roman"/>
                <w:sz w:val="17"/>
                <w:szCs w:val="17"/>
                <w:color w:val="auto"/>
              </w:rPr>
              <w:t>16</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7. LEASES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Operating lease expense was $18 million and $50 million for the three and nine months ended September 30, 2024, respectively, and $16 million and</w:t>
      </w:r>
    </w:p>
    <w:p>
      <w:pPr>
        <w:spacing w:after="0" w:line="2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$48 million for the three and nine months ended September 30, 2023, respectively. New operating leases of $8 million and $40 million were added during the three and nine months ended September 30, 2024, respectively, and $7 million and $27 million for the three and nine months ended September 30, 2023, respectively. Wabtec does not have material financing leases, short-term or variable leases or sublease income.</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Scheduled payments of lease liabilities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7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37"/>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remaining lease term and discount rate assumptions used to develop the present value of operating lease liabilities: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440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3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847"/>
        </w:trPr>
        <w:tc>
          <w:tcPr>
            <w:tcW w:w="4400" w:type="dxa"/>
            <w:vAlign w:val="bottom"/>
          </w:tcPr>
          <w:p>
            <w:pPr>
              <w:spacing w:after="0"/>
              <w:rPr>
                <w:sz w:val="24"/>
                <w:szCs w:val="24"/>
                <w:color w:val="auto"/>
              </w:rPr>
            </w:pPr>
          </w:p>
        </w:tc>
        <w:tc>
          <w:tcPr>
            <w:tcW w:w="3280" w:type="dxa"/>
            <w:vAlign w:val="bottom"/>
          </w:tcPr>
          <w:p>
            <w:pPr>
              <w:jc w:val="right"/>
              <w:ind w:right="1894"/>
              <w:spacing w:after="0"/>
              <w:rPr>
                <w:sz w:val="20"/>
                <w:szCs w:val="20"/>
                <w:color w:val="auto"/>
              </w:rPr>
            </w:pPr>
            <w:r>
              <w:rPr>
                <w:rFonts w:ascii="Times New Roman" w:cs="Times New Roman" w:eastAsia="Times New Roman" w:hAnsi="Times New Roman"/>
                <w:sz w:val="17"/>
                <w:szCs w:val="17"/>
                <w:color w:val="auto"/>
              </w:rPr>
              <w:t>17</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8"/>
        </w:trPr>
        <w:tc>
          <w:tcPr>
            <w:tcW w:w="440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8. LONG-TERM DEBT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5"/>
                <w:szCs w:val="15"/>
                <w:color w:val="auto"/>
              </w:rPr>
            </w:pPr>
          </w:p>
        </w:tc>
        <w:tc>
          <w:tcPr>
            <w:tcW w:w="25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4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0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1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40"/>
        </w:trPr>
        <w:tc>
          <w:tcPr>
            <w:tcW w:w="3480" w:type="dxa"/>
            <w:vAlign w:val="bottom"/>
            <w:gridSpan w:val="4"/>
            <w:vMerge w:val="continue"/>
          </w:tcPr>
          <w:p>
            <w:pPr>
              <w:spacing w:after="0"/>
              <w:rPr>
                <w:sz w:val="12"/>
                <w:szCs w:val="12"/>
                <w:color w:val="auto"/>
              </w:rPr>
            </w:pPr>
          </w:p>
        </w:tc>
        <w:tc>
          <w:tcPr>
            <w:tcW w:w="11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80" w:type="dxa"/>
            <w:vAlign w:val="bottom"/>
            <w:tcBorders>
              <w:top w:val="single" w:sz="8" w:color="auto"/>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480" w:type="dxa"/>
            <w:vAlign w:val="bottom"/>
            <w:gridSpan w:val="4"/>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2024 Credit Agreement:</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Term Loan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Credit Agreement:</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Delayed Draw Term Loan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6"/>
        </w:trPr>
        <w:tc>
          <w:tcPr>
            <w:tcW w:w="34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4.15% Senior Notes, due 2024</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86"/>
        </w:trPr>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3.20%</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201"/>
        </w:trPr>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3.45%</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86"/>
        </w:trPr>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1.25%</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(EUR), due 2027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01"/>
        </w:trPr>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4.70%</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5.611% Senior Notes, due 2034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4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Less: current portion</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Long-term portion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13 for information on the fair value measurement of the Company's long-term debt.</w:t>
      </w:r>
    </w:p>
    <w:p>
      <w:pPr>
        <w:spacing w:after="0" w:line="101" w:lineRule="exact"/>
        <w:rPr>
          <w:sz w:val="20"/>
          <w:szCs w:val="20"/>
          <w:color w:val="auto"/>
        </w:rPr>
      </w:pPr>
    </w:p>
    <w:p>
      <w:pPr>
        <w:ind w:right="480" w:firstLine="464"/>
        <w:spacing w:after="0" w:line="287" w:lineRule="auto"/>
        <w:rPr>
          <w:sz w:val="20"/>
          <w:szCs w:val="20"/>
          <w:color w:val="auto"/>
        </w:rPr>
      </w:pPr>
      <w:r>
        <w:rPr>
          <w:rFonts w:ascii="Times New Roman" w:cs="Times New Roman" w:eastAsia="Times New Roman" w:hAnsi="Times New Roman"/>
          <w:sz w:val="17"/>
          <w:szCs w:val="17"/>
          <w:color w:val="auto"/>
        </w:rPr>
        <w:t>Variances between Face Value and Book Value are the result of unamortized discounts and debt issuance fees as well as foreign exchange on the Euro Notes. Amortization of discounts and debt issuance fees are included in the calculation of Effective Interest Rate.</w:t>
      </w:r>
    </w:p>
    <w:p>
      <w:pPr>
        <w:spacing w:after="0" w:line="48"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7"/>
          <w:szCs w:val="17"/>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September 30, 2024 and December 31, 2023, the Company had total combined unamortized discount and debt issuance costs of $17 million and $15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Credit Agreement</w:t>
      </w:r>
    </w:p>
    <w:p>
      <w:pPr>
        <w:spacing w:after="0" w:line="118" w:lineRule="exact"/>
        <w:rPr>
          <w:sz w:val="20"/>
          <w:szCs w:val="20"/>
          <w:color w:val="auto"/>
        </w:rPr>
      </w:pPr>
    </w:p>
    <w:p>
      <w:pPr>
        <w:ind w:right="160" w:firstLine="464"/>
        <w:spacing w:after="0" w:line="260" w:lineRule="auto"/>
        <w:rPr>
          <w:sz w:val="20"/>
          <w:szCs w:val="20"/>
          <w:color w:val="auto"/>
        </w:rPr>
      </w:pPr>
      <w:r>
        <w:rPr>
          <w:rFonts w:ascii="Times New Roman" w:cs="Times New Roman" w:eastAsia="Times New Roman" w:hAnsi="Times New Roman"/>
          <w:sz w:val="17"/>
          <w:szCs w:val="17"/>
          <w:color w:val="auto"/>
        </w:rPr>
        <w:t>On March 14, 2024, the Company entered into a new stand-alone credit agreement (the "2024 Credit Agreement") for a term loan of $225 million. Borrowings under the 2024 Credit Agreement bear interest at a base rate plus an interest rate spread up to 1.75% based on the lower of the pricing corresponding to (i) the Company’s Leverage Ratio or (ii) the Company’s public rating. At September 30, 2024, the interest rate was 6.5%. The frequency of interest payments varies based upon the Interest Election Request. The term loan issued under the 2024 Credit Agreement will mature on March 14, 2029. The obligations of the Company under the 2024 Credit Agreement are unsecured and have been guaranteed by certain of the Company’s subsidiaries. The agreement contains affirmative, negative and financial covenants, and events of default customary for facilities of this type.</w:t>
      </w:r>
    </w:p>
    <w:p>
      <w:pPr>
        <w:spacing w:after="0" w:line="57" w:lineRule="exact"/>
        <w:rPr>
          <w:sz w:val="20"/>
          <w:szCs w:val="20"/>
          <w:color w:val="auto"/>
        </w:rPr>
      </w:pPr>
    </w:p>
    <w:p>
      <w:pPr>
        <w:ind w:right="20" w:firstLine="464"/>
        <w:spacing w:after="0" w:line="245" w:lineRule="auto"/>
        <w:rPr>
          <w:sz w:val="20"/>
          <w:szCs w:val="20"/>
          <w:color w:val="auto"/>
        </w:rPr>
      </w:pPr>
      <w:r>
        <w:rPr>
          <w:rFonts w:ascii="Times New Roman" w:cs="Times New Roman" w:eastAsia="Times New Roman" w:hAnsi="Times New Roman"/>
          <w:sz w:val="17"/>
          <w:szCs w:val="17"/>
          <w:color w:val="auto"/>
        </w:rPr>
        <w:t>Under the 2024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$300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2024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w:t>
      </w:r>
    </w:p>
    <w:p>
      <w:pPr>
        <w:spacing w:after="0" w:line="118"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On August 15, 2022, the Company entered into a new unsecured credit agreement (the "2022 Credit Agreement"). The 2022 Credit Agreement provides for borrowings consisting of (i) a multi-currency revolving credit facility, providing for an equivalent in U.S. dollars of up to $1.5 billion (the “Revolving Credit Facility”) and (ii) a $250 million delayed draw term loan facility (the “Delayed Draw Term Loan”), all pursuant to the terms and conditions of the 2022 Credit Agreement. The 2022</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8" w:name="page19"/>
    <w:bookmarkEnd w:id="18"/>
    <w:p>
      <w:pPr>
        <w:ind w:right="100"/>
        <w:spacing w:after="0" w:line="270" w:lineRule="auto"/>
        <w:rPr>
          <w:sz w:val="20"/>
          <w:szCs w:val="20"/>
          <w:color w:val="auto"/>
        </w:rPr>
      </w:pPr>
      <w:r>
        <w:rPr>
          <w:rFonts w:ascii="Times New Roman" w:cs="Times New Roman" w:eastAsia="Times New Roman" w:hAnsi="Times New Roman"/>
          <w:sz w:val="17"/>
          <w:szCs w:val="17"/>
          <w:color w:val="auto"/>
        </w:rPr>
        <w:t>Credit Agreement allows the Company to request, at prevailing market rates, an aggregate amount not to exceed $750 million, (a) increases to the borrowing commitments under the Revolving Credit Facility and/or (b) new incremental term loan commitments. The agreement contains affirmative, negative and financial covenants, and events of default customary for facilities of this type.</w:t>
      </w:r>
    </w:p>
    <w:p>
      <w:pPr>
        <w:spacing w:after="0" w:line="62"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The Revolving Credit Facility matures on August 15, 2027. The Delayed Draw Term Loan was fully drawn during the third quarter of 2023, and the proceeds were utilized to redeem the 4.375% Senior Notes, due 2023. Borrowings under the Delayed Draw Term Loan will mature on August 15, 2027. Amounts borrowed and repaid under the Delayed Draw Term Loan may not be reborrowed. The applicable interest rate for borrowings under the 2022 Credit Agreement includes a base rate (per the Interest Election terms of the agreement) plus an interest rate spread up to 1.75% based on the lower of the pricing corresponding to (i) the Company’s financial leverage or (ii) the Company’s public rating. At September 30, 2024, the interest rate was 6.5%. Obligations under the Restated Credit Agreement have been guaranteed by certain of the Company’s subsidiaries.</w:t>
      </w:r>
    </w:p>
    <w:p>
      <w:pPr>
        <w:spacing w:after="0" w:line="70"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Under the 2022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$300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2022 Credit Agreement.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availability under the 2022 Credit Agreement at September 30,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Revolving Credit</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Delayed Draw Term</w:t>
            </w:r>
          </w:p>
        </w:tc>
        <w:tc>
          <w:tcPr>
            <w:tcW w:w="340" w:type="dxa"/>
            <w:vAlign w:val="bottom"/>
          </w:tcPr>
          <w:p>
            <w:pPr>
              <w:spacing w:after="0"/>
              <w:rPr>
                <w:sz w:val="15"/>
                <w:szCs w:val="15"/>
                <w:color w:val="auto"/>
              </w:rPr>
            </w:pPr>
          </w:p>
        </w:tc>
        <w:tc>
          <w:tcPr>
            <w:tcW w:w="1160" w:type="dxa"/>
            <w:vAlign w:val="bottom"/>
            <w:vMerge w:val="restart"/>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65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Facility</w:t>
            </w:r>
          </w:p>
        </w:tc>
        <w:tc>
          <w:tcPr>
            <w:tcW w:w="340" w:type="dxa"/>
            <w:vAlign w:val="bottom"/>
          </w:tcPr>
          <w:p>
            <w:pPr>
              <w:spacing w:after="0"/>
              <w:rPr>
                <w:sz w:val="13"/>
                <w:szCs w:val="13"/>
                <w:color w:val="auto"/>
              </w:rPr>
            </w:pPr>
          </w:p>
        </w:tc>
        <w:tc>
          <w:tcPr>
            <w:tcW w:w="126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5"/>
                <w:szCs w:val="15"/>
                <w:b w:val="1"/>
                <w:bCs w:val="1"/>
                <w:color w:val="auto"/>
              </w:rPr>
              <w:t>Loan</w:t>
            </w:r>
          </w:p>
        </w:tc>
        <w:tc>
          <w:tcPr>
            <w:tcW w:w="3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Availability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0" w:type="dxa"/>
            <w:vAlign w:val="bottom"/>
          </w:tcPr>
          <w:p>
            <w:pPr>
              <w:spacing w:after="0"/>
              <w:rPr>
                <w:sz w:val="1"/>
                <w:szCs w:val="1"/>
                <w:color w:val="auto"/>
              </w:rPr>
            </w:pPr>
          </w:p>
        </w:tc>
      </w:tr>
      <w:tr>
        <w:trPr>
          <w:trHeight w:val="203"/>
        </w:trPr>
        <w:tc>
          <w:tcPr>
            <w:tcW w:w="65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Outstanding Borrowings</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206"/>
        </w:trPr>
        <w:tc>
          <w:tcPr>
            <w:tcW w:w="6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Letters of Credit Under Credit Agreement</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5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Availability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400" w:firstLine="464"/>
        <w:spacing w:after="0" w:line="364" w:lineRule="auto"/>
        <w:rPr>
          <w:sz w:val="20"/>
          <w:szCs w:val="20"/>
          <w:color w:val="auto"/>
        </w:rPr>
      </w:pPr>
      <w:r>
        <w:rPr>
          <w:rFonts w:ascii="Times New Roman" w:cs="Times New Roman" w:eastAsia="Times New Roman" w:hAnsi="Times New Roman"/>
          <w:sz w:val="17"/>
          <w:szCs w:val="17"/>
          <w:color w:val="auto"/>
        </w:rPr>
        <w:t xml:space="preserve">The Company was in compliance with all financial covenants in the 2022 Credit Agreement and the 2024 Credit Agreement as of September 30, 2024. </w:t>
      </w:r>
      <w:r>
        <w:rPr>
          <w:rFonts w:ascii="Times New Roman" w:cs="Times New Roman" w:eastAsia="Times New Roman" w:hAnsi="Times New Roman"/>
          <w:sz w:val="17"/>
          <w:szCs w:val="17"/>
          <w:i w:val="1"/>
          <w:iCs w:val="1"/>
          <w:color w:val="auto"/>
        </w:rPr>
        <w:t>Intra-Quarter Uncommitted Money Market Line Credit Agreement</w:t>
      </w:r>
    </w:p>
    <w:p>
      <w:pPr>
        <w:ind w:right="400" w:firstLine="464"/>
        <w:spacing w:after="0" w:line="287" w:lineRule="auto"/>
        <w:rPr>
          <w:sz w:val="20"/>
          <w:szCs w:val="20"/>
          <w:color w:val="auto"/>
        </w:rPr>
      </w:pPr>
      <w:r>
        <w:rPr>
          <w:rFonts w:ascii="Times New Roman" w:cs="Times New Roman" w:eastAsia="Times New Roman" w:hAnsi="Times New Roman"/>
          <w:sz w:val="17"/>
          <w:szCs w:val="17"/>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20" w:lineRule="exact"/>
        <w:rPr>
          <w:sz w:val="20"/>
          <w:szCs w:val="20"/>
          <w:color w:val="auto"/>
        </w:rPr>
      </w:pPr>
    </w:p>
    <w:p>
      <w:pPr>
        <w:ind w:right="20" w:firstLine="464"/>
        <w:spacing w:after="0" w:line="257" w:lineRule="auto"/>
        <w:rPr>
          <w:sz w:val="20"/>
          <w:szCs w:val="20"/>
          <w:color w:val="auto"/>
        </w:rPr>
      </w:pPr>
      <w:r>
        <w:rPr>
          <w:rFonts w:ascii="Times New Roman" w:cs="Times New Roman" w:eastAsia="Times New Roman" w:hAnsi="Times New Roman"/>
          <w:sz w:val="17"/>
          <w:szCs w:val="17"/>
          <w:color w:val="auto"/>
        </w:rPr>
        <w:t>The Company or its subsidiaries may issue senior notes from time to time. These notes are comprised of our 4.15% Senior Notes due 2024 (the "2024 Notes"), 3.20% Senior Notes due 2025 (the "2025 Notes"), 3.45% Senior Notes due 2026 (the "2026 Notes"), 1.25% Senior Notes (EUR) due 2027 (the "Euro Notes"), 4.70% Senior Notes due 2028 (the "2028 Notes"), and 5.611% Senior Notes due 2034 (the "2034 Notes"). The 2024 Notes, 2025 Notes, 2026 Notes, 2028 Notes, and 2034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285" w:lineRule="exact"/>
        <w:rPr>
          <w:sz w:val="20"/>
          <w:szCs w:val="20"/>
          <w:color w:val="auto"/>
        </w:rPr>
      </w:pPr>
    </w:p>
    <w:p>
      <w:pPr>
        <w:ind w:right="120" w:firstLine="464"/>
        <w:spacing w:after="0" w:line="270" w:lineRule="auto"/>
        <w:rPr>
          <w:sz w:val="20"/>
          <w:szCs w:val="20"/>
          <w:color w:val="auto"/>
        </w:rPr>
      </w:pPr>
      <w:r>
        <w:rPr>
          <w:rFonts w:ascii="Times New Roman" w:cs="Times New Roman" w:eastAsia="Times New Roman" w:hAnsi="Times New Roman"/>
          <w:sz w:val="17"/>
          <w:szCs w:val="17"/>
          <w:color w:val="auto"/>
        </w:rPr>
        <w:t>On March 11, 2024, the Company issued $500 million of 5.611% Senior Notes due in 2034 (2034 Notes). The 2034 Notes were issued at 100% of face value and the Company recognized approximately $5 million of total deferred financing costs. Interest on the 2034 Notes will accrue at a rate of 5.611% per year, payable semi-annually on March 11 and September 11 of each year, commencing September 11, 2024. The 2034 Notes will mature on March 11, 2034.</w:t>
      </w:r>
    </w:p>
    <w:p>
      <w:pPr>
        <w:spacing w:after="0" w:line="62"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Proceeds from the 2034 Notes, combined with the proceeds from the term loan under the 2024 Credit Agreement and cash on hand, were utilized to repay the outstanding amount of 2024 Notes at maturity.</w:t>
      </w:r>
    </w:p>
    <w:p>
      <w:pPr>
        <w:spacing w:after="0" w:line="48" w:lineRule="exact"/>
        <w:rPr>
          <w:sz w:val="20"/>
          <w:szCs w:val="20"/>
          <w:color w:val="auto"/>
        </w:rPr>
      </w:pPr>
    </w:p>
    <w:p>
      <w:pPr>
        <w:ind w:right="80" w:firstLine="464"/>
        <w:spacing w:after="0" w:line="287" w:lineRule="auto"/>
        <w:rPr>
          <w:sz w:val="20"/>
          <w:szCs w:val="20"/>
          <w:color w:val="auto"/>
        </w:rPr>
      </w:pPr>
      <w:r>
        <w:rPr>
          <w:rFonts w:ascii="Times New Roman" w:cs="Times New Roman" w:eastAsia="Times New Roman" w:hAnsi="Times New Roman"/>
          <w:sz w:val="17"/>
          <w:szCs w:val="17"/>
          <w:color w:val="auto"/>
        </w:rPr>
        <w:t>Beginning September 15, 2023, the effective interest rates for the 2024 Notes and the 2028 Notes were each reduced by 0.25% due to a favorable change in Wabtec's corporate credit rating and the rating of the aforementioned notes.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9" w:name="page20"/>
    <w:bookmarkEnd w:id="19"/>
    <w:p>
      <w:pPr>
        <w:ind w:firstLine="464"/>
        <w:spacing w:after="0" w:line="260" w:lineRule="auto"/>
        <w:rPr>
          <w:sz w:val="20"/>
          <w:szCs w:val="20"/>
          <w:color w:val="auto"/>
        </w:rPr>
      </w:pPr>
      <w:r>
        <w:rPr>
          <w:rFonts w:ascii="Times New Roman" w:cs="Times New Roman" w:eastAsia="Times New Roman" w:hAnsi="Times New Roman"/>
          <w:sz w:val="17"/>
          <w:szCs w:val="17"/>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2022 Credit Agreement and the 2024 Credit Agreement. The Euro Notes were issued by Wabtec Transportation Netherlands B.V. and are fully and unconditionally guaranteed by the Parent Company.</w:t>
      </w:r>
    </w:p>
    <w:p>
      <w:pPr>
        <w:spacing w:after="0" w:line="70" w:lineRule="exact"/>
        <w:rPr>
          <w:sz w:val="20"/>
          <w:szCs w:val="20"/>
          <w:color w:val="auto"/>
        </w:rPr>
      </w:pPr>
    </w:p>
    <w:p>
      <w:pPr>
        <w:ind w:right="520" w:firstLine="464"/>
        <w:spacing w:after="0" w:line="287" w:lineRule="auto"/>
        <w:rPr>
          <w:sz w:val="20"/>
          <w:szCs w:val="20"/>
          <w:color w:val="auto"/>
        </w:rPr>
      </w:pPr>
      <w:r>
        <w:rPr>
          <w:rFonts w:ascii="Times New Roman" w:cs="Times New Roman" w:eastAsia="Times New Roman" w:hAnsi="Times New Roman"/>
          <w:sz w:val="17"/>
          <w:szCs w:val="17"/>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STOCK-BASED COMPENSATION</w:t>
      </w:r>
    </w:p>
    <w:p>
      <w:pPr>
        <w:spacing w:after="0" w:line="118"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September 30, 2024, the number of shares available for future grants under the 2011 Plan was approximately 4.4 million shares. The Company also maintains a 1995 Non-Employee Directors’ Fee and Stock Option Plan as amended and restated (“the Directors Plan”).</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Stock-based compensation expense was $23 million and $57 million for the three and nine months ended September 30, 2024, respectively, and $16 million and $42 million for the three and nine months ended September 30, 2023, respectively. At September 30, 2024, unamortized compensation expense related to stock options, non-vested restricted shares and incentive stock units expected to vest was approximately $91 million.</w:t>
      </w:r>
    </w:p>
    <w:p>
      <w:pPr>
        <w:spacing w:after="0" w:line="56" w:lineRule="exact"/>
        <w:rPr>
          <w:sz w:val="20"/>
          <w:szCs w:val="20"/>
          <w:color w:val="auto"/>
        </w:rPr>
      </w:pPr>
    </w:p>
    <w:p>
      <w:pPr>
        <w:ind w:right="20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 Options </w:t>
      </w:r>
      <w:r>
        <w:rPr>
          <w:rFonts w:ascii="Times New Roman" w:cs="Times New Roman" w:eastAsia="Times New Roman" w:hAnsi="Times New Roman"/>
          <w:sz w:val="17"/>
          <w:szCs w:val="17"/>
          <w:color w:val="auto"/>
        </w:rPr>
        <w:t>Stock options can be granted to eligible employees and directors at an exercise price equal to fair market value, which is the average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 and low Wabtec stock price on the date of grant. Options become exercisable over a three-year vesting period and expire 10 years from the date of grant. There were no stock options granted in the periods presented. At September 30, 2024, there were 231,026 shares issuable pursuant to exercisable stock options.</w:t>
      </w:r>
    </w:p>
    <w:p>
      <w:pPr>
        <w:spacing w:after="0" w:line="184" w:lineRule="exact"/>
        <w:rPr>
          <w:sz w:val="20"/>
          <w:szCs w:val="20"/>
          <w:color w:val="auto"/>
        </w:rPr>
      </w:pPr>
    </w:p>
    <w:p>
      <w:pPr>
        <w:ind w:right="8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Stock, Restricted Stock Units and Incentive Stock </w:t>
      </w:r>
      <w:r>
        <w:rPr>
          <w:rFonts w:ascii="Times New Roman" w:cs="Times New Roman" w:eastAsia="Times New Roman" w:hAnsi="Times New Roman"/>
          <w:sz w:val="17"/>
          <w:szCs w:val="17"/>
          <w:color w:val="auto"/>
        </w:rPr>
        <w:t>As provided for under the 2011 Plan and 2000 Plan, eligible employees are granted restricted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that generally vests over three years from the date of grant. Under the Directors Plan, restricted stock awards vest one year from the date of grant. The restricted stock units are liability-classified equity awards as they can be settled in cash.</w:t>
      </w:r>
    </w:p>
    <w:p>
      <w:pPr>
        <w:spacing w:after="0" w:line="61" w:lineRule="exact"/>
        <w:rPr>
          <w:sz w:val="20"/>
          <w:szCs w:val="20"/>
          <w:color w:val="auto"/>
        </w:rPr>
      </w:pPr>
    </w:p>
    <w:p>
      <w:pPr>
        <w:ind w:right="40" w:firstLine="464"/>
        <w:spacing w:after="0" w:line="255" w:lineRule="auto"/>
        <w:rPr>
          <w:sz w:val="20"/>
          <w:szCs w:val="20"/>
          <w:color w:val="auto"/>
        </w:rPr>
      </w:pPr>
      <w:r>
        <w:rPr>
          <w:rFonts w:ascii="Times New Roman" w:cs="Times New Roman" w:eastAsia="Times New Roman" w:hAnsi="Times New Roman"/>
          <w:sz w:val="17"/>
          <w:szCs w:val="17"/>
          <w:color w:val="auto"/>
        </w:rPr>
        <w:t>In addition, the Company has issued incentive stock units to eligible employees that vest upon attainment of certain cumulative three-year performance goals, including a Relative Total Stockholder Return ("RTSR") modifier. The RTSR modifier can increase or decrease the payment by 10% or 20% depending on plan year. Significant judgments and estimates are used in determining the estimated three-year performance, which is then used to estimate the total shares expected to vest over the three-year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three-year period then ended, the incentive stock units can vest and be awarded ranging from 0% to 200% of the initial incentive stock units granted. The incentive stock units included in the table below represent the number of incentive stock units that are expected to vest based on the Company’s estimate for meeting those established performance targets. As of September 30, 2024, the Company estimates that it will achieve 158%, 163% and 175% for the incentive stock awards expected to vest, inclusive of the RTSR modifier, based on the estimated performance for the three-year periods ending December 31, 2024, 2025, and 2026, respectively, and has recorded incentive compensation expense accordingly.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291" w:lineRule="exact"/>
        <w:rPr>
          <w:sz w:val="20"/>
          <w:szCs w:val="20"/>
          <w:color w:val="auto"/>
        </w:rPr>
      </w:pPr>
    </w:p>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restricted stock, restricted stock unit and incentive stock unit activity and related information for the nine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0"/>
        </w:trPr>
        <w:tc>
          <w:tcPr>
            <w:tcW w:w="64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1"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and Units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18"/>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760,569</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692,732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93.65</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309,241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193,661</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142.43</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(276,957)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(298,756)</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87.81</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Adjustment for incentive stock awards expected to vest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190,451</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117.62</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(43,086)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(19,852)</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104.93</w:t>
            </w:r>
          </w:p>
        </w:tc>
        <w:tc>
          <w:tcPr>
            <w:tcW w:w="0" w:type="dxa"/>
            <w:vAlign w:val="bottom"/>
          </w:tcPr>
          <w:p>
            <w:pPr>
              <w:spacing w:after="0"/>
              <w:rPr>
                <w:sz w:val="1"/>
                <w:szCs w:val="1"/>
                <w:color w:val="auto"/>
              </w:rPr>
            </w:pP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749,767</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758,236</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color w:val="auto"/>
        </w:rPr>
        <w:t>The overall effective tax rate for the three and nine months ended September 30, 2024 was 24.2% and 24.1%, respectively. The overall effective tax rate for the three and nine months ended September 30, 2023 was 24.5% and 25.1%, respectively. The year over year decrease in the effective rate for the three month period ended September 30, 2024 was driven by a change in the jurisdictional mix of earnings and audit closures. Additionally, the year over year decrease in the effective tax rate for the nine month period ended September 30, 2024 was impacted by higher discrete equity compensation tax deductions, audit closures, and a change in jurisdictional mix of earnings.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EARNINGS PER SHARE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computation of basic and diluted earnings per share for Net income attributable to Wabtec shareholders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60" w:type="dxa"/>
            <w:vAlign w:val="bottom"/>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6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Denominator</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0" w:type="dxa"/>
            <w:vAlign w:val="bottom"/>
          </w:tcPr>
          <w:p>
            <w:pPr>
              <w:spacing w:after="0"/>
              <w:rPr>
                <w:sz w:val="1"/>
                <w:szCs w:val="1"/>
                <w:color w:val="auto"/>
              </w:rPr>
            </w:pP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Assumed conversion of dilutive stock-based compensation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Wabtec shareholders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1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23"/>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8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WARRANTIES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reconciles the changes in the Company’s product warranty reserve for the nine months ended September 30, 2024 and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Warranty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claim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Foreign currency impact/other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7"/>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13. FAIR VALUE MEASUREMENT AND DERIVATIVE INSTRUMENTS</w:t>
      </w:r>
    </w:p>
    <w:p>
      <w:pPr>
        <w:spacing w:after="0" w:line="118"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4"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Valuation Hierarchy. </w:t>
      </w:r>
      <w:r>
        <w:rPr>
          <w:rFonts w:ascii="Times New Roman" w:cs="Times New Roman" w:eastAsia="Times New Roman" w:hAnsi="Times New Roman"/>
          <w:sz w:val="17"/>
          <w:szCs w:val="17"/>
          <w:color w:val="auto"/>
        </w:rPr>
        <w:t>ASC 820 establishes a valuation hierarchy for disclosure of the inputs to valuation used to measure fair value. This hierarchy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September 30, 2024 and December 31, 2023. The Senior Notes are considered Level 2 based on the fair value valuation hierarchy. Contingent consideration related to the GE Transportation acquisition is considered Level 3 based on the fair value valuation hierarchy. At December 31, 2023, $42 million was classified as "Other accrued liabilities" on the Company's Condensed Consolidated Balance Sheets, which approximates fair value. There was no amount of contingent consideration outstanding as of September 30, 2024.</w:t>
      </w:r>
    </w:p>
    <w:p>
      <w:pPr>
        <w:spacing w:after="0" w:line="64" w:lineRule="exact"/>
        <w:rPr>
          <w:sz w:val="20"/>
          <w:szCs w:val="20"/>
          <w:color w:val="auto"/>
        </w:rPr>
      </w:pPr>
    </w:p>
    <w:p>
      <w:pPr>
        <w:ind w:right="40"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Hedging Activities </w:t>
      </w:r>
      <w:r>
        <w:rPr>
          <w:rFonts w:ascii="Times New Roman" w:cs="Times New Roman" w:eastAsia="Times New Roman" w:hAnsi="Times New Roman"/>
          <w:sz w:val="17"/>
          <w:szCs w:val="17"/>
          <w:color w:val="auto"/>
        </w:rPr>
        <w:t>In the normal course of business, the Company is exposed to market risk related to interest rates, commodity prices and foreign currency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18"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and nine months ended September 30, 2024 and 2023, the amounts reclassified into income were not material.</w:t>
      </w:r>
    </w:p>
    <w:p>
      <w:pPr>
        <w:spacing w:after="0" w:line="72"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76"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(expense) income, net. The net gains and losses related to these contracts were not material for the three and nine months ended September 30, 2024 and 2023. These contracts typically mature within one year.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18" w:lineRule="exact"/>
        <w:rPr>
          <w:sz w:val="20"/>
          <w:szCs w:val="20"/>
          <w:color w:val="auto"/>
        </w:rPr>
      </w:pPr>
    </w:p>
    <w:p>
      <w:pPr>
        <w:ind w:right="120" w:firstLine="464"/>
        <w:spacing w:after="0" w:line="276" w:lineRule="auto"/>
        <w:rPr>
          <w:sz w:val="20"/>
          <w:szCs w:val="20"/>
          <w:color w:val="auto"/>
        </w:rPr>
      </w:pPr>
      <w:r>
        <w:rPr>
          <w:rFonts w:ascii="Times New Roman" w:cs="Times New Roman" w:eastAsia="Times New Roman" w:hAnsi="Times New Roman"/>
          <w:sz w:val="17"/>
          <w:szCs w:val="17"/>
          <w:color w:val="auto"/>
        </w:rPr>
        <w:t>The Company may use interest rate hedge contracts on certain investing and borrowing transactions to manage its net exposure to interest rate changes and to manage its overall cost of borrowing. The Company does not use leveraged swaps and, in general, does not leverage any of its investment activities that would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put principal capital at risk. During the first quarter of</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2" w:name="page23"/>
    <w:bookmarkEnd w:id="22"/>
    <w:p>
      <w:pPr>
        <w:jc w:val="both"/>
        <w:ind w:right="500"/>
        <w:spacing w:after="0" w:line="270" w:lineRule="auto"/>
        <w:rPr>
          <w:sz w:val="20"/>
          <w:szCs w:val="20"/>
          <w:color w:val="auto"/>
        </w:rPr>
      </w:pPr>
      <w:r>
        <w:rPr>
          <w:rFonts w:ascii="Times New Roman" w:cs="Times New Roman" w:eastAsia="Times New Roman" w:hAnsi="Times New Roman"/>
          <w:sz w:val="17"/>
          <w:szCs w:val="17"/>
          <w:color w:val="auto"/>
        </w:rPr>
        <w:t>2024, the Company utilized all outstanding interest rate hedge contracts to help manage interest expense for the 2034 Notes. In the third quarter of 2024, the Company entered into new interest rate hedge contracts to manage interest rate risk for a portion of future expected debt transactions. For the three and nine months ended September 30, 2024 and 2023, the amounts reclassified into income were not material.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Price Risk</w:t>
      </w:r>
    </w:p>
    <w:p>
      <w:pPr>
        <w:spacing w:after="0" w:line="118"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The Company may use commodity forward swaps to manage its exposure to commodity price changes and to reduce its overall cost of manufacturing. For the three and nine months ended September 30, 2024 and 2023, the amounts recognized as income or expense were not material.</w:t>
      </w:r>
    </w:p>
    <w:p>
      <w:pPr>
        <w:spacing w:after="0" w:line="48" w:lineRule="exact"/>
        <w:rPr>
          <w:sz w:val="20"/>
          <w:szCs w:val="20"/>
          <w:color w:val="auto"/>
        </w:rPr>
      </w:pPr>
    </w:p>
    <w:p>
      <w:pPr>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September 30, 2024,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199"/>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32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December 31, 2023,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199"/>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118"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6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76"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During the third quarter of 2023, a competitor of the Company, Progress Rail (“Progress”), which is a Caterpillar Inc. company, sued the Company in the U.S. District Court for the District of Delaware asserting antitrust, breach of contract, unfair competition law, and misrepresentation claims. The complaint challenges the Wabtec-GE Transportation merger and contends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3" w:name="page24"/>
    <w:bookmarkEnd w:id="23"/>
    <w:p>
      <w:pPr>
        <w:ind w:right="20"/>
        <w:spacing w:after="0" w:line="260" w:lineRule="auto"/>
        <w:rPr>
          <w:sz w:val="20"/>
          <w:szCs w:val="20"/>
          <w:color w:val="auto"/>
        </w:rPr>
      </w:pPr>
      <w:r>
        <w:rPr>
          <w:rFonts w:ascii="Times New Roman" w:cs="Times New Roman" w:eastAsia="Times New Roman" w:hAnsi="Times New Roman"/>
          <w:sz w:val="17"/>
          <w:szCs w:val="17"/>
          <w:color w:val="auto"/>
        </w:rPr>
        <w:t>that since the merger, Wabtec has unlawfully monopolized the markets for long-haul freight locomotives, Tier IV long-haul freight locomotives, and energy management systems by, among other things, failing to ensure that Progress’ products are interoperable with Wabtec’s locomotives and cab electronics. The case is currently at an early stage. Progress seeks an order requiring Wabtec to divest GE Transportation, unspecified treble damages for its alleged lost profits from reduced sales of locomotive and cab systems, and attorneys’ fees and costs. It also asks the court to enjoin Wabtec from engaging in the conduct and require the Company to comply with its agreements with Progress. Wabtec intends to vigorously defend itself against this lawsuit and believes that it has meritorious defenses to the claims asserted by Progress.</w:t>
      </w:r>
    </w:p>
    <w:p>
      <w:pPr>
        <w:spacing w:after="0" w:line="70"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were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claim notices or alleged damages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claim against RTD proceeded to trial on September 21, 2020. On February 10, 2023, the court issued a decision in favor of RTD, denying DTC's damages claim. DTC has filed a Notice of Appeal.</w:t>
      </w:r>
    </w:p>
    <w:p>
      <w:pPr>
        <w:spacing w:after="0" w:line="82"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SEGMENT INFORMATION</w:t>
      </w:r>
    </w:p>
    <w:p>
      <w:pPr>
        <w:spacing w:after="0" w:line="118" w:lineRule="exact"/>
        <w:rPr>
          <w:sz w:val="20"/>
          <w:szCs w:val="20"/>
          <w:color w:val="auto"/>
        </w:rPr>
      </w:pPr>
    </w:p>
    <w:p>
      <w:pPr>
        <w:ind w:right="20" w:firstLine="464"/>
        <w:spacing w:after="0" w:line="280" w:lineRule="auto"/>
        <w:rPr>
          <w:sz w:val="20"/>
          <w:szCs w:val="20"/>
          <w:color w:val="auto"/>
        </w:rPr>
      </w:pPr>
      <w:r>
        <w:rPr>
          <w:rFonts w:ascii="Times New Roman" w:cs="Times New Roman" w:eastAsia="Times New Roman" w:hAnsi="Times New Roman"/>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262"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Freight Segment </w:t>
      </w:r>
      <w:r>
        <w:rPr>
          <w:rFonts w:ascii="Times New Roman" w:cs="Times New Roman" w:eastAsia="Times New Roman" w:hAnsi="Times New Roman"/>
          <w:sz w:val="17"/>
          <w:szCs w:val="17"/>
          <w:color w:val="auto"/>
        </w:rPr>
        <w:t>builds, rebuilds, upgrades, and overhauls locomotives, services locomotives and freight cars, and provides a range of component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70" w:lineRule="exact"/>
        <w:rPr>
          <w:sz w:val="20"/>
          <w:szCs w:val="20"/>
          <w:color w:val="auto"/>
        </w:rPr>
      </w:pPr>
    </w:p>
    <w:p>
      <w:pPr>
        <w:ind w:right="60" w:firstLine="464"/>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Transit Segment </w:t>
      </w:r>
      <w:r>
        <w:rPr>
          <w:rFonts w:ascii="Times New Roman" w:cs="Times New Roman" w:eastAsia="Times New Roman" w:hAnsi="Times New Roman"/>
          <w:sz w:val="17"/>
          <w:szCs w:val="17"/>
          <w:color w:val="auto"/>
        </w:rPr>
        <w:t>primarily manufactures and services components for new and existing passenger transit vehicles, typically regional trains, high speed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subway cars and buses around the world.</w:t>
      </w:r>
    </w:p>
    <w:p>
      <w:pPr>
        <w:spacing w:after="0" w:line="66" w:lineRule="exact"/>
        <w:rPr>
          <w:sz w:val="20"/>
          <w:szCs w:val="20"/>
          <w:color w:val="auto"/>
        </w:rPr>
      </w:pPr>
    </w:p>
    <w:p>
      <w:pPr>
        <w:ind w:right="260" w:firstLine="464"/>
        <w:spacing w:after="0" w:line="270" w:lineRule="auto"/>
        <w:rPr>
          <w:sz w:val="20"/>
          <w:szCs w:val="20"/>
          <w:color w:val="auto"/>
        </w:rPr>
      </w:pPr>
      <w:r>
        <w:rPr>
          <w:rFonts w:ascii="Times New Roman" w:cs="Times New Roman" w:eastAsia="Times New Roman" w:hAnsi="Times New Roman"/>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62" w:lineRule="exact"/>
        <w:rPr>
          <w:sz w:val="20"/>
          <w:szCs w:val="20"/>
          <w:color w:val="auto"/>
        </w:rPr>
      </w:pPr>
    </w:p>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Company Management determined that certain parts of the business would be better aligned with Management oversight in different product lines. These changes were immaterial to the individual product lines and segments affected, and historical amounts have been reclassified to conform to the current period presentation.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September 30, 2024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40" w:type="dxa"/>
            <w:vAlign w:val="bottom"/>
          </w:tcPr>
          <w:p>
            <w:pPr>
              <w:spacing w:after="0"/>
              <w:rPr>
                <w:sz w:val="13"/>
                <w:szCs w:val="13"/>
                <w:color w:val="auto"/>
              </w:rPr>
            </w:pPr>
          </w:p>
        </w:tc>
        <w:tc>
          <w:tcPr>
            <w:tcW w:w="1180" w:type="dxa"/>
            <w:vAlign w:val="bottom"/>
            <w:vMerge w:val="restart"/>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1,930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center"/>
              <w:ind w:left="9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97"/>
              <w:spacing w:after="0"/>
              <w:rPr>
                <w:sz w:val="20"/>
                <w:szCs w:val="20"/>
                <w:color w:val="auto"/>
              </w:rPr>
            </w:pPr>
            <w:r>
              <w:rPr>
                <w:rFonts w:ascii="Times New Roman" w:cs="Times New Roman" w:eastAsia="Times New Roman" w:hAnsi="Times New Roman"/>
                <w:sz w:val="17"/>
                <w:szCs w:val="17"/>
                <w:color w:val="auto"/>
                <w:w w:val="98"/>
              </w:rPr>
              <w:t>(35)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sales</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1,942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center"/>
              <w:ind w:left="897"/>
              <w:spacing w:after="0"/>
              <w:rPr>
                <w:sz w:val="20"/>
                <w:szCs w:val="20"/>
                <w:color w:val="auto"/>
              </w:rPr>
            </w:pPr>
            <w:r>
              <w:rPr>
                <w:rFonts w:ascii="Times New Roman" w:cs="Times New Roman" w:eastAsia="Times New Roman" w:hAnsi="Times New Roman"/>
                <w:sz w:val="17"/>
                <w:szCs w:val="17"/>
                <w:color w:val="auto"/>
                <w:w w:val="98"/>
              </w:rPr>
              <w:t>(35)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gridSpan w:val="3"/>
            <w:vMerge w:val="continue"/>
          </w:tcPr>
          <w:p>
            <w:pPr>
              <w:spacing w:after="0"/>
              <w:rPr>
                <w:sz w:val="16"/>
                <w:szCs w:val="16"/>
                <w:color w:val="auto"/>
              </w:rPr>
            </w:pPr>
          </w:p>
        </w:tc>
        <w:tc>
          <w:tcPr>
            <w:tcW w:w="1060" w:type="dxa"/>
            <w:vAlign w:val="bottom"/>
          </w:tcPr>
          <w:p>
            <w:pPr>
              <w:jc w:val="right"/>
              <w:ind w:right="8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390</w:t>
            </w:r>
          </w:p>
        </w:tc>
        <w:tc>
          <w:tcPr>
            <w:tcW w:w="100" w:type="dxa"/>
            <w:vAlign w:val="bottom"/>
          </w:tcPr>
          <w:p>
            <w:pPr>
              <w:spacing w:after="0"/>
              <w:rPr>
                <w:sz w:val="16"/>
                <w:szCs w:val="16"/>
                <w:color w:val="auto"/>
              </w:rPr>
            </w:pPr>
          </w:p>
        </w:tc>
        <w:tc>
          <w:tcPr>
            <w:tcW w:w="1120" w:type="dxa"/>
            <w:vAlign w:val="bottom"/>
          </w:tcPr>
          <w:p>
            <w:pPr>
              <w:jc w:val="right"/>
              <w:ind w:right="93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center"/>
              <w:ind w:left="897"/>
              <w:spacing w:after="0" w:line="191" w:lineRule="exact"/>
              <w:rPr>
                <w:sz w:val="20"/>
                <w:szCs w:val="20"/>
                <w:color w:val="auto"/>
              </w:rPr>
            </w:pPr>
            <w:r>
              <w:rPr>
                <w:rFonts w:ascii="Times New Roman" w:cs="Times New Roman" w:eastAsia="Times New Roman" w:hAnsi="Times New Roman"/>
                <w:sz w:val="17"/>
                <w:szCs w:val="17"/>
                <w:color w:val="auto"/>
                <w:w w:val="98"/>
              </w:rPr>
              <w:t>(36)</w:t>
            </w:r>
          </w:p>
        </w:tc>
        <w:tc>
          <w:tcPr>
            <w:tcW w:w="120" w:type="dxa"/>
            <w:vAlign w:val="bottom"/>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97"/>
              <w:spacing w:after="0"/>
              <w:rPr>
                <w:sz w:val="20"/>
                <w:szCs w:val="20"/>
                <w:color w:val="auto"/>
              </w:rPr>
            </w:pPr>
            <w:r>
              <w:rPr>
                <w:rFonts w:ascii="Times New Roman" w:cs="Times New Roman" w:eastAsia="Times New Roman" w:hAnsi="Times New Roman"/>
                <w:sz w:val="17"/>
                <w:szCs w:val="17"/>
                <w:color w:val="auto"/>
                <w:w w:val="98"/>
              </w:rPr>
              <w:t>(55)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center"/>
              <w:ind w:left="897"/>
              <w:spacing w:after="0"/>
              <w:rPr>
                <w:sz w:val="20"/>
                <w:szCs w:val="20"/>
                <w:color w:val="auto"/>
              </w:rPr>
            </w:pPr>
            <w:r>
              <w:rPr>
                <w:rFonts w:ascii="Times New Roman" w:cs="Times New Roman" w:eastAsia="Times New Roman" w:hAnsi="Times New Roman"/>
                <w:sz w:val="17"/>
                <w:szCs w:val="17"/>
                <w:color w:val="auto"/>
                <w:w w:val="98"/>
              </w:rPr>
              <w:t>(91)</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September 30, 2023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40" w:type="dxa"/>
            <w:vAlign w:val="bottom"/>
          </w:tcPr>
          <w:p>
            <w:pPr>
              <w:spacing w:after="0"/>
              <w:rPr>
                <w:sz w:val="13"/>
                <w:szCs w:val="13"/>
                <w:color w:val="auto"/>
              </w:rPr>
            </w:pPr>
          </w:p>
        </w:tc>
        <w:tc>
          <w:tcPr>
            <w:tcW w:w="1180" w:type="dxa"/>
            <w:vAlign w:val="bottom"/>
            <w:vMerge w:val="restart"/>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1,881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center"/>
              <w:ind w:left="9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97"/>
              <w:spacing w:after="0"/>
              <w:rPr>
                <w:sz w:val="20"/>
                <w:szCs w:val="20"/>
                <w:color w:val="auto"/>
              </w:rPr>
            </w:pPr>
            <w:r>
              <w:rPr>
                <w:rFonts w:ascii="Times New Roman" w:cs="Times New Roman" w:eastAsia="Times New Roman" w:hAnsi="Times New Roman"/>
                <w:sz w:val="17"/>
                <w:szCs w:val="17"/>
                <w:color w:val="auto"/>
                <w:w w:val="98"/>
              </w:rPr>
              <w:t>(27)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sales</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1,899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center"/>
              <w:ind w:left="897"/>
              <w:spacing w:after="0"/>
              <w:rPr>
                <w:sz w:val="20"/>
                <w:szCs w:val="20"/>
                <w:color w:val="auto"/>
              </w:rPr>
            </w:pPr>
            <w:r>
              <w:rPr>
                <w:rFonts w:ascii="Times New Roman" w:cs="Times New Roman" w:eastAsia="Times New Roman" w:hAnsi="Times New Roman"/>
                <w:sz w:val="17"/>
                <w:szCs w:val="17"/>
                <w:color w:val="auto"/>
                <w:w w:val="98"/>
              </w:rPr>
              <w:t>(27)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gridSpan w:val="3"/>
            <w:vMerge w:val="continue"/>
          </w:tcPr>
          <w:p>
            <w:pPr>
              <w:spacing w:after="0"/>
              <w:rPr>
                <w:sz w:val="16"/>
                <w:szCs w:val="16"/>
                <w:color w:val="auto"/>
              </w:rPr>
            </w:pPr>
          </w:p>
        </w:tc>
        <w:tc>
          <w:tcPr>
            <w:tcW w:w="1060" w:type="dxa"/>
            <w:vAlign w:val="bottom"/>
          </w:tcPr>
          <w:p>
            <w:pPr>
              <w:jc w:val="right"/>
              <w:ind w:right="8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325</w:t>
            </w:r>
          </w:p>
        </w:tc>
        <w:tc>
          <w:tcPr>
            <w:tcW w:w="100" w:type="dxa"/>
            <w:vAlign w:val="bottom"/>
          </w:tcPr>
          <w:p>
            <w:pPr>
              <w:spacing w:after="0"/>
              <w:rPr>
                <w:sz w:val="16"/>
                <w:szCs w:val="16"/>
                <w:color w:val="auto"/>
              </w:rPr>
            </w:pPr>
          </w:p>
        </w:tc>
        <w:tc>
          <w:tcPr>
            <w:tcW w:w="1120" w:type="dxa"/>
            <w:vAlign w:val="bottom"/>
          </w:tcPr>
          <w:p>
            <w:pPr>
              <w:jc w:val="right"/>
              <w:ind w:right="93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center"/>
              <w:ind w:left="897"/>
              <w:spacing w:after="0" w:line="191" w:lineRule="exact"/>
              <w:rPr>
                <w:sz w:val="20"/>
                <w:szCs w:val="20"/>
                <w:color w:val="auto"/>
              </w:rPr>
            </w:pPr>
            <w:r>
              <w:rPr>
                <w:rFonts w:ascii="Times New Roman" w:cs="Times New Roman" w:eastAsia="Times New Roman" w:hAnsi="Times New Roman"/>
                <w:sz w:val="17"/>
                <w:szCs w:val="17"/>
                <w:color w:val="auto"/>
                <w:w w:val="98"/>
              </w:rPr>
              <w:t>(25)</w:t>
            </w:r>
          </w:p>
        </w:tc>
        <w:tc>
          <w:tcPr>
            <w:tcW w:w="120" w:type="dxa"/>
            <w:vAlign w:val="bottom"/>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97"/>
              <w:spacing w:after="0"/>
              <w:rPr>
                <w:sz w:val="20"/>
                <w:szCs w:val="20"/>
                <w:color w:val="auto"/>
              </w:rPr>
            </w:pPr>
            <w:r>
              <w:rPr>
                <w:rFonts w:ascii="Times New Roman" w:cs="Times New Roman" w:eastAsia="Times New Roman" w:hAnsi="Times New Roman"/>
                <w:sz w:val="17"/>
                <w:szCs w:val="17"/>
                <w:color w:val="auto"/>
                <w:w w:val="98"/>
              </w:rPr>
              <w:t>(50)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center"/>
              <w:ind w:left="897"/>
              <w:spacing w:after="0"/>
              <w:rPr>
                <w:sz w:val="20"/>
                <w:szCs w:val="20"/>
                <w:color w:val="auto"/>
              </w:rPr>
            </w:pPr>
            <w:r>
              <w:rPr>
                <w:rFonts w:ascii="Times New Roman" w:cs="Times New Roman" w:eastAsia="Times New Roman" w:hAnsi="Times New Roman"/>
                <w:sz w:val="17"/>
                <w:szCs w:val="17"/>
                <w:color w:val="auto"/>
                <w:w w:val="98"/>
              </w:rPr>
              <w:t>(75)</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nine months ended September 30, 2024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40" w:type="dxa"/>
            <w:vAlign w:val="bottom"/>
          </w:tcPr>
          <w:p>
            <w:pPr>
              <w:spacing w:after="0"/>
              <w:rPr>
                <w:sz w:val="13"/>
                <w:szCs w:val="13"/>
                <w:color w:val="auto"/>
              </w:rPr>
            </w:pPr>
          </w:p>
        </w:tc>
        <w:tc>
          <w:tcPr>
            <w:tcW w:w="1180" w:type="dxa"/>
            <w:vAlign w:val="bottom"/>
            <w:vMerge w:val="restart"/>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5,674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sales</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5,711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gridSpan w:val="3"/>
            <w:vMerge w:val="continue"/>
          </w:tcPr>
          <w:p>
            <w:pPr>
              <w:spacing w:after="0"/>
              <w:rPr>
                <w:sz w:val="16"/>
                <w:szCs w:val="16"/>
                <w:color w:val="auto"/>
              </w:rPr>
            </w:pPr>
          </w:p>
        </w:tc>
        <w:tc>
          <w:tcPr>
            <w:tcW w:w="1060" w:type="dxa"/>
            <w:vAlign w:val="bottom"/>
          </w:tcPr>
          <w:p>
            <w:pPr>
              <w:jc w:val="right"/>
              <w:ind w:right="8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1,149</w:t>
            </w:r>
          </w:p>
        </w:tc>
        <w:tc>
          <w:tcPr>
            <w:tcW w:w="100" w:type="dxa"/>
            <w:vAlign w:val="bottom"/>
          </w:tcPr>
          <w:p>
            <w:pPr>
              <w:spacing w:after="0"/>
              <w:rPr>
                <w:sz w:val="16"/>
                <w:szCs w:val="16"/>
                <w:color w:val="auto"/>
              </w:rPr>
            </w:pPr>
          </w:p>
        </w:tc>
        <w:tc>
          <w:tcPr>
            <w:tcW w:w="300" w:type="dxa"/>
            <w:vAlign w:val="bottom"/>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1,275</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1,149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nine months ended September 30, 2023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40" w:type="dxa"/>
            <w:vAlign w:val="bottom"/>
          </w:tcPr>
          <w:p>
            <w:pPr>
              <w:spacing w:after="0"/>
              <w:rPr>
                <w:sz w:val="13"/>
                <w:szCs w:val="13"/>
                <w:color w:val="auto"/>
              </w:rPr>
            </w:pPr>
          </w:p>
        </w:tc>
        <w:tc>
          <w:tcPr>
            <w:tcW w:w="1180" w:type="dxa"/>
            <w:vAlign w:val="bottom"/>
            <w:vMerge w:val="restart"/>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5,134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7,151</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sales</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5,181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gridSpan w:val="3"/>
            <w:vMerge w:val="continue"/>
          </w:tcPr>
          <w:p>
            <w:pPr>
              <w:spacing w:after="0"/>
              <w:rPr>
                <w:sz w:val="16"/>
                <w:szCs w:val="16"/>
                <w:color w:val="auto"/>
              </w:rPr>
            </w:pPr>
          </w:p>
        </w:tc>
        <w:tc>
          <w:tcPr>
            <w:tcW w:w="1060" w:type="dxa"/>
            <w:vAlign w:val="bottom"/>
          </w:tcPr>
          <w:p>
            <w:pPr>
              <w:jc w:val="right"/>
              <w:ind w:right="8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820</w:t>
            </w:r>
          </w:p>
        </w:tc>
        <w:tc>
          <w:tcPr>
            <w:tcW w:w="100" w:type="dxa"/>
            <w:vAlign w:val="bottom"/>
          </w:tcPr>
          <w:p>
            <w:pPr>
              <w:spacing w:after="0"/>
              <w:rPr>
                <w:sz w:val="16"/>
                <w:szCs w:val="16"/>
                <w:color w:val="auto"/>
              </w:rPr>
            </w:pPr>
          </w:p>
        </w:tc>
        <w:tc>
          <w:tcPr>
            <w:tcW w:w="300" w:type="dxa"/>
            <w:vAlign w:val="bottom"/>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958</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7"/>
          <w:szCs w:val="17"/>
          <w:color w:val="auto"/>
        </w:rPr>
        <w:t>Sales to external customers by product line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5"/>
                <w:szCs w:val="15"/>
                <w:color w:val="auto"/>
              </w:rPr>
            </w:pPr>
          </w:p>
        </w:tc>
        <w:tc>
          <w:tcPr>
            <w:tcW w:w="2780" w:type="dxa"/>
            <w:vAlign w:val="bottom"/>
            <w:gridSpan w:val="4"/>
          </w:tcPr>
          <w:p>
            <w:pPr>
              <w:jc w:val="right"/>
              <w:ind w:right="815"/>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49"/>
        </w:trPr>
        <w:tc>
          <w:tcPr>
            <w:tcW w:w="48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9"/>
        </w:trPr>
        <w:tc>
          <w:tcPr>
            <w:tcW w:w="4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Services</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2,304</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w:t>
            </w:r>
          </w:p>
        </w:tc>
      </w:tr>
      <w:tr>
        <w:trPr>
          <w:trHeight w:val="219"/>
        </w:trPr>
        <w:tc>
          <w:tcPr>
            <w:tcW w:w="20" w:type="dxa"/>
            <w:vAlign w:val="bottom"/>
          </w:tcPr>
          <w:p>
            <w:pPr>
              <w:spacing w:after="0"/>
              <w:rPr>
                <w:sz w:val="19"/>
                <w:szCs w:val="19"/>
                <w:color w:val="auto"/>
              </w:rPr>
            </w:pPr>
          </w:p>
        </w:tc>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Components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Digital Intelligence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r>
      <w:tr>
        <w:trPr>
          <w:trHeight w:val="212"/>
        </w:trPr>
        <w:tc>
          <w:tcPr>
            <w:tcW w:w="20" w:type="dxa"/>
            <w:vAlign w:val="bottom"/>
          </w:tcPr>
          <w:p>
            <w:pPr>
              <w:spacing w:after="0"/>
              <w:rPr>
                <w:sz w:val="18"/>
                <w:szCs w:val="18"/>
                <w:color w:val="auto"/>
              </w:rPr>
            </w:pPr>
          </w:p>
        </w:tc>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9"/>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Original Equipment Manufacturer</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w:t>
            </w:r>
          </w:p>
        </w:tc>
      </w:tr>
      <w:tr>
        <w:trPr>
          <w:trHeight w:val="219"/>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Aftermarket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OTHER (EXPENSE) INCOME, NET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Other (expense) income, net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5"/>
          </w:tcPr>
          <w:p>
            <w:pPr>
              <w:ind w:left="5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5"/>
                <w:szCs w:val="15"/>
                <w:color w:val="auto"/>
              </w:rPr>
            </w:pPr>
          </w:p>
        </w:tc>
        <w:tc>
          <w:tcPr>
            <w:tcW w:w="2780" w:type="dxa"/>
            <w:vAlign w:val="bottom"/>
            <w:gridSpan w:val="4"/>
          </w:tcPr>
          <w:p>
            <w:pPr>
              <w:jc w:val="right"/>
              <w:ind w:right="816"/>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49"/>
        </w:trPr>
        <w:tc>
          <w:tcPr>
            <w:tcW w:w="4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2"/>
        </w:trPr>
        <w:tc>
          <w:tcPr>
            <w:tcW w:w="4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loss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9"/>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Equity income</w:t>
            </w:r>
          </w:p>
        </w:tc>
        <w:tc>
          <w:tcPr>
            <w:tcW w:w="360" w:type="dxa"/>
            <w:vAlign w:val="bottom"/>
          </w:tcPr>
          <w:p>
            <w:pPr>
              <w:spacing w:after="0"/>
              <w:rPr>
                <w:sz w:val="19"/>
                <w:szCs w:val="19"/>
                <w:color w:val="auto"/>
              </w:rPr>
            </w:pPr>
          </w:p>
        </w:tc>
        <w:tc>
          <w:tcPr>
            <w:tcW w:w="1160" w:type="dxa"/>
            <w:vAlign w:val="bottom"/>
          </w:tcPr>
          <w:p>
            <w:pPr>
              <w:jc w:val="center"/>
              <w:ind w:left="837"/>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4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pension assets/amortization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837"/>
              <w:spacing w:after="0"/>
              <w:rPr>
                <w:sz w:val="20"/>
                <w:szCs w:val="20"/>
                <w:color w:val="auto"/>
              </w:rPr>
            </w:pPr>
            <w:r>
              <w:rPr>
                <w:rFonts w:ascii="Times New Roman" w:cs="Times New Roman" w:eastAsia="Times New Roman" w:hAnsi="Times New Roman"/>
                <w:sz w:val="17"/>
                <w:szCs w:val="17"/>
                <w:color w:val="auto"/>
                <w:w w:val="93"/>
              </w:rPr>
              <w:t>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miscellaneous expense, net</w:t>
            </w:r>
          </w:p>
        </w:tc>
        <w:tc>
          <w:tcPr>
            <w:tcW w:w="360" w:type="dxa"/>
            <w:vAlign w:val="bottom"/>
          </w:tcPr>
          <w:p>
            <w:pPr>
              <w:spacing w:after="0"/>
              <w:rPr>
                <w:sz w:val="19"/>
                <w:szCs w:val="19"/>
                <w:color w:val="auto"/>
              </w:rPr>
            </w:pPr>
          </w:p>
        </w:tc>
        <w:tc>
          <w:tcPr>
            <w:tcW w:w="1160" w:type="dxa"/>
            <w:vAlign w:val="bottom"/>
          </w:tcPr>
          <w:p>
            <w:pPr>
              <w:jc w:val="center"/>
              <w:ind w:left="797"/>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8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Other (expense) income, net</w:t>
            </w: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17. RESTRUCTURING</w:t>
      </w:r>
    </w:p>
    <w:p>
      <w:pPr>
        <w:spacing w:after="0" w:line="105" w:lineRule="exact"/>
        <w:rPr>
          <w:sz w:val="20"/>
          <w:szCs w:val="20"/>
          <w:color w:val="auto"/>
        </w:rPr>
      </w:pPr>
    </w:p>
    <w:p>
      <w:pPr>
        <w:ind w:right="80" w:firstLine="464"/>
        <w:spacing w:after="0" w:line="245" w:lineRule="auto"/>
        <w:rPr>
          <w:sz w:val="20"/>
          <w:szCs w:val="20"/>
          <w:color w:val="auto"/>
        </w:rPr>
      </w:pPr>
      <w:r>
        <w:rPr>
          <w:rFonts w:ascii="Times New Roman" w:cs="Times New Roman" w:eastAsia="Times New Roman" w:hAnsi="Times New Roman"/>
          <w:sz w:val="17"/>
          <w:szCs w:val="17"/>
          <w:color w:val="auto"/>
        </w:rPr>
        <w:t>During the first quarter of 2022, Wabtec announced a three-year strategic initiative (“Integration 2.0”) to review and consolidate our operating footprint, reduce headcount, streamline the end-to-end manufacturing process, restructure the North America distribution channels, expand operations in low-cost countries, and simplify the business through systems enablement. Through this initiative, Management will also evaluate additional capital investments to further simplify and streamline the business. The Company anticipates that it will incur one-time restructuring charges related to Integration 2.0 of approximately $135 million to $165 million.</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restructuring charges related to the Integration 2.0 initiative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5"/>
          </w:tcPr>
          <w:p>
            <w:pPr>
              <w:ind w:left="5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5"/>
                <w:szCs w:val="15"/>
                <w:color w:val="auto"/>
              </w:rPr>
            </w:pPr>
          </w:p>
        </w:tc>
        <w:tc>
          <w:tcPr>
            <w:tcW w:w="2780" w:type="dxa"/>
            <w:vAlign w:val="bottom"/>
            <w:gridSpan w:val="4"/>
          </w:tcPr>
          <w:p>
            <w:pPr>
              <w:jc w:val="right"/>
              <w:ind w:right="815"/>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49"/>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2"/>
                <w:szCs w:val="12"/>
                <w:color w:val="auto"/>
              </w:rPr>
            </w:pPr>
          </w:p>
        </w:tc>
        <w:tc>
          <w:tcPr>
            <w:tcW w:w="116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20" w:type="dxa"/>
            <w:vAlign w:val="bottom"/>
          </w:tcPr>
          <w:p>
            <w:pPr>
              <w:spacing w:after="0"/>
              <w:rPr>
                <w:sz w:val="19"/>
                <w:szCs w:val="19"/>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 expense</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2"/>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Integration 2.0 restructuring charges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right="40" w:firstLine="464"/>
        <w:spacing w:after="0" w:line="248" w:lineRule="auto"/>
        <w:rPr>
          <w:sz w:val="20"/>
          <w:szCs w:val="20"/>
          <w:color w:val="auto"/>
        </w:rPr>
      </w:pPr>
      <w:r>
        <w:rPr>
          <w:rFonts w:ascii="Times New Roman" w:cs="Times New Roman" w:eastAsia="Times New Roman" w:hAnsi="Times New Roman"/>
          <w:sz w:val="17"/>
          <w:szCs w:val="17"/>
          <w:color w:val="auto"/>
        </w:rPr>
        <w:t>Total one-time restructuring charges related to Integration 2.0 to date are approximately $140 million, which includes amounts recorded beginning in the fourth quarter 2021, and are primarily for employee-related costs and asset write downs associated with site consolidations in Europe. Cash payments made during the three and nine months ended September 30, 2024 were approximately $5 million and $35 million, respectively. Cash payments made during the three and nine months ended September 30, 2023 were not material.</w:t>
      </w:r>
    </w:p>
    <w:p>
      <w:pPr>
        <w:spacing w:after="0" w:line="69" w:lineRule="exact"/>
        <w:rPr>
          <w:sz w:val="20"/>
          <w:szCs w:val="20"/>
          <w:color w:val="auto"/>
        </w:rPr>
      </w:pPr>
    </w:p>
    <w:p>
      <w:pPr>
        <w:ind w:right="160" w:firstLine="464"/>
        <w:spacing w:after="0" w:line="241" w:lineRule="auto"/>
        <w:rPr>
          <w:sz w:val="20"/>
          <w:szCs w:val="20"/>
          <w:color w:val="auto"/>
        </w:rPr>
      </w:pPr>
      <w:r>
        <w:rPr>
          <w:rFonts w:ascii="Times New Roman" w:cs="Times New Roman" w:eastAsia="Times New Roman" w:hAnsi="Times New Roman"/>
          <w:sz w:val="17"/>
          <w:szCs w:val="17"/>
          <w:color w:val="auto"/>
        </w:rPr>
        <w:t>In addition to Integration 2.0, Wabtec is focused on exiting various low margin product offerings through Portfolio Optimization to improve profitability while reducing manufacturing complexity. Wabtec expects to incur approximately $85 million in net exit charges related to Portfolio Optimization, which will be predominately non-cash asset write downs. Wabtec recorded charges of approximately $8 million and $13 million during the three and nine months ended September 30, 2024, respectively, primarily for asset write downs related to Portfolio Optimization. No charges related to Portfolio Optimization were recorded during the three and nine months ended September 30, 2023. Total one-time restructuring charges related to Portfolio Optimization to date are approximately $41 million.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7" w:name="page28"/>
    <w:bookmarkEnd w:id="27"/>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8" w:lineRule="exact"/>
        <w:rPr>
          <w:sz w:val="20"/>
          <w:szCs w:val="20"/>
          <w:color w:val="auto"/>
        </w:rPr>
      </w:pPr>
    </w:p>
    <w:p>
      <w:pPr>
        <w:ind w:right="80" w:firstLine="464"/>
        <w:spacing w:after="0" w:line="281" w:lineRule="auto"/>
        <w:rPr>
          <w:sz w:val="20"/>
          <w:szCs w:val="20"/>
          <w:color w:val="auto"/>
        </w:rPr>
      </w:pPr>
      <w:r>
        <w:rPr>
          <w:rFonts w:ascii="Times New Roman" w:cs="Times New Roman" w:eastAsia="Times New Roman" w:hAnsi="Times New Roman"/>
          <w:sz w:val="15"/>
          <w:szCs w:val="15"/>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2023, filed with the Securities and Exchange Commission on February 14,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nine months of 2024, approximately 52% of the Company’s Net sales came from customers outside the United States.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Update</w:t>
      </w:r>
    </w:p>
    <w:p>
      <w:pPr>
        <w:spacing w:after="0" w:line="20" w:lineRule="exact"/>
        <w:rPr>
          <w:sz w:val="20"/>
          <w:szCs w:val="20"/>
          <w:color w:val="auto"/>
        </w:rPr>
      </w:pPr>
    </w:p>
    <w:p>
      <w:pPr>
        <w:ind w:right="20" w:firstLine="464"/>
        <w:spacing w:after="0" w:line="239" w:lineRule="auto"/>
        <w:rPr>
          <w:sz w:val="20"/>
          <w:szCs w:val="20"/>
          <w:color w:val="auto"/>
        </w:rPr>
      </w:pPr>
      <w:r>
        <w:rPr>
          <w:rFonts w:ascii="Times New Roman" w:cs="Times New Roman" w:eastAsia="Times New Roman" w:hAnsi="Times New Roman"/>
          <w:sz w:val="17"/>
          <w:szCs w:val="17"/>
          <w:color w:val="auto"/>
        </w:rPr>
        <w:t>During the first nine months of 2024, Wabtec continued to execute on our value creation framework by signing several key agreements including: a multi-year Tier 4 locomotive order in North America for over $600 million, a multi-year locomotive order in Kazakhstan for over $400 million, and a multi-year order for new locomotives in Africa. Additionally, Wabtec won a long-term parts agreement with a Class I railroad for over $300 million, signed its first multi-year service contract with a customer in Brazil worth over $240 million, and secured a long-term parts agreement with a customer in Asia. Operationally, Wabtec began commercial operations for its Green Friction braking solution in Paris and launched the next generation of railcar movers with its Shuttlewagon Commander NXT. Additionally, as a result of Wabtec's strong revenue and profitable growth over the past few years, rating agencies have made the following changes to our credit ratings: both Fitch Ratings and S&amp;P Global Ratings upgraded Wabtec's credit rating from BBB- to BBB with a Stable outlook, and Moody's updated Wabtec's outlook to positive from stable.</w:t>
      </w:r>
    </w:p>
    <w:p>
      <w:pPr>
        <w:spacing w:after="0" w:line="88"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During the first quarter of 2022, Wabtec announced Integration 2.0, a three-year strategic initiative to target incremental run rate synergies estimated to be between $75 million and $90 million in 2025. The scope of the review includes consolidating our operating footprint, reducing headcount, streamlining the end-to-end manufacturing process, restructuring the North America distribution channels, expanding operations in low-cost countries and simplifying the business through systems enablement. Management will also consider additional capital investments to further simplify and streamline the business. The Company anticipates that it will incur one-time restructuring charges of approximately $135 million to $165 million related to this initiative, of which approximately</w:t>
      </w:r>
    </w:p>
    <w:p>
      <w:pPr>
        <w:spacing w:after="0" w:line="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$140 million has been incurred through September 30, 2024. Total estimated initiative charges could change based on the specific programs approved or changes to the scope of the review. During the three and nine months ended September 30, 2024, the Company incurred one-time restructuring charges for programs included in the initiative of approximately $10 million and $22 million, respectively, and $13 million and $30 million for the three and nine months ended September 30, 2023, respectively, primarily for employee-related costs and asset write downs associated with site consolidations in Europe. Programs approved to date are expected to result in approximately 15 facility closures and impact up to 1,100 employees.</w:t>
      </w:r>
    </w:p>
    <w:p>
      <w:pPr>
        <w:spacing w:after="0" w:line="75" w:lineRule="exact"/>
        <w:rPr>
          <w:sz w:val="20"/>
          <w:szCs w:val="20"/>
          <w:color w:val="auto"/>
        </w:rPr>
      </w:pPr>
    </w:p>
    <w:p>
      <w:pPr>
        <w:ind w:right="140" w:firstLine="464"/>
        <w:spacing w:after="0" w:line="261" w:lineRule="auto"/>
        <w:rPr>
          <w:sz w:val="20"/>
          <w:szCs w:val="20"/>
          <w:color w:val="auto"/>
        </w:rPr>
      </w:pPr>
      <w:r>
        <w:rPr>
          <w:rFonts w:ascii="Times New Roman" w:cs="Times New Roman" w:eastAsia="Times New Roman" w:hAnsi="Times New Roman"/>
          <w:sz w:val="17"/>
          <w:szCs w:val="17"/>
          <w:color w:val="auto"/>
        </w:rPr>
        <w:t>In addition to Integration 2.0, Wabtec is focused on exiting various low margin product offerings through Portfolio Optimization to improve profitability while reducing manufacturing complexity. Wabtec expects to incur approximately $85 million in net exit charges related to Portfolio Optimization, which will be predominately non-cash asset write downs. Wabtec recorded charges of approximately $8 million and $13 million during the three and nine months ended September 30, 2024, respectively, for asset write downs related to Portfolio Optimization. No charges related to Portfolio Optimization were recorded during the nine months ended September 30, 2023. Total one-time restructuring charges related to Portfolio Optimization to date are approximately $41 million.</w:t>
      </w:r>
    </w:p>
    <w:p>
      <w:pPr>
        <w:spacing w:after="0" w:line="72"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Future macroeconomic volatility, supply chain disruptions and labor availability could cause component and raw material shortages resulting in an adverse effect on the timing of the Company’s revenue and cash flows.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These actions include implementing price escalations and surcharges, driving</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28" w:name="page29"/>
    <w:bookmarkEnd w:id="28"/>
    <w:p>
      <w:pPr>
        <w:ind w:right="260"/>
        <w:spacing w:after="0" w:line="287" w:lineRule="auto"/>
        <w:rPr>
          <w:sz w:val="20"/>
          <w:szCs w:val="20"/>
          <w:color w:val="auto"/>
        </w:rPr>
      </w:pPr>
      <w:r>
        <w:rPr>
          <w:rFonts w:ascii="Times New Roman" w:cs="Times New Roman" w:eastAsia="Times New Roman" w:hAnsi="Times New Roman"/>
          <w:sz w:val="17"/>
          <w:szCs w:val="17"/>
          <w:color w:val="auto"/>
        </w:rPr>
        <w:t>operational efficiencies through various cost mitigation efforts and discretionary spend management, strategically sourcing materials, reviewing and modifying distribution logistics, and accelerating integration synergies through Integration 2.0.</w:t>
      </w:r>
    </w:p>
    <w:p>
      <w:pPr>
        <w:spacing w:after="0" w:line="48"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Company Management determined that certain parts of the business would be better aligned with Management oversight in different product lines. These changes were immaterial to the individual product lines and segments affected, and historical amounts have been reclassified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 QUARTER 2024 COMPARED TO THIRD QUARTER 2023</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(1,758)</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in the three months ended September 30, 2024 from the three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Third Quarter 2023 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Organic</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37"/>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Third Quarter 2024 Net sales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Net sales for the three months ended September 30, 2024 increased by $113 million, or 4.4%, to $2.66 billion compared to the same period in 2023. Organic sales increased $114 million which was attributable to both the Freight and Transit Segments. Freight Services sales increased from higher deliveries of locomotive modernizations and engine overhauls. Digital Intelligence sales increased due to higher international sales, including Positive Train Control ("PTC"), on-board locomotive solutions, and digital mining products. Freight Equipment sales decreased from lower locomotive deliveries, partially offset by increased mining sales. Transit sales increased from higher demand for Original Equipment Manufacturing and Aftermarket products driven by increased investments in sustainable infrastructure.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20" w:lineRule="exact"/>
        <w:rPr>
          <w:sz w:val="20"/>
          <w:szCs w:val="20"/>
          <w:color w:val="auto"/>
        </w:rPr>
      </w:pPr>
    </w:p>
    <w:p>
      <w:pPr>
        <w:ind w:right="120" w:firstLine="464"/>
        <w:spacing w:after="0"/>
        <w:rPr>
          <w:sz w:val="20"/>
          <w:szCs w:val="20"/>
          <w:color w:val="auto"/>
        </w:rPr>
      </w:pPr>
      <w:r>
        <w:rPr>
          <w:rFonts w:ascii="Times New Roman" w:cs="Times New Roman" w:eastAsia="Times New Roman" w:hAnsi="Times New Roman"/>
          <w:sz w:val="17"/>
          <w:szCs w:val="17"/>
          <w:color w:val="auto"/>
        </w:rPr>
        <w:t>Cost of sales for the three months ended September 30, 2024 increased by $25 million, or 1.4%, to $1.78 billion compared to the same period in 2023. The increase is primarily due to the increase in Net sales. Cost of sales as a percentage of Net sales was 67.0% and 69.0% for the three months ended September 30, 2024 and 2023, respectively. The improvement in gross margin is attributable to favorable mix within the Freight segment, strong productivity and the impacts of Integration 2.0. Costs of sales for the three months ended September 30, 2024 and 2023 included $7 million and $13 million, respectively, of restructuring costs, primarily for headcount actions and footprint rationalization related to Integration 2.0 in both years and Portfolio Optimization in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7" w:lineRule="exact"/>
        <w:rPr>
          <w:sz w:val="20"/>
          <w:szCs w:val="20"/>
          <w:color w:val="auto"/>
        </w:rPr>
      </w:pPr>
    </w:p>
    <w:p>
      <w:pPr>
        <w:ind w:firstLine="464"/>
        <w:spacing w:after="0" w:line="239" w:lineRule="auto"/>
        <w:rPr>
          <w:sz w:val="20"/>
          <w:szCs w:val="20"/>
          <w:color w:val="auto"/>
        </w:rPr>
      </w:pPr>
      <w:r>
        <w:rPr>
          <w:rFonts w:ascii="Times New Roman" w:cs="Times New Roman" w:eastAsia="Times New Roman" w:hAnsi="Times New Roman"/>
          <w:sz w:val="17"/>
          <w:szCs w:val="17"/>
          <w:color w:val="auto"/>
        </w:rPr>
        <w:t>Total operating expenses increased $25 million, or 5.9%, for the three months ended September 30, 2024 compared to the same period in 2023, primarily due to the increase in Net sales and higher restructuring costs. Operating expenses as a percentage of sales was 16.8% and 16.5% for the three months ended September 30, 2024 and 2023, respectively. Selling, general and administrative expenses ("SG&amp;A") increased $23 million for the three months ended September 30, 2024 compared to the same period in 2023. The increase is primarily from costs incurred to support the higher sales volume and higher employee compensation and benefit costs, partially offset by the impacts of Integration 2.0. Restructuring costs included in SG&amp;A were $5 million for the three months ended September 30, 2024, primarily for headcount actions and footprint rationalization programs related to Integration 2.0 and Portfolio Optimization. There were no restructuring amounts recorded in SG&amp;A for the three months ended September 30, 2023.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8" w:lineRule="exact"/>
        <w:rPr>
          <w:sz w:val="20"/>
          <w:szCs w:val="20"/>
          <w:color w:val="auto"/>
        </w:rPr>
      </w:pPr>
    </w:p>
    <w:p>
      <w:pPr>
        <w:ind w:right="200" w:firstLine="464"/>
        <w:spacing w:after="0" w:line="287" w:lineRule="auto"/>
        <w:rPr>
          <w:sz w:val="20"/>
          <w:szCs w:val="20"/>
          <w:color w:val="auto"/>
        </w:rPr>
      </w:pPr>
      <w:r>
        <w:rPr>
          <w:rFonts w:ascii="Times New Roman" w:cs="Times New Roman" w:eastAsia="Times New Roman" w:hAnsi="Times New Roman"/>
          <w:sz w:val="17"/>
          <w:szCs w:val="17"/>
          <w:color w:val="auto"/>
        </w:rPr>
        <w:t>Interest expense, net, decreased $8 million to $52 million for the three months ended September 30, 2024 compared to the same period in 2023, primarily due to lower average debt balances in the current period.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(expense) income, net</w:t>
      </w:r>
    </w:p>
    <w:p>
      <w:pPr>
        <w:spacing w:after="0" w:line="118"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Other (expense) income, net, decreased $13 million from $10 million to $(3) million for the three months ended September 30, 2024 compared to the same period in 2023, primarily due to higher foreign exchange losses and lower equity income.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280" w:firstLine="464"/>
        <w:spacing w:after="0" w:line="287" w:lineRule="auto"/>
        <w:rPr>
          <w:sz w:val="20"/>
          <w:szCs w:val="20"/>
          <w:color w:val="auto"/>
        </w:rPr>
      </w:pPr>
      <w:r>
        <w:rPr>
          <w:rFonts w:ascii="Times New Roman" w:cs="Times New Roman" w:eastAsia="Times New Roman" w:hAnsi="Times New Roman"/>
          <w:sz w:val="17"/>
          <w:szCs w:val="17"/>
          <w:color w:val="auto"/>
        </w:rPr>
        <w:t>The effective income tax rate was 24.2% and 24.5% for the three months ended September 30, 2024 and 2023, respectively. The year over year decrease was primarily driven by a change in the jurisdictional mix of earnings for the three months ended September 30, 2024 and audit closures.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Freight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Freight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8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1,440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1,382</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499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2"/>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1,881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2"/>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(1,257)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(1,272)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67.6 %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325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20.2 %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17.3 %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11220" w:type="dxa"/>
            <w:vAlign w:val="bottom"/>
            <w:gridSpan w:val="14"/>
          </w:tcPr>
          <w:p>
            <w:pPr>
              <w:jc w:val="right"/>
              <w:ind w:right="19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Freight Segment in the third quarter of 2024 from the third quarter of</w:t>
            </w: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7"/>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Third Quarter 2023 Net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Services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Components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Digital Intelligence</w:t>
            </w:r>
          </w:p>
        </w:tc>
        <w:tc>
          <w:tcPr>
            <w:tcW w:w="3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7"/>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Third Quarter 2024 Net sales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Freight Segment organic sales increased by $58 million driven primarily by Services sales from higher deliveries of locomotive modernizations and engine overhauls and Digital Intelligence due to higher international sales, including PTC, on-board locomotive solutions, and digital mining products. Equipment sales decreased from lower locomotive deliveries, partially offset by increased mining sales.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Freight Segment Cost of sales decreased $15 million, and Cost of sales as a percentage of Net sales decreased 2.6 percentage points. The improvement in gross margin is attributable to favorable mix within the Freight Segment product lines and strong productivity. Cost of sales for the three months ended September 30, 2023 was also impacted by manufacturing inefficiencies related to labor negotiations at our Erie facility. Cost of sales for each of the three months ended September 30, 2024 and 2023 included $2 million of restructuring costs, respectively, primarily related to Integration 2.0 in both years and Portfolio Optimization in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Freight Segment operating expenses decreased by $1 million primarily driven by lower professional services spend and a reduction in research and development costs, partially offset by higher SG&amp;A expenses resulting from higher costs to support increased sales volume, higher employee compensation and benefit costs and incremental expense from acquisitions. Freight Segment operating expenses for the three months ended September 30, 2023 were also impacted by labor negotiations at our Erie facility. Freight SG&amp;A expenses for the three months ended September 30, 2024 included $2 million of restructuring costs, primarily related to Portfolio Optimization. The amounts recorded in the three months ended September 30, 2023 were not significant.</w:t>
      </w: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318"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Transit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Transit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5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8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9.6 %</w:t>
            </w:r>
          </w:p>
        </w:tc>
      </w:tr>
      <w:tr>
        <w:trPr>
          <w:trHeight w:val="219"/>
        </w:trPr>
        <w:tc>
          <w:tcPr>
            <w:tcW w:w="4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(486)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8.2 %</w:t>
            </w: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71.8 %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72.8 %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10.8 %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10.3 %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11220" w:type="dxa"/>
            <w:vAlign w:val="bottom"/>
            <w:gridSpan w:val="14"/>
          </w:tcPr>
          <w:p>
            <w:pPr>
              <w:jc w:val="right"/>
              <w:ind w:right="19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Transit Segment in the third quarter of 2024 from the third quarter of</w:t>
            </w: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4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7"/>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Third Quarter 2023 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r>
      <w:tr>
        <w:trPr>
          <w:trHeight w:val="219"/>
        </w:trPr>
        <w:tc>
          <w:tcPr>
            <w:tcW w:w="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Aftermarket</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Original Equipment Manufacturing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2"/>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Third Quarter 2024 Net sales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Transit Segment organic sales increased by $56 million driven by strong Original Equipment Manufacturing and Aftermarket sales primarily as a result of increased demand for products and services and increased investments in sustainable infrastructure. Changes in foreign exchange rates also increased sales by $8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Transit Segment Cost of sales increased by $40 million, primarily due to higher sales volume. Costs of sales as a percentage of sales decreased by 1.0 percentage points. The increase in gross margin was attributable to benefits from structured cost actions taken through Integration 2.0 and prior years' restructuring and integration projects, partially offset by unfavorable mix within the Transit Segment. Transit Cost of sales for the three months ended September 30, 2024 and 2023 included $5 million and $11 million of restructuring costs, respectively, primarily for footprint rationalization and headcount actions in Europe related to Integration 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Transit Segment operating expenses increased by $15 million as compared to the prior year. Higher SG&amp;A expenses to support higher sales volume and higher employee compensation and benefit costs were partially offset by benefits from structured cost actions taken through Integration 2.0 and prior years' restructuring and integration projects. Transit SG&amp;A expenses for the three months ended September 30, 2024 included $3 million of restructuring costs, primarily for footprint rationalization and headcount actions in Europe related to Integration 2.0. The amounts recorded in the three months ended September 30, 2023 were not significant.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FIRST NINE MONTHS OF 2024 COMPARED TO FIRST NINE MONTHS OF 2023</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0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6,323</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7,151</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(5,235)</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(4,971)</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in the nine months ended September 30, 2024 from the nine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Nine Months of 2023 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7,151</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Organic</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w:t>
            </w:r>
          </w:p>
        </w:tc>
      </w:tr>
      <w:tr>
        <w:trPr>
          <w:trHeight w:val="237"/>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Nine Months of 2024 Net sales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color w:val="auto"/>
        </w:rPr>
        <w:t>Net sales for the nine months ended September 30, 2024 increased by $653 million, or 9.1%, to $7.80 billion compared to the same period in 2023. Organic sales increased $597 million which was attributable to both the Freight and Transit Segments. Freight Equipment sales increased from higher North American and international locomotive sales and increased mining sales. Freight Services sales increased from higher deliveries of locomotive modernizations and engine overhauls and higher parts sales. Transit sales increased from higher demand for Original Equipment Manufacturing and Aftermarket products driven by increased investments in sustainable infrastructure. Sales from acquisitions contributed $72 million in the Freight Segment and unfavorable changes in foreign exchange rates decreased sales by $16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20" w:lineRule="exact"/>
        <w:rPr>
          <w:sz w:val="20"/>
          <w:szCs w:val="20"/>
          <w:color w:val="auto"/>
        </w:rPr>
      </w:pPr>
    </w:p>
    <w:p>
      <w:pPr>
        <w:ind w:right="80" w:firstLine="464"/>
        <w:spacing w:after="0" w:line="239" w:lineRule="auto"/>
        <w:rPr>
          <w:sz w:val="20"/>
          <w:szCs w:val="20"/>
          <w:color w:val="auto"/>
        </w:rPr>
      </w:pPr>
      <w:r>
        <w:rPr>
          <w:rFonts w:ascii="Times New Roman" w:cs="Times New Roman" w:eastAsia="Times New Roman" w:hAnsi="Times New Roman"/>
          <w:sz w:val="17"/>
          <w:szCs w:val="17"/>
          <w:color w:val="auto"/>
        </w:rPr>
        <w:t>Cost of sales for the nine months ended September 30, 2024 increased by $264 million, or 5.3%, to $5.24 billion compared to the same period in 2023. The increase is primarily due to the increase in Net sales. Cost of sales as a percentage of Net sales was 67.1% and 69.5% for the nine months ended September 30, 2024 and 2023, respectively. The improvement in gross margin is attributable to improved pricing, favorable mix between the Freight and Transit segments, improved productivity and favorable fixed cost absorption. Cost of sales for the nine months ended September 30, 2024 and 2023 included $19 million and $25 million, respectively, of restructuring costs, primarily for headcount actions and footprint rationalization related to Integration 2.0 in both years and Portfolio Optimization in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0" w:lineRule="exact"/>
        <w:rPr>
          <w:sz w:val="20"/>
          <w:szCs w:val="20"/>
          <w:color w:val="auto"/>
        </w:rPr>
      </w:pPr>
    </w:p>
    <w:p>
      <w:pPr>
        <w:ind w:firstLine="464"/>
        <w:spacing w:after="0" w:line="239" w:lineRule="auto"/>
        <w:rPr>
          <w:sz w:val="20"/>
          <w:szCs w:val="20"/>
          <w:color w:val="auto"/>
        </w:rPr>
      </w:pPr>
      <w:r>
        <w:rPr>
          <w:rFonts w:ascii="Times New Roman" w:cs="Times New Roman" w:eastAsia="Times New Roman" w:hAnsi="Times New Roman"/>
          <w:sz w:val="17"/>
          <w:szCs w:val="17"/>
          <w:color w:val="auto"/>
        </w:rPr>
        <w:t>Total operating expenses increased $72 million, or 5.9%, for the nine months ended September 30, 2024 compared to the same period in 2023, primarily due to the increase in Net sales. Operating expenses as a percentage of sales was 16.6% and 17.1% for the nine months ended September 30, 2024 and 2023, respectively. SG&amp;A expenses increased $72 million for the nine months ended September 30, 2024 compared to the same period in 2023. The increase is primarily from costs incurred to support the higher sales volume and higher employee compensation and benefit costs, partially offset by the impacts of Integration 2.0. Restructuring costs included in SG&amp;A were $11 million and $7 million for the nine months ended September 30, 2024 and 2023, respectively, primarily for headcount actions and footprint rationalization programs related to Integration 2.0 in both years and Portfolio Optimization in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8" w:lineRule="exact"/>
        <w:rPr>
          <w:sz w:val="20"/>
          <w:szCs w:val="20"/>
          <w:color w:val="auto"/>
        </w:rPr>
      </w:pPr>
    </w:p>
    <w:p>
      <w:pPr>
        <w:ind w:right="80" w:firstLine="464"/>
        <w:spacing w:after="0" w:line="287" w:lineRule="auto"/>
        <w:rPr>
          <w:sz w:val="20"/>
          <w:szCs w:val="20"/>
          <w:color w:val="auto"/>
        </w:rPr>
      </w:pPr>
      <w:r>
        <w:rPr>
          <w:rFonts w:ascii="Times New Roman" w:cs="Times New Roman" w:eastAsia="Times New Roman" w:hAnsi="Times New Roman"/>
          <w:sz w:val="17"/>
          <w:szCs w:val="17"/>
          <w:color w:val="auto"/>
        </w:rPr>
        <w:t>Interest expense, net, decreased $15 million to $148 million for the nine months ended September 30, 2024 compared to the same period in 2023, primarily due to lower average debt balances in the current period, partially offset by higher effective interest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(expense) income, net</w:t>
      </w:r>
    </w:p>
    <w:p>
      <w:pPr>
        <w:spacing w:after="0" w:line="118" w:lineRule="exact"/>
        <w:rPr>
          <w:sz w:val="20"/>
          <w:szCs w:val="20"/>
          <w:color w:val="auto"/>
        </w:rPr>
      </w:pPr>
    </w:p>
    <w:p>
      <w:pPr>
        <w:ind w:right="160" w:firstLine="464"/>
        <w:spacing w:after="0" w:line="287" w:lineRule="auto"/>
        <w:rPr>
          <w:sz w:val="20"/>
          <w:szCs w:val="20"/>
          <w:color w:val="auto"/>
        </w:rPr>
      </w:pPr>
      <w:r>
        <w:rPr>
          <w:rFonts w:ascii="Times New Roman" w:cs="Times New Roman" w:eastAsia="Times New Roman" w:hAnsi="Times New Roman"/>
          <w:sz w:val="17"/>
          <w:szCs w:val="17"/>
          <w:color w:val="auto"/>
        </w:rPr>
        <w:t>Other (expense) income, net, decreased $18 million from $17 million to $(1) million for the nine months ended September 30, 2024 compared to the same period in 2023, primarily due to lower equity income.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20" w:firstLine="464"/>
        <w:spacing w:after="0" w:line="270" w:lineRule="auto"/>
        <w:rPr>
          <w:sz w:val="20"/>
          <w:szCs w:val="20"/>
          <w:color w:val="auto"/>
        </w:rPr>
      </w:pPr>
      <w:r>
        <w:rPr>
          <w:rFonts w:ascii="Times New Roman" w:cs="Times New Roman" w:eastAsia="Times New Roman" w:hAnsi="Times New Roman"/>
          <w:sz w:val="17"/>
          <w:szCs w:val="17"/>
          <w:color w:val="auto"/>
        </w:rPr>
        <w:t>The effective income tax rate was 24.1% and 25.1% for the nine months ended September 30, 2024 and 2023, respectively. The year over year decrease was primarily driven by higher discrete equity compensation tax deductions for the nine months ended September 30, 2024, audit closures, and a change in the jurisdictional mix of earnings.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Freight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Freight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4,200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3,624</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1,474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1,510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5,674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5,134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10.5 %</w:t>
            </w: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(2,889)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(2,678)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2"/>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(3,707)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(3,509)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65.3 %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68.3 %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(3.0)</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1,625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820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20.2 %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16.0 %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38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Freight Segment in the first nine months of 2024 from the first nine months of 2023:</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Nine Months of 2023 Net sales</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5,134</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Services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Components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Digital Intelligence</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7"/>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Nine Months of 2024 Net sales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Freight Segment organic sales increased by $486 million driven primarily by Services sales from higher deliveries of locomotive modernizations and engine overhauls and higher parts sales, and Equipment sales from higher North American and international locomotive sales and increased mining sales. Additionally, Freight Segment sales also benefited from acquisitions by $72 million, primarily from our strategic acquisition of L&amp;M Radiator, Inc.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Freight Segment Cost of sales increased $198 million from higher sales volume, and Cost of sales as a percentage of Net sales decreased 3.0 percentage points. The improvement in gross margin is attributable to improved pricing, favorable mix within the Freight Segment product lines and improved productivity. Cost of sales for the nine months ended September 30, 2023 was also impacted by manufacturing inefficiencies related to labor negotiations at our Erie facility and costs related to next generation product development in Digital Intelligence. Cost of sales for the nine months ended September 30, 2024 and 2023 included $10 million and $8 million, respectively, of restructuring costs, primarily related to Integration 2.0 in both years and Portfolio Optimization in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Freight Segment operating expenses increased by $13 million primarily driven by higher SG&amp;A expenses resulting from higher costs to support increased sales volume, higher employee compensation and benefit costs and incremental expense from acquisitions. Freight SG&amp;A expenses for the nine months ended September 30, 2024 included $2 million of restructuring costs, primarily related to Portfolio Optimization. The amounts recorded in the nine months ended September 30, 2024 were not significant.</w:t>
      </w:r>
    </w:p>
    <w:p>
      <w:pPr>
        <w:spacing w:after="0" w:line="200" w:lineRule="exact"/>
        <w:rPr>
          <w:sz w:val="20"/>
          <w:szCs w:val="20"/>
          <w:color w:val="auto"/>
        </w:rPr>
      </w:pPr>
    </w:p>
    <w:p>
      <w:pPr>
        <w:spacing w:after="0" w:line="3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983" w:right="5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Transit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Transit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6"/>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19"/>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(1,528)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(1,462)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71.8 %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72.5 %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(0.7)</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11.0 %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10.3 %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0.7</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0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Transit Segment in the first nine months of 2024 from the first nine months of 2023:</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Nine Months of 2023 Net sales</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Aftermarket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Original Equipment Manufacturing</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2"/>
        </w:trPr>
        <w:tc>
          <w:tcPr>
            <w:tcW w:w="97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First Nine Months of 2024 Net sales</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Transit Segment organic sales increased by $111 million driven by strong Original Equipment Manufacturing and Aftermarket sales primarily as a result of increased demand for products and services and increased investments in sustainable infrastructure.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Transit Segment Cost of sales increased by $66 million primarily from higher sales volume, and Costs of sales as a percentage of sales decreased by 0.7 percentage points. The increase in gross margin is primarily attributable to favorable mix within the Transit Segment and the benefits from structured cost actions taken through Integration 2.0 and prior years' restructuring and integration projects. Transit Cost of sales for the nine months ended September 30, 2024 and 2023 included $9 million and $17 million of restructuring costs, respectively, primarily for footprint rationalization and headcount actions in Europe related to Integration 2.0.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Transit Segment operating expenses increased by $20 million as compared to the prior year. Higher SG&amp;A expenses to support higher sales volume and higher employee compensation and benefit costs were partially offset by benefits from structured cost actions taken through Integration 2.0 and prior years' restructuring and integration projects. Transit SG&amp;A expenses for the nine months ended September 30, 2024 and 2023 included $9 million and $6 million of restructuring costs, respectively, primarily for footprint rationalization and headcount actions in Europe related to Integration 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Liquidity is provided by operating cash flows and borrowings under the 2022 Credit Agreement and the 2024 Credit Agreement, each with a consortium of commercial banks, and proceeds from the Company’s Senior Notes.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4"/>
          </w:tcPr>
          <w:p>
            <w:pPr>
              <w:jc w:val="right"/>
              <w:ind w:right="816"/>
              <w:spacing w:after="0" w:line="162" w:lineRule="exact"/>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8"/>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(used for):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center"/>
              <w:ind w:left="536"/>
              <w:spacing w:after="0"/>
              <w:rPr>
                <w:sz w:val="20"/>
                <w:szCs w:val="20"/>
                <w:color w:val="auto"/>
              </w:rPr>
            </w:pPr>
            <w:r>
              <w:rPr>
                <w:rFonts w:ascii="Times New Roman" w:cs="Times New Roman" w:eastAsia="Times New Roman" w:hAnsi="Times New Roman"/>
                <w:sz w:val="17"/>
                <w:szCs w:val="17"/>
                <w:color w:val="auto"/>
              </w:rPr>
              <w:t>515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Investing activities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center"/>
              <w:ind w:left="496"/>
              <w:spacing w:after="0"/>
              <w:rPr>
                <w:sz w:val="20"/>
                <w:szCs w:val="20"/>
                <w:color w:val="auto"/>
              </w:rPr>
            </w:pPr>
            <w:r>
              <w:rPr>
                <w:rFonts w:ascii="Times New Roman" w:cs="Times New Roman" w:eastAsia="Times New Roman" w:hAnsi="Times New Roman"/>
                <w:sz w:val="17"/>
                <w:szCs w:val="17"/>
                <w:color w:val="auto"/>
              </w:rPr>
              <w:t>(336)</w:t>
            </w:r>
          </w:p>
        </w:tc>
      </w:tr>
      <w:tr>
        <w:trPr>
          <w:trHeight w:val="223"/>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Financing activities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center"/>
              <w:ind w:left="496"/>
              <w:spacing w:after="0"/>
              <w:rPr>
                <w:sz w:val="20"/>
                <w:szCs w:val="20"/>
                <w:color w:val="auto"/>
              </w:rPr>
            </w:pPr>
            <w:r>
              <w:rPr>
                <w:rFonts w:ascii="Times New Roman" w:cs="Times New Roman" w:eastAsia="Times New Roman" w:hAnsi="Times New Roman"/>
                <w:sz w:val="17"/>
                <w:szCs w:val="17"/>
                <w:color w:val="auto"/>
              </w:rPr>
              <w:t>(323)</w:t>
            </w:r>
          </w:p>
        </w:tc>
      </w:tr>
    </w:tbl>
    <w:p>
      <w:pPr>
        <w:spacing w:after="0" w:line="219" w:lineRule="exact"/>
        <w:rPr>
          <w:sz w:val="20"/>
          <w:szCs w:val="20"/>
          <w:color w:val="auto"/>
        </w:rPr>
      </w:pPr>
    </w:p>
    <w:p>
      <w:pPr>
        <w:ind w:right="30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activities </w:t>
      </w:r>
      <w:r>
        <w:rPr>
          <w:rFonts w:ascii="Times New Roman" w:cs="Times New Roman" w:eastAsia="Times New Roman" w:hAnsi="Times New Roman"/>
          <w:sz w:val="17"/>
          <w:szCs w:val="17"/>
          <w:color w:val="auto"/>
        </w:rPr>
        <w:t>In the first nine months of 2024, cash provided by operating activities was $1,111 million compared to $515 million in the first nine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of 2023. Significant changes to the sources and (uses) of cash for the nine month periods include the following:</w:t>
      </w:r>
    </w:p>
    <w:p>
      <w:pPr>
        <w:spacing w:after="0" w:line="94" w:lineRule="exact"/>
        <w:rPr>
          <w:sz w:val="20"/>
          <w:szCs w:val="20"/>
          <w:color w:val="auto"/>
        </w:rPr>
      </w:pPr>
    </w:p>
    <w:p>
      <w:pPr>
        <w:ind w:left="620" w:hanging="15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$246 million from increased Net income;</w:t>
      </w:r>
    </w:p>
    <w:p>
      <w:pPr>
        <w:spacing w:after="0" w:line="165"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$137 million from changes in Accounts payable due to timing of payments;</w:t>
      </w:r>
    </w:p>
    <w:p>
      <w:pPr>
        <w:spacing w:after="0" w:line="165" w:lineRule="exact"/>
        <w:rPr>
          <w:rFonts w:ascii="Times New Roman" w:cs="Times New Roman" w:eastAsia="Times New Roman" w:hAnsi="Times New Roman"/>
          <w:sz w:val="17"/>
          <w:szCs w:val="17"/>
          <w:color w:val="auto"/>
        </w:rPr>
      </w:pPr>
    </w:p>
    <w:p>
      <w:pPr>
        <w:ind w:left="320" w:right="20" w:firstLine="147"/>
        <w:spacing w:after="0" w:line="287" w:lineRule="auto"/>
        <w:tabs>
          <w:tab w:leader="none" w:pos="62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$122 million from favorable changes in Accounts receivables driven by $202 million of higher collections on receivables, partially offset by $(80) million of higher remittance for the Revolving Receivables Program; and,</w:t>
      </w:r>
    </w:p>
    <w:p>
      <w:pPr>
        <w:spacing w:after="0" w:line="99" w:lineRule="exact"/>
        <w:rPr>
          <w:rFonts w:ascii="Times New Roman" w:cs="Times New Roman" w:eastAsia="Times New Roman" w:hAnsi="Times New Roman"/>
          <w:sz w:val="17"/>
          <w:szCs w:val="17"/>
          <w:color w:val="auto"/>
        </w:rPr>
      </w:pPr>
    </w:p>
    <w:p>
      <w:pPr>
        <w:ind w:left="320" w:right="20" w:firstLine="147"/>
        <w:spacing w:after="0" w:line="287" w:lineRule="auto"/>
        <w:tabs>
          <w:tab w:leader="none" w:pos="62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 million from changes in Inventory primarily from the inventory build during the first nine months of 2023 due to a strike at the manufacturing facility in Erie, Pennsylvania, as well as supply chain disruptions.</w:t>
      </w:r>
    </w:p>
    <w:p>
      <w:pPr>
        <w:spacing w:after="0" w:line="42" w:lineRule="exact"/>
        <w:rPr>
          <w:sz w:val="20"/>
          <w:szCs w:val="20"/>
          <w:color w:val="auto"/>
        </w:rPr>
      </w:pPr>
    </w:p>
    <w:p>
      <w:pPr>
        <w:ind w:right="20"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In the first nine months of 2024 and 2023, cash used for investing activities was $(106) million and $(336) million, respectively. During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first nine months of 2024, Wabtec used $(123) million for additions to property, plant and equipment for investments in our facilities and manufacturing processes, received $17 million of proceeds from dispositions of businesses, received $13 million of proceeds from disposals of property, plant and equipment, and used $(13) million for acquisitions. During the first nine months of 2023, Wabtec acquired L&amp;M Radiator Inc., a leading manufacturer of heavy-duty equipment radiators and heat exchangers, for net cash of approximately $(229) million and used $(109) million for additions to property, plant, and equipment.</w:t>
      </w:r>
    </w:p>
    <w:p>
      <w:pPr>
        <w:spacing w:after="0" w:line="63"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activities </w:t>
      </w:r>
      <w:r>
        <w:rPr>
          <w:rFonts w:ascii="Times New Roman" w:cs="Times New Roman" w:eastAsia="Times New Roman" w:hAnsi="Times New Roman"/>
          <w:sz w:val="17"/>
          <w:szCs w:val="17"/>
          <w:color w:val="auto"/>
        </w:rPr>
        <w:t>In the first nine months of 2024, cash used for financing activities was $(1,209) million which included $(62) million from net changes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debt, $(974) million in stock repurchases, $(106) million of dividend payments, $(42) million of contingent consideration payments related to the GE Transportation acquisition, $(24) million of payments for income tax withholding on share-based compensation, and $(6) million for distributions to noncontrolling interest. In the first nine months of 2023, cash used for financing activities was $(323) million, which included $49 million from net changes in debt, $(252) million in stock repurchases, $(92) million of dividend payments, $(16) million of payments for income tax withholding on share-based compensation, and $(12) million for distributions to noncontrolling interest.</w:t>
      </w:r>
    </w:p>
    <w:p>
      <w:pPr>
        <w:spacing w:after="0" w:line="71" w:lineRule="exact"/>
        <w:rPr>
          <w:sz w:val="20"/>
          <w:szCs w:val="20"/>
          <w:color w:val="auto"/>
        </w:rPr>
      </w:pPr>
    </w:p>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the Company entered into the 2024 Credit Agreement for a term loan of $225 million. Also during the first quarter of 2024, the Company issued $500 million of Senior Notes due in 2034. Proceeds from the 2034 Notes, combined with the proceeds from the term loan under the 2024 Credit Agreement and cash on hand, were utilized to repay the outstanding amount of 2024 Notes at maturity.</w:t>
      </w:r>
    </w:p>
    <w:p>
      <w:pPr>
        <w:spacing w:after="0" w:line="62" w:lineRule="exact"/>
        <w:rPr>
          <w:sz w:val="20"/>
          <w:szCs w:val="20"/>
          <w:color w:val="auto"/>
        </w:rPr>
      </w:pPr>
    </w:p>
    <w:p>
      <w:pPr>
        <w:ind w:right="120" w:firstLine="464"/>
        <w:spacing w:after="0" w:line="264" w:lineRule="auto"/>
        <w:rPr>
          <w:sz w:val="20"/>
          <w:szCs w:val="20"/>
          <w:color w:val="auto"/>
        </w:rPr>
      </w:pPr>
      <w:r>
        <w:rPr>
          <w:rFonts w:ascii="Times New Roman" w:cs="Times New Roman" w:eastAsia="Times New Roman" w:hAnsi="Times New Roman"/>
          <w:sz w:val="17"/>
          <w:szCs w:val="17"/>
          <w:color w:val="auto"/>
        </w:rPr>
        <w:t>As of September 30, 2024, the Company held approximately $410 million of cash, cash equivalents and restricted cash, of which approximately $9 million was held within the United States and approximately $401 million was held outside of the United States, primarily in India, Brazil, Europe and China. While repatriation of some cash held outside the United States may be restricted by local laws, most of the Company’s foreign cash could be repatriated to the United States net of any tax impacts. As of September 30, 2024, approximately $9 million of the Company's $410 million of cash balance was classified as restricted.</w:t>
      </w:r>
    </w:p>
    <w:p>
      <w:pPr>
        <w:spacing w:after="0" w:line="68" w:lineRule="exact"/>
        <w:rPr>
          <w:sz w:val="20"/>
          <w:szCs w:val="20"/>
          <w:color w:val="auto"/>
        </w:rPr>
      </w:pPr>
    </w:p>
    <w:p>
      <w:pPr>
        <w:jc w:val="both"/>
        <w:ind w:right="300" w:firstLine="464"/>
        <w:spacing w:after="0" w:line="270" w:lineRule="auto"/>
        <w:rPr>
          <w:sz w:val="20"/>
          <w:szCs w:val="20"/>
          <w:color w:val="auto"/>
        </w:rPr>
      </w:pPr>
      <w:r>
        <w:rPr>
          <w:rFonts w:ascii="Times New Roman" w:cs="Times New Roman" w:eastAsia="Times New Roman" w:hAnsi="Times New Roman"/>
          <w:sz w:val="17"/>
          <w:szCs w:val="17"/>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color w:val="auto"/>
        </w:rPr>
        <w:t>Revolving Receivables Program</w:t>
      </w:r>
    </w:p>
    <w:p>
      <w:pPr>
        <w:spacing w:after="0" w:line="118"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The Company utilizes a revolving receivables facility to sell up to $350 million of certain receivables through our bankruptcy-remote subsidiary to a financial institution on a recurring basis in exchange for cash equal to the gross receivables sold. As customers pay their balances, we transfer additional receivables into the program, which could result in our gross receivables sold being higher or lower than customer collections remitted to the financial institution for any applicable periods. Net cash proceeds included in cash from operations from the revolving receivables program were $75 million and $155 million for the nine months ended September 30, 2024 and 2023, respectively. Additional information with respect to the Revolving Receivables Program is included in Note 2 of "Notes to Condensed Consolidated Financial Statements" included in Part I, Item 1 of this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Supply Chain Financing Program</w:t>
      </w:r>
    </w:p>
    <w:p>
      <w:pPr>
        <w:spacing w:after="0" w:line="118" w:lineRule="exact"/>
        <w:rPr>
          <w:sz w:val="20"/>
          <w:szCs w:val="20"/>
          <w:color w:val="auto"/>
        </w:rPr>
      </w:pPr>
    </w:p>
    <w:p>
      <w:pPr>
        <w:ind w:right="140" w:firstLine="464"/>
        <w:spacing w:after="0" w:line="260" w:lineRule="auto"/>
        <w:rPr>
          <w:sz w:val="20"/>
          <w:szCs w:val="20"/>
          <w:color w:val="auto"/>
        </w:rPr>
      </w:pPr>
      <w:r>
        <w:rPr>
          <w:rFonts w:ascii="Times New Roman" w:cs="Times New Roman" w:eastAsia="Times New Roman" w:hAnsi="Times New Roman"/>
          <w:sz w:val="17"/>
          <w:szCs w:val="17"/>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Intra-Quarter Uncommitted Money Market Line Credit Agreement</w:t>
      </w:r>
    </w:p>
    <w:p>
      <w:pPr>
        <w:spacing w:after="0" w:line="118" w:lineRule="exact"/>
        <w:rPr>
          <w:sz w:val="20"/>
          <w:szCs w:val="20"/>
          <w:color w:val="auto"/>
        </w:rPr>
      </w:pPr>
    </w:p>
    <w:p>
      <w:pPr>
        <w:ind w:right="400" w:firstLine="464"/>
        <w:spacing w:after="0" w:line="287" w:lineRule="auto"/>
        <w:rPr>
          <w:sz w:val="20"/>
          <w:szCs w:val="20"/>
          <w:color w:val="auto"/>
        </w:rPr>
      </w:pPr>
      <w:r>
        <w:rPr>
          <w:rFonts w:ascii="Times New Roman" w:cs="Times New Roman" w:eastAsia="Times New Roman" w:hAnsi="Times New Roman"/>
          <w:sz w:val="17"/>
          <w:szCs w:val="17"/>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Guarantor Summarized Financial Information</w:t>
      </w:r>
    </w:p>
    <w:p>
      <w:pPr>
        <w:spacing w:after="0" w:line="118" w:lineRule="exact"/>
        <w:rPr>
          <w:sz w:val="20"/>
          <w:szCs w:val="20"/>
          <w:color w:val="auto"/>
        </w:rPr>
      </w:pPr>
    </w:p>
    <w:p>
      <w:pPr>
        <w:ind w:right="400" w:firstLine="464"/>
        <w:spacing w:after="0" w:line="261" w:lineRule="auto"/>
        <w:rPr>
          <w:sz w:val="20"/>
          <w:szCs w:val="20"/>
          <w:color w:val="auto"/>
        </w:rPr>
      </w:pPr>
      <w:r>
        <w:rPr>
          <w:rFonts w:ascii="Times New Roman" w:cs="Times New Roman" w:eastAsia="Times New Roman" w:hAnsi="Times New Roman"/>
          <w:sz w:val="17"/>
          <w:szCs w:val="17"/>
          <w:color w:val="auto"/>
        </w:rPr>
        <w:t>The obligations under the US Notes issued by Westinghouse Air Brake Technologies Corporation (the "Parent Company") have been fully and unconditionally guaranteed by certain of the Parent Company's U.S. subsidiaries ("Guarantor Subsidiaries").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72"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the Parent Company and the guarantor subsidiaries on a combined basis. The combined summarized financial information eliminates intercompany balances and transactions among the Parent Company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12"/>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4,567</w:t>
            </w:r>
          </w:p>
        </w:tc>
      </w:tr>
      <w:tr>
        <w:trPr>
          <w:trHeight w:val="219"/>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4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w:t>
            </w:r>
          </w:p>
        </w:tc>
      </w:tr>
      <w:tr>
        <w:trPr>
          <w:trHeight w:val="86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00" w:type="dxa"/>
            <w:vAlign w:val="bottom"/>
          </w:tcPr>
          <w:p>
            <w:pPr>
              <w:jc w:val="right"/>
              <w:ind w:right="1734"/>
              <w:spacing w:after="0"/>
              <w:rPr>
                <w:sz w:val="20"/>
                <w:szCs w:val="20"/>
                <w:color w:val="auto"/>
              </w:rPr>
            </w:pPr>
            <w:r>
              <w:rPr>
                <w:rFonts w:ascii="Times New Roman" w:cs="Times New Roman" w:eastAsia="Times New Roman" w:hAnsi="Times New Roman"/>
                <w:sz w:val="17"/>
                <w:szCs w:val="17"/>
                <w:color w:val="auto"/>
              </w:rPr>
              <w:t>41</w:t>
            </w:r>
          </w:p>
        </w:tc>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4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64"/>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0" w:type="dxa"/>
            <w:vAlign w:val="bottom"/>
          </w:tcPr>
          <w:p>
            <w:pPr>
              <w:spacing w:after="0"/>
              <w:rPr>
                <w:sz w:val="14"/>
                <w:szCs w:val="14"/>
                <w:color w:val="auto"/>
              </w:rPr>
            </w:pPr>
          </w:p>
        </w:tc>
        <w:tc>
          <w:tcPr>
            <w:tcW w:w="17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1,225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2,169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2,961</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is a description of the transactions between the combined Parent Company and guarantor subsidiaries with non-guarantor subsidiaries.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68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2024</w:t>
            </w:r>
          </w:p>
        </w:tc>
      </w:tr>
      <w:tr>
        <w:trPr>
          <w:trHeight w:val="32"/>
        </w:trPr>
        <w:tc>
          <w:tcPr>
            <w:tcW w:w="6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r>
      <w:tr>
        <w:trPr>
          <w:trHeight w:val="22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4"/>
                <w:szCs w:val="14"/>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12"/>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11,786</w:t>
            </w: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Summarized Financial Information—Euro Notes</w:t>
      </w:r>
    </w:p>
    <w:p>
      <w:pPr>
        <w:spacing w:after="0" w:line="105" w:lineRule="exact"/>
        <w:rPr>
          <w:sz w:val="20"/>
          <w:szCs w:val="20"/>
          <w:color w:val="auto"/>
        </w:rPr>
      </w:pPr>
    </w:p>
    <w:p>
      <w:pPr>
        <w:jc w:val="both"/>
        <w:ind w:right="160" w:firstLine="464"/>
        <w:spacing w:after="0" w:line="238" w:lineRule="auto"/>
        <w:rPr>
          <w:sz w:val="20"/>
          <w:szCs w:val="20"/>
          <w:color w:val="auto"/>
        </w:rPr>
      </w:pPr>
      <w:r>
        <w:rPr>
          <w:rFonts w:ascii="Times New Roman" w:cs="Times New Roman" w:eastAsia="Times New Roman" w:hAnsi="Times New Roman"/>
          <w:sz w:val="17"/>
          <w:szCs w:val="17"/>
          <w:color w:val="auto"/>
        </w:rPr>
        <w:t>The obligations under Wabtec Netherlands’ Euro Notes are fully and unconditionally guaranteed by the Parent Company. Wabtec Netherlands is a wholly 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63" w:lineRule="exact"/>
        <w:rPr>
          <w:sz w:val="20"/>
          <w:szCs w:val="20"/>
          <w:color w:val="auto"/>
        </w:rPr>
      </w:pPr>
    </w:p>
    <w:p>
      <w:pPr>
        <w:ind w:right="340" w:firstLine="464"/>
        <w:spacing w:after="0" w:line="235"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 The summarized financial information is provided in accordance with the reporting requirements of Rule 13-01 under SEC Regulation S-X for the issuer and Parent Company guarantor.</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20" w:type="dxa"/>
            <w:vAlign w:val="bottom"/>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20" w:type="dxa"/>
            <w:vAlign w:val="bottom"/>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r>
      <w:tr>
        <w:trPr>
          <w:trHeight w:val="164"/>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20" w:type="dxa"/>
            <w:vAlign w:val="bottom"/>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19"/>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2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9"/>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Wabtec shareholders</w:t>
            </w:r>
          </w:p>
        </w:tc>
        <w:tc>
          <w:tcPr>
            <w:tcW w:w="362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85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20" w:type="dxa"/>
            <w:vAlign w:val="bottom"/>
          </w:tcPr>
          <w:p>
            <w:pPr>
              <w:jc w:val="right"/>
              <w:ind w:right="1734"/>
              <w:spacing w:after="0"/>
              <w:rPr>
                <w:sz w:val="20"/>
                <w:szCs w:val="20"/>
                <w:color w:val="auto"/>
              </w:rPr>
            </w:pPr>
            <w:r>
              <w:rPr>
                <w:rFonts w:ascii="Times New Roman" w:cs="Times New Roman" w:eastAsia="Times New Roman" w:hAnsi="Times New Roman"/>
                <w:sz w:val="17"/>
                <w:szCs w:val="17"/>
                <w:color w:val="auto"/>
              </w:rPr>
              <w:t>42</w:t>
            </w:r>
          </w:p>
        </w:tc>
        <w:tc>
          <w:tcPr>
            <w:tcW w:w="4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40" w:type="dxa"/>
            <w:vAlign w:val="bottom"/>
            <w:gridSpan w:val="4"/>
          </w:tcPr>
          <w:p>
            <w:pPr>
              <w:jc w:val="right"/>
              <w:ind w:right="1497"/>
              <w:spacing w:after="0"/>
              <w:rPr>
                <w:sz w:val="20"/>
                <w:szCs w:val="20"/>
                <w:color w:val="auto"/>
              </w:rPr>
            </w:pPr>
            <w:r>
              <w:rPr>
                <w:rFonts w:ascii="Times New Roman" w:cs="Times New Roman" w:eastAsia="Times New Roman" w:hAnsi="Times New Roman"/>
                <w:sz w:val="14"/>
                <w:szCs w:val="14"/>
                <w:b w:val="1"/>
                <w:bCs w:val="1"/>
                <w:color w:val="auto"/>
              </w:rPr>
              <w:t>Issuer and Guarantor</w:t>
            </w:r>
          </w:p>
        </w:tc>
      </w:tr>
      <w:tr>
        <w:trPr>
          <w:trHeight w:val="164"/>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0" w:type="dxa"/>
            <w:vAlign w:val="bottom"/>
          </w:tcPr>
          <w:p>
            <w:pPr>
              <w:spacing w:after="0"/>
              <w:rPr>
                <w:sz w:val="14"/>
                <w:szCs w:val="14"/>
                <w:color w:val="auto"/>
              </w:rPr>
            </w:pPr>
          </w:p>
        </w:tc>
        <w:tc>
          <w:tcPr>
            <w:tcW w:w="17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645</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3,516</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3,287</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bl>
    <w:p>
      <w:pPr>
        <w:spacing w:after="0" w:line="164" w:lineRule="exact"/>
        <w:rPr>
          <w:sz w:val="20"/>
          <w:szCs w:val="20"/>
          <w:color w:val="auto"/>
        </w:rPr>
      </w:pPr>
    </w:p>
    <w:p>
      <w:pPr>
        <w:ind w:right="200" w:firstLine="464"/>
        <w:spacing w:after="0" w:line="239" w:lineRule="auto"/>
        <w:rPr>
          <w:sz w:val="20"/>
          <w:szCs w:val="20"/>
          <w:color w:val="auto"/>
        </w:rPr>
      </w:pPr>
      <w:r>
        <w:rPr>
          <w:rFonts w:ascii="Times New Roman" w:cs="Times New Roman" w:eastAsia="Times New Roman" w:hAnsi="Times New Roman"/>
          <w:sz w:val="17"/>
          <w:szCs w:val="17"/>
          <w:color w:val="auto"/>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c>
          <w:tcPr>
            <w:tcW w:w="0" w:type="dxa"/>
            <w:vAlign w:val="bottom"/>
          </w:tcPr>
          <w:p>
            <w:pPr>
              <w:spacing w:after="0"/>
              <w:rPr>
                <w:sz w:val="1"/>
                <w:szCs w:val="1"/>
                <w:color w:val="auto"/>
              </w:rPr>
            </w:pPr>
          </w:p>
        </w:tc>
      </w:tr>
      <w:tr>
        <w:trPr>
          <w:trHeight w:val="153"/>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8420" w:type="dxa"/>
            <w:vAlign w:val="bottom"/>
          </w:tcPr>
          <w:p>
            <w:pPr>
              <w:spacing w:after="0"/>
              <w:rPr>
                <w:sz w:val="13"/>
                <w:szCs w:val="13"/>
                <w:color w:val="auto"/>
              </w:rPr>
            </w:pPr>
          </w:p>
        </w:tc>
        <w:tc>
          <w:tcPr>
            <w:tcW w:w="21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5"/>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7"/>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3"/>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r>
      <w:tr>
        <w:trPr>
          <w:trHeight w:val="164"/>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4"/>
                <w:szCs w:val="14"/>
                <w:color w:val="auto"/>
              </w:rPr>
            </w:pPr>
          </w:p>
        </w:tc>
        <w:tc>
          <w:tcPr>
            <w:tcW w:w="190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September 30,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2"/>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Company Stock Repurchase Plan</w:t>
      </w:r>
    </w:p>
    <w:p>
      <w:pPr>
        <w:spacing w:after="0" w:line="118"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On February 9, 2024, the Board of Directors reauthorized its stock repurchase program to refresh the amount available for stock repurchases to $1 billion of the Company’s outstanding shares. This new stock repurchase authorization supersedes the previous authorization of $750 million, of which approximately $333 million remained at the reauthorization date. No time limit was set for the completion of the program which conforms to the requirements under the 2022 Credit Agreement and the 2024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September 30, 2024, approximately $123 million was remaining under the stock repurchase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These forward-looking statements are subject to various risks, uncertainties and assumptions about us, including, among other things: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Economic and industry conditions</w:t>
      </w:r>
    </w:p>
    <w:p>
      <w:pPr>
        <w:spacing w:after="0" w:line="33" w:lineRule="exact"/>
        <w:rPr>
          <w:sz w:val="20"/>
          <w:szCs w:val="20"/>
          <w:color w:val="auto"/>
        </w:rPr>
      </w:pPr>
    </w:p>
    <w:p>
      <w:pPr>
        <w:ind w:left="580" w:right="400" w:hanging="306"/>
        <w:spacing w:after="0" w:line="235" w:lineRule="auto"/>
        <w:tabs>
          <w:tab w:leader="none" w:pos="57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general economic and/or industry specific conditions, including the impacts of tax and tariff programs, inflation, supply chain disruptions, foreign currency exchange, and industry consolidation;</w:t>
      </w:r>
    </w:p>
    <w:p>
      <w:pPr>
        <w:spacing w:after="0" w:line="1" w:lineRule="exact"/>
        <w:rPr>
          <w:rFonts w:ascii="Arial" w:cs="Arial" w:eastAsia="Arial" w:hAnsi="Arial"/>
          <w:sz w:val="21"/>
          <w:szCs w:val="21"/>
          <w:color w:val="auto"/>
        </w:rPr>
      </w:pPr>
    </w:p>
    <w:p>
      <w:pPr>
        <w:ind w:left="580" w:right="180" w:hanging="306"/>
        <w:spacing w:after="0" w:line="253" w:lineRule="auto"/>
        <w:tabs>
          <w:tab w:leader="none" w:pos="5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prolonged unfavorable economic and industry conditions in the markets served by us, including North America, South America, Europe, Australia, Asia and Africa;</w:t>
      </w: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in demand for freight cars, locomotives, passenger transit cars, buses and related products and services;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major original equipment manufacturer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original equipment manufacturers’ program delays;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services in the freight and passenger rail industry;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3" w:name="page44"/>
    <w:bookmarkEnd w:id="43"/>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our products and services;</w:t>
      </w:r>
    </w:p>
    <w:p>
      <w:pPr>
        <w:spacing w:after="0" w:line="27" w:lineRule="exact"/>
        <w:rPr>
          <w:rFonts w:ascii="Times New Roman" w:cs="Times New Roman" w:eastAsia="Times New Roman" w:hAnsi="Times New Roman"/>
          <w:sz w:val="17"/>
          <w:szCs w:val="17"/>
          <w:color w:val="auto"/>
        </w:rPr>
      </w:pPr>
    </w:p>
    <w:p>
      <w:pPr>
        <w:ind w:left="580" w:right="60" w:hanging="306"/>
        <w:spacing w:after="0" w:line="253" w:lineRule="auto"/>
        <w:tabs>
          <w:tab w:leader="none" w:pos="5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either being delayed, canceled, not returning to historical levels or being reduced, and/or economic conditions affecting the ability of our customers to pay timely for goods and services delivered;</w:t>
      </w: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consolidations in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outsourcing by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demand for faster and more efficient braking equipment;</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 and foreign currency exchange rates;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credit or difficulty in obtaining debt or equity financing;</w:t>
      </w:r>
    </w:p>
    <w:p>
      <w:pPr>
        <w:spacing w:after="0" w:line="10" w:lineRule="exact"/>
        <w:rPr>
          <w:rFonts w:ascii="Times New Roman" w:cs="Times New Roman" w:eastAsia="Times New Roman" w:hAnsi="Times New Roman"/>
          <w:sz w:val="17"/>
          <w:szCs w:val="17"/>
          <w:color w:val="auto"/>
        </w:rPr>
      </w:pPr>
    </w:p>
    <w:p>
      <w:pPr>
        <w:ind w:left="580" w:right="340" w:hanging="306"/>
        <w:spacing w:after="0" w:line="253" w:lineRule="auto"/>
        <w:tabs>
          <w:tab w:leader="none" w:pos="5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consensus as to what attributes are required for projects to be considered "green" or "sustainable" or negative perceptions regarding determinations in such regard with respect to our Green Finance Framework or ESG strategy; or</w:t>
      </w: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ESG topics that have the highest relative priority for Wabtec's external stakeholders;</w:t>
      </w:r>
    </w:p>
    <w:p>
      <w:pPr>
        <w:spacing w:after="0" w:line="200" w:lineRule="exact"/>
        <w:rPr>
          <w:sz w:val="20"/>
          <w:szCs w:val="20"/>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disruptions;</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difficulties;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conditions and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raw material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introduction of new products;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under material long-term contracts;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availability and relations;</w:t>
      </w:r>
    </w:p>
    <w:p>
      <w:pPr>
        <w:spacing w:after="0" w:line="10" w:lineRule="exact"/>
        <w:rPr>
          <w:rFonts w:ascii="Times New Roman" w:cs="Times New Roman" w:eastAsia="Times New Roman" w:hAnsi="Times New Roman"/>
          <w:sz w:val="17"/>
          <w:szCs w:val="17"/>
          <w:color w:val="auto"/>
        </w:rPr>
      </w:pPr>
    </w:p>
    <w:p>
      <w:pPr>
        <w:jc w:val="both"/>
        <w:ind w:left="580" w:right="520" w:hanging="306"/>
        <w:spacing w:after="0" w:line="253" w:lineRule="auto"/>
        <w:tabs>
          <w:tab w:leader="none" w:pos="5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and integration of acquisitions;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use of new technology;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data protection risks;</w:t>
      </w:r>
    </w:p>
    <w:p>
      <w:pPr>
        <w:spacing w:after="0" w:line="200" w:lineRule="exact"/>
        <w:rPr>
          <w:sz w:val="20"/>
          <w:szCs w:val="20"/>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of competitors; or</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negotiations with partners, suppliers, customers or others;</w:t>
      </w:r>
    </w:p>
    <w:p>
      <w:pPr>
        <w:spacing w:after="0" w:line="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Political/governmental factors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stability in relevant areas of the world, including the impacts of war, conflicts, global military action, and acts of terrorism;</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regulation/deregulation of our customers and/or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levels of governmental funding on transit projects, including for some of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developments and laws and regulations, including those related to Positive Train Control;</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income tax legislation;</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sanctions imposed on countries and persons;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negotiations with governments;</w:t>
      </w:r>
    </w:p>
    <w:p>
      <w:pPr>
        <w:spacing w:after="0" w:line="200" w:lineRule="exact"/>
        <w:rPr>
          <w:sz w:val="20"/>
          <w:szCs w:val="20"/>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climate change, including evolving climate change policy;</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disruptive natural hazards, including earthquakes, fires, floods, tornadoes, hurricanes or other weather conditions;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epidemics, pandemics, or similar public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of general economic conditions as a result of natural hazards or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shutdown of one or more of our operating facilities as a result of natural hazards and health crises;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and sourcing disruptions as a result of natural hazards, health crises or other external factors;</w:t>
      </w:r>
    </w:p>
    <w:p>
      <w:pPr>
        <w:spacing w:after="0" w:line="97"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Statements in this Quarterly Report on Form 10-Q apply only as of the date on which such statements are made, and except as required by law,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A summary of critical accounting estimates is included in the Company’s Annual Report on Form 10-K for the year ended December 31, 2023. In particular, judgment is used in areas such as accounts receivable and the allowance for doubtful accounts, inventories, business combinations, goodwill and indefinite-lived intangible assets, warranty reserves, income taxes, and revenue recognition. There have been no significant changes in the related accounting policies since December 31,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During the first quarter of 2024, the Company entered into the 2024 Credit Agreement for a term loan of $225 million which is scheduled to mature on March 14, 2029. Also during the first quarter of 2024, the Company issued $500 million of Senior Notes due in 2034. Proceeds from the 2034 Notes, combined with the proceeds from the term loan under the 2024 Credit Agreement and cash on hand, were utilized to repay the outstanding amount of 2024 Notes at maturity. As a result of these transactions, contractual obligations related the repayment of Long-term debt for 2029 and beyond has increased to $725 million.</w:t>
      </w:r>
    </w:p>
    <w:p>
      <w:pPr>
        <w:spacing w:after="0" w:line="68" w:lineRule="exact"/>
        <w:rPr>
          <w:sz w:val="20"/>
          <w:szCs w:val="20"/>
          <w:color w:val="auto"/>
        </w:rPr>
      </w:pPr>
    </w:p>
    <w:p>
      <w:pPr>
        <w:ind w:right="360" w:firstLine="464"/>
        <w:spacing w:after="0" w:line="287" w:lineRule="auto"/>
        <w:rPr>
          <w:sz w:val="20"/>
          <w:szCs w:val="20"/>
          <w:color w:val="auto"/>
        </w:rPr>
      </w:pPr>
      <w:r>
        <w:rPr>
          <w:rFonts w:ascii="Times New Roman" w:cs="Times New Roman" w:eastAsia="Times New Roman" w:hAnsi="Times New Roman"/>
          <w:sz w:val="17"/>
          <w:szCs w:val="17"/>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96" w:right="379" w:bottom="1440" w:gutter="0" w:footer="0" w:header="0"/>
        </w:sectPr>
      </w:pPr>
    </w:p>
    <w:bookmarkStart w:id="45" w:name="page46"/>
    <w:bookmarkEnd w:id="45"/>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"Quantitative and Qualitative Disclosures About Market Risk" in Item 7A of Part II of our Annual Report on Form 10-K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Our exposure to market risk has not changed materially since December 31, 2023. Refer to Note 13 - Fair Value Measurement and Derivative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Instruments of "Notes to Condensed Consolidated Financial Statements" included in Part I, Item 1 of this report for additional information regarding interest rate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foreign currency exchange risk.</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Wabtec’s principal executive officer and its principal financial officer have evaluated the effectiveness of Wabtec’s “disclosure controls and procedures,” (as defined in Exchange Act Rule 13a-15(e)) as of September 30, 2024.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99" w:lineRule="exact"/>
        <w:rPr>
          <w:sz w:val="20"/>
          <w:szCs w:val="20"/>
          <w:color w:val="auto"/>
        </w:rPr>
      </w:pPr>
    </w:p>
    <w:p>
      <w:pPr>
        <w:ind w:right="60" w:firstLine="464"/>
        <w:spacing w:after="0" w:line="287" w:lineRule="auto"/>
        <w:rPr>
          <w:sz w:val="20"/>
          <w:szCs w:val="20"/>
          <w:color w:val="auto"/>
        </w:rPr>
      </w:pPr>
      <w:r>
        <w:rPr>
          <w:rFonts w:ascii="Times New Roman" w:cs="Times New Roman" w:eastAsia="Times New Roman" w:hAnsi="Times New Roman"/>
          <w:sz w:val="17"/>
          <w:szCs w:val="17"/>
          <w:color w:val="auto"/>
        </w:rPr>
        <w:t>There was no change in Wabtec’s “internal control over financial reporting” (as defined in Rule 13a-15(f) under the Exchange Act) that occurred during the quarter ended September 30, 2024, that has materially affected, or is reasonably likely to materially affect, Wabtec’s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8" w:lineRule="exact"/>
        <w:rPr>
          <w:sz w:val="20"/>
          <w:szCs w:val="20"/>
          <w:color w:val="auto"/>
        </w:rPr>
      </w:pPr>
    </w:p>
    <w:p>
      <w:pPr>
        <w:ind w:right="300" w:firstLine="464"/>
        <w:spacing w:after="0" w:line="287" w:lineRule="auto"/>
        <w:rPr>
          <w:sz w:val="20"/>
          <w:szCs w:val="20"/>
          <w:color w:val="auto"/>
        </w:rPr>
      </w:pPr>
      <w:r>
        <w:rPr>
          <w:rFonts w:ascii="Times New Roman" w:cs="Times New Roman" w:eastAsia="Times New Roman" w:hAnsi="Times New Roman"/>
          <w:sz w:val="17"/>
          <w:szCs w:val="17"/>
          <w:color w:val="auto"/>
        </w:rPr>
        <w:t>Additional information with respect to legal proceedings is included in Note 14 of “Notes to Condensed Consolidated Financial Statements” included in Part I, Item 1 of this report.</w:t>
      </w:r>
    </w:p>
    <w:p>
      <w:pPr>
        <w:spacing w:after="0" w:line="2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have been no material changes in our risk factors from those disclosed in our Annual Report on Form 10-K for the year ended December 31, 2023.</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Company's stock repurchase activity for the three months ended September 30, 2024:</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Purchases of Common Stock</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color w:val="auto"/>
                <w:w w:val="97"/>
              </w:rPr>
              <w:t>Total Number of Shares</w:t>
            </w: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23"/>
              <w:spacing w:after="0" w:line="127" w:lineRule="exact"/>
              <w:rPr>
                <w:sz w:val="20"/>
                <w:szCs w:val="20"/>
                <w:color w:val="auto"/>
              </w:rPr>
            </w:pPr>
            <w:r>
              <w:rPr>
                <w:rFonts w:ascii="Times New Roman" w:cs="Times New Roman" w:eastAsia="Times New Roman" w:hAnsi="Times New Roman"/>
                <w:sz w:val="14"/>
                <w:szCs w:val="14"/>
                <w:color w:val="auto"/>
                <w:w w:val="97"/>
              </w:rPr>
              <w:t>Maximum Dollar Value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Total Number of Shares</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Average Price Paid</w:t>
            </w:r>
          </w:p>
        </w:tc>
        <w:tc>
          <w:tcPr>
            <w:tcW w:w="16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color w:val="auto"/>
                <w:w w:val="98"/>
              </w:rPr>
              <w:t>Purchased as Part of</w:t>
            </w:r>
          </w:p>
        </w:tc>
        <w:tc>
          <w:tcPr>
            <w:tcW w:w="100" w:type="dxa"/>
            <w:vAlign w:val="bottom"/>
          </w:tcPr>
          <w:p>
            <w:pPr>
              <w:spacing w:after="0"/>
              <w:rPr>
                <w:sz w:val="11"/>
                <w:szCs w:val="11"/>
                <w:color w:val="auto"/>
              </w:rPr>
            </w:pPr>
          </w:p>
        </w:tc>
        <w:tc>
          <w:tcPr>
            <w:tcW w:w="156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4"/>
                <w:szCs w:val="14"/>
                <w:color w:val="auto"/>
                <w:w w:val="96"/>
              </w:rPr>
              <w:t>Shares That May Yet Be</w:t>
            </w:r>
          </w:p>
        </w:tc>
        <w:tc>
          <w:tcPr>
            <w:tcW w:w="0" w:type="dxa"/>
            <w:vAlign w:val="bottom"/>
          </w:tcPr>
          <w:p>
            <w:pPr>
              <w:spacing w:after="0"/>
              <w:rPr>
                <w:sz w:val="1"/>
                <w:szCs w:val="1"/>
                <w:color w:val="auto"/>
              </w:rPr>
            </w:pPr>
          </w:p>
        </w:tc>
      </w:tr>
      <w:tr>
        <w:trPr>
          <w:trHeight w:val="142"/>
        </w:trPr>
        <w:tc>
          <w:tcPr>
            <w:tcW w:w="4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shares and price per share</w:t>
            </w:r>
          </w:p>
        </w:tc>
        <w:tc>
          <w:tcPr>
            <w:tcW w:w="170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7"/>
              </w:rPr>
              <w:t>Publicly Announced</w:t>
            </w:r>
          </w:p>
        </w:tc>
        <w:tc>
          <w:tcPr>
            <w:tcW w:w="100" w:type="dxa"/>
            <w:vAlign w:val="bottom"/>
          </w:tcPr>
          <w:p>
            <w:pPr>
              <w:spacing w:after="0"/>
              <w:rPr>
                <w:sz w:val="12"/>
                <w:szCs w:val="12"/>
                <w:color w:val="auto"/>
              </w:rPr>
            </w:pPr>
          </w:p>
        </w:tc>
        <w:tc>
          <w:tcPr>
            <w:tcW w:w="1560" w:type="dxa"/>
            <w:vAlign w:val="bottom"/>
          </w:tcPr>
          <w:p>
            <w:pPr>
              <w:jc w:val="center"/>
              <w:ind w:right="23"/>
              <w:spacing w:after="0" w:line="142" w:lineRule="exact"/>
              <w:rPr>
                <w:sz w:val="20"/>
                <w:szCs w:val="20"/>
                <w:color w:val="auto"/>
              </w:rPr>
            </w:pPr>
            <w:r>
              <w:rPr>
                <w:rFonts w:ascii="Times New Roman" w:cs="Times New Roman" w:eastAsia="Times New Roman" w:hAnsi="Times New Roman"/>
                <w:sz w:val="14"/>
                <w:szCs w:val="14"/>
                <w:color w:val="auto"/>
                <w:w w:val="97"/>
              </w:rPr>
              <w:t>Purchased Under the</w:t>
            </w:r>
          </w:p>
        </w:tc>
        <w:tc>
          <w:tcPr>
            <w:tcW w:w="0" w:type="dxa"/>
            <w:vAlign w:val="bottom"/>
          </w:tcPr>
          <w:p>
            <w:pPr>
              <w:spacing w:after="0"/>
              <w:rPr>
                <w:sz w:val="1"/>
                <w:szCs w:val="1"/>
                <w:color w:val="auto"/>
              </w:rPr>
            </w:pPr>
          </w:p>
        </w:tc>
      </w:tr>
      <w:tr>
        <w:trPr>
          <w:trHeight w:val="142"/>
        </w:trPr>
        <w:tc>
          <w:tcPr>
            <w:tcW w:w="4820" w:type="dxa"/>
            <w:vAlign w:val="bottom"/>
            <w:gridSpan w:val="4"/>
            <w:vMerge w:val="continue"/>
          </w:tcPr>
          <w:p>
            <w:pPr>
              <w:spacing w:after="0"/>
              <w:rPr>
                <w:sz w:val="12"/>
                <w:szCs w:val="12"/>
                <w:color w:val="auto"/>
              </w:rPr>
            </w:pPr>
          </w:p>
        </w:tc>
        <w:tc>
          <w:tcPr>
            <w:tcW w:w="17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w w:val="97"/>
              </w:rPr>
              <w:t>Purchased</w:t>
            </w:r>
          </w:p>
        </w:tc>
        <w:tc>
          <w:tcPr>
            <w:tcW w:w="240" w:type="dxa"/>
            <w:vAlign w:val="bottom"/>
          </w:tcPr>
          <w:p>
            <w:pPr>
              <w:spacing w:after="0"/>
              <w:rPr>
                <w:sz w:val="12"/>
                <w:szCs w:val="12"/>
                <w:color w:val="auto"/>
              </w:rPr>
            </w:pPr>
          </w:p>
        </w:tc>
        <w:tc>
          <w:tcPr>
            <w:tcW w:w="11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4"/>
                <w:szCs w:val="14"/>
                <w:color w:val="auto"/>
                <w:w w:val="97"/>
              </w:rPr>
              <w:t>per Share</w:t>
            </w:r>
          </w:p>
        </w:tc>
        <w:tc>
          <w:tcPr>
            <w:tcW w:w="1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100" w:type="dxa"/>
            <w:vAlign w:val="bottom"/>
          </w:tcPr>
          <w:p>
            <w:pPr>
              <w:spacing w:after="0"/>
              <w:rPr>
                <w:sz w:val="12"/>
                <w:szCs w:val="12"/>
                <w:color w:val="auto"/>
              </w:rPr>
            </w:pPr>
          </w:p>
        </w:tc>
        <w:tc>
          <w:tcPr>
            <w:tcW w:w="1560" w:type="dxa"/>
            <w:vAlign w:val="bottom"/>
          </w:tcPr>
          <w:p>
            <w:pPr>
              <w:jc w:val="center"/>
              <w:ind w:right="43"/>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0" w:type="dxa"/>
            <w:vAlign w:val="bottom"/>
          </w:tcPr>
          <w:p>
            <w:pPr>
              <w:spacing w:after="0"/>
              <w:rPr>
                <w:sz w:val="1"/>
                <w:szCs w:val="1"/>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2580" w:type="dxa"/>
            <w:vAlign w:val="bottom"/>
            <w:tcBorders>
              <w:top w:val="single" w:sz="8" w:color="auto"/>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2024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555,587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555,587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219"/>
        </w:trPr>
        <w:tc>
          <w:tcPr>
            <w:tcW w:w="48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August 2024</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1,501,329</w:t>
            </w:r>
          </w:p>
        </w:tc>
        <w:tc>
          <w:tcPr>
            <w:tcW w:w="10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156.30</w:t>
            </w:r>
          </w:p>
        </w:tc>
        <w:tc>
          <w:tcPr>
            <w:tcW w:w="100" w:type="dxa"/>
            <w:vAlign w:val="bottom"/>
          </w:tcPr>
          <w:p>
            <w:pPr>
              <w:spacing w:after="0"/>
              <w:rPr>
                <w:sz w:val="19"/>
                <w:szCs w:val="19"/>
                <w:color w:val="auto"/>
              </w:rPr>
            </w:pP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1,501,329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19"/>
        </w:trPr>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1,627,298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168.99</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1,627,298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12"/>
        </w:trPr>
        <w:tc>
          <w:tcPr>
            <w:tcW w:w="48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quarter ended September 30, 2024</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3,684,214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162.75</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3,684,214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67"/>
        <w:spacing w:after="0" w:line="258" w:lineRule="auto"/>
        <w:tabs>
          <w:tab w:leader="none" w:pos="87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9, 2024, the Board of Directors reauthorized its stock repurchase program to refresh the amount available for stock repurchases to $1 billion of the Company’s outstanding shares. This new stock repurchase authorization supersedes the previous authorization of $750 million, of which approximately $333 million remained at the reauthorization date. No time limit was set for the completion of the program which conforms to the requirements under the 2022 Credit Agreement, the 2024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September 30, 2024, approximately $123 million was remaining under the stock repurchase plan.</w:t>
      </w:r>
    </w:p>
    <w:p>
      <w:pPr>
        <w:spacing w:after="0" w:line="35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69"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None of Wabtec's Directors or Officers have adopted, terminated, or materially modified any trading plans, whether or not the plan was intended to qualify for the affirmative defense under Rule 10b5-1, during the third quarter ended September 30, 2024.</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64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09"/>
        </w:trPr>
        <w:tc>
          <w:tcPr>
            <w:tcW w:w="7100" w:type="dxa"/>
            <w:vAlign w:val="bottom"/>
            <w:gridSpan w:val="6"/>
          </w:tcPr>
          <w:p>
            <w:pPr>
              <w:ind w:left="460"/>
              <w:spacing w:after="0"/>
              <w:rPr>
                <w:sz w:val="20"/>
                <w:szCs w:val="20"/>
                <w:color w:val="auto"/>
              </w:rPr>
            </w:pPr>
            <w:r>
              <w:rPr>
                <w:rFonts w:ascii="Times New Roman" w:cs="Times New Roman" w:eastAsia="Times New Roman" w:hAnsi="Times New Roman"/>
                <w:sz w:val="17"/>
                <w:szCs w:val="17"/>
                <w:color w:val="auto"/>
              </w:rPr>
              <w:t>The following exhibits are being filed with this report:</w:t>
            </w:r>
          </w:p>
        </w:tc>
      </w:tr>
      <w:tr>
        <w:trPr>
          <w:trHeight w:val="309"/>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22.1</w:t>
            </w:r>
          </w:p>
        </w:tc>
        <w:tc>
          <w:tcPr>
            <w:tcW w:w="78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List of Subsidiary Guarantors</w:t>
            </w: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78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Rule 13a-14(a) Certification of Chief Executive Officer.</w:t>
            </w: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780" w:type="dxa"/>
            <w:vAlign w:val="bottom"/>
          </w:tcPr>
          <w:p>
            <w:pPr>
              <w:spacing w:after="0"/>
              <w:rPr>
                <w:sz w:val="21"/>
                <w:szCs w:val="21"/>
                <w:color w:val="auto"/>
              </w:rPr>
            </w:pPr>
          </w:p>
        </w:tc>
        <w:tc>
          <w:tcPr>
            <w:tcW w:w="38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Rule 13a-14(a) Certification of Chief Financial Officer.</w:t>
            </w:r>
          </w:p>
        </w:tc>
        <w:tc>
          <w:tcPr>
            <w:tcW w:w="180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780" w:type="dxa"/>
            <w:vAlign w:val="bottom"/>
          </w:tcPr>
          <w:p>
            <w:pPr>
              <w:spacing w:after="0"/>
              <w:rPr>
                <w:sz w:val="21"/>
                <w:szCs w:val="21"/>
                <w:color w:val="auto"/>
              </w:rPr>
            </w:pPr>
          </w:p>
        </w:tc>
        <w:tc>
          <w:tcPr>
            <w:tcW w:w="5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Section 1350 Certification of Chief Executive Officer and Chief Financial Officer.</w:t>
            </w: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78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48" w:lineRule="exact"/>
        <w:rPr>
          <w:sz w:val="20"/>
          <w:szCs w:val="20"/>
          <w:color w:val="auto"/>
        </w:rPr>
      </w:pPr>
    </w:p>
    <w:p>
      <w:pPr>
        <w:ind w:left="1460" w:hanging="1440"/>
        <w:spacing w:after="0"/>
        <w:tabs>
          <w:tab w:leader="none" w:pos="1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32"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893" w:right="1440" w:bottom="1440"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Company has duly caused this report to be signed on its behalf by the undersigned thereunto duly authorized.</w:t>
      </w:r>
    </w:p>
    <w:p>
      <w:pPr>
        <w:spacing w:after="0" w:line="19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WESTINGHOUSE AIR BRAKE TECHNOLOGIES CORPORATION</w:t>
      </w:r>
    </w:p>
    <w:p>
      <w:pPr>
        <w:spacing w:after="0" w:line="75" w:lineRule="exact"/>
        <w:rPr>
          <w:sz w:val="20"/>
          <w:szCs w:val="20"/>
          <w:color w:val="auto"/>
        </w:rPr>
      </w:pPr>
    </w:p>
    <w:p>
      <w:pPr>
        <w:ind w:left="5980"/>
        <w:spacing w:after="0"/>
        <w:tabs>
          <w:tab w:leader="none" w:pos="82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17145</wp:posOffset>
            </wp:positionV>
            <wp:extent cx="28651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John A. Olin</w:t>
      </w:r>
    </w:p>
    <w:p>
      <w:pPr>
        <w:spacing w:after="0" w:line="3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83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5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(Duly Authorized Officer and Principal Financial Officer)</w:t>
      </w:r>
    </w:p>
    <w:p>
      <w:pPr>
        <w:spacing w:after="0" w:line="269" w:lineRule="exact"/>
        <w:rPr>
          <w:sz w:val="20"/>
          <w:szCs w:val="20"/>
          <w:color w:val="auto"/>
        </w:rPr>
      </w:pPr>
    </w:p>
    <w:p>
      <w:pPr>
        <w:ind w:left="5980"/>
        <w:spacing w:after="0"/>
        <w:tabs>
          <w:tab w:leader="none" w:pos="6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180"/>
          </w:cols>
          <w:pgMar w:left="320" w:top="893" w:right="3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9"/>
          <w:szCs w:val="19"/>
          <w:b w:val="1"/>
          <w:bCs w:val="1"/>
          <w:color w:val="auto"/>
        </w:rPr>
        <w:t>Exhibit 22.1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Guarantor Subsidiaries of Westinghouse Air Brake Technologies</w:t>
      </w:r>
    </w:p>
    <w:p>
      <w:pPr>
        <w:spacing w:after="0" w:line="13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The obligations under the Company's US Notes, the 2022 Credit Agreement and the 2024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US Notes, 2022 Credit Agreement and 2024 Credit Agreement</w:t>
      </w:r>
    </w:p>
    <w:p>
      <w:pPr>
        <w:spacing w:after="0" w:line="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Westinghouse Air Brake Technologies Corporation</w:t>
      </w:r>
    </w:p>
    <w:p>
      <w:pPr>
        <w:spacing w:after="0" w:line="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i w:val="1"/>
          <w:iCs w:val="1"/>
          <w:u w:val="single" w:color="auto"/>
          <w:color w:val="auto"/>
        </w:rPr>
        <w:t>Guarantors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GE Transportation, a Wabtec Company</w:t>
      </w:r>
    </w:p>
    <w:p>
      <w:pPr>
        <w:spacing w:after="0" w:line="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RFPC Holding Corp.</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IP Holdings, LLC</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Systems Services Operations Inc.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Components, LLC</w:t>
      </w:r>
    </w:p>
    <w:p>
      <w:pPr>
        <w:ind w:left="1240"/>
        <w:spacing w:after="0" w:line="221" w:lineRule="auto"/>
        <w:rPr>
          <w:sz w:val="20"/>
          <w:szCs w:val="20"/>
          <w:color w:val="auto"/>
        </w:rPr>
      </w:pPr>
      <w:r>
        <w:rPr>
          <w:rFonts w:ascii="Times New Roman" w:cs="Times New Roman" w:eastAsia="Times New Roman" w:hAnsi="Times New Roman"/>
          <w:sz w:val="17"/>
          <w:szCs w:val="17"/>
          <w:color w:val="auto"/>
        </w:rPr>
        <w:t>Wabtec Holding, LLC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Railway Electronics Holdings, LLC</w:t>
      </w:r>
    </w:p>
    <w:p>
      <w:pPr>
        <w:ind w:left="1240"/>
        <w:spacing w:after="0"/>
        <w:rPr>
          <w:sz w:val="20"/>
          <w:szCs w:val="20"/>
          <w:color w:val="auto"/>
        </w:rPr>
      </w:pPr>
      <w:r>
        <w:rPr>
          <w:rFonts w:ascii="Times New Roman" w:cs="Times New Roman" w:eastAsia="Times New Roman" w:hAnsi="Times New Roman"/>
          <w:sz w:val="17"/>
          <w:szCs w:val="17"/>
          <w:color w:val="auto"/>
        </w:rPr>
        <w:t>Wabtec Transportation Systems, LLC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Euro Notes</w:t>
      </w:r>
    </w:p>
    <w:p>
      <w:pPr>
        <w:spacing w:after="0" w:line="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Wabtec Transportation Netherlands B.V.</w:t>
      </w:r>
    </w:p>
    <w:p>
      <w:pPr>
        <w:spacing w:after="0" w:line="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i w:val="1"/>
          <w:iCs w:val="1"/>
          <w:u w:val="single" w:color="auto"/>
          <w:color w:val="auto"/>
        </w:rPr>
        <w:t>Guarantor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Westinghouse Air Brake Technologies Corporation</w:t>
      </w:r>
    </w:p>
    <w:p>
      <w:pPr>
        <w:sectPr>
          <w:pgSz w:w="11900" w:h="16838" w:orient="portrait"/>
          <w:cols w:equalWidth="0" w:num="1">
            <w:col w:w="11240"/>
          </w:cols>
          <w:pgMar w:left="320" w:top="136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Rafael Santana, certify that:</w:t>
      </w:r>
    </w:p>
    <w:p>
      <w:pPr>
        <w:spacing w:after="0" w:line="114" w:lineRule="exact"/>
        <w:rPr>
          <w:sz w:val="20"/>
          <w:szCs w:val="20"/>
          <w:color w:val="auto"/>
        </w:rPr>
      </w:pPr>
    </w:p>
    <w:p>
      <w:pPr>
        <w:ind w:left="640" w:hanging="173"/>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October 23,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/s/  RAFAEL SANTANA</w:t>
            </w:r>
          </w:p>
        </w:tc>
      </w:tr>
      <w:tr>
        <w:trPr>
          <w:trHeight w:val="21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227"/>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ectPr>
          <w:pgSz w:w="11900" w:h="16838" w:orient="portrait"/>
          <w:cols w:equalWidth="0" w:num="1">
            <w:col w:w="11240"/>
          </w:cols>
          <w:pgMar w:left="320" w:top="85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A. Olin, certify that:</w:t>
      </w:r>
    </w:p>
    <w:p>
      <w:pPr>
        <w:spacing w:after="0" w:line="114" w:lineRule="exact"/>
        <w:rPr>
          <w:sz w:val="20"/>
          <w:szCs w:val="20"/>
          <w:color w:val="auto"/>
        </w:rPr>
      </w:pPr>
    </w:p>
    <w:p>
      <w:pPr>
        <w:ind w:left="640" w:hanging="173"/>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October 23,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JOHN A. OLIN</w:t>
            </w:r>
          </w:p>
        </w:tc>
      </w:tr>
      <w:tr>
        <w:trPr>
          <w:trHeight w:val="21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John A. Olin</w:t>
            </w:r>
          </w:p>
        </w:tc>
      </w:tr>
      <w:tr>
        <w:trPr>
          <w:trHeight w:val="227"/>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bl>
    <w:p>
      <w:pPr>
        <w:sectPr>
          <w:pgSz w:w="11900" w:h="16838" w:orient="portrait"/>
          <w:cols w:equalWidth="0" w:num="1">
            <w:col w:w="11240"/>
          </w:cols>
          <w:pgMar w:left="320" w:top="85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7" w:lineRule="exact"/>
        <w:rPr>
          <w:sz w:val="20"/>
          <w:szCs w:val="20"/>
          <w:color w:val="auto"/>
        </w:rPr>
      </w:pPr>
    </w:p>
    <w:p>
      <w:pPr>
        <w:ind w:right="20" w:firstLine="464"/>
        <w:spacing w:after="0" w:line="266" w:lineRule="auto"/>
        <w:rPr>
          <w:sz w:val="20"/>
          <w:szCs w:val="20"/>
          <w:color w:val="auto"/>
        </w:rPr>
      </w:pPr>
      <w:r>
        <w:rPr>
          <w:rFonts w:ascii="Times New Roman" w:cs="Times New Roman" w:eastAsia="Times New Roman" w:hAnsi="Times New Roman"/>
          <w:sz w:val="17"/>
          <w:szCs w:val="17"/>
          <w:color w:val="auto"/>
        </w:rPr>
        <w:t>Pursuant to 18 U.S.C. § 1350, the undersigned officers of Westinghouse Air Brake Technologies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hereby certify, to the best of their knowledge, that the Company’s Quarterly Report on Form 10-Q for the quarter ended September 30, 2024 (the “</w:t>
      </w:r>
      <w:r>
        <w:rPr>
          <w:rFonts w:ascii="Times New Roman" w:cs="Times New Roman" w:eastAsia="Times New Roman" w:hAnsi="Times New Roman"/>
          <w:sz w:val="17"/>
          <w:szCs w:val="17"/>
          <w:i w:val="1"/>
          <w:iCs w:val="1"/>
          <w:color w:val="auto"/>
        </w:rPr>
        <w:t>Report</w:t>
      </w:r>
      <w:r>
        <w:rPr>
          <w:rFonts w:ascii="Times New Roman" w:cs="Times New Roman" w:eastAsia="Times New Roman" w:hAnsi="Times New Roman"/>
          <w:sz w:val="17"/>
          <w:szCs w:val="17"/>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RAFAEL SANTANA</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October 23, 2024</w:t>
            </w:r>
          </w:p>
        </w:tc>
      </w:tr>
      <w:tr>
        <w:trPr>
          <w:trHeight w:val="470"/>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JOHN A. OLIN</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John A. Olin</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October 23, 2024</w:t>
            </w: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2024-10-23T09:41:39Z</dcterms:created>
  <dcterms:modified xsi:type="dcterms:W3CDTF">2024-10-23T09:41:39Z</dcterms:modified>
</cp:coreProperties>
</file>