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9" w:lineRule="exact"/>
        <w:rPr>
          <w:sz w:val="24"/>
          <w:szCs w:val="24"/>
          <w:color w:val="auto"/>
        </w:rPr>
      </w:pPr>
    </w:p>
    <w:p>
      <w:pPr>
        <w:ind w:left="500" w:right="420" w:hanging="465"/>
        <w:spacing w:after="0" w:line="262"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00" w:right="420" w:hanging="465"/>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44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210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41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Commission file number: 033-90866</w:t>
            </w:r>
          </w:p>
        </w:tc>
        <w:tc>
          <w:tcPr>
            <w:tcW w:w="2100" w:type="dxa"/>
            <w:vAlign w:val="bottom"/>
          </w:tcPr>
          <w:p>
            <w:pPr>
              <w:spacing w:after="0"/>
              <w:rPr>
                <w:sz w:val="23"/>
                <w:szCs w:val="23"/>
                <w:color w:val="auto"/>
              </w:rPr>
            </w:pPr>
          </w:p>
        </w:tc>
      </w:tr>
      <w:tr>
        <w:trPr>
          <w:trHeight w:val="234"/>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2100" w:type="dxa"/>
            <w:vAlign w:val="bottom"/>
          </w:tcPr>
          <w:p>
            <w:pPr>
              <w:spacing w:after="0"/>
              <w:rPr>
                <w:sz w:val="20"/>
                <w:szCs w:val="20"/>
                <w:color w:val="auto"/>
              </w:rPr>
            </w:pPr>
          </w:p>
        </w:tc>
      </w:tr>
      <w:tr>
        <w:trPr>
          <w:trHeight w:val="446"/>
        </w:trPr>
        <w:tc>
          <w:tcPr>
            <w:tcW w:w="9540" w:type="dxa"/>
            <w:vAlign w:val="bottom"/>
            <w:gridSpan w:val="3"/>
          </w:tcPr>
          <w:p>
            <w:pPr>
              <w:jc w:val="center"/>
              <w:ind w:left="910"/>
              <w:spacing w:after="0"/>
              <w:rPr>
                <w:sz w:val="20"/>
                <w:szCs w:val="20"/>
                <w:color w:val="auto"/>
              </w:rPr>
            </w:pPr>
            <w:r>
              <w:rPr>
                <w:rFonts w:ascii="Times New Roman" w:cs="Times New Roman" w:eastAsia="Times New Roman" w:hAnsi="Times New Roman"/>
                <w:sz w:val="38"/>
                <w:szCs w:val="38"/>
                <w:b w:val="1"/>
                <w:bCs w:val="1"/>
                <w:color w:val="auto"/>
                <w:w w:val="99"/>
              </w:rPr>
              <w:t>WESTINGHOUSE AIR BRAKE TECHNOLOGIES</w:t>
            </w:r>
          </w:p>
        </w:tc>
      </w:tr>
      <w:tr>
        <w:trPr>
          <w:trHeight w:val="459"/>
        </w:trPr>
        <w:tc>
          <w:tcPr>
            <w:tcW w:w="3280" w:type="dxa"/>
            <w:vAlign w:val="bottom"/>
          </w:tcPr>
          <w:p>
            <w:pPr>
              <w:spacing w:after="0"/>
              <w:rPr>
                <w:sz w:val="24"/>
                <w:szCs w:val="24"/>
                <w:color w:val="auto"/>
              </w:rPr>
            </w:pPr>
          </w:p>
        </w:tc>
        <w:tc>
          <w:tcPr>
            <w:tcW w:w="4160" w:type="dxa"/>
            <w:vAlign w:val="bottom"/>
          </w:tcPr>
          <w:p>
            <w:pPr>
              <w:jc w:val="center"/>
              <w:ind w:right="82"/>
              <w:spacing w:after="0"/>
              <w:rPr>
                <w:sz w:val="20"/>
                <w:szCs w:val="20"/>
                <w:color w:val="auto"/>
              </w:rPr>
            </w:pPr>
            <w:r>
              <w:rPr>
                <w:rFonts w:ascii="Times New Roman" w:cs="Times New Roman" w:eastAsia="Times New Roman" w:hAnsi="Times New Roman"/>
                <w:sz w:val="38"/>
                <w:szCs w:val="38"/>
                <w:b w:val="1"/>
                <w:bCs w:val="1"/>
                <w:color w:val="auto"/>
                <w:w w:val="98"/>
              </w:rPr>
              <w:t>CORPORATION</w:t>
            </w:r>
          </w:p>
        </w:tc>
        <w:tc>
          <w:tcPr>
            <w:tcW w:w="210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41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100" w:type="dxa"/>
            <w:vAlign w:val="bottom"/>
          </w:tcPr>
          <w:p>
            <w:pPr>
              <w:spacing w:after="0"/>
              <w:rPr>
                <w:sz w:val="19"/>
                <w:szCs w:val="19"/>
                <w:color w:val="auto"/>
              </w:rPr>
            </w:pPr>
          </w:p>
        </w:tc>
      </w:tr>
      <w:tr>
        <w:trPr>
          <w:trHeight w:val="234"/>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2100" w:type="dxa"/>
            <w:vAlign w:val="bottom"/>
          </w:tcPr>
          <w:p>
            <w:pPr>
              <w:spacing w:after="0"/>
              <w:rPr>
                <w:sz w:val="20"/>
                <w:szCs w:val="20"/>
                <w:color w:val="auto"/>
              </w:rPr>
            </w:pPr>
          </w:p>
        </w:tc>
      </w:tr>
      <w:tr>
        <w:trPr>
          <w:trHeight w:val="363"/>
        </w:trPr>
        <w:tc>
          <w:tcPr>
            <w:tcW w:w="3280" w:type="dxa"/>
            <w:vAlign w:val="bottom"/>
          </w:tcPr>
          <w:p>
            <w:pPr>
              <w:jc w:val="center"/>
              <w:ind w:left="147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4160" w:type="dxa"/>
            <w:vAlign w:val="bottom"/>
          </w:tcPr>
          <w:p>
            <w:pPr>
              <w:spacing w:after="0"/>
              <w:rPr>
                <w:sz w:val="24"/>
                <w:szCs w:val="24"/>
                <w:color w:val="auto"/>
              </w:rPr>
            </w:pPr>
          </w:p>
        </w:tc>
        <w:tc>
          <w:tcPr>
            <w:tcW w:w="2100" w:type="dxa"/>
            <w:vAlign w:val="bottom"/>
          </w:tcPr>
          <w:p>
            <w:pPr>
              <w:jc w:val="right"/>
              <w:ind w:right="925"/>
              <w:spacing w:after="0"/>
              <w:rPr>
                <w:sz w:val="20"/>
                <w:szCs w:val="20"/>
                <w:color w:val="auto"/>
              </w:rPr>
            </w:pPr>
            <w:r>
              <w:rPr>
                <w:rFonts w:ascii="Times New Roman" w:cs="Times New Roman" w:eastAsia="Times New Roman" w:hAnsi="Times New Roman"/>
                <w:sz w:val="17"/>
                <w:szCs w:val="17"/>
                <w:b w:val="1"/>
                <w:bCs w:val="1"/>
                <w:color w:val="auto"/>
              </w:rPr>
              <w:t>25-1615902</w:t>
            </w:r>
          </w:p>
        </w:tc>
      </w:tr>
      <w:tr>
        <w:trPr>
          <w:trHeight w:val="188"/>
        </w:trPr>
        <w:tc>
          <w:tcPr>
            <w:tcW w:w="3280" w:type="dxa"/>
            <w:vAlign w:val="bottom"/>
          </w:tcPr>
          <w:p>
            <w:pPr>
              <w:jc w:val="center"/>
              <w:ind w:left="1490"/>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4160" w:type="dxa"/>
            <w:vAlign w:val="bottom"/>
          </w:tcPr>
          <w:p>
            <w:pPr>
              <w:spacing w:after="0"/>
              <w:rPr>
                <w:sz w:val="16"/>
                <w:szCs w:val="16"/>
                <w:color w:val="auto"/>
              </w:rPr>
            </w:pPr>
          </w:p>
        </w:tc>
        <w:tc>
          <w:tcPr>
            <w:tcW w:w="2100" w:type="dxa"/>
            <w:vAlign w:val="bottom"/>
          </w:tcPr>
          <w:p>
            <w:pPr>
              <w:jc w:val="center"/>
              <w:ind w:right="645"/>
              <w:spacing w:after="0"/>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7440" w:type="dxa"/>
            <w:vAlign w:val="bottom"/>
            <w:gridSpan w:val="2"/>
          </w:tcPr>
          <w:p>
            <w:pPr>
              <w:jc w:val="center"/>
              <w:ind w:right="2502"/>
              <w:spacing w:after="0"/>
              <w:rPr>
                <w:sz w:val="20"/>
                <w:szCs w:val="20"/>
                <w:color w:val="auto"/>
              </w:rPr>
            </w:pPr>
            <w:r>
              <w:rPr>
                <w:rFonts w:ascii="Times New Roman" w:cs="Times New Roman" w:eastAsia="Times New Roman" w:hAnsi="Times New Roman"/>
                <w:sz w:val="14"/>
                <w:szCs w:val="14"/>
                <w:b w:val="1"/>
                <w:bCs w:val="1"/>
                <w:color w:val="auto"/>
                <w:w w:val="96"/>
              </w:rPr>
              <w:t>of incorporation or organization)</w:t>
            </w:r>
          </w:p>
        </w:tc>
        <w:tc>
          <w:tcPr>
            <w:tcW w:w="2100" w:type="dxa"/>
            <w:vAlign w:val="bottom"/>
          </w:tcPr>
          <w:p>
            <w:pPr>
              <w:jc w:val="center"/>
              <w:ind w:right="645"/>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53"/>
        </w:trPr>
        <w:tc>
          <w:tcPr>
            <w:tcW w:w="3280" w:type="dxa"/>
            <w:vAlign w:val="bottom"/>
          </w:tcPr>
          <w:p>
            <w:pPr>
              <w:jc w:val="center"/>
              <w:ind w:left="1490"/>
              <w:spacing w:after="0"/>
              <w:rPr>
                <w:sz w:val="20"/>
                <w:szCs w:val="20"/>
                <w:color w:val="auto"/>
              </w:rPr>
            </w:pPr>
            <w:r>
              <w:rPr>
                <w:rFonts w:ascii="Times New Roman" w:cs="Times New Roman" w:eastAsia="Times New Roman" w:hAnsi="Times New Roman"/>
                <w:sz w:val="17"/>
                <w:szCs w:val="17"/>
                <w:b w:val="1"/>
                <w:bCs w:val="1"/>
                <w:color w:val="auto"/>
                <w:w w:val="99"/>
              </w:rPr>
              <w:t>1001 Air Brake Avenue</w:t>
            </w:r>
          </w:p>
        </w:tc>
        <w:tc>
          <w:tcPr>
            <w:tcW w:w="4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0"/>
        </w:trPr>
        <w:tc>
          <w:tcPr>
            <w:tcW w:w="3280" w:type="dxa"/>
            <w:vAlign w:val="bottom"/>
          </w:tcPr>
          <w:p>
            <w:pPr>
              <w:jc w:val="center"/>
              <w:ind w:left="1490"/>
              <w:spacing w:after="0"/>
              <w:rPr>
                <w:sz w:val="20"/>
                <w:szCs w:val="20"/>
                <w:color w:val="auto"/>
              </w:rPr>
            </w:pPr>
            <w:r>
              <w:rPr>
                <w:rFonts w:ascii="Times New Roman" w:cs="Times New Roman" w:eastAsia="Times New Roman" w:hAnsi="Times New Roman"/>
                <w:sz w:val="17"/>
                <w:szCs w:val="17"/>
                <w:b w:val="1"/>
                <w:bCs w:val="1"/>
                <w:color w:val="auto"/>
                <w:w w:val="99"/>
              </w:rPr>
              <w:t>Wilmerding, PA</w:t>
            </w:r>
          </w:p>
        </w:tc>
        <w:tc>
          <w:tcPr>
            <w:tcW w:w="4160" w:type="dxa"/>
            <w:vAlign w:val="bottom"/>
          </w:tcPr>
          <w:p>
            <w:pPr>
              <w:spacing w:after="0"/>
              <w:rPr>
                <w:sz w:val="20"/>
                <w:szCs w:val="20"/>
                <w:color w:val="auto"/>
              </w:rPr>
            </w:pPr>
          </w:p>
        </w:tc>
        <w:tc>
          <w:tcPr>
            <w:tcW w:w="2100" w:type="dxa"/>
            <w:vAlign w:val="bottom"/>
          </w:tcPr>
          <w:p>
            <w:pPr>
              <w:jc w:val="right"/>
              <w:ind w:right="1125"/>
              <w:spacing w:after="0"/>
              <w:rPr>
                <w:sz w:val="20"/>
                <w:szCs w:val="20"/>
                <w:color w:val="auto"/>
              </w:rPr>
            </w:pPr>
            <w:r>
              <w:rPr>
                <w:rFonts w:ascii="Times New Roman" w:cs="Times New Roman" w:eastAsia="Times New Roman" w:hAnsi="Times New Roman"/>
                <w:sz w:val="17"/>
                <w:szCs w:val="17"/>
                <w:b w:val="1"/>
                <w:bCs w:val="1"/>
                <w:color w:val="auto"/>
              </w:rPr>
              <w:t>15148</w:t>
            </w:r>
          </w:p>
        </w:tc>
      </w:tr>
      <w:tr>
        <w:trPr>
          <w:trHeight w:val="209"/>
        </w:trPr>
        <w:tc>
          <w:tcPr>
            <w:tcW w:w="7440" w:type="dxa"/>
            <w:vAlign w:val="bottom"/>
            <w:gridSpan w:val="2"/>
          </w:tcPr>
          <w:p>
            <w:pPr>
              <w:jc w:val="center"/>
              <w:ind w:right="250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100" w:type="dxa"/>
            <w:vAlign w:val="bottom"/>
          </w:tcPr>
          <w:p>
            <w:pPr>
              <w:jc w:val="center"/>
              <w:ind w:right="645"/>
              <w:spacing w:after="0"/>
              <w:rPr>
                <w:sz w:val="20"/>
                <w:szCs w:val="20"/>
                <w:color w:val="auto"/>
              </w:rPr>
            </w:pPr>
            <w:r>
              <w:rPr>
                <w:rFonts w:ascii="Times New Roman" w:cs="Times New Roman" w:eastAsia="Times New Roman" w:hAnsi="Times New Roman"/>
                <w:sz w:val="14"/>
                <w:szCs w:val="14"/>
                <w:b w:val="1"/>
                <w:bCs w:val="1"/>
                <w:color w:val="auto"/>
                <w:w w:val="94"/>
              </w:rPr>
              <w:t>(Zip code)</w:t>
            </w:r>
          </w:p>
        </w:tc>
      </w:tr>
      <w:tr>
        <w:trPr>
          <w:trHeight w:val="214"/>
        </w:trPr>
        <w:tc>
          <w:tcPr>
            <w:tcW w:w="3280" w:type="dxa"/>
            <w:vAlign w:val="bottom"/>
          </w:tcPr>
          <w:p>
            <w:pPr>
              <w:spacing w:after="0"/>
              <w:rPr>
                <w:sz w:val="18"/>
                <w:szCs w:val="18"/>
                <w:color w:val="auto"/>
              </w:rPr>
            </w:pPr>
          </w:p>
        </w:tc>
        <w:tc>
          <w:tcPr>
            <w:tcW w:w="41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412-825-1000</w:t>
            </w:r>
          </w:p>
        </w:tc>
        <w:tc>
          <w:tcPr>
            <w:tcW w:w="2100" w:type="dxa"/>
            <w:vAlign w:val="bottom"/>
          </w:tcPr>
          <w:p>
            <w:pPr>
              <w:spacing w:after="0"/>
              <w:rPr>
                <w:sz w:val="18"/>
                <w:szCs w:val="18"/>
                <w:color w:val="auto"/>
              </w:rPr>
            </w:pPr>
          </w:p>
        </w:tc>
      </w:tr>
      <w:tr>
        <w:trPr>
          <w:trHeight w:val="190"/>
        </w:trPr>
        <w:tc>
          <w:tcPr>
            <w:tcW w:w="3280" w:type="dxa"/>
            <w:vAlign w:val="bottom"/>
          </w:tcPr>
          <w:p>
            <w:pPr>
              <w:spacing w:after="0"/>
              <w:rPr>
                <w:sz w:val="16"/>
                <w:szCs w:val="16"/>
                <w:color w:val="auto"/>
              </w:rPr>
            </w:pPr>
          </w:p>
        </w:tc>
        <w:tc>
          <w:tcPr>
            <w:tcW w:w="41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100" w:type="dxa"/>
            <w:vAlign w:val="bottom"/>
          </w:tcPr>
          <w:p>
            <w:pPr>
              <w:spacing w:after="0"/>
              <w:rPr>
                <w:sz w:val="16"/>
                <w:szCs w:val="16"/>
                <w:color w:val="auto"/>
              </w:rPr>
            </w:pPr>
          </w:p>
        </w:tc>
      </w:tr>
      <w:tr>
        <w:trPr>
          <w:trHeight w:val="242"/>
        </w:trPr>
        <w:tc>
          <w:tcPr>
            <w:tcW w:w="3280" w:type="dxa"/>
            <w:vAlign w:val="bottom"/>
          </w:tcPr>
          <w:p>
            <w:pPr>
              <w:spacing w:after="0"/>
              <w:rPr>
                <w:sz w:val="21"/>
                <w:szCs w:val="21"/>
                <w:color w:val="auto"/>
              </w:rPr>
            </w:pPr>
          </w:p>
        </w:tc>
        <w:tc>
          <w:tcPr>
            <w:tcW w:w="41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2100" w:type="dxa"/>
            <w:vAlign w:val="bottom"/>
          </w:tcPr>
          <w:p>
            <w:pPr>
              <w:spacing w:after="0"/>
              <w:rPr>
                <w:sz w:val="21"/>
                <w:szCs w:val="21"/>
                <w:color w:val="auto"/>
              </w:rPr>
            </w:pPr>
          </w:p>
        </w:tc>
      </w:tr>
      <w:tr>
        <w:trPr>
          <w:trHeight w:val="168"/>
        </w:trPr>
        <w:tc>
          <w:tcPr>
            <w:tcW w:w="9540" w:type="dxa"/>
            <w:vAlign w:val="bottom"/>
            <w:gridSpan w:val="3"/>
          </w:tcPr>
          <w:p>
            <w:pPr>
              <w:jc w:val="center"/>
              <w:ind w:left="91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233"/>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2100" w:type="dxa"/>
            <w:vAlign w:val="bottom"/>
          </w:tcPr>
          <w:p>
            <w:pPr>
              <w:spacing w:after="0"/>
              <w:rPr>
                <w:sz w:val="20"/>
                <w:szCs w:val="20"/>
                <w:color w:val="auto"/>
              </w:rPr>
            </w:pPr>
          </w:p>
        </w:tc>
      </w:tr>
    </w:tbl>
    <w:p>
      <w:pPr>
        <w:ind w:left="500"/>
        <w:spacing w:after="0" w:line="236"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w:t>
      </w:r>
    </w:p>
    <w:p>
      <w:pPr>
        <w:spacing w:after="0" w:line="177" w:lineRule="exact"/>
        <w:rPr>
          <w:sz w:val="20"/>
          <w:szCs w:val="20"/>
          <w:color w:val="auto"/>
        </w:rPr>
      </w:pPr>
      <w:r>
        <w:rPr>
          <w:rFonts w:ascii="Times New Roman" w:cs="Times New Roman" w:eastAsia="Times New Roman" w:hAnsi="Times New Roman"/>
          <w:sz w:val="15"/>
          <w:szCs w:val="15"/>
          <w:color w:val="auto"/>
        </w:rPr>
        <w:t xml:space="preserve">months (or for such shorter period that the registrant was required to file such reports), and (2) has been subject to such filing requirements for the past 90 days. Yes x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5"/>
          <w:szCs w:val="15"/>
          <w:color w:val="auto"/>
        </w:rPr>
        <w:t>☐</w:t>
      </w:r>
    </w:p>
    <w:p>
      <w:pPr>
        <w:spacing w:after="0" w:line="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7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x</w:t>
            </w:r>
          </w:p>
        </w:tc>
        <w:tc>
          <w:tcPr>
            <w:tcW w:w="2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Accelerated filer</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Non-accelerated filer</w:t>
            </w:r>
          </w:p>
        </w:tc>
        <w:tc>
          <w:tcPr>
            <w:tcW w:w="60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6"/>
              </w:rPr>
              <w:t>(Do not check if smaller reporting company)</w:t>
            </w:r>
          </w:p>
        </w:tc>
        <w:tc>
          <w:tcPr>
            <w:tcW w:w="0" w:type="dxa"/>
            <w:vAlign w:val="bottom"/>
          </w:tcPr>
          <w:p>
            <w:pPr>
              <w:spacing w:after="0"/>
              <w:rPr>
                <w:sz w:val="1"/>
                <w:szCs w:val="1"/>
                <w:color w:val="auto"/>
              </w:rPr>
            </w:pPr>
          </w:p>
        </w:tc>
      </w:tr>
      <w:tr>
        <w:trPr>
          <w:trHeight w:val="243"/>
        </w:trPr>
        <w:tc>
          <w:tcPr>
            <w:tcW w:w="20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70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280" w:firstLine="50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500" w:right="2840"/>
        <w:spacing w:after="0" w:line="22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x Indicate the number of shares outstanding of each of the issuer’s classes of common stock, as of the latest practicable date.</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July 28, 2017</w:t>
            </w:r>
          </w:p>
        </w:tc>
      </w:tr>
      <w:tr>
        <w:trPr>
          <w:trHeight w:val="247"/>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95,984,443 shares</w:t>
            </w:r>
          </w:p>
        </w:tc>
      </w:tr>
      <w:tr>
        <w:trPr>
          <w:trHeight w:val="143"/>
        </w:trPr>
        <w:tc>
          <w:tcPr>
            <w:tcW w:w="5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497"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WESTINGHOUSE AIR BRAKE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TECHNOLOGIES CORPORATION</w:t>
      </w:r>
    </w:p>
    <w:p>
      <w:pPr>
        <w:spacing w:after="0" w:line="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560" w:type="dxa"/>
            <w:vAlign w:val="bottom"/>
          </w:tcPr>
          <w:p>
            <w:pPr>
              <w:spacing w:after="0"/>
              <w:rPr>
                <w:sz w:val="21"/>
                <w:szCs w:val="2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5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 (Unaudited)</w:t>
              </w:r>
            </w:hyperlink>
          </w:p>
        </w:tc>
        <w:tc>
          <w:tcPr>
            <w:tcW w:w="7380" w:type="dxa"/>
            <w:vAlign w:val="bottom"/>
            <w:gridSpan w:val="9"/>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372"/>
        </w:trPr>
        <w:tc>
          <w:tcPr>
            <w:tcW w:w="920" w:type="dxa"/>
            <w:vAlign w:val="bottom"/>
          </w:tcPr>
          <w:p>
            <w:pPr>
              <w:spacing w:after="0"/>
              <w:rPr>
                <w:sz w:val="24"/>
                <w:szCs w:val="24"/>
                <w:color w:val="auto"/>
              </w:rPr>
            </w:pPr>
          </w:p>
        </w:tc>
        <w:tc>
          <w:tcPr>
            <w:tcW w:w="6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2017 and December 31, 2016</w:t>
              </w:r>
            </w:hyperlink>
          </w:p>
        </w:tc>
        <w:tc>
          <w:tcPr>
            <w:tcW w:w="3760" w:type="dxa"/>
            <w:vAlign w:val="bottom"/>
            <w:gridSpan w:val="5"/>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372"/>
        </w:trPr>
        <w:tc>
          <w:tcPr>
            <w:tcW w:w="920" w:type="dxa"/>
            <w:vAlign w:val="bottom"/>
          </w:tcPr>
          <w:p>
            <w:pPr>
              <w:spacing w:after="0"/>
              <w:rPr>
                <w:sz w:val="24"/>
                <w:szCs w:val="24"/>
                <w:color w:val="auto"/>
              </w:rPr>
            </w:pPr>
          </w:p>
        </w:tc>
        <w:tc>
          <w:tcPr>
            <w:tcW w:w="77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 for the three and six months ended June 30, 2017 and 2016</w:t>
              </w:r>
            </w:hyperlink>
          </w:p>
        </w:tc>
        <w:tc>
          <w:tcPr>
            <w:tcW w:w="2200" w:type="dxa"/>
            <w:vAlign w:val="bottom"/>
            <w:gridSpan w:val="2"/>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372"/>
        </w:trPr>
        <w:tc>
          <w:tcPr>
            <w:tcW w:w="920" w:type="dxa"/>
            <w:vAlign w:val="bottom"/>
          </w:tcPr>
          <w:p>
            <w:pPr>
              <w:spacing w:after="0"/>
              <w:rPr>
                <w:sz w:val="24"/>
                <w:szCs w:val="24"/>
                <w:color w:val="auto"/>
              </w:rPr>
            </w:pPr>
          </w:p>
        </w:tc>
        <w:tc>
          <w:tcPr>
            <w:tcW w:w="8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and six months ended June 30, 2017 and 2016</w:t>
              </w:r>
            </w:hyperlink>
          </w:p>
        </w:tc>
        <w:tc>
          <w:tcPr>
            <w:tcW w:w="1020" w:type="dxa"/>
            <w:vAlign w:val="bottom"/>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372"/>
        </w:trPr>
        <w:tc>
          <w:tcPr>
            <w:tcW w:w="920" w:type="dxa"/>
            <w:vAlign w:val="bottom"/>
          </w:tcPr>
          <w:p>
            <w:pPr>
              <w:spacing w:after="0"/>
              <w:rPr>
                <w:sz w:val="24"/>
                <w:szCs w:val="24"/>
                <w:color w:val="auto"/>
              </w:rPr>
            </w:pPr>
          </w:p>
        </w:tc>
        <w:tc>
          <w:tcPr>
            <w:tcW w:w="7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June 30, 2017 and 2016</w:t>
              </w:r>
            </w:hyperlink>
          </w:p>
        </w:tc>
        <w:tc>
          <w:tcPr>
            <w:tcW w:w="2600" w:type="dxa"/>
            <w:vAlign w:val="bottom"/>
            <w:gridSpan w:val="3"/>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385"/>
        </w:trPr>
        <w:tc>
          <w:tcPr>
            <w:tcW w:w="920" w:type="dxa"/>
            <w:vAlign w:val="bottom"/>
          </w:tcPr>
          <w:p>
            <w:pPr>
              <w:spacing w:after="0"/>
              <w:rPr>
                <w:sz w:val="24"/>
                <w:szCs w:val="24"/>
                <w:color w:val="auto"/>
              </w:rPr>
            </w:pP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40" w:type="dxa"/>
            <w:vAlign w:val="bottom"/>
            <w:gridSpan w:val="4"/>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46</w:t>
              </w:r>
            </w:hyperlink>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Controls and Procedures</w:t>
              </w:r>
            </w:hyperlink>
          </w:p>
        </w:tc>
        <w:tc>
          <w:tcPr>
            <w:tcW w:w="5600" w:type="dxa"/>
            <w:vAlign w:val="bottom"/>
            <w:gridSpan w:val="7"/>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5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Legal Proceedings</w:t>
              </w:r>
            </w:hyperlink>
          </w:p>
        </w:tc>
        <w:tc>
          <w:tcPr>
            <w:tcW w:w="560" w:type="dxa"/>
            <w:vAlign w:val="bottom"/>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8">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tcPr>
          <w:p>
            <w:pPr>
              <w:spacing w:after="0"/>
              <w:rPr>
                <w:sz w:val="24"/>
                <w:szCs w:val="24"/>
                <w:color w:val="auto"/>
              </w:rPr>
            </w:pPr>
          </w:p>
        </w:tc>
        <w:tc>
          <w:tcPr>
            <w:tcW w:w="8580" w:type="dxa"/>
            <w:vAlign w:val="bottom"/>
            <w:gridSpan w:val="11"/>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5"/>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Unregistered Sales of Equity Securities and Use of Proceeds</w:t>
              </w:r>
            </w:hyperlink>
          </w:p>
        </w:tc>
        <w:tc>
          <w:tcPr>
            <w:tcW w:w="560" w:type="dxa"/>
            <w:vAlign w:val="bottom"/>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Mine Safety Disclosures</w:t>
              </w:r>
            </w:hyperlink>
          </w:p>
        </w:tc>
        <w:tc>
          <w:tcPr>
            <w:tcW w:w="5560" w:type="dxa"/>
            <w:vAlign w:val="bottom"/>
            <w:gridSpan w:val="6"/>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Exhibits</w:t>
              </w:r>
            </w:hyperlink>
          </w:p>
        </w:tc>
        <w:tc>
          <w:tcPr>
            <w:tcW w:w="1160" w:type="dxa"/>
            <w:vAlign w:val="bottom"/>
            <w:tcBorders>
              <w:top w:val="single" w:sz="8" w:color="0000EE"/>
            </w:tcBorders>
            <w:gridSpan w:val="4"/>
          </w:tcPr>
          <w:p>
            <w:pPr>
              <w:spacing w:after="0"/>
              <w:rPr>
                <w:sz w:val="24"/>
                <w:szCs w:val="24"/>
                <w:color w:val="auto"/>
              </w:rPr>
            </w:pPr>
          </w:p>
        </w:tc>
        <w:tc>
          <w:tcPr>
            <w:tcW w:w="8140" w:type="dxa"/>
            <w:vAlign w:val="bottom"/>
            <w:gridSpan w:val="10"/>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37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Signatures</w:t>
              </w:r>
            </w:hyperlink>
          </w:p>
        </w:tc>
        <w:tc>
          <w:tcPr>
            <w:tcW w:w="9140" w:type="dxa"/>
            <w:vAlign w:val="bottom"/>
            <w:gridSpan w:val="13"/>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507"/>
        </w:trPr>
        <w:tc>
          <w:tcPr>
            <w:tcW w:w="920" w:type="dxa"/>
            <w:vAlign w:val="bottom"/>
          </w:tcPr>
          <w:p>
            <w:pPr>
              <w:spacing w:after="0"/>
              <w:rPr>
                <w:sz w:val="24"/>
                <w:szCs w:val="24"/>
                <w:color w:val="auto"/>
              </w:rPr>
            </w:pPr>
          </w:p>
        </w:tc>
        <w:tc>
          <w:tcPr>
            <w:tcW w:w="6140" w:type="dxa"/>
            <w:vAlign w:val="bottom"/>
            <w:gridSpan w:val="10"/>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shares and par value</w:t>
            </w:r>
          </w:p>
        </w:tc>
        <w:tc>
          <w:tcPr>
            <w:tcW w:w="60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18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500" w:type="dxa"/>
            <w:vAlign w:val="bottom"/>
            <w:tcBorders>
              <w:bottom w:val="single" w:sz="8" w:color="auto"/>
            </w:tcBorders>
            <w:vMerge w:val="continue"/>
          </w:tcPr>
          <w:p>
            <w:pPr>
              <w:spacing w:after="0"/>
              <w:rPr>
                <w:sz w:val="13"/>
                <w:szCs w:val="13"/>
                <w:color w:val="auto"/>
              </w:rPr>
            </w:pPr>
          </w:p>
        </w:tc>
        <w:tc>
          <w:tcPr>
            <w:tcW w:w="6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1"/>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328,522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398,484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812,727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667,596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316,264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274,912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746,236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658,510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in escrow</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744,748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141,060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123,381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2,344,809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2,867,631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975,599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912,230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(393,854)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547,842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518,376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2,343,608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2,078,765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1,129,365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1,053,860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73,116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62,386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3,546,089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3,195,011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6,438,740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6,581,018</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548,150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530,211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373,361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256,591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146,537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145,324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130,782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123,190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129,809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232,576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261,514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1,482,099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1,446,639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1,934,604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1,762,967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postretirement and pension benefits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110,597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245,680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15,802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22,508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3,854,369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3,604,193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14)</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1,000,000 shares authorized, no shares issued</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200,000,000 shares authorized:</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132,349,534 shares issued and 95,984,443 and 95,425,432 outstanding</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June 30, 2017 and December 31, 2016, respectively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898,459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869,951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at cost, 36,365,091 and 36,924,102 shares,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June 30, 2017 and December 31, 2016, respectively</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(838,950)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2,679,995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2,553,258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(379,605)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Westinghouse Air Brake Technologies Corporation shareholders' equity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2,566,857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2,205,977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770,848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2,584,371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2,976,825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6,438,740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6,581,018</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line="20" w:lineRule="exact"/>
              <w:rPr>
                <w:sz w:val="1"/>
                <w:szCs w:val="1"/>
                <w:color w:val="auto"/>
              </w:rPr>
            </w:pPr>
          </w:p>
        </w:tc>
        <w:tc>
          <w:tcPr>
            <w:tcW w:w="60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6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9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90" w:gutter="0" w:footer="0" w:header="0"/>
          <w:type w:val="continuous"/>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54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932,253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723,601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1,848,287</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1,495,632</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(1,003,063)</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273,963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237,389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543,670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492,569</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(170,361)</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(217,104)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113,701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228,559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275,465</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70"/>
        </w:trPr>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96,729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127,086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196,194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264,550</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(79,902)</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72,160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90,485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144,164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184,648</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(gain) loss attributable to noncontrolling interest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72,025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90,485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145,914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184,648</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95,641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89,846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95,370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90,832</w:t>
            </w:r>
          </w:p>
        </w:tc>
        <w:tc>
          <w:tcPr>
            <w:tcW w:w="0" w:type="dxa"/>
            <w:vAlign w:val="bottom"/>
          </w:tcPr>
          <w:p>
            <w:pPr>
              <w:spacing w:after="0"/>
              <w:rPr>
                <w:sz w:val="1"/>
                <w:szCs w:val="1"/>
                <w:color w:val="auto"/>
              </w:rPr>
            </w:pPr>
          </w:p>
        </w:tc>
      </w:tr>
      <w:tr>
        <w:trPr>
          <w:trHeight w:val="270"/>
        </w:trPr>
        <w:tc>
          <w:tcPr>
            <w:tcW w:w="5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96,284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90,559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96,071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91,628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80"/>
          </w:cols>
          <w:pgMar w:left="280" w:top="360"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6"/>
                <w:szCs w:val="16"/>
                <w:color w:val="auto"/>
              </w:rPr>
            </w:pPr>
          </w:p>
        </w:tc>
      </w:tr>
      <w:tr>
        <w:trPr>
          <w:trHeight w:val="161"/>
        </w:trPr>
        <w:tc>
          <w:tcPr>
            <w:tcW w:w="7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4"/>
        </w:trPr>
        <w:tc>
          <w:tcPr>
            <w:tcW w:w="7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72,025</w:t>
            </w:r>
          </w:p>
        </w:tc>
        <w:tc>
          <w:tcPr>
            <w:tcW w:w="12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90,485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145,914</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184,648</w:t>
            </w:r>
          </w:p>
        </w:tc>
      </w:tr>
      <w:tr>
        <w:trPr>
          <w:trHeight w:val="27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145,684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195,079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r>
      <w:tr>
        <w:trPr>
          <w:trHeight w:val="27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derivative contracts</w:t>
            </w: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5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pension benefit plans and post-retirement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7"/>
        </w:trPr>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147,400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195,414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(14,662)</w:t>
            </w:r>
          </w:p>
        </w:tc>
      </w:tr>
      <w:tr>
        <w:trPr>
          <w:trHeight w:val="27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 related to components of</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1,035</w:t>
            </w:r>
          </w:p>
        </w:tc>
      </w:tr>
      <w:tr>
        <w:trPr>
          <w:trHeight w:val="27"/>
        </w:trPr>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147,100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195,053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27"/>
        </w:trPr>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Wabtec shareholders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219,125</w:t>
            </w: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49,236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340,967</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171,021</w:t>
            </w:r>
          </w:p>
        </w:tc>
      </w:tr>
      <w:tr>
        <w:trPr>
          <w:trHeight w:val="20"/>
        </w:trPr>
        <w:tc>
          <w:tcPr>
            <w:tcW w:w="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280" w:top="360" w:right="339" w:bottom="1440" w:gutter="0" w:footer="0" w:header="0"/>
        </w:sectPr>
      </w:pPr>
    </w:p>
    <w:bookmarkStart w:id="5" w:name="page6"/>
    <w:bookmarkEnd w:id="5"/>
    <w:p>
      <w:pPr>
        <w:ind w:left="294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144,164</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184,648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cash (used for) provided by operations: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51,051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33,093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9,673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 and unbilled accounts receivable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income taxes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liabilities and customer deposits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86,937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6,587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213,976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Release of deposit in escrow</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23,548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debt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745,035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Payments of debt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(680,145)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(175,499)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 and other benefit plans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 of income tax withholding on share-based compensation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dividends ($0.20 and $0.16 per share for the six months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ended June 30, 2017 and 2016, respectively)</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41,590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30,732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(Decrease) Increase in cash</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76,744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Cash, beginning of period</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398,484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226,191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Cash,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328,522</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302,935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80" w:top="360" w:right="239" w:bottom="1440" w:gutter="0" w:footer="0" w:header="0"/>
        </w:sectPr>
      </w:pPr>
    </w:p>
    <w:bookmarkStart w:id="6" w:name="page7"/>
    <w:bookmarkEnd w:id="6"/>
    <w:p>
      <w:pPr>
        <w:ind w:left="298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21" w:lineRule="exact"/>
        <w:rPr>
          <w:sz w:val="20"/>
          <w:szCs w:val="20"/>
          <w:color w:val="auto"/>
        </w:rPr>
      </w:pPr>
    </w:p>
    <w:p>
      <w:pPr>
        <w:ind w:right="140" w:firstLine="500"/>
        <w:spacing w:after="0" w:line="256" w:lineRule="auto"/>
        <w:rPr>
          <w:sz w:val="20"/>
          <w:szCs w:val="20"/>
          <w:color w:val="auto"/>
        </w:rPr>
      </w:pPr>
      <w:r>
        <w:rPr>
          <w:rFonts w:ascii="Times New Roman" w:cs="Times New Roman" w:eastAsia="Times New Roman" w:hAnsi="Times New Roman"/>
          <w:sz w:val="18"/>
          <w:szCs w:val="18"/>
          <w:color w:val="auto"/>
        </w:rPr>
        <w:t>Westinghouse Air Brake Technologies Corporation (“Wabtec” or the "Company")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31 countries. In the first six months of 2017, approximately 65% of the Company’s revenues came from customers outside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17" w:lineRule="exact"/>
        <w:rPr>
          <w:sz w:val="20"/>
          <w:szCs w:val="20"/>
          <w:color w:val="auto"/>
        </w:rPr>
      </w:pPr>
    </w:p>
    <w:p>
      <w:pPr>
        <w:ind w:right="20" w:firstLine="5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unaudited condensed consolidated interim financial statements have been prepared in accordance with generally accepted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("GAAP") in the United States of America and the rules and regulations of the Securities and Exchange Commission and include the accounts of Wabtec and its majority owned subsidiaries.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operates on a four-four-five week accounting quarter, and the quarters end on or about March 31, June 30, September 30, and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07" w:lineRule="exact"/>
        <w:rPr>
          <w:sz w:val="20"/>
          <w:szCs w:val="20"/>
          <w:color w:val="auto"/>
        </w:rPr>
      </w:pPr>
    </w:p>
    <w:p>
      <w:pPr>
        <w:ind w:right="100" w:firstLine="500"/>
        <w:spacing w:after="0" w:line="266" w:lineRule="auto"/>
        <w:rPr>
          <w:sz w:val="20"/>
          <w:szCs w:val="20"/>
          <w:color w:val="auto"/>
        </w:rPr>
      </w:pPr>
      <w:r>
        <w:rPr>
          <w:rFonts w:ascii="Times New Roman" w:cs="Times New Roman" w:eastAsia="Times New Roman" w:hAnsi="Times New Roman"/>
          <w:sz w:val="18"/>
          <w:szCs w:val="18"/>
          <w:color w:val="auto"/>
        </w:rPr>
        <w:t>The notes included herein should be read in conjunction with the audited consolidated financial statements included in Wabtec’s Annual Report on Form 10-K for the year ended December 31, 2016. The December 31, 2016 information has been derived from the Company’s Annual Report on Form 10-K for the year ended December 31, 2016.</w:t>
      </w:r>
    </w:p>
    <w:p>
      <w:pPr>
        <w:spacing w:after="0" w:line="172" w:lineRule="exact"/>
        <w:rPr>
          <w:sz w:val="20"/>
          <w:szCs w:val="20"/>
          <w:color w:val="auto"/>
        </w:rPr>
      </w:pPr>
    </w:p>
    <w:p>
      <w:pPr>
        <w:ind w:right="2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Revenue is recognized in accordance with Accounting Standards Codification (“ASC”) 605 “Revenue Recognition.” Revenue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when products have been shipped to the respective customers, title has passed and the price for the product has been determined.</w:t>
      </w:r>
    </w:p>
    <w:p>
      <w:pPr>
        <w:spacing w:after="0" w:line="159"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In general, the Company recognizes revenue from long-term contracts based on the percentage of completion method of accounting. The units-of-delivery method or other input-based or output-based measures, as appropriate, are used to measure the progress toward completion of individual contracts. Contract revenues and cost estimates are reviewed and revised quarterly at a minimum and adjustments are reflected in the accounting period as such amounts are determined. Provisions are made currently for estimated losses on uncompleted contracts. Unbilled accounts receivables were $316.3 million and $274.9 million, customer deposits were $373.4 million and $256.6 million, and provisions for loss contracts were $86.9 million and $60.5 million at June 30, 2017 and December 31, 2016, respectively.</w:t>
      </w:r>
    </w:p>
    <w:p>
      <w:pPr>
        <w:spacing w:after="0" w:line="184" w:lineRule="exact"/>
        <w:rPr>
          <w:sz w:val="20"/>
          <w:szCs w:val="20"/>
          <w:color w:val="auto"/>
        </w:rPr>
      </w:pPr>
    </w:p>
    <w:p>
      <w:pPr>
        <w:ind w:right="22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Pre-Production Costs </w:t>
      </w:r>
      <w:r>
        <w:rPr>
          <w:rFonts w:ascii="Times New Roman" w:cs="Times New Roman" w:eastAsia="Times New Roman" w:hAnsi="Times New Roman"/>
          <w:sz w:val="18"/>
          <w:szCs w:val="18"/>
          <w:color w:val="auto"/>
        </w:rPr>
        <w:t>Certain pre-production costs relating to long-term production and supply contracts have been deferred and will be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life of the contracts. Deferred pre-production costs were $31.5 million and $29.4 million at June 30, 2017 and December 31, 2016, respectively.</w:t>
      </w:r>
    </w:p>
    <w:p>
      <w:pPr>
        <w:spacing w:after="0" w:line="155" w:lineRule="exact"/>
        <w:rPr>
          <w:sz w:val="20"/>
          <w:szCs w:val="20"/>
          <w:color w:val="auto"/>
        </w:rPr>
      </w:pPr>
    </w:p>
    <w:p>
      <w:pPr>
        <w:ind w:right="24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prior year amounts have been reclassified, where necessary, to conform to the current year presentation. Refer to Recently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Accounting Pronouncements below.</w:t>
      </w:r>
    </w:p>
    <w:p>
      <w:pPr>
        <w:spacing w:after="0" w:line="155" w:lineRule="exact"/>
        <w:rPr>
          <w:sz w:val="20"/>
          <w:szCs w:val="20"/>
          <w:color w:val="auto"/>
        </w:rPr>
      </w:pPr>
    </w:p>
    <w:p>
      <w:pPr>
        <w:ind w:right="40" w:firstLine="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generally accepted accounting principles in the United States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177" w:lineRule="exact"/>
        <w:rPr>
          <w:sz w:val="20"/>
          <w:szCs w:val="20"/>
          <w:color w:val="auto"/>
        </w:rPr>
      </w:pPr>
    </w:p>
    <w:p>
      <w:pPr>
        <w:ind w:right="320" w:firstLine="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Derivatives and Hedging Activities </w:t>
      </w:r>
      <w:r>
        <w:rPr>
          <w:rFonts w:ascii="Times New Roman" w:cs="Times New Roman" w:eastAsia="Times New Roman" w:hAnsi="Times New Roman"/>
          <w:sz w:val="18"/>
          <w:szCs w:val="18"/>
          <w:color w:val="auto"/>
        </w:rPr>
        <w:t>As part of its risk management strategy, the Company utilizes derivative financial instruments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 its exposure due to changes in foreign currencies and interest rates. For further information regarding financial derivatives and hedging activities, refer to Footnotes 12 and 13.</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0" w:right="259" w:bottom="1440" w:gutter="0" w:footer="0" w:header="0"/>
        </w:sectPr>
      </w:pPr>
    </w:p>
    <w:bookmarkStart w:id="7" w:name="page8"/>
    <w:bookmarkEnd w:id="7"/>
    <w:p>
      <w:pPr>
        <w:ind w:firstLine="5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Assets and liabilities of foreign subsidiaries, except for the Company’s Mexican operations whose functional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183" w:lineRule="exact"/>
        <w:rPr>
          <w:sz w:val="20"/>
          <w:szCs w:val="20"/>
          <w:color w:val="auto"/>
        </w:rPr>
      </w:pPr>
    </w:p>
    <w:p>
      <w:pPr>
        <w:ind w:right="200" w:firstLine="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Interests </w:t>
      </w:r>
      <w:r>
        <w:rPr>
          <w:rFonts w:ascii="Times New Roman" w:cs="Times New Roman" w:eastAsia="Times New Roman" w:hAnsi="Times New Roman"/>
          <w:sz w:val="18"/>
          <w:szCs w:val="18"/>
          <w:color w:val="auto"/>
        </w:rPr>
        <w:t>In accordance with ASC 810 "Consolidation", the Company has classified noncontrolling interests as equity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balance sheets as of June 30, 2017 and December 31, 2016. Net income attributable to noncontrolling interests for the three and six months ended June 30, 2017 was a $0.1 million gain and a $1.8 million loss, respectively, and was not material for the three and six months ended June 30, 2016. Other comprehensive income attributable to noncontrolling interests for the three and six months ended June 30, 2017 and 2016 was not material.</w:t>
      </w:r>
    </w:p>
    <w:p>
      <w:pPr>
        <w:spacing w:after="0" w:line="177" w:lineRule="exact"/>
        <w:rPr>
          <w:sz w:val="20"/>
          <w:szCs w:val="20"/>
          <w:color w:val="auto"/>
        </w:rPr>
      </w:pPr>
    </w:p>
    <w:p>
      <w:pPr>
        <w:ind w:right="60" w:firstLine="5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Pronouncements </w:t>
      </w:r>
      <w:r>
        <w:rPr>
          <w:rFonts w:ascii="Times New Roman" w:cs="Times New Roman" w:eastAsia="Times New Roman" w:hAnsi="Times New Roman"/>
          <w:sz w:val="18"/>
          <w:szCs w:val="18"/>
          <w:color w:val="auto"/>
        </w:rPr>
        <w:t>In March 2017, the Financial Accounting Standards Board ("FASB") issued Accounting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 arising from services rendered by the pertinent employees during the period. The other components of net benefit costs are required to be presented in the income statement separately from the service cost component and outside income from operations. This update also allows the service cost component to be eligible for capitalization when applicable. The ASU is effective for public companies in the fiscal years beginning after December 15, 2017, and interim periods within those fiscal years. Early adoption was permitted as of the beginning of an annual period. The amendments should be applied retrospectively for the presentation of the service cost component and the other components of net periodic pension cost and net periodic postretirement benefit cost in the income statement and prospectively for the capitalization of the service cost component of net periodic pension cost and net periodic postretirement benefit in assets. The Company does not expect the adoption of this guidance in 2018 to have a material impact on the Company's financial statements.</w:t>
      </w:r>
    </w:p>
    <w:p>
      <w:pPr>
        <w:spacing w:after="0" w:line="187" w:lineRule="exact"/>
        <w:rPr>
          <w:sz w:val="20"/>
          <w:szCs w:val="20"/>
          <w:color w:val="auto"/>
        </w:rPr>
      </w:pPr>
    </w:p>
    <w:p>
      <w:pPr>
        <w:ind w:right="160" w:firstLine="500"/>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substantially greater than the carrying value as of the Company's last quantitative goodwill impairment test, which was performed as of October 1, 2016.</w:t>
      </w:r>
    </w:p>
    <w:p>
      <w:pPr>
        <w:spacing w:after="0" w:line="185" w:lineRule="exact"/>
        <w:rPr>
          <w:sz w:val="20"/>
          <w:szCs w:val="20"/>
          <w:color w:val="auto"/>
        </w:rPr>
      </w:pPr>
    </w:p>
    <w:p>
      <w:pPr>
        <w:ind w:right="60" w:firstLine="500"/>
        <w:spacing w:after="0" w:line="256" w:lineRule="auto"/>
        <w:rPr>
          <w:sz w:val="20"/>
          <w:szCs w:val="20"/>
          <w:color w:val="auto"/>
        </w:rPr>
      </w:pPr>
      <w:r>
        <w:rPr>
          <w:rFonts w:ascii="Times New Roman" w:cs="Times New Roman" w:eastAsia="Times New Roman" w:hAnsi="Times New Roman"/>
          <w:sz w:val="18"/>
          <w:szCs w:val="18"/>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ASU is effective for public companies in the fiscal years beginning after December 15, 2017, and interim periods within those fiscal years. Early adoption is permitted. The Company is currently evaluating the potential impact of adopting this guidance on its consolidated financial statements.</w:t>
      </w:r>
    </w:p>
    <w:p>
      <w:pPr>
        <w:spacing w:after="0" w:line="188" w:lineRule="exact"/>
        <w:rPr>
          <w:sz w:val="20"/>
          <w:szCs w:val="20"/>
          <w:color w:val="auto"/>
        </w:rPr>
      </w:pPr>
    </w:p>
    <w:p>
      <w:pPr>
        <w:ind w:right="40" w:firstLine="50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ASU is effective for public companies in the fiscal years beginning after December 15, 2018, and interim periods within those fiscal years. The Company is currently evaluating the potential impact of adopting this guidance on its consolidated financial statements.</w:t>
      </w:r>
    </w:p>
    <w:p>
      <w:pPr>
        <w:spacing w:after="0" w:line="184" w:lineRule="exact"/>
        <w:rPr>
          <w:sz w:val="20"/>
          <w:szCs w:val="20"/>
          <w:color w:val="auto"/>
        </w:rPr>
      </w:pPr>
    </w:p>
    <w:p>
      <w:pPr>
        <w:ind w:right="240" w:firstLine="500"/>
        <w:spacing w:after="0" w:line="282"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 with Customers.” The ASU will supersede most of the existing revenue recognition requirements in U.S. GAAP and will require entities to recognize revenue at 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ind w:right="20"/>
        <w:spacing w:after="0" w:line="253" w:lineRule="auto"/>
        <w:rPr>
          <w:sz w:val="20"/>
          <w:szCs w:val="20"/>
          <w:color w:val="auto"/>
        </w:rPr>
      </w:pPr>
      <w:r>
        <w:rPr>
          <w:rFonts w:ascii="Times New Roman" w:cs="Times New Roman" w:eastAsia="Times New Roman" w:hAnsi="Times New Roman"/>
          <w:sz w:val="18"/>
          <w:szCs w:val="18"/>
          <w:color w:val="auto"/>
        </w:rPr>
        <w:t>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The Board voted to propose that the standard would take effect for reporting periods beginning after December 15, 2017 and that early adoption would be allowed as of the original effective date. The impact of adopting the new standard on net sales and operating income for the three and six months ended June 30, 2017 and 2016 is not expected to be material. The Company also does not expect a material impact to the consolidated balance sheet. The impact to results is not anticipated to be material because the analysis of the Company's current contracts under the new revenue recognition standard supports how the Company is currently recognizing revenue over time and at a point in time; however, the Company's conclusions may evolve as management completes its contract reviews and evaluation. The Company plans to adopt this accounting standard update using the modified retrospective method, with the cumulative effect of initially applying this update recognized in the first reporting period of 2018. The Company is in the process of drafting an updated accounting policy, evaluating new disclosure requirements and identifying and implementing appropriate changes to its business processes, systems and controls to support recognition and disclosure under the new guidance. The Company believes it is following an appropriate timeline to appropriately adopt this new standard on January 1, 2018.</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March 2016, the FASB issued ASU No. 2016-09, “Compensation - Stock Compensation (Topic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718): Improvements to Employee Share-Based Payment Accounting”. The ASU simplifies several aspects for the accounting for share-based payment transactions, including the income tax consequences, classification of awards as either equity or liabilities, and classification on the statement of cash flows. The ASU became effective for public companies during interim and annual reporting periods beginning after December 15, 2016. In accordance with this update, the Company began recognizing all excess tax deficiencies and tax benefits from share-based payment awards as a benefit or expense to income tax in the income statement. This update has been adopted prospectively in accordance with the ASU and the impact of adoption on the income statement was not material. Additionally in accordance with this update, the Company began classifying excess income tax benefits from exercise of stock options as an operating activity on the consolidated statement of cash flows. The Company elected to adopt this amendment retrospectively and the impact of the adoption on operating and financing cash flows for the three and six months ended June 30, 2016 was not material.</w:t>
      </w:r>
    </w:p>
    <w:p>
      <w:pPr>
        <w:spacing w:after="0" w:line="186"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which simplifies the presentation of deferred income taxes by requiring deferred tax assets and liabilities to be classified as noncurrent on the balance sheet. The Company elected to early adopt this ASU as of December 31, 2016; therefore, all deferred income tax assets and liabilities are classified in the noncurrent deferred income taxes line-items on the consolidated balance sheets.</w:t>
      </w:r>
    </w:p>
    <w:p>
      <w:pPr>
        <w:spacing w:after="0" w:line="176" w:lineRule="exact"/>
        <w:rPr>
          <w:sz w:val="20"/>
          <w:szCs w:val="20"/>
          <w:color w:val="auto"/>
        </w:rPr>
      </w:pPr>
    </w:p>
    <w:p>
      <w:pPr>
        <w:ind w:right="32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Comprehensive Income </w:t>
      </w:r>
      <w:r>
        <w:rPr>
          <w:rFonts w:ascii="Times New Roman" w:cs="Times New Roman" w:eastAsia="Times New Roman" w:hAnsi="Times New Roman"/>
          <w:sz w:val="18"/>
          <w:szCs w:val="18"/>
          <w:color w:val="auto"/>
        </w:rPr>
        <w:t>Comprehensive income comprises both net income and the change in equity from transactions and other events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from nonowner sources.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six months ended June 30, 2017 are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(379,605)</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195,079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193,028</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4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195,079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195,055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(184,550)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loss for the three months ended June 30, 2017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1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Statements of Income</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loss for the six months ended June 30, 2017 are as follows:</w:t>
      </w:r>
    </w:p>
    <w:p>
      <w:pPr>
        <w:spacing w:after="0" w:line="36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3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jc w:val="center"/>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20" w:type="dxa"/>
            <w:vAlign w:val="bottom"/>
          </w:tcPr>
          <w:p>
            <w:pPr>
              <w:spacing w:after="0"/>
              <w:rPr>
                <w:sz w:val="13"/>
                <w:szCs w:val="13"/>
                <w:color w:val="auto"/>
              </w:rPr>
            </w:pPr>
          </w:p>
        </w:tc>
        <w:tc>
          <w:tcPr>
            <w:tcW w:w="2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Statements of Income</w:t>
            </w: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initial net obligation and prior service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0"/>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20" w:type="dxa"/>
            <w:vAlign w:val="bottom"/>
          </w:tcPr>
          <w:p>
            <w:pPr>
              <w:spacing w:after="0"/>
              <w:rPr>
                <w:sz w:val="23"/>
                <w:szCs w:val="23"/>
                <w:color w:val="auto"/>
              </w:rPr>
            </w:pPr>
          </w:p>
        </w:tc>
        <w:tc>
          <w:tcPr>
            <w:tcW w:w="2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1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loss on derivative contracts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six months ended June 30, 2016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(276,719)</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(290,346)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80" w:top="580" w:right="2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loss for the three months ended June 30, 2016 are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1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loss for the six months ended June 30, 2016 are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In thousands</w:t>
            </w:r>
          </w:p>
        </w:tc>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6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jc w:val="center"/>
              <w:ind w:right="135"/>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Pr>
          <w:p>
            <w:pPr>
              <w:spacing w:after="0"/>
              <w:rPr>
                <w:sz w:val="11"/>
                <w:szCs w:val="11"/>
                <w:color w:val="auto"/>
              </w:rPr>
            </w:pPr>
          </w:p>
        </w:tc>
        <w:tc>
          <w:tcPr>
            <w:tcW w:w="21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48"/>
        </w:trPr>
        <w:tc>
          <w:tcPr>
            <w:tcW w:w="6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Amortization of defined pension and post retirement items</w:t>
            </w:r>
          </w:p>
        </w:tc>
        <w:tc>
          <w:tcPr>
            <w:tcW w:w="2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9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Faiveley Transport</w:t>
      </w:r>
    </w:p>
    <w:p>
      <w:pPr>
        <w:spacing w:after="0" w:line="119" w:lineRule="exact"/>
        <w:rPr>
          <w:sz w:val="20"/>
          <w:szCs w:val="20"/>
          <w:color w:val="auto"/>
        </w:rPr>
      </w:pPr>
    </w:p>
    <w:p>
      <w:pPr>
        <w:ind w:right="180" w:firstLine="500"/>
        <w:spacing w:after="0" w:line="256" w:lineRule="auto"/>
        <w:rPr>
          <w:sz w:val="20"/>
          <w:szCs w:val="20"/>
          <w:color w:val="auto"/>
        </w:rPr>
      </w:pPr>
      <w:r>
        <w:rPr>
          <w:rFonts w:ascii="Times New Roman" w:cs="Times New Roman" w:eastAsia="Times New Roman" w:hAnsi="Times New Roman"/>
          <w:sz w:val="18"/>
          <w:szCs w:val="18"/>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80" w:lineRule="exact"/>
        <w:rPr>
          <w:sz w:val="20"/>
          <w:szCs w:val="20"/>
          <w:color w:val="auto"/>
        </w:rPr>
      </w:pPr>
    </w:p>
    <w:p>
      <w:pPr>
        <w:ind w:left="980" w:right="4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ind w:left="980"/>
        <w:spacing w:after="0" w:line="305" w:lineRule="auto"/>
        <w:rPr>
          <w:sz w:val="20"/>
          <w:szCs w:val="20"/>
          <w:color w:val="auto"/>
        </w:rPr>
      </w:pPr>
      <w:r>
        <w:rPr>
          <w:rFonts w:ascii="Times New Roman" w:cs="Times New Roman" w:eastAsia="Times New Roman" w:hAnsi="Times New Roman"/>
          <w:sz w:val="18"/>
          <w:szCs w:val="18"/>
          <w:color w:val="auto"/>
        </w:rPr>
        <w:t>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49" w:lineRule="exact"/>
        <w:rPr>
          <w:sz w:val="20"/>
          <w:szCs w:val="20"/>
          <w:color w:val="auto"/>
        </w:rPr>
      </w:pPr>
    </w:p>
    <w:p>
      <w:pPr>
        <w:ind w:left="980" w:right="2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68"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68"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2" w:lineRule="exact"/>
        <w:rPr>
          <w:sz w:val="20"/>
          <w:szCs w:val="20"/>
          <w:color w:val="auto"/>
        </w:rPr>
      </w:pPr>
    </w:p>
    <w:p>
      <w:pPr>
        <w:jc w:val="both"/>
        <w:ind w:right="200" w:firstLine="500"/>
        <w:spacing w:after="0" w:line="266" w:lineRule="auto"/>
        <w:rPr>
          <w:sz w:val="20"/>
          <w:szCs w:val="20"/>
          <w:color w:val="auto"/>
        </w:rPr>
      </w:pPr>
      <w:r>
        <w:rPr>
          <w:rFonts w:ascii="Times New Roman" w:cs="Times New Roman" w:eastAsia="Times New Roman" w:hAnsi="Times New Roman"/>
          <w:sz w:val="18"/>
          <w:szCs w:val="18"/>
          <w:color w:val="auto"/>
        </w:rPr>
        <w:t>The aggregate value of consideration paid for 100% ownership of Faiveley Transport was $1,736.1 million including $944.3 million in cash, $560.2 million in stock or approximately 6.6 million shares, $409.9 million in debt assumed, less $178.3 million in cash acquired. The $744.7 million included as deposits in escrow on the consolidated balance sheet at December 31, 2016 was cash designated for use as consideration for the tender offers.</w:t>
      </w:r>
    </w:p>
    <w:p>
      <w:pPr>
        <w:spacing w:after="0" w:line="68" w:lineRule="exact"/>
        <w:rPr>
          <w:sz w:val="20"/>
          <w:szCs w:val="20"/>
          <w:color w:val="auto"/>
        </w:rPr>
      </w:pPr>
    </w:p>
    <w:p>
      <w:pPr>
        <w:ind w:right="100" w:firstLine="500"/>
        <w:spacing w:after="0" w:line="255"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are preliminarily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preliminarily determined using the market price of Faiveley Transport’s publicly traded common stock multiplied by the number of publicly traded common shares outstanding at the acquisition date and is considered Level 1. The acquisition of the noncontrolling interest in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99" w:right="27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preliminary estimated fair values of the Faiveley Transport assets acquired and liabilities assumed: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6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178,318</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445,164</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206,093</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70,930</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156,885</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1,256,855</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333,823</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255,354</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Patents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165,167</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3,069,790</w:t>
            </w:r>
          </w:p>
        </w:tc>
      </w:tr>
      <w:tr>
        <w:trPr>
          <w:trHeight w:val="27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805,728</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409,899</w:t>
            </w:r>
          </w:p>
        </w:tc>
      </w:tr>
      <w:tr>
        <w:trPr>
          <w:trHeight w:val="270"/>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347,348</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1,562,975</w:t>
            </w:r>
          </w:p>
        </w:tc>
      </w:tr>
      <w:tr>
        <w:trPr>
          <w:trHeight w:val="291"/>
        </w:trPr>
        <w:tc>
          <w:tcPr>
            <w:tcW w:w="10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1,506,815</w:t>
            </w:r>
          </w:p>
        </w:tc>
      </w:tr>
      <w:tr>
        <w:trPr>
          <w:trHeight w:val="20"/>
        </w:trPr>
        <w:tc>
          <w:tcPr>
            <w:tcW w:w="7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500"/>
        <w:spacing w:after="0" w:line="255" w:lineRule="auto"/>
        <w:rPr>
          <w:sz w:val="20"/>
          <w:szCs w:val="20"/>
          <w:color w:val="auto"/>
        </w:rPr>
      </w:pPr>
      <w:r>
        <w:rPr>
          <w:rFonts w:ascii="Times New Roman" w:cs="Times New Roman" w:eastAsia="Times New Roman" w:hAnsi="Times New Roman"/>
          <w:sz w:val="18"/>
          <w:szCs w:val="18"/>
          <w:color w:val="auto"/>
        </w:rPr>
        <w:t>These estimates are preliminary in nature and subject to adjustments, which could be material. Any necessary adjustments will be finalized within one year from the date of acquisition. During the six months ended June 30, 2017, the estimated fair values for current liabilities were adjusted by $51.5 million for changes to initial estimates based on information that existed at the date of acquisition. Additionally, the estimated fair values for accounts receivable and current liabilities were adjusted by $2.8 million and $36.2 million, respectively, to correct errors in the preliminary estimated fair values of the Faiveley Transport assets acquired and liabilities assumed. Other noncurrent assets were adjusted by $23.4 million to record the deferred tax impact of these adjustments. As a result of these adjustments and other immaterial adjustments related to changes to initial estimates based on information that existed at the date of acquisition, goodwill increased by $68.6 million. Accounts receivable and current liabilities were adjusted by $64.3 million to correct an error in the preliminary estimated fair values of Faiveley Transport assets and liabilities assumed related to a factoring arrangement with recourse.</w:t>
      </w:r>
    </w:p>
    <w:p>
      <w:pPr>
        <w:spacing w:after="0" w:line="77" w:lineRule="exact"/>
        <w:rPr>
          <w:sz w:val="20"/>
          <w:szCs w:val="20"/>
          <w:color w:val="auto"/>
        </w:rPr>
      </w:pPr>
    </w:p>
    <w:p>
      <w:pPr>
        <w:ind w:right="200" w:firstLine="500"/>
        <w:spacing w:after="0" w:line="261" w:lineRule="auto"/>
        <w:rPr>
          <w:sz w:val="20"/>
          <w:szCs w:val="20"/>
          <w:color w:val="auto"/>
        </w:rPr>
      </w:pPr>
      <w:r>
        <w:rPr>
          <w:rFonts w:ascii="Times New Roman" w:cs="Times New Roman" w:eastAsia="Times New Roman" w:hAnsi="Times New Roman"/>
          <w:sz w:val="18"/>
          <w:szCs w:val="18"/>
          <w:color w:val="auto"/>
        </w:rPr>
        <w:t>Substantially all of the accounts receivable acquired are expected to be collectible. Included in current liabilities is $25.9 million of accrued compensation for acquired share-based stock plans that are obligated to be settled in cash. Contingent liabilities assumed as part of the transaction were not material. These contingent liabilities are related to contract disputes, environmental, legal and tax matters. Contingent liabilities are recorded at fair value in purchase accounting, aside from those pertaining to uncertainty in income taxes which is an exception to the fair value basis of accounting.</w:t>
      </w:r>
    </w:p>
    <w:p>
      <w:pPr>
        <w:spacing w:after="0" w:line="72" w:lineRule="exact"/>
        <w:rPr>
          <w:sz w:val="20"/>
          <w:szCs w:val="20"/>
          <w:color w:val="auto"/>
        </w:rPr>
      </w:pPr>
    </w:p>
    <w:p>
      <w:pPr>
        <w:ind w:right="300" w:firstLine="500"/>
        <w:spacing w:after="0" w:line="289"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future economic benefits, including synergies and assembled workforce, the Company expects to achieve as a result of the acquisition. Purchased goodwill is not expected to be deductible for tax purposes. The goodwill has been preliminarily allocated to the Transit segment.</w:t>
      </w:r>
    </w:p>
    <w:p>
      <w:pPr>
        <w:spacing w:after="0" w:line="50" w:lineRule="exact"/>
        <w:rPr>
          <w:sz w:val="20"/>
          <w:szCs w:val="20"/>
          <w:color w:val="auto"/>
        </w:rPr>
      </w:pPr>
    </w:p>
    <w:p>
      <w:pPr>
        <w:ind w:right="320" w:firstLine="5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2017, the Company’s consolidated statement of income included $282.7 million and $557.4 million of revenues, respectively, from Faiveley Transport.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made the following acquisitions operating as a business unit or component of a business unit in the Freight Segment:</w:t>
      </w:r>
    </w:p>
    <w:p>
      <w:pPr>
        <w:spacing w:after="0" w:line="117" w:lineRule="exact"/>
        <w:rPr>
          <w:sz w:val="20"/>
          <w:szCs w:val="20"/>
          <w:color w:val="auto"/>
        </w:rPr>
      </w:pPr>
    </w:p>
    <w:p>
      <w:pPr>
        <w:ind w:left="980" w:right="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2017, the Company acquired Thermal Transfer Corporation ("TTC"), a leading provider of heat transfer solutions for industrial applications, for a purchase price of approximately $32.5 million, net of cash acquired, resulting in preliminary goodwill of $21.1 million, all of which will be deductible for tax purposes.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72" w:right="239" w:bottom="1440" w:gutter="0" w:footer="0" w:header="0"/>
        </w:sectPr>
      </w:pPr>
    </w:p>
    <w:bookmarkStart w:id="13" w:name="page14"/>
    <w:bookmarkEnd w:id="13"/>
    <w:p>
      <w:pPr>
        <w:jc w:val="both"/>
        <w:ind w:left="980" w:right="16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2017, the Company acquired Aero Transportation Products ("ATP"), a manufacturer of engineered covering systems for hopper freight cars, for a purchase price of approximately $65.3 million, net of cash acquired, resulting in preliminary goodwill of $41.0 million, none of which will be deductible for tax purposes.</w:t>
      </w:r>
    </w:p>
    <w:p>
      <w:pPr>
        <w:spacing w:after="0" w:line="6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2016, the Company acquired Workhorse Rail LLC ("Workhorse"), a supplier of engineered freight car components mainly for the aftermarket, for a purchase price of approximately $43.8 million, net of cash acquired, resulting in preliminary goodwill of $24.4 million, 37.8% of which will be deductible for tax purposes.</w:t>
      </w:r>
    </w:p>
    <w:p>
      <w:pPr>
        <w:spacing w:after="0" w:line="68" w:lineRule="exact"/>
        <w:rPr>
          <w:rFonts w:ascii="Times New Roman" w:cs="Times New Roman" w:eastAsia="Times New Roman" w:hAnsi="Times New Roman"/>
          <w:sz w:val="18"/>
          <w:szCs w:val="18"/>
          <w:color w:val="auto"/>
        </w:rPr>
      </w:pPr>
    </w:p>
    <w:p>
      <w:pPr>
        <w:ind w:left="980" w:right="20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2016, the Company acquired the assets of Precision Turbo &amp; Engine ("Precision Turbo"), a designer and manufacturer of high-performance, aftermarket turbochargers, wastegates, and heat exchangers for the automotive performance market, for a purchase price of approximately $13.8 million, net of cash acquired, resulting in preliminary goodwill of $4.0 million, all of which will be deductible for tax purposes.</w:t>
      </w:r>
    </w:p>
    <w:p>
      <w:pPr>
        <w:spacing w:after="0" w:line="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2016, the Company acquired Unitrac Railroad Materials ("Unitrac"), a leading designer and manufacturer of railroad products and track work services, for a purchase price of approximately $14.8 million, net of cash acquired, resulting in goodwill of $2.4 million, all of which will be deductible for tax purposes.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made the following acquisitions operating as a business unit or component of a business unit in the Transit Segment:</w:t>
      </w:r>
    </w:p>
    <w:p>
      <w:pPr>
        <w:spacing w:after="0" w:line="117" w:lineRule="exact"/>
        <w:rPr>
          <w:sz w:val="20"/>
          <w:szCs w:val="20"/>
          <w:color w:val="auto"/>
        </w:rPr>
      </w:pPr>
    </w:p>
    <w:p>
      <w:pPr>
        <w:ind w:left="980" w:right="12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2016, the Company acquired Gerken Group SA ("Gerken"), a manufacturer of specialty carbon and graphite products for rail and other industrial applications, for a purchase price of approximately $62.8 million, net of cash acquired, resulting in preliminary goodwill of $17.5 million, none of which will be deductible for tax purposes.</w:t>
      </w:r>
    </w:p>
    <w:p>
      <w:pPr>
        <w:spacing w:after="0" w:line="6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acquisitions listed above include escrow deposits of $38.4 million, which act as security for indemnity and other claims in accordance with the purchase and related escrow agreements.</w:t>
      </w:r>
    </w:p>
    <w:p>
      <w:pPr>
        <w:spacing w:after="0" w:line="162" w:lineRule="exact"/>
        <w:rPr>
          <w:sz w:val="20"/>
          <w:szCs w:val="20"/>
          <w:color w:val="auto"/>
        </w:rPr>
      </w:pPr>
    </w:p>
    <w:p>
      <w:pPr>
        <w:ind w:firstLine="5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values of the assets acquired and liabilities assumed at the date of the acquisition for TTC, ATP, Workhorse, Precision Turbo, and Gerken. For the Unitrac acquisition, the following table summarizes the final fair value of the assets acquired and liabilities assumed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71755</wp:posOffset>
            </wp:positionV>
            <wp:extent cx="4271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TTC</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ATP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Workhorse</w:t>
            </w: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Precision Turbo</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Gerken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Unitrac</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April 5,</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14,</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14,</w:t>
            </w:r>
          </w:p>
        </w:tc>
        <w:tc>
          <w:tcPr>
            <w:tcW w:w="11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November 17,</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00" w:type="dxa"/>
            <w:vAlign w:val="bottom"/>
          </w:tcPr>
          <w:p>
            <w:pPr>
              <w:spacing w:after="0"/>
              <w:rPr>
                <w:sz w:val="12"/>
                <w:szCs w:val="12"/>
                <w:color w:val="auto"/>
              </w:rPr>
            </w:pPr>
          </w:p>
        </w:tc>
        <w:tc>
          <w:tcPr>
            <w:tcW w:w="8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May 5,</w:t>
            </w:r>
          </w:p>
        </w:tc>
        <w:tc>
          <w:tcPr>
            <w:tcW w:w="0" w:type="dxa"/>
            <w:vAlign w:val="bottom"/>
          </w:tcPr>
          <w:p>
            <w:pPr>
              <w:spacing w:after="0"/>
              <w:rPr>
                <w:sz w:val="1"/>
                <w:szCs w:val="1"/>
                <w:color w:val="auto"/>
              </w:rPr>
            </w:pPr>
          </w:p>
        </w:tc>
      </w:tr>
      <w:tr>
        <w:trPr>
          <w:trHeight w:val="160"/>
        </w:trPr>
        <w:tc>
          <w:tcPr>
            <w:tcW w:w="46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32,706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21,122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41,036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17,470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30,560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16,916</w:t>
            </w:r>
          </w:p>
        </w:tc>
        <w:tc>
          <w:tcPr>
            <w:tcW w:w="0" w:type="dxa"/>
            <w:vAlign w:val="bottom"/>
          </w:tcPr>
          <w:p>
            <w:pPr>
              <w:spacing w:after="0"/>
              <w:rPr>
                <w:sz w:val="1"/>
                <w:szCs w:val="1"/>
                <w:color w:val="auto"/>
              </w:rPr>
            </w:pPr>
          </w:p>
        </w:tc>
      </w:tr>
      <w:tr>
        <w:trPr>
          <w:trHeight w:val="270"/>
        </w:trPr>
        <w:tc>
          <w:tcPr>
            <w:tcW w:w="4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32,511</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65,254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62,847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14,771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firstLine="500"/>
        <w:spacing w:after="0" w:line="266" w:lineRule="auto"/>
        <w:rPr>
          <w:sz w:val="20"/>
          <w:szCs w:val="20"/>
          <w:color w:val="auto"/>
        </w:rPr>
      </w:pPr>
      <w:r>
        <w:rPr>
          <w:rFonts w:ascii="Times New Roman" w:cs="Times New Roman" w:eastAsia="Times New Roman" w:hAnsi="Times New Roman"/>
          <w:sz w:val="18"/>
          <w:szCs w:val="18"/>
          <w:color w:val="auto"/>
        </w:rPr>
        <w:t>Of the $668.9 million of total acquired other intangible assets, $355.1 million was assigned to trade names, $307.1 million was assigned to customer relationships, and $5.0 million was assigned to intellectual property. The trade names were determined to have indefinite useful lives, while the intellectual property and customer relationships’ average useful lives are 20 years, and the non-compete agreements' useful life is five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also made smaller acquisitions not listed above which are individually and collectively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60" w:firstLine="5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presents income statement results as if the acquisitions listed above had occurred on January 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7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60"/>
        </w:trPr>
        <w:tc>
          <w:tcPr>
            <w:tcW w:w="47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13"/>
                <w:szCs w:val="13"/>
                <w:color w:val="auto"/>
              </w:rPr>
            </w:pPr>
          </w:p>
        </w:tc>
        <w:tc>
          <w:tcPr>
            <w:tcW w:w="15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600" w:type="dxa"/>
            <w:vAlign w:val="bottom"/>
            <w:gridSpan w:val="3"/>
          </w:tcPr>
          <w:p>
            <w:pPr>
              <w:jc w:val="right"/>
              <w:ind w:right="453"/>
              <w:spacing w:after="0" w:line="160" w:lineRule="exact"/>
              <w:rPr>
                <w:sz w:val="20"/>
                <w:szCs w:val="20"/>
                <w:color w:val="auto"/>
              </w:rPr>
            </w:pPr>
            <w:r>
              <w:rPr>
                <w:rFonts w:ascii="Times New Roman" w:cs="Times New Roman" w:eastAsia="Times New Roman" w:hAnsi="Times New Roman"/>
                <w:sz w:val="14"/>
                <w:szCs w:val="14"/>
                <w:b w:val="1"/>
                <w:bCs w:val="1"/>
                <w:color w:val="auto"/>
              </w:rPr>
              <w:t>30, 2017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4"/>
              <w:spacing w:after="0" w:line="160" w:lineRule="exact"/>
              <w:rPr>
                <w:sz w:val="20"/>
                <w:szCs w:val="20"/>
                <w:color w:val="auto"/>
              </w:rPr>
            </w:pPr>
            <w:r>
              <w:rPr>
                <w:rFonts w:ascii="Times New Roman" w:cs="Times New Roman" w:eastAsia="Times New Roman" w:hAnsi="Times New Roman"/>
                <w:sz w:val="14"/>
                <w:szCs w:val="14"/>
                <w:b w:val="1"/>
                <w:bCs w:val="1"/>
                <w:color w:val="auto"/>
              </w:rPr>
              <w:t>30, 2016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932,467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1,055,212</w:t>
            </w:r>
          </w:p>
        </w:tc>
        <w:tc>
          <w:tcPr>
            <w:tcW w:w="100" w:type="dxa"/>
            <w:vAlign w:val="bottom"/>
          </w:tcPr>
          <w:p>
            <w:pPr>
              <w:spacing w:after="0"/>
              <w:rPr>
                <w:sz w:val="20"/>
                <w:szCs w:val="20"/>
                <w:color w:val="auto"/>
              </w:rPr>
            </w:pPr>
          </w:p>
        </w:tc>
        <w:tc>
          <w:tcPr>
            <w:tcW w:w="4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1,859,619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2,210,418</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3"/>
                <w:szCs w:val="23"/>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274,027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325,658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546,492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674,222</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140" w:type="dxa"/>
            <w:vAlign w:val="bottom"/>
          </w:tcPr>
          <w:p>
            <w:pPr>
              <w:spacing w:after="0"/>
              <w:rPr>
                <w:sz w:val="23"/>
                <w:szCs w:val="23"/>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72,061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107,574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146,971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223,661</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 forma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567"/>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6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components of inventory, net of reserves, were:</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47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4"/>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378,569</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331,465</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185,286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145,462</w:t>
            </w:r>
          </w:p>
        </w:tc>
        <w:tc>
          <w:tcPr>
            <w:tcW w:w="0" w:type="dxa"/>
            <w:vAlign w:val="bottom"/>
          </w:tcPr>
          <w:p>
            <w:pPr>
              <w:spacing w:after="0"/>
              <w:rPr>
                <w:sz w:val="1"/>
                <w:szCs w:val="1"/>
                <w:color w:val="auto"/>
              </w:rPr>
            </w:pPr>
          </w:p>
        </w:tc>
      </w:tr>
      <w:tr>
        <w:trPr>
          <w:trHeight w:val="270"/>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182,381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181,583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746,236</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658,510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the carrying amount of goodwill by segment for the six months ended June 30, 2017 is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7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550,902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1,527,863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2,078,765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preliminary purchase allocation</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77,299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79,855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62,158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67,157</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impact</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112,171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117,831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621,276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1,722,332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2,343,608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40" w:firstLine="500"/>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Company’s trade names had a net carrying amount of $553.3 million and $510.5 million, respectively, and the Company believes these intangibles have indefinite lives.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of the Company, other than goodwill and trade names, consist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76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7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57"/>
              <w:spacing w:after="0" w:line="160"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Patents, non-compete and other intangibles, net of accumulated</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$43,600 and $42,538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13,504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15,360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 net of accumulated amortization</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 $106,272 and $87,334</w:t>
            </w:r>
          </w:p>
        </w:tc>
        <w:tc>
          <w:tcPr>
            <w:tcW w:w="2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562,603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528,068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576,107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543,428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500"/>
        <w:spacing w:after="0" w:line="266" w:lineRule="auto"/>
        <w:rPr>
          <w:sz w:val="20"/>
          <w:szCs w:val="20"/>
          <w:color w:val="auto"/>
        </w:rPr>
      </w:pPr>
      <w:r>
        <w:rPr>
          <w:rFonts w:ascii="Times New Roman" w:cs="Times New Roman" w:eastAsia="Times New Roman" w:hAnsi="Times New Roman"/>
          <w:sz w:val="18"/>
          <w:szCs w:val="18"/>
          <w:color w:val="auto"/>
        </w:rPr>
        <w:t>The weighted average remaining useful life of patents, customer relationships and other intangibles were 10 years, 18 years and 16 years, respectively. Amortization expense for intangible assets was $9.4 million and $18.4 million for the three and six months ended June 30, 2017, and $5.5 million and $10.8 million for the three and six months ended June 30, 2016,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0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expense for the five succeeding years is estimated to be as follows: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Remainder of 2017</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19,775</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2018</w:t>
            </w:r>
          </w:p>
        </w:tc>
        <w:tc>
          <w:tcPr>
            <w:tcW w:w="7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36,983</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2019</w:t>
            </w:r>
          </w:p>
        </w:tc>
        <w:tc>
          <w:tcPr>
            <w:tcW w:w="7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35,696</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7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34,174</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7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32,203</w:t>
            </w:r>
          </w:p>
        </w:tc>
        <w:tc>
          <w:tcPr>
            <w:tcW w:w="0" w:type="dxa"/>
            <w:vAlign w:val="bottom"/>
          </w:tcPr>
          <w:p>
            <w:pPr>
              <w:spacing w:after="0"/>
              <w:rPr>
                <w:sz w:val="1"/>
                <w:szCs w:val="1"/>
                <w:color w:val="auto"/>
              </w:rPr>
            </w:pPr>
          </w:p>
        </w:tc>
      </w:tr>
      <w:tr>
        <w:trPr>
          <w:trHeight w:val="459"/>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LONG-TERM DEBT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w w:val="99"/>
              </w:rPr>
              <w:t>In thousands</w:t>
            </w: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7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453"/>
              <w:spacing w:after="0" w:line="127"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52"/>
              <w:spacing w:after="0" w:line="127"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48"/>
        </w:trPr>
        <w:tc>
          <w:tcPr>
            <w:tcW w:w="8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3.45% Senior Notes, due 2026, net of unamortized debt</w:t>
            </w: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85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issuance costs of $2,420 and $2,526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747,580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747,474</w:t>
            </w:r>
          </w:p>
        </w:tc>
        <w:tc>
          <w:tcPr>
            <w:tcW w:w="0" w:type="dxa"/>
            <w:vAlign w:val="bottom"/>
          </w:tcPr>
          <w:p>
            <w:pPr>
              <w:spacing w:after="0"/>
              <w:rPr>
                <w:sz w:val="1"/>
                <w:szCs w:val="1"/>
                <w:color w:val="auto"/>
              </w:rPr>
            </w:pPr>
          </w:p>
        </w:tc>
      </w:tr>
      <w:tr>
        <w:trPr>
          <w:trHeight w:val="252"/>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4.375% Senior Notes, due 2023, net of unamortized</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discount and debt issuance costs of $1,562 and $1,690</w:t>
            </w: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248,310</w:t>
            </w:r>
          </w:p>
        </w:tc>
        <w:tc>
          <w:tcPr>
            <w:tcW w:w="0" w:type="dxa"/>
            <w:vAlign w:val="bottom"/>
          </w:tcPr>
          <w:p>
            <w:pPr>
              <w:spacing w:after="0"/>
              <w:rPr>
                <w:sz w:val="1"/>
                <w:szCs w:val="1"/>
                <w:color w:val="auto"/>
              </w:rPr>
            </w:pPr>
          </w:p>
        </w:tc>
      </w:tr>
      <w:tr>
        <w:trPr>
          <w:trHeight w:val="252"/>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Revolving Credit Facility, net of unamortized</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debt issuance costs of $3,150 and $3,850</w:t>
            </w: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966,235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796,150</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Schuldschein Loan</w:t>
            </w: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98,671</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1,985,297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1,892,776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Less - current portion</w:t>
            </w: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129,809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Long-term portion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1,934,604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1,762,967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Wabtec's acquisition of the controlling stake of Faiveley Transport triggered the early repayment of a syndicated loan and the mandatory offer to</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investors to repay the U.S. and Schuldschein private placements. Both the syndicated loan and U.S. private placements were repaid in full in December 2016.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3.45% Senior Notes Due November 2026</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November 3,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$2.6 million of deferred financing costs related to the issuance of the 2016 Notes.</w:t>
      </w:r>
    </w:p>
    <w:p>
      <w:pPr>
        <w:spacing w:after="0" w:line="18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80" w:lineRule="exact"/>
        <w:rPr>
          <w:sz w:val="20"/>
          <w:szCs w:val="20"/>
          <w:color w:val="auto"/>
        </w:rPr>
      </w:pPr>
    </w:p>
    <w:p>
      <w:pPr>
        <w:ind w:right="360" w:firstLine="500"/>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4.375% Senior Notes Due August 2023</w:t>
      </w:r>
    </w:p>
    <w:p>
      <w:pPr>
        <w:spacing w:after="0" w:line="119"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right="20" w:firstLine="500"/>
        <w:spacing w:after="0" w:line="261" w:lineRule="auto"/>
        <w:rPr>
          <w:sz w:val="20"/>
          <w:szCs w:val="20"/>
          <w:color w:val="auto"/>
        </w:rPr>
      </w:pPr>
      <w:r>
        <w:rPr>
          <w:rFonts w:ascii="Times New Roman" w:cs="Times New Roman" w:eastAsia="Times New Roman" w:hAnsi="Times New Roman"/>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80" w:lineRule="exact"/>
        <w:rPr>
          <w:sz w:val="20"/>
          <w:szCs w:val="20"/>
          <w:color w:val="auto"/>
        </w:rPr>
      </w:pPr>
    </w:p>
    <w:p>
      <w:pPr>
        <w:ind w:right="340" w:firstLine="500"/>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Refinancing Credit Agreement</w:t>
      </w:r>
    </w:p>
    <w:p>
      <w:pPr>
        <w:spacing w:after="0" w:line="160" w:lineRule="exact"/>
        <w:rPr>
          <w:sz w:val="20"/>
          <w:szCs w:val="20"/>
          <w:color w:val="auto"/>
        </w:rPr>
      </w:pPr>
    </w:p>
    <w:p>
      <w:pPr>
        <w:ind w:right="240" w:firstLine="500"/>
        <w:spacing w:after="0" w:line="256" w:lineRule="auto"/>
        <w:rPr>
          <w:sz w:val="20"/>
          <w:szCs w:val="20"/>
          <w:color w:val="auto"/>
        </w:rPr>
      </w:pPr>
      <w:r>
        <w:rPr>
          <w:rFonts w:ascii="Times New Roman" w:cs="Times New Roman" w:eastAsia="Times New Roman" w:hAnsi="Times New Roman"/>
          <w:sz w:val="18"/>
          <w:szCs w:val="18"/>
          <w:color w:val="auto"/>
        </w:rPr>
        <w:t>On June 22, 2016, the Company amended and restated its existing revolving credit facility with a consortium of commercial banks. This “2016 Refinancing Credit Agreement” provides the Company with a $1.2 billion, five years revolving credit facility and a $400.0 million delayed draw term loan (the “Term Loan”). The Company incurred approximately $3.3 million of deferred financing costs related to the 2016 Refinancing Credit Agreement. The facility expires on June 22, 2021. The 2016 Refinancing Credit Agreement borrowings bear variable interest rates indexed as described below. At June 30, 2017, the Company had available bank borrowing capacity, net of $40.5 million of letters of credit, of approximately $583.2 million, subject to certain financial covenant restrictions.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 Loan was initially drawn on November 25, 2016. The Company incurred 10 basis point commitment fee from June 22, 2016 until the initial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draw.</w:t>
      </w:r>
    </w:p>
    <w:p>
      <w:pPr>
        <w:spacing w:after="0" w:line="99"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8"/>
          <w:szCs w:val="18"/>
          <w:color w:val="auto"/>
        </w:rPr>
        <w:t>Under the 2016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EBITDA ratios. The initial Base Rate margin is 0 basis points and the Alternate Rate margin is 175 basis points.</w:t>
      </w:r>
    </w:p>
    <w:p>
      <w:pPr>
        <w:spacing w:after="0" w:line="81" w:lineRule="exact"/>
        <w:rPr>
          <w:sz w:val="20"/>
          <w:szCs w:val="20"/>
          <w:color w:val="auto"/>
        </w:rPr>
      </w:pPr>
    </w:p>
    <w:p>
      <w:pPr>
        <w:ind w:right="20" w:firstLine="500"/>
        <w:spacing w:after="0" w:line="253" w:lineRule="auto"/>
        <w:rPr>
          <w:sz w:val="20"/>
          <w:szCs w:val="20"/>
          <w:color w:val="auto"/>
        </w:rPr>
      </w:pPr>
      <w:r>
        <w:rPr>
          <w:rFonts w:ascii="Times New Roman" w:cs="Times New Roman" w:eastAsia="Times New Roman" w:hAnsi="Times New Roman"/>
          <w:sz w:val="18"/>
          <w:szCs w:val="18"/>
          <w:color w:val="auto"/>
        </w:rPr>
        <w:t>At June 30, 2017, the weighted average interest rate on the Company’s variable rate debt was 2.43%. On January 12, 2012, the Company entered into a forward starting interest rate swap agreement with a notional value of $150.0 million. The effective date of the interest rate swap agreement was July 31, 2013, and the termination date was November 7, 2016. The impact of the interest rate swap agreement converted a portion of the Company’s outstanding debt from a variable rate to a fixed-rate borrowing. During the term of the interest rate swap agreement the interest rate on the notional value was fixed at 1.415% plus the Alternate Rate margin. On June 5, 2014, the Company entered into a forward starting interest rate swap agreement with a notional value of $150.0 million. The effective date of the interest rate swap agreement was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these agreements,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85" w:lineRule="exact"/>
        <w:rPr>
          <w:sz w:val="20"/>
          <w:szCs w:val="20"/>
          <w:color w:val="auto"/>
        </w:rPr>
      </w:pPr>
    </w:p>
    <w:p>
      <w:pPr>
        <w:ind w:right="40" w:firstLine="500"/>
        <w:spacing w:after="0" w:line="256" w:lineRule="auto"/>
        <w:rPr>
          <w:sz w:val="20"/>
          <w:szCs w:val="20"/>
          <w:color w:val="auto"/>
        </w:rPr>
      </w:pPr>
      <w:r>
        <w:rPr>
          <w:rFonts w:ascii="Times New Roman" w:cs="Times New Roman" w:eastAsia="Times New Roman" w:hAnsi="Times New Roman"/>
          <w:sz w:val="18"/>
          <w:szCs w:val="18"/>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EBITDA ratio of 3.25. The Company is in compliance with the restrictions and covenants of the 2016 Refinancing Credit Agreement and does not expect that these measurements will limit the Company in executing its operating activities.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Refinancing Credit Agreement</w:t>
      </w:r>
    </w:p>
    <w:p>
      <w:pPr>
        <w:spacing w:after="0" w:line="119" w:lineRule="exact"/>
        <w:rPr>
          <w:sz w:val="20"/>
          <w:szCs w:val="20"/>
          <w:color w:val="auto"/>
        </w:rPr>
      </w:pPr>
    </w:p>
    <w:p>
      <w:pPr>
        <w:ind w:right="740" w:firstLine="500"/>
        <w:spacing w:after="0" w:line="282" w:lineRule="auto"/>
        <w:rPr>
          <w:sz w:val="20"/>
          <w:szCs w:val="20"/>
          <w:color w:val="auto"/>
        </w:rPr>
      </w:pPr>
      <w:r>
        <w:rPr>
          <w:rFonts w:ascii="Times New Roman" w:cs="Times New Roman" w:eastAsia="Times New Roman" w:hAnsi="Times New Roman"/>
          <w:sz w:val="18"/>
          <w:szCs w:val="18"/>
          <w:color w:val="auto"/>
        </w:rPr>
        <w:t>On December 19, 2013, the Company amended its then existing revolving credit facility with a consortium of commercial banks. This “2013 Refinancing Credit Agreement” provided the Company with an $800.0 million, five-year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80" w:right="25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revolving credit facility. The Company incurred approximately $1.0 million of deferred financing cost related to the 2013 Refinancing Credit Agreement. The 2013 Refinancing Credit Agreement was replaced by the 2016 Refinancing Credit Agreement.</w:t>
      </w:r>
    </w:p>
    <w:p>
      <w:pPr>
        <w:spacing w:after="0" w:line="162" w:lineRule="exact"/>
        <w:rPr>
          <w:sz w:val="20"/>
          <w:szCs w:val="20"/>
          <w:color w:val="auto"/>
        </w:rPr>
      </w:pPr>
    </w:p>
    <w:p>
      <w:pPr>
        <w:ind w:right="20" w:firstLine="500"/>
        <w:spacing w:after="0" w:line="256" w:lineRule="auto"/>
        <w:rPr>
          <w:sz w:val="20"/>
          <w:szCs w:val="20"/>
          <w:color w:val="auto"/>
        </w:rPr>
      </w:pPr>
      <w:r>
        <w:rPr>
          <w:rFonts w:ascii="Times New Roman" w:cs="Times New Roman" w:eastAsia="Times New Roman" w:hAnsi="Times New Roman"/>
          <w:sz w:val="18"/>
          <w:szCs w:val="18"/>
          <w:color w:val="auto"/>
        </w:rPr>
        <w:t>Under the 2013 Refinancing Credit Agreement, the Company could have elected a Base Rate of interest for U.S. Dollar denominated loans or, for certain currencies, an interest rate based on the LIBOR of interest, or other rates appropriate for such currencies (in any case, “the Alternate Rate”). The Base Rate adjusted on a daily basis and was the greater of the Federal Funds Effective Rate plus 0.5%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Schuldschein Loan, Due 2024</w:t>
      </w:r>
    </w:p>
    <w:p>
      <w:pPr>
        <w:spacing w:after="0" w:line="11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Faiveley Transport, Wabtec acquired $137.2 million of a Schuldschein private placement loan which was originally issued by Faiveley Transport on March 5, 2014 in Germany, in which approximately 20 international investors participated. This loan is denominated in euros. Subsequent to the acquisition of Faiveley Transport, the Company repaid $125.8 million of the outstanding Schuldshein loan. The remaining balance of $11.4 million as of June 30, 2017 has a maturity of seven years and bears a fixed rate of 4.00%.</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Schuldschein loan is senior unsecured and ranks pari passu with all existing and future senior debt and senior to all existing and future subordinated indebtedness of the Company. The Schuldshein loan agreement contains covenants and undertakings which limit, among other things, the following: factoring of receivables, the incurrence of indebtedness, sale of assets, change of control, mergers and consolidations and incurrence of liens. At June 30, 2017, the Company is in compliance with the undertakings and covenants contained in the loan agreement.</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2017, the Company has repaid $30.3 million of the private placement fixed tranches and $39.6 million in floating tranches outstanding at December 31, 2016.</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72" w:right="279" w:bottom="1440" w:gutter="0" w:footer="0" w:header="0"/>
        </w:sectPr>
      </w:pPr>
    </w:p>
    <w:bookmarkStart w:id="18" w:name="page19"/>
    <w:bookmarkEnd w:id="18"/>
    <w:p>
      <w:pPr>
        <w:ind w:right="8740" w:firstLine="8"/>
        <w:spacing w:after="0" w:line="400" w:lineRule="auto"/>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BENEFIT PLANS Defined Benefit Pension Plans</w:t>
      </w:r>
    </w:p>
    <w:p>
      <w:pPr>
        <w:spacing w:after="0" w:line="1" w:lineRule="exact"/>
        <w:rPr>
          <w:sz w:val="20"/>
          <w:szCs w:val="20"/>
          <w:color w:val="auto"/>
        </w:rPr>
      </w:pPr>
    </w:p>
    <w:p>
      <w:pPr>
        <w:ind w:right="180" w:firstLine="500"/>
        <w:spacing w:after="0" w:line="282" w:lineRule="auto"/>
        <w:rPr>
          <w:sz w:val="20"/>
          <w:szCs w:val="20"/>
          <w:color w:val="auto"/>
        </w:rPr>
      </w:pPr>
      <w:r>
        <w:rPr>
          <w:rFonts w:ascii="Times New Roman" w:cs="Times New Roman" w:eastAsia="Times New Roman" w:hAnsi="Times New Roman"/>
          <w:sz w:val="18"/>
          <w:szCs w:val="18"/>
          <w:color w:val="auto"/>
        </w:rPr>
        <w:t>The Company sponsors defined benefit pension plans that cover certain U.S., Canadian, German and United Kingdom employees and which provide benefits of stated amounts for each year of service of the employee.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uses a December 31 measurement date for the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102870</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7"/>
          </w:tcPr>
          <w:p>
            <w:pPr>
              <w:jc w:val="center"/>
              <w:ind w:left="29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6"/>
          </w:tcPr>
          <w:p>
            <w:pPr>
              <w:jc w:val="center"/>
              <w:ind w:right="65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5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23"/>
                <w:szCs w:val="23"/>
                <w:color w:val="auto"/>
              </w:rPr>
            </w:pP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Net amortization/deferrals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Curtailment loss recognized</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7"/>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5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728</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2,936</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(5,286)</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amortization/deferrals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Curtailment loss recognized</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240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44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5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Discount Rate</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Expected long-term rate of return</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5.70%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20" w:firstLine="500"/>
        <w:spacing w:after="0" w:line="282" w:lineRule="auto"/>
        <w:rPr>
          <w:sz w:val="20"/>
          <w:szCs w:val="20"/>
          <w:color w:val="auto"/>
        </w:rPr>
      </w:pPr>
      <w:r>
        <w:rPr>
          <w:rFonts w:ascii="Times New Roman" w:cs="Times New Roman" w:eastAsia="Times New Roman" w:hAnsi="Times New Roman"/>
          <w:sz w:val="18"/>
          <w:szCs w:val="18"/>
          <w:color w:val="auto"/>
        </w:rPr>
        <w:t>The Company’s funding methods are based on governmental requirements and differ from those methods used to recognize pension expense. The Company expects to contribute $7.1 million and $0.5 million to the international and U.S. plans, respectively, during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 Retirement Benefit Plans</w:t>
      </w:r>
    </w:p>
    <w:p>
      <w:pPr>
        <w:spacing w:after="0" w:line="121" w:lineRule="exact"/>
        <w:rPr>
          <w:sz w:val="20"/>
          <w:szCs w:val="20"/>
          <w:color w:val="auto"/>
        </w:rPr>
      </w:pPr>
    </w:p>
    <w:p>
      <w:pPr>
        <w:ind w:right="340" w:firstLine="500"/>
        <w:spacing w:after="0" w:line="266" w:lineRule="auto"/>
        <w:rPr>
          <w:sz w:val="20"/>
          <w:szCs w:val="20"/>
          <w:color w:val="auto"/>
        </w:rPr>
      </w:pPr>
      <w:r>
        <w:rPr>
          <w:rFonts w:ascii="Times New Roman" w:cs="Times New Roman" w:eastAsia="Times New Roman" w:hAnsi="Times New Roman"/>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0" w:right="23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8"/>
          <w:szCs w:val="18"/>
          <w:color w:val="auto"/>
        </w:rPr>
        <w:t>The Company uses a December 31 measurement date for all post retirement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102870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7"/>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28"/>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5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23"/>
                <w:szCs w:val="23"/>
                <w:color w:val="auto"/>
              </w:rPr>
            </w:pP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5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Net amortization/deferrals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22"/>
                <w:szCs w:val="22"/>
                <w:color w:val="auto"/>
              </w:rPr>
            </w:pP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8"/>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5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amortization/deferrals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44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Net periodic (credit) benefit cost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5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Discount Rate</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right="40" w:firstLine="500"/>
        <w:spacing w:after="0" w:line="258" w:lineRule="auto"/>
        <w:rPr>
          <w:sz w:val="20"/>
          <w:szCs w:val="20"/>
          <w:color w:val="auto"/>
        </w:rPr>
      </w:pPr>
      <w:r>
        <w:rPr>
          <w:rFonts w:ascii="Times New Roman" w:cs="Times New Roman" w:eastAsia="Times New Roman" w:hAnsi="Times New Roman"/>
          <w:sz w:val="18"/>
          <w:szCs w:val="18"/>
          <w:color w:val="auto"/>
        </w:rPr>
        <w:t>As of June 30, 2017, the Company maintains employee stock-based compensation plans for stock options, restricted stock, and incentive stock units as governed by the 2011 Stock Incentive Compensation Plan (the “2011 Plan”) and the 2000 Stock Incentive Plan, as amended (the “2000 Plan”). The 2011 Plan has a term through May 10, 2027 and provides a maximum of 3,800,000 shares for grants or awards, plus any shares which remain available under the 2000 Plan. The 2011 Plan was approved by stockholders of Wabtec on May 11, 2011, and an amendment and restatement of the 2011 Plan was approved by the Stockholders of Wabtec on May 10, 2017. The Company also maintains a Non-Employee Directors’ Fee and Stock Option Plan (“the Directors Plan”).</w:t>
      </w:r>
    </w:p>
    <w:p>
      <w:pPr>
        <w:spacing w:after="0" w:line="184" w:lineRule="exact"/>
        <w:rPr>
          <w:sz w:val="20"/>
          <w:szCs w:val="20"/>
          <w:color w:val="auto"/>
        </w:rPr>
      </w:pPr>
    </w:p>
    <w:p>
      <w:pPr>
        <w:jc w:val="both"/>
        <w:ind w:right="280" w:firstLine="500"/>
        <w:spacing w:after="0" w:line="258" w:lineRule="auto"/>
        <w:rPr>
          <w:sz w:val="20"/>
          <w:szCs w:val="20"/>
          <w:color w:val="auto"/>
        </w:rPr>
      </w:pPr>
      <w:r>
        <w:rPr>
          <w:rFonts w:ascii="Times New Roman" w:cs="Times New Roman" w:eastAsia="Times New Roman" w:hAnsi="Times New Roman"/>
          <w:sz w:val="18"/>
          <w:szCs w:val="18"/>
          <w:color w:val="auto"/>
        </w:rPr>
        <w:t>Stock-based compensation expense was $11.9 million and $9.7 million for the six months ended June 30, 2017 and 2016, respectively. Included in stock-based compensation expense for the six months ended June 30, 2017 is $0.8 million of expense related to stock options, $3.5 million related to non-vested restricted stock, $2.7 million related to restricted stock units, $4.1 million related to incentive stock units and $0.8 million related to units issued for Directors’ fees. At June 30, 2017, unamortized compensation expense related to those stock options, non-vested restricted shares units and incentive stock units expected to vest totaled $39.9 million and will be recognized over a weighted average period of 1.4 years.</w:t>
      </w:r>
    </w:p>
    <w:p>
      <w:pPr>
        <w:spacing w:after="0" w:line="180" w:lineRule="exact"/>
        <w:rPr>
          <w:sz w:val="20"/>
          <w:szCs w:val="20"/>
          <w:color w:val="auto"/>
        </w:rPr>
      </w:pPr>
    </w:p>
    <w:p>
      <w:pPr>
        <w:jc w:val="both"/>
        <w:ind w:right="80" w:firstLine="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options are granted to eligible employees and directors at the fair market value, which is the average of the high and low Wabtec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price on the date of grant. Under the 2011 Plan and the 2000 Plan, options become exercisable over a four-year vesting period and expire 10 years from the date of grant.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right="20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and related information for the 2011 Plan, the 2000 Plan and the Directors Plan for the six months ended June 30, 2017:</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8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1,098,823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52,332</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64,507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1,042,282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53,581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2017</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851,494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50,722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 pricing model with the following weighted-average assumptions:</w:t>
      </w:r>
    </w:p>
    <w:p>
      <w:pPr>
        <w:spacing w:after="0" w:line="10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2"/>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0"/>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0"/>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0"/>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w:t>
            </w: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dividend yield is based on the Company’s dividend rate and the current market price of the underlying common stock at the date of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life in years is determined from historical stock option exercise data. Expected volatility is based on the historical volatility of the Company’s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risk-free interest rate is based on the U.S. Treasury bond rates for the expected life of the option.</w:t>
      </w:r>
    </w:p>
    <w:p>
      <w:pPr>
        <w:spacing w:after="0" w:line="203" w:lineRule="exact"/>
        <w:rPr>
          <w:sz w:val="20"/>
          <w:szCs w:val="20"/>
          <w:color w:val="auto"/>
        </w:rPr>
      </w:pPr>
    </w:p>
    <w:p>
      <w:pPr>
        <w:jc w:val="both"/>
        <w:ind w:firstLine="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Restricted Units and Incentive Stock </w:t>
      </w:r>
      <w:r>
        <w:rPr>
          <w:rFonts w:ascii="Times New Roman" w:cs="Times New Roman" w:eastAsia="Times New Roman" w:hAnsi="Times New Roman"/>
          <w:sz w:val="18"/>
          <w:szCs w:val="18"/>
          <w:color w:val="auto"/>
        </w:rPr>
        <w:t>Beginning in 2006, the Company adopted a restricted stock program. As provided for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2011 Plan and 2000 Plan, eligible employees are granted restricted stock that generally vests over four years from the date of grant. Under the Directors Plan, restricted stock units vest one year from the date of grant.</w:t>
      </w:r>
    </w:p>
    <w:p>
      <w:pPr>
        <w:spacing w:after="0" w:line="175"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June 30, 2017, the Company estimates that it will achieve 87%, 85% and 99% for the incentive stock awards expected to vest based on performance for the three-year periods ending December 31, 2017, 2018, and 2019, respectively, and has recorded incentive compensation expense accordingly. If our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89" w:lineRule="exact"/>
        <w:rPr>
          <w:sz w:val="20"/>
          <w:szCs w:val="20"/>
          <w:color w:val="auto"/>
        </w:rPr>
      </w:pPr>
    </w:p>
    <w:p>
      <w:pPr>
        <w:ind w:right="120" w:firstLine="500"/>
        <w:spacing w:after="0" w:line="282" w:lineRule="auto"/>
        <w:rPr>
          <w:sz w:val="20"/>
          <w:szCs w:val="20"/>
          <w:color w:val="auto"/>
        </w:rPr>
      </w:pPr>
      <w:r>
        <w:rPr>
          <w:rFonts w:ascii="Times New Roman" w:cs="Times New Roman" w:eastAsia="Times New Roman" w:hAnsi="Times New Roman"/>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ind w:right="50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and related information for the 2011 Plan, the 2000 Plan and the Directors Plan, and incentive stock units activity for the 2011 Plan and the 2000 Plan with related information for the six months ended June 30, 2017:</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5"/>
        </w:trPr>
        <w:tc>
          <w:tcPr>
            <w:tcW w:w="70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Units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396,295</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424,750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72.18</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151,655</w:t>
            </w:r>
          </w:p>
        </w:tc>
        <w:tc>
          <w:tcPr>
            <w:tcW w:w="12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155,575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86.64</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(130,098)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13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413,749</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398,010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right="160" w:firstLine="500"/>
        <w:spacing w:after="0" w:line="266" w:lineRule="auto"/>
        <w:rPr>
          <w:sz w:val="20"/>
          <w:szCs w:val="20"/>
          <w:color w:val="auto"/>
        </w:rPr>
      </w:pPr>
      <w:r>
        <w:rPr>
          <w:rFonts w:ascii="Times New Roman" w:cs="Times New Roman" w:eastAsia="Times New Roman" w:hAnsi="Times New Roman"/>
          <w:sz w:val="18"/>
          <w:szCs w:val="18"/>
          <w:color w:val="auto"/>
        </w:rPr>
        <w:t>The overall effective income tax rate was 25.4% and 26.3% for the three and six months ended June 30, 2017, respectively, and 28.8% and 30.2% for the three and six months ended June 30, 2016, respectively. For the three and six months ended June 30, 2017, the decrease in the effective rate is primarily the result of a lower earnings mix in higher tax rate jurisdictions.</w:t>
      </w:r>
    </w:p>
    <w:p>
      <w:pPr>
        <w:spacing w:after="0" w:line="176" w:lineRule="exact"/>
        <w:rPr>
          <w:sz w:val="20"/>
          <w:szCs w:val="20"/>
          <w:color w:val="auto"/>
        </w:rPr>
      </w:pPr>
    </w:p>
    <w:p>
      <w:pPr>
        <w:ind w:right="380" w:firstLine="500"/>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liability for income taxes associated with uncertain tax positions was $8.4 million, of which $4.2 million, if recognized, would favorably affect the Company’s effective tax rate.</w:t>
      </w:r>
    </w:p>
    <w:p>
      <w:pPr>
        <w:spacing w:after="0" w:line="162" w:lineRule="exact"/>
        <w:rPr>
          <w:sz w:val="20"/>
          <w:szCs w:val="20"/>
          <w:color w:val="auto"/>
        </w:rPr>
      </w:pPr>
    </w:p>
    <w:p>
      <w:pPr>
        <w:jc w:val="both"/>
        <w:ind w:right="200" w:firstLine="500"/>
        <w:spacing w:after="0" w:line="266" w:lineRule="auto"/>
        <w:rPr>
          <w:sz w:val="20"/>
          <w:szCs w:val="20"/>
          <w:color w:val="auto"/>
        </w:rPr>
      </w:pPr>
      <w:r>
        <w:rPr>
          <w:rFonts w:ascii="Times New Roman" w:cs="Times New Roman" w:eastAsia="Times New Roman" w:hAnsi="Times New Roman"/>
          <w:sz w:val="18"/>
          <w:szCs w:val="18"/>
          <w:color w:val="auto"/>
        </w:rPr>
        <w:t>The Company includes interest and penalties related to uncertain tax positions in income tax expense. As of June 30, 2017, the total accrued interest and penalties were $1.0 million and $0.3 million, respectively. As of December 31, 2016, the total accrued interest and penalties were $0.8 million and $0.3 million, respectively.</w:t>
      </w:r>
    </w:p>
    <w:p>
      <w:pPr>
        <w:spacing w:after="0" w:line="176" w:lineRule="exact"/>
        <w:rPr>
          <w:sz w:val="20"/>
          <w:szCs w:val="20"/>
          <w:color w:val="auto"/>
        </w:rPr>
      </w:pPr>
    </w:p>
    <w:p>
      <w:pPr>
        <w:ind w:right="160" w:firstLine="500"/>
        <w:spacing w:after="0" w:line="266" w:lineRule="auto"/>
        <w:rPr>
          <w:sz w:val="20"/>
          <w:szCs w:val="20"/>
          <w:color w:val="auto"/>
        </w:rPr>
      </w:pPr>
      <w:r>
        <w:rPr>
          <w:rFonts w:ascii="Times New Roman" w:cs="Times New Roman" w:eastAsia="Times New Roman" w:hAnsi="Times New Roman"/>
          <w:sz w:val="18"/>
          <w:szCs w:val="18"/>
          <w:color w:val="auto"/>
        </w:rPr>
        <w:t>At this time, the Company believes it is reasonably possible that unrecognized tax benefits of approximately $4.0 million may change within the next 12 months due to the expiration of statutory review periods and current examinations. With limited exceptions, the Company is no longer subject to examination by various U.S. and foreign taxing authorities for years before 2013.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net income attributable to Wabtec shareholders is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98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for basic and diluted earnings per common</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 - net income attributable</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 Wabtec shareholders</w:t>
            </w:r>
          </w:p>
        </w:tc>
        <w:tc>
          <w:tcPr>
            <w:tcW w:w="3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72,025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90,485</w:t>
            </w:r>
          </w:p>
        </w:tc>
        <w:tc>
          <w:tcPr>
            <w:tcW w:w="0" w:type="dxa"/>
            <w:vAlign w:val="bottom"/>
          </w:tcPr>
          <w:p>
            <w:pPr>
              <w:spacing w:after="0"/>
              <w:rPr>
                <w:sz w:val="1"/>
                <w:szCs w:val="1"/>
                <w:color w:val="auto"/>
              </w:rPr>
            </w:pPr>
          </w:p>
        </w:tc>
      </w:tr>
      <w:tr>
        <w:trPr>
          <w:trHeight w:val="25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dividends declared - common shares</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non-vested restricted stock</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62,420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83,276</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allocated to common shareholders (1)</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62,233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83,026</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dividends declared - common shares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9,576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Numerator for basic and diluted earnings per</w:t>
            </w: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20" w:type="dxa"/>
            <w:vAlign w:val="bottom"/>
            <w:gridSpan w:val="2"/>
            <w:vMerge w:val="continue"/>
          </w:tcPr>
          <w:p>
            <w:pPr>
              <w:spacing w:after="0"/>
              <w:rPr>
                <w:sz w:val="17"/>
                <w:szCs w:val="17"/>
                <w:color w:val="auto"/>
              </w:rPr>
            </w:pPr>
          </w:p>
        </w:tc>
        <w:tc>
          <w:tcPr>
            <w:tcW w:w="3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71,809</w:t>
            </w:r>
          </w:p>
        </w:tc>
        <w:tc>
          <w:tcPr>
            <w:tcW w:w="120" w:type="dxa"/>
            <w:vAlign w:val="bottom"/>
          </w:tcPr>
          <w:p>
            <w:pPr>
              <w:spacing w:after="0"/>
              <w:rPr>
                <w:sz w:val="17"/>
                <w:szCs w:val="17"/>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90,215</w:t>
            </w:r>
          </w:p>
        </w:tc>
        <w:tc>
          <w:tcPr>
            <w:tcW w:w="0" w:type="dxa"/>
            <w:vAlign w:val="bottom"/>
          </w:tcPr>
          <w:p>
            <w:pPr>
              <w:spacing w:after="0"/>
              <w:rPr>
                <w:sz w:val="1"/>
                <w:szCs w:val="1"/>
                <w:color w:val="auto"/>
              </w:rPr>
            </w:pPr>
          </w:p>
        </w:tc>
      </w:tr>
      <w:tr>
        <w:trPr>
          <w:trHeight w:val="241"/>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share</w:t>
            </w:r>
          </w:p>
        </w:tc>
        <w:tc>
          <w:tcPr>
            <w:tcW w:w="370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basic earnings per common</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 - weighted average shares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95,641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89,846</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conversion of dilutive stock-based</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plans</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 for diluted earnings per common share -</w:t>
            </w: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gridSpan w:val="2"/>
            <w:vMerge w:val="continue"/>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 weighted average shares and assumed conversion</w:t>
            </w:r>
          </w:p>
        </w:tc>
        <w:tc>
          <w:tcPr>
            <w:tcW w:w="3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96,284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90,559</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Wabtec</w:t>
            </w: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20" w:type="dxa"/>
            <w:vAlign w:val="bottom"/>
            <w:gridSpan w:val="2"/>
            <w:vMerge w:val="continue"/>
          </w:tcPr>
          <w:p>
            <w:pPr>
              <w:spacing w:after="0"/>
              <w:rPr>
                <w:sz w:val="15"/>
                <w:szCs w:val="15"/>
                <w:color w:val="auto"/>
              </w:rPr>
            </w:pPr>
          </w:p>
        </w:tc>
        <w:tc>
          <w:tcPr>
            <w:tcW w:w="3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shareholders per common share</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05"/>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Basic weighted-average common shares outstanding</w:t>
            </w:r>
          </w:p>
        </w:tc>
        <w:tc>
          <w:tcPr>
            <w:tcW w:w="3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95,641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89,846</w:t>
            </w:r>
          </w:p>
        </w:tc>
        <w:tc>
          <w:tcPr>
            <w:tcW w:w="0" w:type="dxa"/>
            <w:vAlign w:val="bottom"/>
          </w:tcPr>
          <w:p>
            <w:pPr>
              <w:spacing w:after="0"/>
              <w:rPr>
                <w:sz w:val="1"/>
                <w:szCs w:val="1"/>
                <w:color w:val="auto"/>
              </w:rPr>
            </w:pPr>
          </w:p>
        </w:tc>
      </w:tr>
      <w:tr>
        <w:trPr>
          <w:trHeight w:val="252"/>
        </w:trPr>
        <w:tc>
          <w:tcPr>
            <w:tcW w:w="5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 weighted-average common shares outstanding and</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non-vested restricted stock expected to vest</w:t>
            </w: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95,917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90,101</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allocated to common shareholders</w:t>
            </w:r>
          </w:p>
        </w:tc>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702"/>
        </w:trPr>
        <w:tc>
          <w:tcPr>
            <w:tcW w:w="20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23" w:name="page24"/>
    <w:bookmarkEnd w:id="2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3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6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for basic and diluted earnings per common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 - net income attributable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 Wabtec shareholders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145,914</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184,648</w:t>
            </w:r>
          </w:p>
        </w:tc>
        <w:tc>
          <w:tcPr>
            <w:tcW w:w="0" w:type="dxa"/>
            <w:vAlign w:val="bottom"/>
          </w:tcPr>
          <w:p>
            <w:pPr>
              <w:spacing w:after="0"/>
              <w:rPr>
                <w:sz w:val="1"/>
                <w:szCs w:val="1"/>
                <w:color w:val="auto"/>
              </w:rPr>
            </w:pPr>
          </w:p>
        </w:tc>
      </w:tr>
      <w:tr>
        <w:trPr>
          <w:trHeight w:val="25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dividends declared - common shares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non-vested restricted stock</w:t>
            </w: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(14,565)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126,737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170,083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allocated to common shareholders (1)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126,357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169,573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dividends declared - common shares</w:t>
            </w: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19,120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14,520</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Numerator for basic and diluted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380" w:type="dxa"/>
            <w:vAlign w:val="bottom"/>
            <w:gridSpan w:val="2"/>
            <w:vMerge w:val="continue"/>
          </w:tcPr>
          <w:p>
            <w:pPr>
              <w:spacing w:after="0"/>
              <w:rPr>
                <w:sz w:val="17"/>
                <w:szCs w:val="17"/>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145,477</w:t>
            </w:r>
          </w:p>
        </w:tc>
        <w:tc>
          <w:tcPr>
            <w:tcW w:w="120" w:type="dxa"/>
            <w:vAlign w:val="bottom"/>
          </w:tcPr>
          <w:p>
            <w:pPr>
              <w:spacing w:after="0"/>
              <w:rPr>
                <w:sz w:val="17"/>
                <w:szCs w:val="17"/>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184,093</w:t>
            </w:r>
          </w:p>
        </w:tc>
        <w:tc>
          <w:tcPr>
            <w:tcW w:w="0" w:type="dxa"/>
            <w:vAlign w:val="bottom"/>
          </w:tcPr>
          <w:p>
            <w:pPr>
              <w:spacing w:after="0"/>
              <w:rPr>
                <w:sz w:val="1"/>
                <w:szCs w:val="1"/>
                <w:color w:val="auto"/>
              </w:rPr>
            </w:pPr>
          </w:p>
        </w:tc>
      </w:tr>
      <w:tr>
        <w:trPr>
          <w:trHeight w:val="246"/>
        </w:trPr>
        <w:tc>
          <w:tcPr>
            <w:tcW w:w="8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share</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basic earnings per common</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 - weighted average shares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95,370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90,832</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conversion of dilutive stock-based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plans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 for diluted earnings per common share -</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 weighted average shares and assumed conversion</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96,071</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91,628</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Wabtec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shareholders per common share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Basic weighted-average common shares outstanding</w:t>
            </w: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95,370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90,832</w:t>
            </w:r>
          </w:p>
        </w:tc>
        <w:tc>
          <w:tcPr>
            <w:tcW w:w="0" w:type="dxa"/>
            <w:vAlign w:val="bottom"/>
          </w:tcPr>
          <w:p>
            <w:pPr>
              <w:spacing w:after="0"/>
              <w:rPr>
                <w:sz w:val="1"/>
                <w:szCs w:val="1"/>
                <w:color w:val="auto"/>
              </w:rPr>
            </w:pPr>
          </w:p>
        </w:tc>
      </w:tr>
      <w:tr>
        <w:trPr>
          <w:trHeight w:val="252"/>
        </w:trPr>
        <w:tc>
          <w:tcPr>
            <w:tcW w:w="8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 weighted-average common shares outstanding and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non-vested restricted stock expected to vest</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95,666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91,111</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allocated to common shareholders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160" w:firstLine="500"/>
        <w:spacing w:after="0" w:line="266" w:lineRule="auto"/>
        <w:rPr>
          <w:sz w:val="20"/>
          <w:szCs w:val="20"/>
          <w:color w:val="auto"/>
        </w:rPr>
      </w:pPr>
      <w:r>
        <w:rPr>
          <w:rFonts w:ascii="Times New Roman" w:cs="Times New Roman" w:eastAsia="Times New Roman" w:hAnsi="Times New Roman"/>
          <w:sz w:val="18"/>
          <w:szCs w:val="18"/>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102870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138,992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92,064</w:t>
            </w: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17,853</w:t>
            </w: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7,547</w:t>
            </w: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claim payments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(20,422)</w:t>
            </w: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impact/other</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144,758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96,346</w:t>
            </w: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08" w:right="2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12. DERIVATIVE FINANCIAL INSTRUMENTS AND HEDGING</w:t>
      </w:r>
    </w:p>
    <w:p>
      <w:pPr>
        <w:spacing w:after="0" w:line="225" w:lineRule="exact"/>
        <w:rPr>
          <w:sz w:val="20"/>
          <w:szCs w:val="20"/>
          <w:color w:val="auto"/>
        </w:rPr>
      </w:pPr>
    </w:p>
    <w:p>
      <w:pPr>
        <w:ind w:right="20" w:firstLine="5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Hedging </w:t>
      </w:r>
      <w:r>
        <w:rPr>
          <w:rFonts w:ascii="Times New Roman" w:cs="Times New Roman" w:eastAsia="Times New Roman" w:hAnsi="Times New Roman"/>
          <w:sz w:val="18"/>
          <w:szCs w:val="18"/>
          <w:color w:val="auto"/>
        </w:rPr>
        <w:t>The Company uses forward contracts to mitigate its foreign currency exchange rate exposure due to forecasted sales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six months ended June 30, 2017 and June 30, 2016, the amounts reclassified into income were not material.</w:t>
      </w:r>
    </w:p>
    <w:p>
      <w:pPr>
        <w:spacing w:after="0" w:line="183" w:lineRule="exact"/>
        <w:rPr>
          <w:sz w:val="20"/>
          <w:szCs w:val="20"/>
          <w:color w:val="auto"/>
        </w:rPr>
      </w:pPr>
    </w:p>
    <w:p>
      <w:pPr>
        <w:ind w:right="40" w:firstLine="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Activities </w:t>
      </w:r>
      <w:r>
        <w:rPr>
          <w:rFonts w:ascii="Times New Roman" w:cs="Times New Roman" w:eastAsia="Times New Roman" w:hAnsi="Times New Roman"/>
          <w:sz w:val="18"/>
          <w:szCs w:val="18"/>
          <w:color w:val="auto"/>
        </w:rPr>
        <w:t>The Company enters into certain derivative contracts in accordance with its risk management strategy that do not meet the criteria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$3.7 million for the three months ended June 30, 2017. These contracts are scheduled to mature within one year.</w:t>
      </w:r>
    </w:p>
    <w:p>
      <w:pPr>
        <w:spacing w:after="0" w:line="181" w:lineRule="exact"/>
        <w:rPr>
          <w:sz w:val="20"/>
          <w:szCs w:val="20"/>
          <w:color w:val="auto"/>
        </w:rPr>
      </w:pPr>
    </w:p>
    <w:p>
      <w:pPr>
        <w:ind w:right="58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amounts and fair values of the designated and non-designated hedges discussed in the above sections.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0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Designated</w:t>
            </w:r>
          </w:p>
        </w:tc>
        <w:tc>
          <w:tcPr>
            <w:tcW w:w="22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Non-Designated</w:t>
            </w:r>
          </w:p>
        </w:tc>
        <w:tc>
          <w:tcPr>
            <w:tcW w:w="420" w:type="dxa"/>
            <w:vAlign w:val="bottom"/>
          </w:tcPr>
          <w:p>
            <w:pPr>
              <w:spacing w:after="0"/>
              <w:rPr>
                <w:sz w:val="17"/>
                <w:szCs w:val="17"/>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8"/>
        </w:trPr>
        <w:tc>
          <w:tcPr>
            <w:tcW w:w="82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3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notional amount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1,179.3</w:t>
            </w:r>
          </w:p>
        </w:tc>
      </w:tr>
      <w:tr>
        <w:trPr>
          <w:trHeight w:val="59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firstLine="5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Hedging </w:t>
      </w:r>
      <w:r>
        <w:rPr>
          <w:rFonts w:ascii="Times New Roman" w:cs="Times New Roman" w:eastAsia="Times New Roman" w:hAnsi="Times New Roman"/>
          <w:sz w:val="18"/>
          <w:szCs w:val="18"/>
          <w:color w:val="auto"/>
        </w:rPr>
        <w:t>The Company uses interest rate swaps to manage interest rate exposures. The Company is exposed to interest rate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Refer to footnote 13 for further information on interest rate swaps.</w:t>
      </w:r>
    </w:p>
    <w:p>
      <w:pPr>
        <w:spacing w:after="0" w:line="197" w:lineRule="exact"/>
        <w:rPr>
          <w:sz w:val="20"/>
          <w:szCs w:val="20"/>
          <w:color w:val="auto"/>
        </w:rPr>
      </w:pPr>
    </w:p>
    <w:p>
      <w:pPr>
        <w:ind w:right="80" w:firstLine="486"/>
        <w:spacing w:after="0" w:line="288" w:lineRule="auto"/>
        <w:rPr>
          <w:sz w:val="20"/>
          <w:szCs w:val="20"/>
          <w:color w:val="auto"/>
        </w:rPr>
      </w:pPr>
      <w:r>
        <w:rPr>
          <w:rFonts w:ascii="Times New Roman" w:cs="Times New Roman" w:eastAsia="Times New Roman" w:hAnsi="Times New Roman"/>
          <w:sz w:val="18"/>
          <w:szCs w:val="18"/>
          <w:color w:val="auto"/>
        </w:rPr>
        <w:t>As of June 30, 2017, the Company has recorded a current liability of $2.5 million and an accumulated other comprehensive loss of $1.5 million, net of tax, related to these agreements</w:t>
      </w:r>
      <w:r>
        <w:rPr>
          <w:rFonts w:ascii="Times New Roman" w:cs="Times New Roman" w:eastAsia="Times New Roman" w:hAnsi="Times New Roman"/>
          <w:sz w:val="19"/>
          <w:szCs w:val="19"/>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 AND FAIR VALUE OF FINANCIAL INSTRUMENTS</w:t>
      </w:r>
    </w:p>
    <w:p>
      <w:pPr>
        <w:spacing w:after="0" w:line="121" w:lineRule="exact"/>
        <w:rPr>
          <w:sz w:val="20"/>
          <w:szCs w:val="20"/>
          <w:color w:val="auto"/>
        </w:rPr>
      </w:pPr>
    </w:p>
    <w:p>
      <w:pPr>
        <w:ind w:right="100" w:firstLine="500"/>
        <w:spacing w:after="0" w:line="261"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76" w:lineRule="exact"/>
        <w:rPr>
          <w:sz w:val="20"/>
          <w:szCs w:val="20"/>
          <w:color w:val="auto"/>
        </w:rPr>
      </w:pPr>
    </w:p>
    <w:p>
      <w:pPr>
        <w:ind w:right="100" w:firstLine="5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Hierarchy </w:t>
      </w:r>
      <w:r>
        <w:rPr>
          <w:rFonts w:ascii="Times New Roman" w:cs="Times New Roman" w:eastAsia="Times New Roman" w:hAnsi="Times New Roman"/>
          <w:sz w:val="18"/>
          <w:szCs w:val="18"/>
          <w:color w:val="auto"/>
        </w:rPr>
        <w:t>ASC 820 establishes a valuation hierarchy for disclosure of the inputs to valuation used to measure fair value. This hierarchy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6" w:right="239" w:bottom="1440" w:gutter="0" w:footer="0" w:header="0"/>
        </w:sectPr>
      </w:pPr>
    </w:p>
    <w:bookmarkStart w:id="25" w:name="page26"/>
    <w:bookmarkEnd w:id="25"/>
    <w:p>
      <w:pPr>
        <w:ind w:right="16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liabilities carried at fair value measured on a recurring basis as of June 30, 2017, which are included in other current liabilities on the Condensed Consolidated Balance sheet: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2017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 Carrying</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80" w:type="dxa"/>
            <w:vAlign w:val="bottom"/>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9"/>
                <w:szCs w:val="9"/>
                <w:color w:val="auto"/>
              </w:rPr>
            </w:pPr>
          </w:p>
        </w:tc>
        <w:tc>
          <w:tcPr>
            <w:tcW w:w="13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80" w:type="dxa"/>
            <w:vAlign w:val="bottom"/>
            <w:vMerge w:val="restart"/>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6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0"/>
                <w:szCs w:val="20"/>
                <w:color w:val="auto"/>
              </w:rPr>
            </w:pPr>
          </w:p>
        </w:tc>
        <w:tc>
          <w:tcPr>
            <w:tcW w:w="1280" w:type="dxa"/>
            <w:vAlign w:val="bottom"/>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2"/>
                <w:szCs w:val="22"/>
                <w:color w:val="auto"/>
              </w:rPr>
            </w:pPr>
          </w:p>
        </w:tc>
        <w:tc>
          <w:tcPr>
            <w:tcW w:w="1280" w:type="dxa"/>
            <w:vAlign w:val="bottom"/>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liabilities carried at fair value measured on a recurring basis as of December 31, 2016, which is included in other current liabilities on the Condensed Consolidated Balance sheet: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2016 Using</w:t>
            </w:r>
          </w:p>
        </w:tc>
        <w:tc>
          <w:tcPr>
            <w:tcW w:w="0" w:type="dxa"/>
            <w:vAlign w:val="bottom"/>
          </w:tcPr>
          <w:p>
            <w:pPr>
              <w:spacing w:after="0"/>
              <w:rPr>
                <w:sz w:val="1"/>
                <w:szCs w:val="1"/>
                <w:color w:val="auto"/>
              </w:rPr>
            </w:pPr>
          </w:p>
        </w:tc>
      </w:tr>
      <w:tr>
        <w:trPr>
          <w:trHeight w:val="151"/>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Total Carrying</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3"/>
                <w:szCs w:val="13"/>
                <w:color w:val="auto"/>
              </w:rPr>
            </w:pPr>
          </w:p>
        </w:tc>
        <w:tc>
          <w:tcPr>
            <w:tcW w:w="1340" w:type="dxa"/>
            <w:vAlign w:val="bottom"/>
          </w:tcPr>
          <w:p>
            <w:pPr>
              <w:jc w:val="center"/>
              <w:ind w:right="162"/>
              <w:spacing w:after="0" w:line="15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4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62"/>
              <w:spacing w:after="0" w:line="160"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1340" w:type="dxa"/>
            <w:vAlign w:val="bottom"/>
          </w:tcPr>
          <w:p>
            <w:pPr>
              <w:jc w:val="center"/>
              <w:ind w:right="162"/>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00"/>
        <w:spacing w:after="0" w:line="261" w:lineRule="auto"/>
        <w:rPr>
          <w:sz w:val="20"/>
          <w:szCs w:val="20"/>
          <w:color w:val="auto"/>
        </w:rPr>
      </w:pPr>
      <w:r>
        <w:rPr>
          <w:rFonts w:ascii="Times New Roman" w:cs="Times New Roman" w:eastAsia="Times New Roman" w:hAnsi="Times New Roman"/>
          <w:sz w:val="18"/>
          <w:szCs w:val="18"/>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80" w:lineRule="exact"/>
        <w:rPr>
          <w:sz w:val="20"/>
          <w:szCs w:val="20"/>
          <w:color w:val="auto"/>
        </w:rPr>
      </w:pPr>
    </w:p>
    <w:p>
      <w:pPr>
        <w:ind w:right="160" w:firstLine="500"/>
        <w:spacing w:after="0" w:line="261" w:lineRule="auto"/>
        <w:rPr>
          <w:sz w:val="20"/>
          <w:szCs w:val="20"/>
          <w:color w:val="auto"/>
        </w:rPr>
      </w:pPr>
      <w:r>
        <w:rPr>
          <w:rFonts w:ascii="Times New Roman" w:cs="Times New Roman" w:eastAsia="Times New Roman" w:hAnsi="Times New Roman"/>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0" w:lineRule="exact"/>
        <w:rPr>
          <w:sz w:val="20"/>
          <w:szCs w:val="20"/>
          <w:color w:val="auto"/>
        </w:rPr>
      </w:pPr>
    </w:p>
    <w:p>
      <w:pPr>
        <w:ind w:right="40" w:firstLine="500"/>
        <w:spacing w:after="0" w:line="269" w:lineRule="auto"/>
        <w:rPr>
          <w:sz w:val="20"/>
          <w:szCs w:val="20"/>
          <w:color w:val="auto"/>
        </w:rPr>
      </w:pPr>
      <w:r>
        <w:rPr>
          <w:rFonts w:ascii="Times New Roman" w:cs="Times New Roman" w:eastAsia="Times New Roman" w:hAnsi="Times New Roman"/>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June 30, 2017 and December 31, 2016.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fair values and related carrying values of the Company’s financial instruments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2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Carry</w:t>
            </w:r>
          </w:p>
        </w:tc>
        <w:tc>
          <w:tcPr>
            <w:tcW w:w="44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320" w:type="dxa"/>
            <w:vAlign w:val="bottom"/>
          </w:tcPr>
          <w:p>
            <w:pPr>
              <w:spacing w:after="0"/>
              <w:rPr>
                <w:sz w:val="12"/>
                <w:szCs w:val="12"/>
                <w:color w:val="auto"/>
              </w:rPr>
            </w:pPr>
          </w:p>
        </w:tc>
        <w:tc>
          <w:tcPr>
            <w:tcW w:w="1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Carry</w:t>
            </w:r>
          </w:p>
        </w:tc>
        <w:tc>
          <w:tcPr>
            <w:tcW w:w="320" w:type="dxa"/>
            <w:vAlign w:val="bottom"/>
          </w:tcPr>
          <w:p>
            <w:pPr>
              <w:spacing w:after="0"/>
              <w:rPr>
                <w:sz w:val="12"/>
                <w:szCs w:val="12"/>
                <w:color w:val="auto"/>
              </w:rPr>
            </w:pPr>
          </w:p>
        </w:tc>
        <w:tc>
          <w:tcPr>
            <w:tcW w:w="1040" w:type="dxa"/>
            <w:vAlign w:val="bottom"/>
          </w:tcPr>
          <w:p>
            <w:pPr>
              <w:jc w:val="right"/>
              <w:ind w:right="45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55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Pr>
          <w:p>
            <w:pPr>
              <w:spacing w:after="0"/>
              <w:rPr>
                <w:sz w:val="13"/>
                <w:szCs w:val="13"/>
                <w:color w:val="auto"/>
              </w:rPr>
            </w:pPr>
          </w:p>
        </w:tc>
        <w:tc>
          <w:tcPr>
            <w:tcW w:w="10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3"/>
                <w:szCs w:val="13"/>
                <w:color w:val="auto"/>
              </w:rPr>
            </w:pPr>
          </w:p>
        </w:tc>
        <w:tc>
          <w:tcPr>
            <w:tcW w:w="11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3"/>
                <w:szCs w:val="13"/>
                <w:color w:val="auto"/>
              </w:rPr>
            </w:pPr>
          </w:p>
        </w:tc>
        <w:tc>
          <w:tcPr>
            <w:tcW w:w="1040" w:type="dxa"/>
            <w:vAlign w:val="bottom"/>
          </w:tcPr>
          <w:p>
            <w:pPr>
              <w:jc w:val="right"/>
              <w:ind w:right="417"/>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3,888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4.375%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248,438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266,308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248,310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260,265</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747,580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742,808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747,474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719,273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2016, in Note 19 therein, filed on February 28, 2017. During the first six months of 2017, there were no material changes to the information described in the Form 10-K.</w:t>
      </w:r>
    </w:p>
    <w:p>
      <w:pPr>
        <w:spacing w:after="0" w:line="180" w:lineRule="exact"/>
        <w:rPr>
          <w:sz w:val="20"/>
          <w:szCs w:val="20"/>
          <w:color w:val="auto"/>
        </w:rPr>
      </w:pPr>
    </w:p>
    <w:p>
      <w:pPr>
        <w:ind w:right="140" w:firstLine="50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2016, in Note 19 therein, filed on February 28, 2017. Except as described below, there have been no material changes to the information described in the Form 10-K, including with respect to the litigation with Siemens described therein.</w:t>
      </w:r>
    </w:p>
    <w:p>
      <w:pPr>
        <w:spacing w:after="0" w:line="184"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Xorail, Inc., a wholly owned subsidiary of the Company (“Xorail”), has received notices from Denver Transit Constructors (“Denver Transit”) alleging breach of contract related to the installation of constant warning wireless crossings, and late delivery of the Train Management &amp; Dispatch System (“TMDS”) for the Denver Eagle P3 Project. No damages have been asserted for the alleged late delivery of the TMDS. On May 4, 2017, Denver Transit alleged that total damages were $29.9 million as of March 31, 2017 and are continuing to accumulate regarding the installation of constant wireless crossings. The crossings have not been certified for use, which Denver Transit alleges is due to Xorail’s failure to achieve constant warning times satisfactory to the Federal Railway Administration (“FRA”). No claims have been filed by Denver Transit with regard to either issue. Xorail has denied Denver Transit’s assertions regarding the wireless crossings but continues to work with Denver Transit and FRA to upgrade and change its system to meet the FRA’s previously undefined, and still evolving, certification requirements. The Company does not believe that it has any liability with respect to the wireless crossing issue. The Company is working with Denver Transit on a response plan regarding the TMDS.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58" w:lineRule="exact"/>
        <w:rPr>
          <w:sz w:val="20"/>
          <w:szCs w:val="20"/>
          <w:color w:val="auto"/>
        </w:rPr>
      </w:pPr>
    </w:p>
    <w:p>
      <w:pPr>
        <w:ind w:right="60" w:firstLine="5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Freight Segment </w:t>
      </w:r>
      <w:r>
        <w:rPr>
          <w:rFonts w:ascii="Times New Roman" w:cs="Times New Roman" w:eastAsia="Times New Roman" w:hAnsi="Times New Roman"/>
          <w:sz w:val="18"/>
          <w:szCs w:val="18"/>
          <w:color w:val="auto"/>
        </w:rPr>
        <w:t>primarily manufactures and services components for new and existing freight cars and locomotives, builds new switcher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77" w:lineRule="exact"/>
        <w:rPr>
          <w:sz w:val="20"/>
          <w:szCs w:val="20"/>
          <w:color w:val="auto"/>
        </w:rPr>
      </w:pPr>
    </w:p>
    <w:p>
      <w:pPr>
        <w:ind w:firstLine="5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Transit Segment </w:t>
      </w:r>
      <w:r>
        <w:rPr>
          <w:rFonts w:ascii="Times New Roman" w:cs="Times New Roman" w:eastAsia="Times New Roman" w:hAnsi="Times New Roman"/>
          <w:sz w:val="18"/>
          <w:szCs w:val="18"/>
          <w:color w:val="auto"/>
        </w:rPr>
        <w:t>primarily manufactures and services components for new and existing passenger transit vehicles, typically regional trains, high speed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1" w:lineRule="exact"/>
        <w:rPr>
          <w:sz w:val="20"/>
          <w:szCs w:val="20"/>
          <w:color w:val="auto"/>
        </w:rPr>
      </w:pPr>
    </w:p>
    <w:p>
      <w:pPr>
        <w:ind w:right="60" w:firstLine="500"/>
        <w:spacing w:after="0" w:line="258" w:lineRule="auto"/>
        <w:rPr>
          <w:sz w:val="20"/>
          <w:szCs w:val="20"/>
          <w:color w:val="auto"/>
        </w:rPr>
      </w:pPr>
      <w:r>
        <w:rPr>
          <w:rFonts w:ascii="Times New Roman" w:cs="Times New Roman" w:eastAsia="Times New Roman" w:hAnsi="Times New Roman"/>
          <w:sz w:val="18"/>
          <w:szCs w:val="18"/>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0" w:right="2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8"/>
          <w:szCs w:val="18"/>
          <w:color w:val="auto"/>
        </w:rPr>
        <w:t>Segment financial information for the three months ended June 30, 2017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8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344,828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587,425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932,253</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sales/(elimination)</w:t>
            </w:r>
          </w:p>
        </w:tc>
        <w:tc>
          <w:tcPr>
            <w:tcW w:w="28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354,967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593,498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932,253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63,337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59,222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113,701</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63,337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59,222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96,729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4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Segment financial information for the three months ended June 30, 2016 is as follows: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80" w:type="dxa"/>
            <w:vAlign w:val="bottom"/>
          </w:tcPr>
          <w:p>
            <w:pPr>
              <w:spacing w:after="0"/>
              <w:rPr>
                <w:sz w:val="24"/>
                <w:szCs w:val="24"/>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Activities and</w:t>
            </w:r>
          </w:p>
        </w:tc>
        <w:tc>
          <w:tcPr>
            <w:tcW w:w="34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397,067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326,534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723,601</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sales/(elimination)</w:t>
            </w:r>
          </w:p>
        </w:tc>
        <w:tc>
          <w:tcPr>
            <w:tcW w:w="28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410,683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330,640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723,601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92,317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52,146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133,284</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92,317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52,146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127,086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financial information for the six months ended June 30, 2017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6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2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Activities and</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5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692,774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1,155,513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1,848,287</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sales/(elimination)</w:t>
            </w:r>
          </w:p>
        </w:tc>
        <w:tc>
          <w:tcPr>
            <w:tcW w:w="2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712,000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1,167,272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1,848,287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134,732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108,370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228,559</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134,732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108,370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196,194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financial information for the six months ended June 30, 2016 is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Activities and</w:t>
            </w:r>
          </w:p>
        </w:tc>
        <w:tc>
          <w:tcPr>
            <w:tcW w:w="32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Elimination</w:t>
            </w: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839,736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655,896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1,495,632</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sales/(elimination)</w:t>
            </w: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sales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859,160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661,679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1,495,632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198,991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97,156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275,465</w:t>
            </w:r>
          </w:p>
        </w:tc>
        <w:tc>
          <w:tcPr>
            <w:tcW w:w="0" w:type="dxa"/>
            <w:vAlign w:val="bottom"/>
          </w:tcPr>
          <w:p>
            <w:pPr>
              <w:spacing w:after="0"/>
              <w:rPr>
                <w:sz w:val="1"/>
                <w:szCs w:val="1"/>
                <w:color w:val="auto"/>
              </w:rPr>
            </w:pPr>
          </w:p>
        </w:tc>
      </w:tr>
      <w:tr>
        <w:trPr>
          <w:trHeight w:val="27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198,991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97,156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264,550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color w:val="auto"/>
        </w:rPr>
        <w:t>Sales by product line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6"/>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r>
      <w:tr>
        <w:trPr>
          <w:trHeight w:val="19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8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r>
      <w:tr>
        <w:trPr>
          <w:trHeight w:val="21"/>
        </w:trPr>
        <w:tc>
          <w:tcPr>
            <w:tcW w:w="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Specialty Products &amp; Electronics</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324,798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339,188</w:t>
            </w:r>
          </w:p>
        </w:tc>
        <w:tc>
          <w:tcPr>
            <w:tcW w:w="60" w:type="dxa"/>
            <w:vAlign w:val="bottom"/>
          </w:tcPr>
          <w:p>
            <w:pPr>
              <w:spacing w:after="0"/>
              <w:rPr>
                <w:sz w:val="20"/>
                <w:szCs w:val="20"/>
                <w:color w:val="auto"/>
              </w:rPr>
            </w:pPr>
          </w:p>
        </w:tc>
      </w:tr>
      <w:tr>
        <w:trPr>
          <w:trHeight w:val="270"/>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Transit Products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253,764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49,643</w:t>
            </w:r>
          </w:p>
        </w:tc>
        <w:tc>
          <w:tcPr>
            <w:tcW w:w="60" w:type="dxa"/>
            <w:vAlign w:val="bottom"/>
          </w:tcPr>
          <w:p>
            <w:pPr>
              <w:spacing w:after="0"/>
              <w:rPr>
                <w:sz w:val="23"/>
                <w:szCs w:val="23"/>
                <w:color w:val="auto"/>
              </w:rPr>
            </w:pPr>
          </w:p>
        </w:tc>
      </w:tr>
      <w:tr>
        <w:trPr>
          <w:trHeight w:val="270"/>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Brake Products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192,557</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141,979</w:t>
            </w:r>
          </w:p>
        </w:tc>
        <w:tc>
          <w:tcPr>
            <w:tcW w:w="60" w:type="dxa"/>
            <w:vAlign w:val="bottom"/>
          </w:tcPr>
          <w:p>
            <w:pPr>
              <w:spacing w:after="0"/>
              <w:rPr>
                <w:sz w:val="23"/>
                <w:szCs w:val="23"/>
                <w:color w:val="auto"/>
              </w:rPr>
            </w:pPr>
          </w:p>
        </w:tc>
      </w:tr>
      <w:tr>
        <w:trPr>
          <w:trHeight w:val="270"/>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Remanufacturing, Overhaul &amp; Build</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126,556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156,981</w:t>
            </w:r>
          </w:p>
        </w:tc>
        <w:tc>
          <w:tcPr>
            <w:tcW w:w="60" w:type="dxa"/>
            <w:vAlign w:val="bottom"/>
          </w:tcPr>
          <w:p>
            <w:pPr>
              <w:spacing w:after="0"/>
              <w:rPr>
                <w:sz w:val="23"/>
                <w:szCs w:val="23"/>
                <w:color w:val="auto"/>
              </w:rPr>
            </w:pPr>
          </w:p>
        </w:tc>
      </w:tr>
      <w:tr>
        <w:trPr>
          <w:trHeight w:val="270"/>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34,578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35,810</w:t>
            </w:r>
          </w:p>
        </w:tc>
        <w:tc>
          <w:tcPr>
            <w:tcW w:w="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932,253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723,601</w:t>
            </w:r>
          </w:p>
        </w:tc>
        <w:tc>
          <w:tcPr>
            <w:tcW w:w="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9"/>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6"/>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24"/>
                <w:szCs w:val="24"/>
                <w:color w:val="auto"/>
              </w:rPr>
            </w:pPr>
          </w:p>
        </w:tc>
      </w:tr>
      <w:tr>
        <w:trPr>
          <w:trHeight w:val="19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30"/>
        </w:trPr>
        <w:tc>
          <w:tcPr>
            <w:tcW w:w="4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Specialty Products &amp; Electronics</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639,863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717,457</w:t>
            </w:r>
          </w:p>
        </w:tc>
        <w:tc>
          <w:tcPr>
            <w:tcW w:w="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Products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512,182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98,438</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Brake Products</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373,016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293,885</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Remanufacturing, Overhaul &amp; Build</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c>
          <w:tcPr>
            <w:tcW w:w="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70,838</w:t>
            </w:r>
          </w:p>
        </w:tc>
        <w:tc>
          <w:tcPr>
            <w:tcW w:w="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sales</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1,848,287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1,495,632</w:t>
            </w:r>
          </w:p>
        </w:tc>
        <w:tc>
          <w:tcPr>
            <w:tcW w:w="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280" w:top="580"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16. GUARANTOR SUBSIDIARIES FINANCIAL INFORMATION</w:t>
      </w:r>
    </w:p>
    <w:p>
      <w:pPr>
        <w:spacing w:after="0" w:line="121" w:lineRule="exact"/>
        <w:rPr>
          <w:sz w:val="20"/>
          <w:szCs w:val="20"/>
          <w:color w:val="auto"/>
        </w:rPr>
      </w:pPr>
    </w:p>
    <w:p>
      <w:pPr>
        <w:ind w:right="180" w:firstLine="500"/>
        <w:spacing w:after="0" w:line="261" w:lineRule="auto"/>
        <w:rPr>
          <w:sz w:val="20"/>
          <w:szCs w:val="20"/>
          <w:color w:val="auto"/>
        </w:rPr>
      </w:pPr>
      <w:r>
        <w:rPr>
          <w:rFonts w:ascii="Times New Roman" w:cs="Times New Roman" w:eastAsia="Times New Roman" w:hAnsi="Times New Roman"/>
          <w:sz w:val="18"/>
          <w:szCs w:val="18"/>
          <w:color w:val="auto"/>
        </w:rPr>
        <w:t>The obligations under the Company's 2016 Notes, 2013 Notes, and Revolving Credit Facility and Term Loan are full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Balance Sheet for June 30, 2017:</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8,985</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317,347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328,522</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71,773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209,518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847,700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1,128,991</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128,733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143,932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473,571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746,236</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36,231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100,904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141,060</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238,927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1,739,522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2,344,809</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134,047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363,095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547,842</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565,154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1,753,179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2,343,608</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6,132,898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2,488,919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(8,621,817)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251,852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1,129,365</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 term assets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73,116</w:t>
            </w:r>
          </w:p>
        </w:tc>
      </w:tr>
      <w:tr>
        <w:trPr>
          <w:trHeight w:val="242"/>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6,510,670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3,812,605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4,737,282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(8,621,817)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6,438,740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152,688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198,646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1,130,765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1,482,099</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1,982,986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(1,918,583)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1,765,868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1,934,604</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42,272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102,705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292,689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437,666</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3,943,814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1,527,751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3,854,369</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2,566,856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5,431,033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3,190,785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(8,621,817)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2,566,857</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17,514</w:t>
            </w:r>
          </w:p>
        </w:tc>
      </w:tr>
      <w:tr>
        <w:trPr>
          <w:trHeight w:val="252"/>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2,566,856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5,429,801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3,209,531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(8,621,817)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2,584,371</w:t>
            </w:r>
          </w:p>
        </w:tc>
      </w:tr>
      <w:tr>
        <w:trPr>
          <w:trHeight w:val="242"/>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6,510,670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3,812,605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4,737,282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(8,621,817)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6,438,740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8"/>
          <w:szCs w:val="18"/>
          <w:color w:val="auto"/>
        </w:rPr>
        <w:t>Balance Sheet for December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9,496</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386,466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398,484</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79,041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202,779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660,688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942,508</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120,042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658,510</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52,576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833,397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868,129</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2,290,943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2,867,631</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126,661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342,684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518,376</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477,472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1,576,018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2,078,765</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5,388,613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1,325,150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204,512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817,451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1,053,860</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 term assets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54,708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62,386</w:t>
            </w:r>
          </w:p>
        </w:tc>
      </w:tr>
      <w:tr>
        <w:trPr>
          <w:trHeight w:val="242"/>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5,758,589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2,454,388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5,081,804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6,581,018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196,956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1,054,700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1,446,639</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1,562,399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(1,848,777)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1,761,933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1,762,967</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33,298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74,977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286,312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394,587</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3,552,613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(1,576,786)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1,628,366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3,604,193</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2,205,976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4,032,250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2,681,514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2,205,977</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771,924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770,848</w:t>
            </w:r>
          </w:p>
        </w:tc>
      </w:tr>
      <w:tr>
        <w:trPr>
          <w:trHeight w:val="252"/>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2,205,976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4,031,174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3,453,438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2,976,825</w:t>
            </w:r>
          </w:p>
        </w:tc>
      </w:tr>
      <w:tr>
        <w:trPr>
          <w:trHeight w:val="242"/>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5,758,589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2,454,388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5,081,804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(6,713,763)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6,581,018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Income Statement for the Three Months Ended June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250,065</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576,967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932,253</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(100,311)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(159,789)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(421,998)</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23,808</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(658,290)</w:t>
            </w: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154,969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273,963</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(160,262)</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4,443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60,204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57,733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113,701</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(15,420)</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earnings (loss)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96,944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38,206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72,427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100,044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68,087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(143,829)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96,729</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(24,569)</w:t>
            </w:r>
          </w:p>
        </w:tc>
      </w:tr>
      <w:tr>
        <w:trPr>
          <w:trHeight w:val="247"/>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72,025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100,168</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43,796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(143,829)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72,160</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4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72,025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100,325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43,504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(143,829)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72,025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72,921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100,326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189,707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(143,829)</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219,125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80" w:top="472" w:right="2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8"/>
          <w:szCs w:val="18"/>
          <w:color w:val="auto"/>
        </w:rPr>
        <w:t>Income Statement for the Three Months Ended June 30,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161,632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349,763</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313,239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723,601</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(118,079)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(221,854)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(210,033)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63,754</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(486,212)</w:t>
            </w: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127,909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237,389</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(104,105)</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14,490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97,313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58,760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(37,279)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133,284</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earnings (loss)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108,929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116,557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145,640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57,217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(192,328)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127,086</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(36,601)</w:t>
            </w:r>
          </w:p>
        </w:tc>
      </w:tr>
      <w:tr>
        <w:trPr>
          <w:trHeight w:val="247"/>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90,483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144,693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47,637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(192,328)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90,485</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90,483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144,693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47,637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(192,328)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90,485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90,182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144,691</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6,691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(192,328)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49,236</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Income Statement for the Six Months Ended June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282,251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508,777</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1,121,356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1,848,287</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(199,262)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(327,395)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(825,964)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48,004</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(1,304,617)</w:t>
            </w: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82,989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181,382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543,670</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(57,247)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(315,111)</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25,742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121,438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97,472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228,559</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(33,132)</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767</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earnings (loss)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165,229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160,482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174,120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93,062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(231,470)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196,194</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(52,030)</w:t>
            </w:r>
          </w:p>
        </w:tc>
      </w:tr>
      <w:tr>
        <w:trPr>
          <w:trHeight w:val="247"/>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145,915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174,103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55,616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(231,470)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144,164</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1,750</w:t>
            </w:r>
          </w:p>
        </w:tc>
      </w:tr>
      <w:tr>
        <w:trPr>
          <w:trHeight w:val="24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145,915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174,260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57,209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(231,470)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145,914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147,668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174,261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250,508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(231,470)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340,967</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80" w:top="472" w:right="239"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8"/>
          <w:szCs w:val="18"/>
          <w:color w:val="auto"/>
        </w:rPr>
        <w:t>Income Statement for the Six Months Ended June 30,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338,619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606,676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629,223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(78,886)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1,495,632</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(247,160)</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(374,815)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(430,159)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49,071</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(1,003,063)</w:t>
            </w: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492,569</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(66,938)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(217,104)</w:t>
            </w:r>
          </w:p>
        </w:tc>
      </w:tr>
      <w:tr>
        <w:trPr>
          <w:trHeight w:val="247"/>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24,521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168,913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111,846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275,465</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earnings (loss)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221,950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84,819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243,757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253,183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104,194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(336,584)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264,550</w:t>
            </w:r>
          </w:p>
        </w:tc>
      </w:tr>
      <w:tr>
        <w:trPr>
          <w:trHeight w:val="274"/>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(59,108)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(79,902)</w:t>
            </w:r>
          </w:p>
        </w:tc>
      </w:tr>
      <w:tr>
        <w:trPr>
          <w:trHeight w:val="247"/>
        </w:trPr>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184,649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251,236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85,347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(336,584)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184,648</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184,649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251,236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(336,584)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184,648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183,369</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251,236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73,000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(336,584)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171,021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Condensed Statement of Cash Flows for the Six Months Ended June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63,758</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(13,703)</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(128,581)</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41,590</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of changes in currency exchange rates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30,732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30,732</w:t>
            </w: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(69,962)</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2,522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9,496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386,466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398,484</w:t>
            </w:r>
          </w:p>
        </w:tc>
      </w:tr>
      <w:tr>
        <w:trPr>
          <w:trHeight w:val="24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8,985</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317,347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328,522</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Condensed Statement of Cash Flows for the Six Months Ended June 30,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139,189</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90,343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213,976</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(40,202)</w:t>
            </w:r>
          </w:p>
        </w:tc>
      </w:tr>
      <w:tr>
        <w:trPr>
          <w:trHeight w:val="27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41,157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(102,157)</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of changes in currency exchange rates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5,127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5,127</w:t>
            </w:r>
          </w:p>
        </w:tc>
      </w:tr>
      <w:tr>
        <w:trPr>
          <w:trHeight w:val="24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69,551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76,744</w:t>
            </w:r>
          </w:p>
        </w:tc>
      </w:tr>
      <w:tr>
        <w:trPr>
          <w:trHeight w:val="27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13,157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213,034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226,191</w:t>
            </w:r>
          </w:p>
        </w:tc>
      </w:tr>
      <w:tr>
        <w:trPr>
          <w:trHeight w:val="250"/>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6,148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14,202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282,585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302,935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80" w:top="472"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income (expense) are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4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income</w:t>
            </w:r>
          </w:p>
        </w:tc>
        <w:tc>
          <w:tcPr>
            <w:tcW w:w="2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miscellaneous (expense) income</w:t>
            </w:r>
          </w:p>
        </w:tc>
        <w:tc>
          <w:tcPr>
            <w:tcW w:w="2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60" w:firstLine="5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2016, filed with the Securities and Exchange Commission on February 28, 2017.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firstLine="500"/>
        <w:spacing w:after="0" w:line="258" w:lineRule="auto"/>
        <w:rPr>
          <w:sz w:val="20"/>
          <w:szCs w:val="20"/>
          <w:color w:val="auto"/>
        </w:rPr>
      </w:pPr>
      <w:r>
        <w:rPr>
          <w:rFonts w:ascii="Times New Roman" w:cs="Times New Roman" w:eastAsia="Times New Roman" w:hAnsi="Times New Roman"/>
          <w:sz w:val="18"/>
          <w:szCs w:val="18"/>
          <w:color w:val="auto"/>
        </w:rPr>
        <w:t>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31 countries. For the six months ended June 30, 2017, approximately 65% of the Company’s revenues came from customers outside the 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Review and Future Outlook</w:t>
      </w:r>
    </w:p>
    <w:p>
      <w:pPr>
        <w:spacing w:after="0" w:line="119" w:lineRule="exact"/>
        <w:rPr>
          <w:sz w:val="20"/>
          <w:szCs w:val="20"/>
          <w:color w:val="auto"/>
        </w:rPr>
      </w:pPr>
    </w:p>
    <w:p>
      <w:pPr>
        <w:ind w:right="100" w:firstLine="500"/>
        <w:spacing w:after="0" w:line="258" w:lineRule="auto"/>
        <w:rPr>
          <w:sz w:val="20"/>
          <w:szCs w:val="20"/>
          <w:color w:val="auto"/>
        </w:rPr>
      </w:pPr>
      <w:r>
        <w:rPr>
          <w:rFonts w:ascii="Times New Roman" w:cs="Times New Roman" w:eastAsia="Times New Roman" w:hAnsi="Times New Roman"/>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184" w:lineRule="exact"/>
        <w:rPr>
          <w:sz w:val="20"/>
          <w:szCs w:val="20"/>
          <w:color w:val="auto"/>
        </w:rPr>
      </w:pPr>
    </w:p>
    <w:p>
      <w:pPr>
        <w:ind w:right="280" w:firstLine="500"/>
        <w:spacing w:after="0" w:line="256" w:lineRule="auto"/>
        <w:rPr>
          <w:sz w:val="20"/>
          <w:szCs w:val="20"/>
          <w:color w:val="auto"/>
        </w:rPr>
      </w:pPr>
      <w:r>
        <w:rPr>
          <w:rFonts w:ascii="Times New Roman" w:cs="Times New Roman" w:eastAsia="Times New Roman" w:hAnsi="Times New Roman"/>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 and services.</w:t>
      </w:r>
    </w:p>
    <w:p>
      <w:pPr>
        <w:spacing w:after="0" w:line="176"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According to the 2016 edition of a market study by UNIFE, the Association of the European Rail Industry, the accessible global market for railway products and services is more than $100 billion, and it is expected to grow at about 3.2% annually through 2021. The three largest geographic markets, which represent about 80% of the total accessible market, are Europe, North America and Asia Pacific. Over the next five years, UNIFE projects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are rolling stock, services and infrastructure, which represent almost 90% of the accessible market. Over the next five years, UNIFE projects spending on rolling stock to grow at an above-average rate due to increased investment in passenger transit vehicles. UNIFE estimates that the global installed base of locomotives is about 114,000 units, with about 32% in Asia Pacific, about 25% in North America and about 18% in Russia-CIS (Commonwealth of Independent States). Wabtec estimates that about 3,400 new locomotives were delivered worldwide in 2016, and it expects deliveries of about 3,200 in 2017. UNIFE estimates the global installed base of freight cars is about 5.5 million units, with about 37% in North America, about 26% in Russia-CIS and about 20% in Asia Pacific. Wabtec estimates that about 108,000 new freight cars were delivered worldwide in 2016, and it expects deliveries of about 97,000 in 2017. UNIFE estimates the global installed base of passenger transit vehicles to be about 569,000 units, with about 43% in Asia Pacific, about 32% in Europe and about 14% in Russia-CIS. UNIFE estimates that about 208,000 new passenger transit vehicles were ordered annually from 2013-2015, and that about 184,000 will be ordered annually from 2016-2018.</w:t>
      </w:r>
    </w:p>
    <w:p>
      <w:pPr>
        <w:spacing w:after="0" w:line="19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In Europe, the majority of the rail system serves the passenger transit market, which is expected to continue growing as energy and environmental factors encourage continued investment in public mass transit. France, Germany and the United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360" w:right="259" w:bottom="1440" w:gutter="0" w:footer="0" w:header="0"/>
        </w:sectPr>
      </w:pPr>
    </w:p>
    <w:bookmarkStart w:id="35" w:name="page36"/>
    <w:bookmarkEnd w:id="35"/>
    <w:p>
      <w:pPr>
        <w:ind w:right="120"/>
        <w:spacing w:after="0" w:line="255" w:lineRule="auto"/>
        <w:rPr>
          <w:sz w:val="20"/>
          <w:szCs w:val="20"/>
          <w:color w:val="auto"/>
        </w:rPr>
      </w:pPr>
      <w:r>
        <w:rPr>
          <w:rFonts w:ascii="Times New Roman" w:cs="Times New Roman" w:eastAsia="Times New Roman" w:hAnsi="Times New Roman"/>
          <w:sz w:val="18"/>
          <w:szCs w:val="18"/>
          <w:color w:val="auto"/>
        </w:rPr>
        <w:t>Kingdom are the largest Western European transit markets, representing almost two-thirds of industry spending in the European Union. UNIFE projects the Western European rail market to grow at about 3.6% annually during the next five years, led by investments in new rolling stock in France and Germany. Significant investments are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55%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19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Growth in the Asia Pacific market has been driven mainly by the continued urbanization of China and India, and by investments in freight rail rolling stock and infrastructure in Australia to serve its mining and natural resources markets. During the next five years, UNIFE expects India to make significant investments in rolling stock and infrastructure to modernize its rail system; for example, the country has awarded a 1,000-unit locomotive order to a U.S. manufacturer. UNIFE expects the increased spending in India to offset decreased spending on very-high-speed rolling stock in China during the next five years.</w:t>
      </w:r>
    </w:p>
    <w:p>
      <w:pPr>
        <w:spacing w:after="0" w:line="18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are expected to grow at above-average rates as global trade creates increases in freight volumes and urbanization leads to increased demand for efficient mass-transportation systems. As this growth occurs, Wabtec expects to have additional opportunities to provide products and services in these markets.</w:t>
      </w:r>
    </w:p>
    <w:p>
      <w:pPr>
        <w:spacing w:after="0" w:line="184"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In its study, UNIFE also said it expects increased investment in digital tools for data and asset management, and in rail control technologies, both of which would improve efficiency in the global rail industry during the next five years.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6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2017 and beyond, general economic and market conditions in the United States and internationally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FAIVELEY TRANSPORT S.A.</w:t>
      </w:r>
    </w:p>
    <w:p>
      <w:pPr>
        <w:spacing w:after="0" w:line="121" w:lineRule="exact"/>
        <w:rPr>
          <w:sz w:val="20"/>
          <w:szCs w:val="20"/>
          <w:color w:val="auto"/>
        </w:rPr>
      </w:pPr>
    </w:p>
    <w:p>
      <w:pPr>
        <w:ind w:right="200" w:firstLine="500"/>
        <w:spacing w:after="0" w:line="261" w:lineRule="auto"/>
        <w:rPr>
          <w:sz w:val="20"/>
          <w:szCs w:val="20"/>
          <w:color w:val="auto"/>
        </w:rPr>
      </w:pPr>
      <w:r>
        <w:rPr>
          <w:rFonts w:ascii="Times New Roman" w:cs="Times New Roman" w:eastAsia="Times New Roman" w:hAnsi="Times New Roman"/>
          <w:sz w:val="18"/>
          <w:szCs w:val="18"/>
          <w:color w:val="auto"/>
        </w:rPr>
        <w:t>On November 30, 2016, the Company acquired majority ownership of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ind w:right="500"/>
        <w:spacing w:after="0" w:line="282" w:lineRule="auto"/>
        <w:rPr>
          <w:sz w:val="20"/>
          <w:szCs w:val="20"/>
          <w:color w:val="auto"/>
        </w:rPr>
      </w:pPr>
      <w:r>
        <w:rPr>
          <w:rFonts w:ascii="Times New Roman" w:cs="Times New Roman" w:eastAsia="Times New Roman" w:hAnsi="Times New Roman"/>
          <w:sz w:val="18"/>
          <w:szCs w:val="18"/>
          <w:color w:val="auto"/>
        </w:rPr>
        <w:t>passenger information), Access &amp; Mobility (passenger access systems and platform doors), and Brakes and Safety (braking systems and couplers). The transaction was structured as a step acquisition as follows:</w:t>
      </w:r>
    </w:p>
    <w:p>
      <w:pPr>
        <w:spacing w:after="0" w:line="54" w:lineRule="exact"/>
        <w:rPr>
          <w:sz w:val="20"/>
          <w:szCs w:val="20"/>
          <w:color w:val="auto"/>
        </w:rPr>
      </w:pPr>
    </w:p>
    <w:p>
      <w:pPr>
        <w:ind w:left="980" w:hanging="324"/>
        <w:spacing w:after="0" w:line="25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1"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68" w:lineRule="exact"/>
        <w:rPr>
          <w:rFonts w:ascii="Times New Roman" w:cs="Times New Roman" w:eastAsia="Times New Roman" w:hAnsi="Times New Roman"/>
          <w:sz w:val="18"/>
          <w:szCs w:val="18"/>
          <w:color w:val="auto"/>
        </w:rPr>
      </w:pPr>
    </w:p>
    <w:p>
      <w:pPr>
        <w:ind w:left="980" w:right="24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68" w:lineRule="exact"/>
        <w:rPr>
          <w:sz w:val="20"/>
          <w:szCs w:val="20"/>
          <w:color w:val="auto"/>
        </w:rPr>
      </w:pPr>
    </w:p>
    <w:p>
      <w:pPr>
        <w:ind w:right="100" w:firstLine="500"/>
        <w:spacing w:after="0" w:line="255" w:lineRule="auto"/>
        <w:rPr>
          <w:sz w:val="20"/>
          <w:szCs w:val="20"/>
          <w:color w:val="auto"/>
        </w:rPr>
      </w:pPr>
      <w:r>
        <w:rPr>
          <w:rFonts w:ascii="Times New Roman" w:cs="Times New Roman" w:eastAsia="Times New Roman" w:hAnsi="Times New Roman"/>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 The aggregate value of consideration paid for 100% ownership of Faiveley Transport was $1,736.1 million, including $944.3 million in cash, $560.2 million in stock or approximately 6.6 million shares, $409.9 million in debt assumed, less $178.3 million in cash acquired. The $744.7 million included as deposits in escrow on the consolidated balance sheet at December 31, 2016 was cash designated for use as consideration for the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72"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40" w:type="dxa"/>
            <w:vAlign w:val="bottom"/>
            <w:gridSpan w:val="5"/>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6"/>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Pr>
          <w:p>
            <w:pPr>
              <w:spacing w:after="0"/>
              <w:rPr>
                <w:sz w:val="19"/>
                <w:szCs w:val="19"/>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932,253</w:t>
            </w:r>
          </w:p>
        </w:tc>
        <w:tc>
          <w:tcPr>
            <w:tcW w:w="12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723,601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1,848,287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1,495,632</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(658,290)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(486,212)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(1,304,617)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Pr>
          <w:p>
            <w:pPr>
              <w:spacing w:after="0"/>
              <w:rPr>
                <w:sz w:val="20"/>
                <w:szCs w:val="20"/>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273,963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237,389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543,670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492,569</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(80,610)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(249,915)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(170,361)</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Engineering expenses</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(46,802)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(18,394)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(104,105)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(315,111)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Income from operations</w:t>
            </w:r>
          </w:p>
        </w:tc>
        <w:tc>
          <w:tcPr>
            <w:tcW w:w="460" w:type="dxa"/>
            <w:vAlign w:val="bottom"/>
          </w:tcPr>
          <w:p>
            <w:pPr>
              <w:spacing w:after="0"/>
              <w:rPr>
                <w:sz w:val="20"/>
                <w:szCs w:val="20"/>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113,701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133,284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228,559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275,465</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(33,132)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460" w:type="dxa"/>
            <w:vAlign w:val="bottom"/>
          </w:tcPr>
          <w:p>
            <w:pPr>
              <w:spacing w:after="0"/>
              <w:rPr>
                <w:sz w:val="20"/>
                <w:szCs w:val="20"/>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96,729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127,086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196,194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264,550</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(36,601)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(52,030)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0"/>
                <w:szCs w:val="20"/>
                <w:color w:val="auto"/>
              </w:rPr>
            </w:pP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72,160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90,485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144,164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184,648</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Less: Net (gain) loss attributable to noncontrolling interest</w:t>
            </w:r>
          </w:p>
        </w:tc>
        <w:tc>
          <w:tcPr>
            <w:tcW w:w="4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72,025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90,485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145,914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184,648</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SECOND QUARTER 2017 COMPARED TO SECOND QUARTER 2016</w:t>
            </w: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4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606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12"/>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Freight Segment Sales</w:t>
            </w:r>
          </w:p>
        </w:tc>
        <w:tc>
          <w:tcPr>
            <w:tcW w:w="460" w:type="dxa"/>
            <w:vAlign w:val="bottom"/>
          </w:tcPr>
          <w:p>
            <w:pPr>
              <w:spacing w:after="0"/>
              <w:rPr>
                <w:sz w:val="20"/>
                <w:szCs w:val="20"/>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344,828</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397,067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Transit Segment Sales</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587,425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326,534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932,253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723,601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70"/>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113,701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133,284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90,485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sales in the second quarter of 2017 from the second quarter of 2016:</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2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2016 Net Sales</w:t>
            </w:r>
          </w:p>
        </w:tc>
        <w:tc>
          <w:tcPr>
            <w:tcW w:w="3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397,067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326,534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723,601</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43,725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282,960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326,685</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in Sales by Product Line:</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Specialty Products &amp; Electronics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Remanufacturing, Overhaul &amp; Build</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(34,761)</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Brake Products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Transit Products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 2017 Net Sales</w:t>
            </w:r>
          </w:p>
        </w:tc>
        <w:tc>
          <w:tcPr>
            <w:tcW w:w="3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344,827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587,426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932,253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38" w:name="page39"/>
    <w:bookmarkEnd w:id="38"/>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June 30, 2017 increased by $208.7 million, or 28.8%, to $932.3 million. The increase is primarily due to sales from acquisitions of $326.7 million partially offset by a $49.3 million decrease for Specialty Products and Electronics due to lower demand for freight original equipment rail products and train control and signaling products and services, and a $34.8 million decrease for Remanufacturing, Overhaul and Build primarily due to the absence of a large locomotive rebuild contract that completed in 2016. Unfavorable foreign exchange decreased sales by $14.7 million.</w:t>
      </w:r>
    </w:p>
    <w:p>
      <w:pPr>
        <w:spacing w:after="0" w:line="180" w:lineRule="exact"/>
        <w:rPr>
          <w:sz w:val="20"/>
          <w:szCs w:val="20"/>
          <w:color w:val="auto"/>
        </w:rPr>
      </w:pPr>
    </w:p>
    <w:p>
      <w:pPr>
        <w:ind w:right="60" w:firstLine="500"/>
        <w:spacing w:after="0" w:line="258" w:lineRule="auto"/>
        <w:rPr>
          <w:sz w:val="20"/>
          <w:szCs w:val="20"/>
          <w:color w:val="auto"/>
        </w:rPr>
      </w:pPr>
      <w:r>
        <w:rPr>
          <w:rFonts w:ascii="Times New Roman" w:cs="Times New Roman" w:eastAsia="Times New Roman" w:hAnsi="Times New Roman"/>
          <w:sz w:val="18"/>
          <w:szCs w:val="18"/>
          <w:color w:val="auto"/>
        </w:rPr>
        <w:t>Freight Segment sales decreased by $52.2 million, or 13.2%, primarily due to a decrease of $46.6 million for Specialty Products and Electronics sales from lower demand for freight original equipment rail products as well as train control and signaling products and services, a decrease of $28.6 million for Remanufacturing, Overhaul &amp; Build sales primarily due to the absence of a large locomotive rebuild contract that completed in 2016, and a decrease of $13.0 million for Brake Products sales from lower demand for original equipment brakes for freight customers. Acquisitions increased sales by $43.7 million and unfavorable foreign exchange decreased sales by $3.5 million.</w:t>
      </w:r>
    </w:p>
    <w:p>
      <w:pPr>
        <w:spacing w:after="0" w:line="184" w:lineRule="exact"/>
        <w:rPr>
          <w:sz w:val="20"/>
          <w:szCs w:val="20"/>
          <w:color w:val="auto"/>
        </w:rPr>
      </w:pPr>
    </w:p>
    <w:p>
      <w:pPr>
        <w:jc w:val="both"/>
        <w:ind w:right="180" w:firstLine="500"/>
        <w:spacing w:after="0" w:line="313" w:lineRule="auto"/>
        <w:rPr>
          <w:sz w:val="20"/>
          <w:szCs w:val="20"/>
          <w:color w:val="auto"/>
        </w:rPr>
      </w:pPr>
      <w:r>
        <w:rPr>
          <w:rFonts w:ascii="Times New Roman" w:cs="Times New Roman" w:eastAsia="Times New Roman" w:hAnsi="Times New Roman"/>
          <w:sz w:val="17"/>
          <w:szCs w:val="17"/>
          <w:color w:val="auto"/>
        </w:rPr>
        <w:t>Transit Segment sales increased by $260.9 million, or 79.9%, primarily due to sales from acquisitions of $283.0 million partially offset by a decrease of $6.2 million for Remanufacturing, Overhaul &amp; Build due to decreased rebuild contracts. Unfavorable foreign exchange decreased sales by $11.2 million.</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The following table shows the major components of cost of sales for the periods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2"/>
                <w:szCs w:val="12"/>
                <w:color w:val="auto"/>
              </w:rPr>
            </w:pPr>
          </w:p>
        </w:tc>
        <w:tc>
          <w:tcPr>
            <w:tcW w:w="1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Transit</w:t>
            </w:r>
          </w:p>
        </w:tc>
        <w:tc>
          <w:tcPr>
            <w:tcW w:w="14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2"/>
                <w:szCs w:val="12"/>
                <w:color w:val="auto"/>
              </w:rPr>
            </w:pPr>
          </w:p>
        </w:tc>
        <w:tc>
          <w:tcPr>
            <w:tcW w:w="10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31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142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Material</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127,373</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247,737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53,220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83,435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52,504</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79,037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12,469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235,612</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422,678</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658,290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2"/>
                <w:szCs w:val="12"/>
                <w:color w:val="auto"/>
              </w:rPr>
            </w:pPr>
          </w:p>
        </w:tc>
        <w:tc>
          <w:tcPr>
            <w:tcW w:w="118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Transit</w:t>
            </w:r>
          </w:p>
        </w:tc>
        <w:tc>
          <w:tcPr>
            <w:tcW w:w="14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80" w:type="dxa"/>
            <w:vAlign w:val="bottom"/>
          </w:tcPr>
          <w:p>
            <w:pPr>
              <w:spacing w:after="0"/>
              <w:rPr>
                <w:sz w:val="12"/>
                <w:szCs w:val="12"/>
                <w:color w:val="auto"/>
              </w:rPr>
            </w:pPr>
          </w:p>
        </w:tc>
        <w:tc>
          <w:tcPr>
            <w:tcW w:w="10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31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6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1420" w:type="dxa"/>
            <w:vAlign w:val="bottom"/>
            <w:gridSpan w:val="4"/>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Material</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149,908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130,808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280,716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43,700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43,643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87,343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Overhead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64,661</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46,257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110,918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Other/Warranty</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258,707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227,505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486,212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500"/>
        <w:spacing w:after="0" w:line="261" w:lineRule="auto"/>
        <w:rPr>
          <w:sz w:val="20"/>
          <w:szCs w:val="20"/>
          <w:color w:val="auto"/>
        </w:rPr>
      </w:pPr>
      <w:r>
        <w:rPr>
          <w:rFonts w:ascii="Times New Roman" w:cs="Times New Roman" w:eastAsia="Times New Roman" w:hAnsi="Times New Roman"/>
          <w:sz w:val="18"/>
          <w:szCs w:val="18"/>
          <w:color w:val="auto"/>
        </w:rPr>
        <w:t>Cost of Sales increased by $172.1 million to $658.3 million in the second quarter of 2017 compared to $486.2 million in the same period of 2016. In the second quarter of 2017, cost of sales as a percentage of sales was 70.6% compared to 67.2% in the same period of 2016. The increase as a percentage of sales is due to product mix largely attributable to higher transit segment sales due to acquisitions, along with an unfavorable product mix within the freight segment.</w:t>
      </w:r>
    </w:p>
    <w:p>
      <w:pPr>
        <w:spacing w:after="0" w:line="180" w:lineRule="exact"/>
        <w:rPr>
          <w:sz w:val="20"/>
          <w:szCs w:val="20"/>
          <w:color w:val="auto"/>
        </w:rPr>
      </w:pPr>
    </w:p>
    <w:p>
      <w:pPr>
        <w:ind w:right="140" w:firstLine="500"/>
        <w:spacing w:after="0" w:line="282" w:lineRule="auto"/>
        <w:rPr>
          <w:sz w:val="20"/>
          <w:szCs w:val="20"/>
          <w:color w:val="auto"/>
        </w:rPr>
      </w:pPr>
      <w:r>
        <w:rPr>
          <w:rFonts w:ascii="Times New Roman" w:cs="Times New Roman" w:eastAsia="Times New Roman" w:hAnsi="Times New Roman"/>
          <w:sz w:val="18"/>
          <w:szCs w:val="18"/>
          <w:color w:val="auto"/>
        </w:rPr>
        <w:t>Freight Segment cost of sales increased 3.0% as a percentage of sales to 68.2% in 2017 compared to 65.2% for the same period in 2016. The increase is primarily related to lower demand for freight original equipment rail products and train controls and signaling products and services.</w:t>
      </w:r>
    </w:p>
    <w:p>
      <w:pPr>
        <w:spacing w:after="0" w:line="162" w:lineRule="exact"/>
        <w:rPr>
          <w:sz w:val="20"/>
          <w:szCs w:val="20"/>
          <w:color w:val="auto"/>
        </w:rPr>
      </w:pPr>
    </w:p>
    <w:p>
      <w:pPr>
        <w:ind w:right="60" w:firstLine="500"/>
        <w:spacing w:after="0" w:line="313" w:lineRule="auto"/>
        <w:rPr>
          <w:sz w:val="20"/>
          <w:szCs w:val="20"/>
          <w:color w:val="auto"/>
        </w:rPr>
      </w:pPr>
      <w:r>
        <w:rPr>
          <w:rFonts w:ascii="Times New Roman" w:cs="Times New Roman" w:eastAsia="Times New Roman" w:hAnsi="Times New Roman"/>
          <w:sz w:val="17"/>
          <w:szCs w:val="17"/>
          <w:color w:val="auto"/>
        </w:rPr>
        <w:t>Transit Segment cost of sales increased 2.2% as a percentage of sales to approximately 72.0% in the second quarter of 2017 from 69.8% for the same period of 2016. The increase is primarily related to product mix largely attributable to the acquisition of Faiveley Transport, which has lower overall margins.</w:t>
      </w:r>
    </w:p>
    <w:p>
      <w:pPr>
        <w:spacing w:after="0" w:line="138" w:lineRule="exact"/>
        <w:rPr>
          <w:sz w:val="20"/>
          <w:szCs w:val="20"/>
          <w:color w:val="auto"/>
        </w:rPr>
      </w:pPr>
    </w:p>
    <w:p>
      <w:pPr>
        <w:ind w:right="60" w:firstLine="500"/>
        <w:spacing w:after="0" w:line="266" w:lineRule="auto"/>
        <w:rPr>
          <w:sz w:val="20"/>
          <w:szCs w:val="20"/>
          <w:color w:val="auto"/>
        </w:rPr>
      </w:pPr>
      <w:r>
        <w:rPr>
          <w:rFonts w:ascii="Times New Roman" w:cs="Times New Roman" w:eastAsia="Times New Roman" w:hAnsi="Times New Roman"/>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$10.2 million in the second quarter of 2017 compared to $7.0 million in the second quarter of 2016. The increase is primarily related to the increase in sales.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following table shows our operating expenses for the periods indicated: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5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20" w:type="dxa"/>
            <w:vAlign w:val="bottom"/>
          </w:tcPr>
          <w:p>
            <w:pPr>
              <w:spacing w:after="0"/>
              <w:rPr>
                <w:sz w:val="12"/>
                <w:szCs w:val="12"/>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44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54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56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127,574</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80,610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23,338</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160,262</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104,105</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00"/>
        <w:spacing w:after="0" w:line="258" w:lineRule="auto"/>
        <w:rPr>
          <w:sz w:val="20"/>
          <w:szCs w:val="20"/>
          <w:color w:val="auto"/>
        </w:rPr>
      </w:pPr>
      <w:r>
        <w:rPr>
          <w:rFonts w:ascii="Times New Roman" w:cs="Times New Roman" w:eastAsia="Times New Roman" w:hAnsi="Times New Roman"/>
          <w:sz w:val="18"/>
          <w:szCs w:val="18"/>
          <w:color w:val="auto"/>
        </w:rPr>
        <w:t>Total operating expenses were 17.2% and 14.4% of sales for the second quarters of 2017 and 2016, respectively. Selling, general, and administrative expenses increased $47.0 million, or 58.3%, primarily due to $44.0 million in incremental expense from acquisitions and $7.9 million in Faiveley Transport transaction and integration related charges partially offset by lower costs due to cost saving initiatives and lower organic sales volumes. Engineering expense increased by $5.3 million, or 29.4%, due to incremental costs associated with acquisitions but remained constant as a percentage of sales at 2.5%. Amortization expense increased $3.9 million due to amortization of intangibles associated with acquisitions.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segment operating expense for the periods indicated:</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2"/>
                <w:szCs w:val="12"/>
                <w:color w:val="auto"/>
              </w:rPr>
            </w:pPr>
          </w:p>
        </w:tc>
        <w:tc>
          <w:tcPr>
            <w:tcW w:w="9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416"/>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69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416"/>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Segment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45,881</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 Segment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48,461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160,262</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104,105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00"/>
        <w:spacing w:after="0" w:line="266" w:lineRule="auto"/>
        <w:rPr>
          <w:sz w:val="20"/>
          <w:szCs w:val="20"/>
          <w:color w:val="auto"/>
        </w:rPr>
      </w:pPr>
      <w:r>
        <w:rPr>
          <w:rFonts w:ascii="Times New Roman" w:cs="Times New Roman" w:eastAsia="Times New Roman" w:hAnsi="Times New Roman"/>
          <w:sz w:val="18"/>
          <w:szCs w:val="18"/>
          <w:color w:val="auto"/>
        </w:rPr>
        <w:t>Freight Segment operating expenses increased $1.4 million, or 3.2%, in 2017 and increased 210 basis points to 13.3% of sales. The increase is primarily attributable to $5.6 million of incremental operating expenses from acquisitions, partially offset by cost saving initiatives across the freight business and lower selling expenses related to reduced volume.</w:t>
      </w:r>
    </w:p>
    <w:p>
      <w:pPr>
        <w:spacing w:after="0" w:line="176" w:lineRule="exact"/>
        <w:rPr>
          <w:sz w:val="20"/>
          <w:szCs w:val="20"/>
          <w:color w:val="auto"/>
        </w:rPr>
      </w:pPr>
    </w:p>
    <w:p>
      <w:pPr>
        <w:ind w:right="420" w:firstLine="500"/>
        <w:spacing w:after="0" w:line="282" w:lineRule="auto"/>
        <w:rPr>
          <w:sz w:val="20"/>
          <w:szCs w:val="20"/>
          <w:color w:val="auto"/>
        </w:rPr>
      </w:pPr>
      <w:r>
        <w:rPr>
          <w:rFonts w:ascii="Times New Roman" w:cs="Times New Roman" w:eastAsia="Times New Roman" w:hAnsi="Times New Roman"/>
          <w:sz w:val="18"/>
          <w:szCs w:val="18"/>
          <w:color w:val="auto"/>
        </w:rPr>
        <w:t>Transit Segment operating expenses increased $57.1 million, or 117.8%, in 2017 and increased 320 basis points to 18.0% of sales. The increase is primarily attributable to acquisitions with $47.9 million of incremental operating expenses and $5.6 million of Faiveley Transport integration costs.</w:t>
      </w:r>
    </w:p>
    <w:p>
      <w:pPr>
        <w:spacing w:after="0" w:line="162" w:lineRule="exact"/>
        <w:rPr>
          <w:sz w:val="20"/>
          <w:szCs w:val="20"/>
          <w:color w:val="auto"/>
        </w:rPr>
      </w:pPr>
    </w:p>
    <w:p>
      <w:pPr>
        <w:ind w:right="180" w:firstLine="500"/>
        <w:spacing w:after="0" w:line="282" w:lineRule="auto"/>
        <w:rPr>
          <w:sz w:val="20"/>
          <w:szCs w:val="20"/>
          <w:color w:val="auto"/>
        </w:rPr>
      </w:pPr>
      <w:r>
        <w:rPr>
          <w:rFonts w:ascii="Times New Roman" w:cs="Times New Roman" w:eastAsia="Times New Roman" w:hAnsi="Times New Roman"/>
          <w:sz w:val="18"/>
          <w:szCs w:val="18"/>
          <w:color w:val="auto"/>
        </w:rPr>
        <w:t>Corporate non-allocated operating expenses decreased $2.3 million in 2017 primarily due to lower Faiveley Transport transaction costs in the current quarter as well as lower costs associated with cost saving initiatives.</w:t>
      </w:r>
    </w:p>
    <w:p>
      <w:pPr>
        <w:spacing w:after="0" w:line="158" w:lineRule="exact"/>
        <w:rPr>
          <w:sz w:val="20"/>
          <w:szCs w:val="20"/>
          <w:color w:val="auto"/>
        </w:rPr>
      </w:pPr>
    </w:p>
    <w:p>
      <w:pPr>
        <w:ind w:right="260" w:firstLine="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increased $10.5 million in 2017 attributable to higher overall debt balances in 2017 than 2016,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Faiveley Transport acquisition, partially offset by a $2.2 million benefit related to the prepayment of debt assumed in Faiveley Transport acquisition.</w:t>
      </w:r>
    </w:p>
    <w:p>
      <w:pPr>
        <w:spacing w:after="0" w:line="171" w:lineRule="exact"/>
        <w:rPr>
          <w:sz w:val="20"/>
          <w:szCs w:val="20"/>
          <w:color w:val="auto"/>
        </w:rPr>
      </w:pPr>
    </w:p>
    <w:p>
      <w:pPr>
        <w:ind w:right="54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income/(expense), net, totaled $1.6 million of expense in 2017 compared to $1.2 million of expense in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foreign currency losses.</w:t>
      </w:r>
    </w:p>
    <w:p>
      <w:pPr>
        <w:spacing w:after="0" w:line="155" w:lineRule="exact"/>
        <w:rPr>
          <w:sz w:val="20"/>
          <w:szCs w:val="20"/>
          <w:color w:val="auto"/>
        </w:rPr>
      </w:pPr>
    </w:p>
    <w:p>
      <w:pPr>
        <w:ind w:right="10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effective income tax rate was 25.4% and 28.8% for the second quarter of 2017 and 2016, respectively. The decrease in the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is primarily the result of a lower earnings mix in higher tax rate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FIRST SIX MONTHS OF 2017 COMPARED TO FIRST SIX MONTHS OF 2016</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Pr>
          <w:p>
            <w:pPr>
              <w:spacing w:after="0"/>
              <w:rPr>
                <w:sz w:val="12"/>
                <w:szCs w:val="12"/>
                <w:color w:val="auto"/>
              </w:rPr>
            </w:pPr>
          </w:p>
        </w:tc>
        <w:tc>
          <w:tcPr>
            <w:tcW w:w="142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64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420" w:type="dxa"/>
            <w:vAlign w:val="bottom"/>
          </w:tcPr>
          <w:p>
            <w:pPr>
              <w:jc w:val="right"/>
              <w:ind w:right="395"/>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Segment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692,774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839,736</w:t>
            </w:r>
          </w:p>
        </w:tc>
        <w:tc>
          <w:tcPr>
            <w:tcW w:w="7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 Segment Sales</w:t>
            </w:r>
          </w:p>
        </w:tc>
        <w:tc>
          <w:tcPr>
            <w:tcW w:w="3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1,155,513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655,896</w:t>
            </w:r>
          </w:p>
        </w:tc>
        <w:tc>
          <w:tcPr>
            <w:tcW w:w="7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1,848,287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1,495,632</w:t>
            </w:r>
          </w:p>
        </w:tc>
        <w:tc>
          <w:tcPr>
            <w:tcW w:w="7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7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228,559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275,465</w:t>
            </w:r>
          </w:p>
        </w:tc>
        <w:tc>
          <w:tcPr>
            <w:tcW w:w="7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145,914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184,648</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184,648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sales for the six months ended June 30, 2017 from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2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Transit</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7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Six Months of 2016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839,736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655,896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1,495,632</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80,613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553,310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633,923</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in Sales by Product Line:</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Specialty Products &amp; Electronics</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(140,233)</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Remanufacturing, Overhaul, and Build</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(67,017)</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Brake Products</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Transit Products</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70"/>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Six Months of 2017 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692,774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1,155,513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1,848,287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00"/>
        <w:spacing w:after="0" w:line="258" w:lineRule="auto"/>
        <w:rPr>
          <w:sz w:val="20"/>
          <w:szCs w:val="20"/>
          <w:color w:val="auto"/>
        </w:rPr>
      </w:pPr>
      <w:r>
        <w:rPr>
          <w:rFonts w:ascii="Times New Roman" w:cs="Times New Roman" w:eastAsia="Times New Roman" w:hAnsi="Times New Roman"/>
          <w:sz w:val="18"/>
          <w:szCs w:val="18"/>
          <w:color w:val="auto"/>
        </w:rPr>
        <w:t>Net sales for the six months ended June 30, 2017 increased by $352.7 million, or 23.6%, to $1,848.3 million from $1,495.6 million. The increase is due to sales from acquisitions of $633.9 million partially offset by a $140.2 million decrease for Specialty Products and Electronics due to lower demand for freight original equipment rail products and train control and signaling products and services, and a $67.0 million decrease for Remanufacturing, Overhaul and Build primarily due to the absence of a large locomotive rebuild contract that completed in 2016. Unfavorable foreign exchange decreased sales by $29.4 million.</w:t>
      </w:r>
    </w:p>
    <w:p>
      <w:pPr>
        <w:spacing w:after="0" w:line="184" w:lineRule="exact"/>
        <w:rPr>
          <w:sz w:val="20"/>
          <w:szCs w:val="20"/>
          <w:color w:val="auto"/>
        </w:rPr>
      </w:pPr>
    </w:p>
    <w:p>
      <w:pPr>
        <w:ind w:right="80" w:firstLine="500"/>
        <w:spacing w:after="0" w:line="258" w:lineRule="auto"/>
        <w:rPr>
          <w:sz w:val="20"/>
          <w:szCs w:val="20"/>
          <w:color w:val="auto"/>
        </w:rPr>
      </w:pPr>
      <w:r>
        <w:rPr>
          <w:rFonts w:ascii="Times New Roman" w:cs="Times New Roman" w:eastAsia="Times New Roman" w:hAnsi="Times New Roman"/>
          <w:sz w:val="18"/>
          <w:szCs w:val="18"/>
          <w:color w:val="auto"/>
        </w:rPr>
        <w:t>Freight Segment sales decreased by $147.0 million, or 17.5%, primarily due to a decrease of $122.6 million for Specialty Products and Electronics sales from lower demand for freight original equipment rail products as well as train control and signaling products and services, a decrease of $61.6 million for Remanufacturing, Overhaul &amp; Build sales primarily due to the absence of a large locomotive rebuild contract that completed in 2016, and a decrease of $30.6 million for Brake Products sales from lower demand for original equipment brakes for freight customers. Acquisitions increased sales by $80.6 million and unfavorable foreign exchange decreased sales by $5.1 million.</w:t>
      </w:r>
    </w:p>
    <w:p>
      <w:pPr>
        <w:spacing w:after="0" w:line="184" w:lineRule="exact"/>
        <w:rPr>
          <w:sz w:val="20"/>
          <w:szCs w:val="20"/>
          <w:color w:val="auto"/>
        </w:rPr>
      </w:pPr>
    </w:p>
    <w:p>
      <w:pPr>
        <w:jc w:val="both"/>
        <w:ind w:right="100" w:firstLine="500"/>
        <w:spacing w:after="0" w:line="266" w:lineRule="auto"/>
        <w:rPr>
          <w:sz w:val="20"/>
          <w:szCs w:val="20"/>
          <w:color w:val="auto"/>
        </w:rPr>
      </w:pPr>
      <w:r>
        <w:rPr>
          <w:rFonts w:ascii="Times New Roman" w:cs="Times New Roman" w:eastAsia="Times New Roman" w:hAnsi="Times New Roman"/>
          <w:sz w:val="18"/>
          <w:szCs w:val="18"/>
          <w:color w:val="auto"/>
        </w:rPr>
        <w:t>Transit Segment sales increased by $499.6 million, or 76.2%, primarily due to an increase in sales from acquisitions of $553.3 million partially offset by a decrease of $17.7 million for Specialty Products and Electronics due to lower demand for original equipment conduction systems and current collectors. Unfavorable foreign exchange decreased sales by $24.3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6" w:right="239" w:bottom="1440" w:gutter="0" w:footer="0" w:header="0"/>
        </w:sectPr>
      </w:pPr>
    </w:p>
    <w:bookmarkStart w:id="41" w:name="page42"/>
    <w:bookmarkEnd w:id="4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The following table shows the major components of cost of sales for the periods indicated: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2017</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1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14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2"/>
                <w:szCs w:val="12"/>
                <w:color w:val="auto"/>
              </w:rPr>
            </w:pPr>
          </w:p>
        </w:tc>
        <w:tc>
          <w:tcPr>
            <w:tcW w:w="11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Transit</w:t>
            </w:r>
          </w:p>
        </w:tc>
        <w:tc>
          <w:tcPr>
            <w:tcW w:w="142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2"/>
                <w:szCs w:val="12"/>
                <w:color w:val="auto"/>
              </w:rPr>
            </w:pPr>
          </w:p>
        </w:tc>
        <w:tc>
          <w:tcPr>
            <w:tcW w:w="11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31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42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Material</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265,771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Labor</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92,205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Overhead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109,791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270,162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Other/Warranty</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469,374</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835,243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1,304,617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Freight</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2"/>
                <w:szCs w:val="12"/>
                <w:color w:val="auto"/>
              </w:rPr>
            </w:pPr>
          </w:p>
        </w:tc>
        <w:tc>
          <w:tcPr>
            <w:tcW w:w="1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Transit</w:t>
            </w:r>
          </w:p>
        </w:tc>
        <w:tc>
          <w:tcPr>
            <w:tcW w:w="14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2"/>
                <w:szCs w:val="12"/>
                <w:color w:val="auto"/>
              </w:rPr>
            </w:pPr>
          </w:p>
        </w:tc>
        <w:tc>
          <w:tcPr>
            <w:tcW w:w="11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31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2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4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Material</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319,340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273,932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593,272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91,137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81,236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172,373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Overhead</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127,974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94,233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222,207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Other/Warranty</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11,076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542,586</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460,477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1,003,063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00"/>
        <w:spacing w:after="0" w:line="261" w:lineRule="auto"/>
        <w:rPr>
          <w:sz w:val="20"/>
          <w:szCs w:val="20"/>
          <w:color w:val="auto"/>
        </w:rPr>
      </w:pPr>
      <w:r>
        <w:rPr>
          <w:rFonts w:ascii="Times New Roman" w:cs="Times New Roman" w:eastAsia="Times New Roman" w:hAnsi="Times New Roman"/>
          <w:sz w:val="18"/>
          <w:szCs w:val="18"/>
          <w:color w:val="auto"/>
        </w:rPr>
        <w:t>Cost of Sales increased by $301.6 million to $1,304.6 million in the six months ended June 30, 2017 compared to $1,003.1 million in the same period of 2016. For the six months ended June 30, 2017, cost of sales as a percentage of sales was 70.6% compared to 67.1% in the same period of 2016. The increase as a percentage of sales is due to product mix largely attributable to higher transit segment sales due to acquisitions, along with an unfavorable product mix within the freight segment.</w:t>
      </w:r>
    </w:p>
    <w:p>
      <w:pPr>
        <w:spacing w:after="0" w:line="180" w:lineRule="exact"/>
        <w:rPr>
          <w:sz w:val="20"/>
          <w:szCs w:val="20"/>
          <w:color w:val="auto"/>
        </w:rPr>
      </w:pPr>
    </w:p>
    <w:p>
      <w:pPr>
        <w:ind w:right="220" w:firstLine="500"/>
        <w:spacing w:after="0" w:line="266" w:lineRule="auto"/>
        <w:rPr>
          <w:sz w:val="20"/>
          <w:szCs w:val="20"/>
          <w:color w:val="auto"/>
        </w:rPr>
      </w:pPr>
      <w:r>
        <w:rPr>
          <w:rFonts w:ascii="Times New Roman" w:cs="Times New Roman" w:eastAsia="Times New Roman" w:hAnsi="Times New Roman"/>
          <w:sz w:val="18"/>
          <w:szCs w:val="18"/>
          <w:color w:val="auto"/>
        </w:rPr>
        <w:t>Freight Segment cost of sales increased 3.1% as a percentage of sales to 67.7% for the six months ended June 30, 2017 compared to 64.6% for the same period in 2016. The increase is primarily related to lower demand for freight original equipment rail products and train control and signaling products and services.</w:t>
      </w:r>
    </w:p>
    <w:p>
      <w:pPr>
        <w:spacing w:after="0" w:line="176" w:lineRule="exact"/>
        <w:rPr>
          <w:sz w:val="20"/>
          <w:szCs w:val="20"/>
          <w:color w:val="auto"/>
        </w:rPr>
      </w:pPr>
    </w:p>
    <w:p>
      <w:pPr>
        <w:ind w:right="20" w:firstLine="500"/>
        <w:spacing w:after="0" w:line="282" w:lineRule="auto"/>
        <w:rPr>
          <w:sz w:val="20"/>
          <w:szCs w:val="20"/>
          <w:color w:val="auto"/>
        </w:rPr>
      </w:pPr>
      <w:r>
        <w:rPr>
          <w:rFonts w:ascii="Times New Roman" w:cs="Times New Roman" w:eastAsia="Times New Roman" w:hAnsi="Times New Roman"/>
          <w:sz w:val="18"/>
          <w:szCs w:val="18"/>
          <w:color w:val="auto"/>
        </w:rPr>
        <w:t>Transit Segment cost of sales increased 2.0% as a percentage of sales to 72.3% for the six months ended June 30, 2017 from 70.3% for the same period of 2016. The increase is primarily related to product mix largely attributable to the acquisition of Faiveley Transport, which has lower overall margins.</w:t>
      </w:r>
    </w:p>
    <w:p>
      <w:pPr>
        <w:spacing w:after="0" w:line="162" w:lineRule="exact"/>
        <w:rPr>
          <w:sz w:val="20"/>
          <w:szCs w:val="20"/>
          <w:color w:val="auto"/>
        </w:rPr>
      </w:pPr>
    </w:p>
    <w:p>
      <w:pPr>
        <w:ind w:right="60" w:firstLine="500"/>
        <w:spacing w:after="0" w:line="266" w:lineRule="auto"/>
        <w:rPr>
          <w:sz w:val="20"/>
          <w:szCs w:val="20"/>
          <w:color w:val="auto"/>
        </w:rPr>
      </w:pPr>
      <w:r>
        <w:rPr>
          <w:rFonts w:ascii="Times New Roman" w:cs="Times New Roman" w:eastAsia="Times New Roman" w:hAnsi="Times New Roman"/>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$16.0 million in the six months ended June 30, 2017 compared to $17.9 million in the six months ended June 30, 2016.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following table shows our operating expenses for the periods indicated: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0"/>
        </w:trPr>
        <w:tc>
          <w:tcPr>
            <w:tcW w:w="54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249,915</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170,361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46,802</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35,982</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18,394</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315,111</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217,104</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00"/>
        <w:spacing w:after="0" w:line="258" w:lineRule="auto"/>
        <w:rPr>
          <w:sz w:val="20"/>
          <w:szCs w:val="20"/>
          <w:color w:val="auto"/>
        </w:rPr>
      </w:pPr>
      <w:r>
        <w:rPr>
          <w:rFonts w:ascii="Times New Roman" w:cs="Times New Roman" w:eastAsia="Times New Roman" w:hAnsi="Times New Roman"/>
          <w:sz w:val="18"/>
          <w:szCs w:val="18"/>
          <w:color w:val="auto"/>
        </w:rPr>
        <w:t>Total operating expenses were 17.0% and 14.5% of sales for the six months of 2017 and 2016, respectively. Selling, general, and administrative expenses increased $79.6 million, or 46.7%, primarily due to $95.9 million in incremental expense from acquisitions and $13.3 million of Faiveley Transport transaction and integration related charges partially offset by lower costs due to cost saving initiatives and lower organic sales volumes. Engineering expense increased by $10.8 million, or 30.0%, primarily due to $10.5 million in expenses from acquisitions and remained consistent as a percentage of sales. Amortization expense increased $7.6 million due to amortization of intangibles associated with acquisitions.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2" w:name="page43"/>
    <w:bookmarkEnd w:id="42"/>
    <w:p>
      <w:pPr>
        <w:ind w:left="500"/>
        <w:spacing w:after="0"/>
        <w:rPr>
          <w:sz w:val="20"/>
          <w:szCs w:val="20"/>
          <w:color w:val="auto"/>
        </w:rPr>
      </w:pPr>
      <w:r>
        <w:rPr>
          <w:rFonts w:ascii="Times New Roman" w:cs="Times New Roman" w:eastAsia="Times New Roman" w:hAnsi="Times New Roman"/>
          <w:sz w:val="18"/>
          <w:szCs w:val="18"/>
          <w:color w:val="auto"/>
        </w:rPr>
        <w:t>The following table shows our segment operating expense for the periods indicated:</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69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16"/>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Freight Segment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88,668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95,274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 Segment</w:t>
            </w:r>
          </w:p>
        </w:tc>
        <w:tc>
          <w:tcPr>
            <w:tcW w:w="3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211,900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101,146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315,111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217,104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500"/>
        <w:spacing w:after="0" w:line="266" w:lineRule="auto"/>
        <w:rPr>
          <w:sz w:val="20"/>
          <w:szCs w:val="20"/>
          <w:color w:val="auto"/>
        </w:rPr>
      </w:pPr>
      <w:r>
        <w:rPr>
          <w:rFonts w:ascii="Times New Roman" w:cs="Times New Roman" w:eastAsia="Times New Roman" w:hAnsi="Times New Roman"/>
          <w:sz w:val="18"/>
          <w:szCs w:val="18"/>
          <w:color w:val="auto"/>
        </w:rPr>
        <w:t>Freight Segment operating expenses decreased $6.6 million, or 6.9%, in the six months ended June 30, 2017 and increased 150 basis points to 12.8% of sales. The decrease is primarily attributable to reduced sales volumes, and realized benefits from the cost saving initiatives undertaken in 2016 and 2017, partially offset by $10.6 million of incremental operating expenses from acquisitions.</w:t>
      </w:r>
    </w:p>
    <w:p>
      <w:pPr>
        <w:spacing w:after="0" w:line="176" w:lineRule="exact"/>
        <w:rPr>
          <w:sz w:val="20"/>
          <w:szCs w:val="20"/>
          <w:color w:val="auto"/>
        </w:rPr>
      </w:pPr>
    </w:p>
    <w:p>
      <w:pPr>
        <w:ind w:right="220" w:firstLine="500"/>
        <w:spacing w:after="0" w:line="266" w:lineRule="auto"/>
        <w:rPr>
          <w:sz w:val="20"/>
          <w:szCs w:val="20"/>
          <w:color w:val="auto"/>
        </w:rPr>
      </w:pPr>
      <w:r>
        <w:rPr>
          <w:rFonts w:ascii="Times New Roman" w:cs="Times New Roman" w:eastAsia="Times New Roman" w:hAnsi="Times New Roman"/>
          <w:sz w:val="18"/>
          <w:szCs w:val="18"/>
          <w:color w:val="auto"/>
        </w:rPr>
        <w:t>Transit Segment operating expenses increased $110.8 million, or 109.5%, in the six months ended June 30, 2017 and increased 290 basis points to 18.3% of sales. The increase is attributed to $105.3 million of incremental operating expenses from acquisitions and $7.6 million of Faiveley Transport and integration costs.</w:t>
      </w:r>
    </w:p>
    <w:p>
      <w:pPr>
        <w:spacing w:after="0" w:line="176" w:lineRule="exact"/>
        <w:rPr>
          <w:sz w:val="20"/>
          <w:szCs w:val="20"/>
          <w:color w:val="auto"/>
        </w:rPr>
      </w:pPr>
    </w:p>
    <w:p>
      <w:pPr>
        <w:ind w:right="200" w:firstLine="500"/>
        <w:spacing w:after="0" w:line="282" w:lineRule="auto"/>
        <w:rPr>
          <w:sz w:val="20"/>
          <w:szCs w:val="20"/>
          <w:color w:val="auto"/>
        </w:rPr>
      </w:pPr>
      <w:r>
        <w:rPr>
          <w:rFonts w:ascii="Times New Roman" w:cs="Times New Roman" w:eastAsia="Times New Roman" w:hAnsi="Times New Roman"/>
          <w:sz w:val="18"/>
          <w:szCs w:val="18"/>
          <w:color w:val="auto"/>
        </w:rPr>
        <w:t>Corporate non-allocated operating expenses decreased $6.1 million in the six months ended June 30, 2017 primarily due to lower Faiveley Transport transaction and integration costs.</w:t>
      </w:r>
    </w:p>
    <w:p>
      <w:pPr>
        <w:spacing w:after="0" w:line="158" w:lineRule="exact"/>
        <w:rPr>
          <w:sz w:val="20"/>
          <w:szCs w:val="20"/>
          <w:color w:val="auto"/>
        </w:rPr>
      </w:pPr>
    </w:p>
    <w:p>
      <w:pPr>
        <w:ind w:right="16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increased $23.3 million in the six months ended June 30, 2017 attributable to higher overall debt balances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2017 than 2016, primarily related to the Faiveley Transport acquisition.</w:t>
      </w:r>
    </w:p>
    <w:p>
      <w:pPr>
        <w:spacing w:after="0" w:line="155" w:lineRule="exact"/>
        <w:rPr>
          <w:sz w:val="20"/>
          <w:szCs w:val="20"/>
          <w:color w:val="auto"/>
        </w:rPr>
      </w:pPr>
    </w:p>
    <w:p>
      <w:pPr>
        <w:ind w:right="4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income/(expense), net, totaled $0.8 million in the six months ended June 30, 2017 compared to $1.1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period in 2016 primarily due to foreign currency losses.</w:t>
      </w:r>
    </w:p>
    <w:p>
      <w:pPr>
        <w:spacing w:after="0" w:line="155" w:lineRule="exact"/>
        <w:rPr>
          <w:sz w:val="20"/>
          <w:szCs w:val="20"/>
          <w:color w:val="auto"/>
        </w:rPr>
      </w:pPr>
    </w:p>
    <w:p>
      <w:pPr>
        <w:ind w:right="120" w:firstLine="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effective income tax rate was 26.3% and 30.2% for the six months ended June 30, 2017 and 2016, respectively. The decrease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rate is primarily the result of a lower earnings mix in higher tax rate jurisdictions.</w:t>
      </w:r>
    </w:p>
    <w:p>
      <w:pPr>
        <w:spacing w:after="0" w:line="155" w:lineRule="exact"/>
        <w:rPr>
          <w:sz w:val="20"/>
          <w:szCs w:val="20"/>
          <w:color w:val="auto"/>
        </w:rPr>
      </w:pPr>
    </w:p>
    <w:p>
      <w:pPr>
        <w:jc w:val="both"/>
        <w:ind w:right="80" w:firstLine="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Net loss attributable to noncontrolling interest was $1.8 million in 2017 as Faiveley Transport was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wholly owned by the Company until March 2017; therefore, a portion of Faiveley Transport's operating results for the first two months of 2017 was allocated to the Company's consolidated subsidiaries noncontrolling shareholders.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0"/>
        <w:spacing w:after="0" w:line="282" w:lineRule="auto"/>
        <w:rPr>
          <w:sz w:val="20"/>
          <w:szCs w:val="20"/>
          <w:color w:val="auto"/>
        </w:rPr>
      </w:pPr>
      <w:r>
        <w:rPr>
          <w:rFonts w:ascii="Times New Roman" w:cs="Times New Roman" w:eastAsia="Times New Roman" w:hAnsi="Times New Roman"/>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(used for) provided by:</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213,976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41,590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(Decrease)/increase in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(69,962)</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76,744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40" w:firstLine="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In the first six months of 2017, cash used for operations was $13.7 million. In the first six months of 2016,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was $214.0 million. In comparison to the first six months of 2016, cash provided by operations for the comparable period in 2017 decreased due to unfavorable working capital performance and lower net income of $40.5 million. The major components of working capital were as follows: an unfavorable change in accounts receivable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34" w:right="239" w:bottom="1440" w:gutter="0" w:footer="0" w:header="0"/>
        </w:sectPr>
      </w:pPr>
    </w:p>
    <w:bookmarkStart w:id="43" w:name="page44"/>
    <w:bookmarkEnd w:id="43"/>
    <w:p>
      <w:pPr>
        <w:ind w:right="80"/>
        <w:spacing w:after="0" w:line="258" w:lineRule="auto"/>
        <w:rPr>
          <w:sz w:val="20"/>
          <w:szCs w:val="20"/>
          <w:color w:val="auto"/>
        </w:rPr>
      </w:pPr>
      <w:r>
        <w:rPr>
          <w:rFonts w:ascii="Times New Roman" w:cs="Times New Roman" w:eastAsia="Times New Roman" w:hAnsi="Times New Roman"/>
          <w:sz w:val="18"/>
          <w:szCs w:val="18"/>
          <w:color w:val="auto"/>
        </w:rPr>
        <w:t>$64.4 million due to the timing of sales and customer payments, an unfavorable change in inventory of $37.5 million due to efforts to ramp up production in anticipation of stronger product demand through 2017, an unfavorable change of $101.1 million in other assets and liabilities primarily due to an unfavorable change in accrued liabilities due to payments related to contract liabilities, accrued expenses, and acquisition costs during the first six months of 2017, an unfavorable change in accrued taxes of $25.9 million, partially offset by a favorable change in accrued liabilities and customer deposits of $83.4 million primarily due to the timing of cash receipts from customers for long term projects.</w:t>
      </w:r>
    </w:p>
    <w:p>
      <w:pPr>
        <w:spacing w:after="0" w:line="180" w:lineRule="exact"/>
        <w:rPr>
          <w:sz w:val="20"/>
          <w:szCs w:val="20"/>
          <w:color w:val="auto"/>
        </w:rPr>
      </w:pPr>
    </w:p>
    <w:p>
      <w:pPr>
        <w:ind w:right="140" w:firstLine="5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 the first six months of 2017 and 2016, cash used in investing activities was $128.6 million and $40.2 million, respectively.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 components of the cash outflow in 2017 were $90.6 million in net cash paid for acquisitions and $38.4 million in planned additions to property, plant and equipment for investments in our facilities and manufacturing processes. This compares to $21.3 million in net cash paid for acquisitions and $19.1 million in property, plant, and equipment for investments in the first six months of 2016. Refer to Note 3 of the “Notes to Condensed Consolidated Financial Statements” for additional information on acquisitions.</w:t>
      </w:r>
    </w:p>
    <w:p>
      <w:pPr>
        <w:spacing w:after="0" w:line="180" w:lineRule="exact"/>
        <w:rPr>
          <w:sz w:val="20"/>
          <w:szCs w:val="20"/>
          <w:color w:val="auto"/>
        </w:rPr>
      </w:pPr>
    </w:p>
    <w:p>
      <w:pPr>
        <w:ind w:firstLine="5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In the first six months of 2017, cash provided by financing activities was $41.6 million which included $745.0 million in proceeds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revolving credit facility, $680.1 million in repayments of debt and $19.2 million of dividend payments. In the first six months of 2016, cash provided by financing activities was $102.2 million, which included $230.0 million in proceeds from the revolving credit facility, $175.5 million in repayments of debt on the revolving credit facility, $133.7 million for purchases of treasury stock, $9.0 million related to payment of income tax withholding on share based compensation, and $14.6 million of dividend payments.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November 2026</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November 3, 2016, the Company issued $750.0 million of Senior Notes due in 2026. The 2016 Notes were issued at 99.965% of face value. Interest on the 2016 Notes accrues at a rate of 3.45% per annum and is payable semi-annually on May 15 and November 15 of each year. The proceeds will be used to pay the cash portion of the Faiveley Transport acquisition, refinance Faiveley Transport's outstanding indebtedness, and for general corporate purposes. The principal balance is due in full at maturity.</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 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Faiveley Transport Tender Offer</w:t>
      </w:r>
    </w:p>
    <w:p>
      <w:pPr>
        <w:spacing w:after="0" w:line="335" w:lineRule="exact"/>
        <w:rPr>
          <w:sz w:val="20"/>
          <w:szCs w:val="20"/>
          <w:color w:val="auto"/>
        </w:rPr>
      </w:pPr>
    </w:p>
    <w:p>
      <w:pPr>
        <w:ind w:left="980" w:right="24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68" w:lineRule="exact"/>
        <w:rPr>
          <w:rFonts w:ascii="Times New Roman" w:cs="Times New Roman" w:eastAsia="Times New Roman" w:hAnsi="Times New Roman"/>
          <w:sz w:val="18"/>
          <w:szCs w:val="18"/>
          <w:color w:val="auto"/>
        </w:rPr>
      </w:pPr>
    </w:p>
    <w:p>
      <w:pPr>
        <w:ind w:left="980" w:right="26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Stock Repurchase Plan</w:t>
      </w:r>
    </w:p>
    <w:p>
      <w:pPr>
        <w:spacing w:after="0" w:line="119" w:lineRule="exact"/>
        <w:rPr>
          <w:sz w:val="20"/>
          <w:szCs w:val="20"/>
          <w:color w:val="auto"/>
        </w:rPr>
      </w:pPr>
    </w:p>
    <w:p>
      <w:pPr>
        <w:ind w:right="60" w:firstLine="500"/>
        <w:spacing w:after="0" w:line="261" w:lineRule="auto"/>
        <w:rPr>
          <w:sz w:val="20"/>
          <w:szCs w:val="20"/>
          <w:color w:val="auto"/>
        </w:rPr>
      </w:pPr>
      <w:r>
        <w:rPr>
          <w:rFonts w:ascii="Times New Roman" w:cs="Times New Roman" w:eastAsia="Times New Roman" w:hAnsi="Times New Roman"/>
          <w:sz w:val="18"/>
          <w:szCs w:val="18"/>
          <w:color w:val="auto"/>
        </w:rPr>
        <w:t>On February 8, 2016, the Board of Directors amended its stock repurchase authorization to $350 million of the Company’s outstanding shares. This new stock repurchase authorization supersedes the previous authorization of $350 million of which about $33.3 million remained. During the first six months of 2017, the Company did not repurchase any shares. The Company intends to purchase shares on the open market or in negotiated block trades from time to time depending on market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ind w:right="200"/>
        <w:spacing w:after="0" w:line="282" w:lineRule="auto"/>
        <w:rPr>
          <w:sz w:val="20"/>
          <w:szCs w:val="20"/>
          <w:color w:val="auto"/>
        </w:rPr>
      </w:pPr>
      <w:r>
        <w:rPr>
          <w:rFonts w:ascii="Times New Roman" w:cs="Times New Roman" w:eastAsia="Times New Roman" w:hAnsi="Times New Roman"/>
          <w:sz w:val="18"/>
          <w:szCs w:val="18"/>
          <w:color w:val="auto"/>
        </w:rPr>
        <w:t>conditions. No time limit was set for the completion of the programs which conforms to the requirements under the 2016 Refinancing Credit Agreement, as well as the senior notes currently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and assumptions about us, including, among other things: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Economic and industry conditions</w:t>
      </w:r>
    </w:p>
    <w:p>
      <w:pPr>
        <w:spacing w:after="0" w:line="117" w:lineRule="exact"/>
        <w:rPr>
          <w:sz w:val="20"/>
          <w:szCs w:val="20"/>
          <w:color w:val="auto"/>
        </w:rPr>
      </w:pPr>
    </w:p>
    <w:p>
      <w:pPr>
        <w:ind w:left="980" w:right="5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unfavorable economic and industry conditions in the markets served by us, including North America, South America, Europe, Australia, Asia and South Africa;</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demand for freight cars, locomotives, passenger transit cars, buses and related products and services;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major original equipment manufacturer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manufacturers’ program delays;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 in the freight and passenger rail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either being delayed, canceled, not returning to historical levels, or reduced or any combination of the foregoing;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in the rail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outsourcing by our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demand for faster and more efficient braking equipment;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foreign currency exchange rates;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factors</w:t>
      </w:r>
    </w:p>
    <w:p>
      <w:pPr>
        <w:spacing w:after="0" w:line="11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conditions and costs;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costs;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introduction of new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long-term contracts;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and integration of acquisitions, including the acquisition of Faiveley Transport;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new technology.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Competitive factors</w:t>
      </w:r>
    </w:p>
    <w:p>
      <w:pPr>
        <w:spacing w:after="0" w:line="11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competitors.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72" w:right="239" w:bottom="1440" w:gutter="0" w:footer="0" w:header="0"/>
        </w:sectPr>
      </w:pPr>
    </w:p>
    <w:bookmarkStart w:id="45" w:name="page46"/>
    <w:bookmarkEnd w:id="45"/>
    <w:p>
      <w:pPr>
        <w:ind w:left="500"/>
        <w:spacing w:after="0"/>
        <w:rPr>
          <w:sz w:val="20"/>
          <w:szCs w:val="20"/>
          <w:color w:val="auto"/>
        </w:rPr>
      </w:pPr>
      <w:r>
        <w:rPr>
          <w:rFonts w:ascii="Times New Roman" w:cs="Times New Roman" w:eastAsia="Times New Roman" w:hAnsi="Times New Roman"/>
          <w:sz w:val="18"/>
          <w:szCs w:val="18"/>
          <w:color w:val="auto"/>
        </w:rPr>
        <w:t>Political/governmental factors</w:t>
      </w:r>
    </w:p>
    <w:p>
      <w:pPr>
        <w:spacing w:after="0" w:line="117"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relevant areas of the world;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regulation/deregulation of our customers and/or the rail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governmental funding on transit projects, including for some of our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developments and laws and regulations, including those related to Positive Train Control;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income tax legislation;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partners, governments, suppliers, customers or others.</w:t>
      </w:r>
    </w:p>
    <w:p>
      <w:pPr>
        <w:spacing w:after="0" w:line="225" w:lineRule="exact"/>
        <w:rPr>
          <w:sz w:val="20"/>
          <w:szCs w:val="20"/>
          <w:color w:val="auto"/>
        </w:rPr>
      </w:pPr>
    </w:p>
    <w:p>
      <w:pPr>
        <w:jc w:val="both"/>
        <w:ind w:right="340" w:firstLine="500"/>
        <w:spacing w:after="0" w:line="266" w:lineRule="auto"/>
        <w:rPr>
          <w:sz w:val="20"/>
          <w:szCs w:val="20"/>
          <w:color w:val="auto"/>
        </w:rPr>
      </w:pPr>
      <w:r>
        <w:rPr>
          <w:rFonts w:ascii="Times New Roman" w:cs="Times New Roman" w:eastAsia="Times New Roman" w:hAnsi="Times New Roman"/>
          <w:sz w:val="18"/>
          <w:szCs w:val="18"/>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500" w:firstLine="500"/>
        <w:spacing w:after="0" w:line="261" w:lineRule="auto"/>
        <w:rPr>
          <w:sz w:val="20"/>
          <w:szCs w:val="20"/>
          <w:color w:val="auto"/>
        </w:rPr>
      </w:pPr>
      <w:r>
        <w:rPr>
          <w:rFonts w:ascii="Times New Roman" w:cs="Times New Roman" w:eastAsia="Times New Roman" w:hAnsi="Times New Roman"/>
          <w:sz w:val="18"/>
          <w:szCs w:val="18"/>
          <w:color w:val="auto"/>
        </w:rPr>
        <w:t>A summary of critical accounting policies is included in the Company’s Annual Report on Form 10-K for the year ended December 31, 2016. In particular, judgment is used in areas such as accounts receivable and the allowance for doubtful accounts, inventories, goodwill and indefinite-lived intangibles, warranty reserves, pensions and postretirement benefits, income taxes and revenue recognition. There have been no significant changes in accounting policies since December 31, 2016.</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60" w:firstLine="50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Wabtec is exposed to risks that increases in interest rates may adversely affect funding costs associated with its variable-rate debt. The Company’s variable rate debt represents 42% and 36% of total long-term debt at June 30, 2017 and December 31, 2016, respectively. To reduce the impact of interest rate changes on a portion of this variable-rate debt, the Company entered into forward interest rate swap agreements which convert a portion of the debt from variable to fixed-rate borrowings during the term of the swap contract. Refer to Note 6 – Long Term Debt of “Notes to Condensed Consolidated Financial Statements” for additional information regarding interest rate risk.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risks associated with changes in foreign currency exchange rates to the extent our operations are conducted in currencies other than the U.S. dollar. For the first six months of 2017, approximately 35% of Wabtec’s net sales were to customers in the United States, 9% in the United Kingdom, 7% in Canada, 6% in France, 5% in China, 5% in Germany 4% in Mexico, 4% in Italy, 3% in Australia, and 22% in other international locations. To reduce the impact of changes in currency exchange rates,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8"/>
          <w:szCs w:val="18"/>
          <w:color w:val="auto"/>
        </w:rPr>
        <w:t>Wabtec’s principal executive officer and its principal financial officer have evaluated the effectiveness of Wabtec’s “disclosure controls and procedures,” (as defined in Exchange Act Rule 13a-15(e)) as of June 30, 2017.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9" w:lineRule="exact"/>
        <w:rPr>
          <w:sz w:val="20"/>
          <w:szCs w:val="20"/>
          <w:color w:val="auto"/>
        </w:rPr>
      </w:pPr>
    </w:p>
    <w:p>
      <w:pPr>
        <w:jc w:val="both"/>
        <w:ind w:right="280" w:firstLine="500"/>
        <w:spacing w:after="0" w:line="266" w:lineRule="auto"/>
        <w:rPr>
          <w:sz w:val="20"/>
          <w:szCs w:val="20"/>
          <w:color w:val="auto"/>
        </w:rPr>
      </w:pPr>
      <w:r>
        <w:rPr>
          <w:rFonts w:ascii="Times New Roman" w:cs="Times New Roman" w:eastAsia="Times New Roman" w:hAnsi="Times New Roman"/>
          <w:sz w:val="18"/>
          <w:szCs w:val="18"/>
          <w:color w:val="auto"/>
        </w:rPr>
        <w:t>There was no change in Wabtec’s “internal control over financial reporting” (as defined in Rule 13a-15(f) under the Exchange Act) that occurred during the quarter ended June 30, 2017, that has materially affected, or is reasonably likely to materially affect, Wabtec’s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240" w:top="360" w:right="4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right="120" w:firstLine="500"/>
        <w:spacing w:after="0" w:line="313" w:lineRule="auto"/>
        <w:rPr>
          <w:sz w:val="20"/>
          <w:szCs w:val="20"/>
          <w:color w:val="auto"/>
        </w:rPr>
      </w:pPr>
      <w:r>
        <w:rPr>
          <w:rFonts w:ascii="Times New Roman" w:cs="Times New Roman" w:eastAsia="Times New Roman" w:hAnsi="Times New Roman"/>
          <w:sz w:val="17"/>
          <w:szCs w:val="17"/>
          <w:color w:val="auto"/>
        </w:rPr>
        <w:t>Except as described below, there have been no material changes regarding the Company’s commitments and contingencies as described in Note 19 of the Company’s Annual Report on Form 10-K for the year ended December 31, 2016, including with respect to the litigation with Siemens described therein.</w:t>
      </w:r>
    </w:p>
    <w:p>
      <w:pPr>
        <w:spacing w:after="0" w:line="138"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Xorail, Inc., a wholly owned subsidiary of the Company (“Xorail”), has received notices from Denver Transit Constructors (“Denver Transit”) alleging breach of contract related to the installation of constant warning wireless crossings, and late delivery of the Train Management &amp; Dispatch System (“TMDS”) for the Denver Eagle P3 Project. No damages have been asserted for the alleged late delivery of the TMDS. On May 4, 2017, Denver Transit alleged that total damages were $29.9 million as of March 31, 2017 and are continuing to accumulate regarding the installation of constant wireless crossings. The crossings have not been certified for use, which Denver Transit alleges is due to Xorail’s failure to achieve constant warning times satisfactory to the Federal Railway Administration (“FRA”). No claims have been filed by Denver Transit with regard to either issue. Xorail has denied Denver Transit’s assertions regarding the wireless crossings but continues to work with Denver Transit and FRA to upgrade and change its system to meet the FRA’s previously undefined, and still evolving, certification requirements. The Company does not believe that it has any liability with respect to the wireless crossing issue. The Company is working with Denver Transit on a response plan regarding the TMDS.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repurchase activity for the three months ended June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Programs (1)</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Programs (1)</w:t>
            </w:r>
          </w:p>
        </w:tc>
      </w:tr>
      <w:tr>
        <w:trPr>
          <w:trHeight w:val="27"/>
        </w:trPr>
        <w:tc>
          <w:tcPr>
            <w:tcW w:w="3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2017</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2017</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2017</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quarter ended June 30, 2017</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660" w:right="8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2016 Refinancing Credit Agreement, as well as the senior notes currently outstanding.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being filed with this report: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360"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Fifth Supplemental Indenture, dated April 28, 2017, by and among Westinghouse Air Brake Technologies Corporation, the subsidiary</w:t>
            </w:r>
          </w:p>
        </w:tc>
      </w:tr>
      <w:tr>
        <w:trPr>
          <w:trHeight w:val="216"/>
        </w:trPr>
        <w:tc>
          <w:tcPr>
            <w:tcW w:w="1080" w:type="dxa"/>
            <w:vAlign w:val="bottom"/>
          </w:tcPr>
          <w:p>
            <w:pPr>
              <w:spacing w:after="0"/>
              <w:rPr>
                <w:sz w:val="18"/>
                <w:szCs w:val="18"/>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guarantors named therein and Wells Fargo Bank, National Association, as Trustee (incorporated by reference to Exhibit 4.1 to the</w:t>
            </w:r>
          </w:p>
        </w:tc>
      </w:tr>
      <w:tr>
        <w:trPr>
          <w:trHeight w:val="234"/>
        </w:trPr>
        <w:tc>
          <w:tcPr>
            <w:tcW w:w="1080" w:type="dxa"/>
            <w:vAlign w:val="bottom"/>
          </w:tcPr>
          <w:p>
            <w:pPr>
              <w:spacing w:after="0"/>
              <w:rPr>
                <w:sz w:val="20"/>
                <w:szCs w:val="20"/>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March 31, 2017)</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Sixth Supplemental Indenture, dated June 21, 2017, by and among Westinghouse Air Brake Technologies Corporate, the subsidiary</w:t>
            </w:r>
          </w:p>
        </w:tc>
      </w:tr>
      <w:tr>
        <w:trPr>
          <w:trHeight w:val="216"/>
        </w:trPr>
        <w:tc>
          <w:tcPr>
            <w:tcW w:w="1080" w:type="dxa"/>
            <w:vAlign w:val="bottom"/>
          </w:tcPr>
          <w:p>
            <w:pPr>
              <w:spacing w:after="0"/>
              <w:rPr>
                <w:sz w:val="18"/>
                <w:szCs w:val="18"/>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guarantors named therein and Wells Fargo Bank, National Association, as Trustee (incorporated by reference to Exhibit 4.10 to the</w:t>
            </w:r>
          </w:p>
        </w:tc>
      </w:tr>
      <w:tr>
        <w:trPr>
          <w:trHeight w:val="216"/>
        </w:trPr>
        <w:tc>
          <w:tcPr>
            <w:tcW w:w="1080" w:type="dxa"/>
            <w:vAlign w:val="bottom"/>
          </w:tcPr>
          <w:p>
            <w:pPr>
              <w:spacing w:after="0"/>
              <w:rPr>
                <w:sz w:val="18"/>
                <w:szCs w:val="18"/>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Registration Statement on Form S-4 filed on July 19, 2017) (incorporated by reference to Exhibit 4.1 to the Company's</w:t>
            </w:r>
          </w:p>
        </w:tc>
      </w:tr>
      <w:tr>
        <w:trPr>
          <w:trHeight w:val="234"/>
        </w:trPr>
        <w:tc>
          <w:tcPr>
            <w:tcW w:w="1080" w:type="dxa"/>
            <w:vAlign w:val="bottom"/>
          </w:tcPr>
          <w:p>
            <w:pPr>
              <w:spacing w:after="0"/>
              <w:rPr>
                <w:sz w:val="20"/>
                <w:szCs w:val="20"/>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2017)</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 Amendment to Second Amended and Restated Refinancing Credit Agreement, dated as of April 19, 2017, by and among the</w:t>
            </w:r>
          </w:p>
        </w:tc>
      </w:tr>
      <w:tr>
        <w:trPr>
          <w:trHeight w:val="216"/>
        </w:trPr>
        <w:tc>
          <w:tcPr>
            <w:tcW w:w="1080" w:type="dxa"/>
            <w:vAlign w:val="bottom"/>
          </w:tcPr>
          <w:p>
            <w:pPr>
              <w:spacing w:after="0"/>
              <w:rPr>
                <w:sz w:val="18"/>
                <w:szCs w:val="18"/>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Company, Wabtec Cooperatief UA, as borrowers, the subsidiary guarantors named therein, and the lenders party thereto and PNC Bank,</w:t>
            </w:r>
          </w:p>
        </w:tc>
      </w:tr>
      <w:tr>
        <w:trPr>
          <w:trHeight w:val="234"/>
        </w:trPr>
        <w:tc>
          <w:tcPr>
            <w:tcW w:w="1080" w:type="dxa"/>
            <w:vAlign w:val="bottom"/>
          </w:tcPr>
          <w:p>
            <w:pPr>
              <w:spacing w:after="0"/>
              <w:rPr>
                <w:sz w:val="20"/>
                <w:szCs w:val="20"/>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National Association, as Administrative Agent</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Westinghouse Air Brake Technologies Corporation 2011 Stock Incentive Plan (as amended restated effective May 20, 2017)</w:t>
            </w:r>
          </w:p>
        </w:tc>
      </w:tr>
      <w:tr>
        <w:trPr>
          <w:trHeight w:val="234"/>
        </w:trPr>
        <w:tc>
          <w:tcPr>
            <w:tcW w:w="1080" w:type="dxa"/>
            <w:vAlign w:val="bottom"/>
          </w:tcPr>
          <w:p>
            <w:pPr>
              <w:spacing w:after="0"/>
              <w:rPr>
                <w:sz w:val="20"/>
                <w:szCs w:val="20"/>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Annex A to the Company's Proxy Statement dated March 31, 2017)</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Westinghouse Air Brake Technologies Corporation 1995 Non-Employee Directors' Fee and Stock Option Plan (as amended and restated</w:t>
            </w:r>
          </w:p>
        </w:tc>
      </w:tr>
      <w:tr>
        <w:trPr>
          <w:trHeight w:val="234"/>
        </w:trPr>
        <w:tc>
          <w:tcPr>
            <w:tcW w:w="1080" w:type="dxa"/>
            <w:vAlign w:val="bottom"/>
          </w:tcPr>
          <w:p>
            <w:pPr>
              <w:spacing w:after="0"/>
              <w:rPr>
                <w:sz w:val="20"/>
                <w:szCs w:val="20"/>
                <w:color w:val="auto"/>
              </w:rPr>
            </w:pP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effective May 10, 2017) (incorporated by reference to Annex B to the Company's Proxy Statement dated March 31, 2017)</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Rule 13a-14(a) Certification of Chief Executive Officer.</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Rule 13a-14(a) Certification of Chief Financial Officer.</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1350 Certification of Chief Executive Officer and Chief Financial Officer.</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43"/>
        </w:trPr>
        <w:tc>
          <w:tcPr>
            <w:tcW w:w="1080" w:type="dxa"/>
            <w:vAlign w:val="bottom"/>
          </w:tcPr>
          <w:p>
            <w:pPr>
              <w:spacing w:after="0"/>
              <w:rPr>
                <w:sz w:val="24"/>
                <w:szCs w:val="24"/>
                <w:color w:val="auto"/>
              </w:rPr>
            </w:pPr>
          </w:p>
        </w:tc>
        <w:tc>
          <w:tcPr>
            <w:tcW w:w="1022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1300"/>
          </w:cols>
          <w:pgMar w:left="280" w:top="526" w:right="319" w:bottom="1440" w:gutter="0" w:footer="0" w:header="0"/>
        </w:sectPr>
      </w:pPr>
    </w:p>
    <w:bookmarkStart w:id="49" w:name="page50"/>
    <w:bookmarkEnd w:id="4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0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34290</wp:posOffset>
            </wp:positionV>
            <wp:extent cx="2881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4"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Patrick D. Dugan,</w:t>
      </w:r>
    </w:p>
    <w:p>
      <w:pPr>
        <w:spacing w:after="0" w:line="4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Executive Vice President Finance and</w:t>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3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 2017</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240" w:top="360" w:right="4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0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Fifth Supplemental Indenture, dated April 28, 2017, by and among Westinghouse Air Brake Technologies Corporation,</w:t>
            </w:r>
          </w:p>
        </w:tc>
      </w:tr>
      <w:tr>
        <w:trPr>
          <w:trHeight w:val="216"/>
        </w:trPr>
        <w:tc>
          <w:tcPr>
            <w:tcW w:w="1040" w:type="dxa"/>
            <w:vAlign w:val="bottom"/>
          </w:tcPr>
          <w:p>
            <w:pPr>
              <w:spacing w:after="0"/>
              <w:rPr>
                <w:sz w:val="18"/>
                <w:szCs w:val="18"/>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subsidiary guarantors named therein and Wells Fargo Bank, National Association, as Trustee (incorporated by</w:t>
            </w:r>
          </w:p>
        </w:tc>
      </w:tr>
      <w:tr>
        <w:trPr>
          <w:trHeight w:val="234"/>
        </w:trPr>
        <w:tc>
          <w:tcPr>
            <w:tcW w:w="1040" w:type="dxa"/>
            <w:vAlign w:val="bottom"/>
          </w:tcPr>
          <w:p>
            <w:pPr>
              <w:spacing w:after="0"/>
              <w:rPr>
                <w:sz w:val="20"/>
                <w:szCs w:val="20"/>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4.1 to the Company's Quarterly Report on Form 10-Q for the quarter ended March 31, 2017)</w:t>
            </w: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Sixth Supplemental Indenture, dated June 21, 2017, by and among Westinghouse Air Brake Technologies Corporate,</w:t>
            </w:r>
          </w:p>
        </w:tc>
      </w:tr>
      <w:tr>
        <w:trPr>
          <w:trHeight w:val="216"/>
        </w:trPr>
        <w:tc>
          <w:tcPr>
            <w:tcW w:w="1040" w:type="dxa"/>
            <w:vAlign w:val="bottom"/>
          </w:tcPr>
          <w:p>
            <w:pPr>
              <w:spacing w:after="0"/>
              <w:rPr>
                <w:sz w:val="18"/>
                <w:szCs w:val="18"/>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subsidiary guarantors named therein and Wells Fargo Bank, National Association, as Trustee (incorporated by</w:t>
            </w:r>
          </w:p>
        </w:tc>
      </w:tr>
      <w:tr>
        <w:trPr>
          <w:trHeight w:val="216"/>
        </w:trPr>
        <w:tc>
          <w:tcPr>
            <w:tcW w:w="1040" w:type="dxa"/>
            <w:vAlign w:val="bottom"/>
          </w:tcPr>
          <w:p>
            <w:pPr>
              <w:spacing w:after="0"/>
              <w:rPr>
                <w:sz w:val="18"/>
                <w:szCs w:val="18"/>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reference to Exhibit 4.10 to the Company's Registration Statement on Form S-4 filed on July 19, 2017) (incorporated by</w:t>
            </w:r>
          </w:p>
        </w:tc>
      </w:tr>
      <w:tr>
        <w:trPr>
          <w:trHeight w:val="234"/>
        </w:trPr>
        <w:tc>
          <w:tcPr>
            <w:tcW w:w="1040" w:type="dxa"/>
            <w:vAlign w:val="bottom"/>
          </w:tcPr>
          <w:p>
            <w:pPr>
              <w:spacing w:after="0"/>
              <w:rPr>
                <w:sz w:val="20"/>
                <w:szCs w:val="20"/>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4.1 to the Company's Quarterly Report on Form 10-Q for the quarter ended March 31, 2017)</w:t>
            </w: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Amendment to Second Amended and Restated Refinancing Credit Agreement, dated as of April 19, 2017, by and</w:t>
            </w:r>
          </w:p>
        </w:tc>
      </w:tr>
      <w:tr>
        <w:trPr>
          <w:trHeight w:val="216"/>
        </w:trPr>
        <w:tc>
          <w:tcPr>
            <w:tcW w:w="1040" w:type="dxa"/>
            <w:vAlign w:val="bottom"/>
          </w:tcPr>
          <w:p>
            <w:pPr>
              <w:spacing w:after="0"/>
              <w:rPr>
                <w:sz w:val="18"/>
                <w:szCs w:val="18"/>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among the Company, Wabtec Cooperatief UA, as borrowers, the subsidiary guarantors named therein, and the lenders</w:t>
            </w:r>
          </w:p>
        </w:tc>
      </w:tr>
      <w:tr>
        <w:trPr>
          <w:trHeight w:val="234"/>
        </w:trPr>
        <w:tc>
          <w:tcPr>
            <w:tcW w:w="1040" w:type="dxa"/>
            <w:vAlign w:val="bottom"/>
          </w:tcPr>
          <w:p>
            <w:pPr>
              <w:spacing w:after="0"/>
              <w:rPr>
                <w:sz w:val="20"/>
                <w:szCs w:val="20"/>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party thereto and PNC Bank, National Association, as Administrative Agent</w:t>
            </w: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Westinghouse Air Brake Technologies Corporation 2011 Stock Incentive Plan (as amended restated effective May 20,</w:t>
            </w:r>
          </w:p>
        </w:tc>
      </w:tr>
      <w:tr>
        <w:trPr>
          <w:trHeight w:val="234"/>
        </w:trPr>
        <w:tc>
          <w:tcPr>
            <w:tcW w:w="1040" w:type="dxa"/>
            <w:vAlign w:val="bottom"/>
          </w:tcPr>
          <w:p>
            <w:pPr>
              <w:spacing w:after="0"/>
              <w:rPr>
                <w:sz w:val="20"/>
                <w:szCs w:val="20"/>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(incorporated by reference to Annex A to the Company's Proxy Statement dated March 31, 2017)</w:t>
            </w:r>
          </w:p>
        </w:tc>
      </w:tr>
      <w:tr>
        <w:trPr>
          <w:trHeight w:val="37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Westinghouse Air Brake Technologies Corporation 1995 Non-Employee Directors' Fee and Stock Option Plan (as</w:t>
            </w:r>
          </w:p>
        </w:tc>
      </w:tr>
      <w:tr>
        <w:trPr>
          <w:trHeight w:val="216"/>
        </w:trPr>
        <w:tc>
          <w:tcPr>
            <w:tcW w:w="1040" w:type="dxa"/>
            <w:vAlign w:val="bottom"/>
          </w:tcPr>
          <w:p>
            <w:pPr>
              <w:spacing w:after="0"/>
              <w:rPr>
                <w:sz w:val="18"/>
                <w:szCs w:val="18"/>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effective May 10, 2017) (incorporated by reference to Annex B to the Company's Proxy</w:t>
            </w:r>
          </w:p>
        </w:tc>
      </w:tr>
      <w:tr>
        <w:trPr>
          <w:trHeight w:val="234"/>
        </w:trPr>
        <w:tc>
          <w:tcPr>
            <w:tcW w:w="1040" w:type="dxa"/>
            <w:vAlign w:val="bottom"/>
          </w:tcPr>
          <w:p>
            <w:pPr>
              <w:spacing w:after="0"/>
              <w:rPr>
                <w:sz w:val="20"/>
                <w:szCs w:val="20"/>
                <w:color w:val="auto"/>
              </w:rPr>
            </w:pP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Statement dated March 31, 2017)</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Rule 13a-14(a) Certification of Chief Executive Officer.</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Rule 13a-14(a) Certification of Chief Financial Officer.</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 1350 Certification of Chief Executive Officer and Chief Financial Officer.</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1040" w:type="dxa"/>
            <w:vAlign w:val="bottom"/>
          </w:tcPr>
          <w:p>
            <w:pPr>
              <w:spacing w:after="0"/>
              <w:rPr>
                <w:sz w:val="24"/>
                <w:szCs w:val="24"/>
                <w:color w:val="auto"/>
              </w:rPr>
            </w:pPr>
          </w:p>
        </w:tc>
        <w:tc>
          <w:tcPr>
            <w:tcW w:w="9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51</w:t>
            </w:r>
          </w:p>
        </w:tc>
      </w:tr>
    </w:tbl>
    <w:p>
      <w:pPr>
        <w:sectPr>
          <w:pgSz w:w="11900" w:h="16838" w:orient="portrait"/>
          <w:cols w:equalWidth="0" w:num="1">
            <w:col w:w="10179"/>
          </w:cols>
          <w:pgMar w:left="280" w:top="360"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2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FIFTH SUPPLEMENTAL INDENTURE</w:t>
      </w: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Dated as of April 28, 2017</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to</w:t>
      </w: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Dated as of August 8, 2013</w:t>
      </w: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WESTINGHOUSE AIR BRAKE TECHNOLOGIES CORPORATION,</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as Issuer</w:t>
      </w:r>
    </w:p>
    <w:p>
      <w:pPr>
        <w:spacing w:after="0" w:line="1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GUARANTORS PARTY HERETO,</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as Guarantors</w:t>
      </w:r>
    </w:p>
    <w:p>
      <w:pPr>
        <w:spacing w:after="0" w:line="1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2"/>
          <w:szCs w:val="22"/>
          <w:color w:val="auto"/>
        </w:rPr>
        <w:t>THIS FIFTH SUPPLEMENTAL INDENTURE (this “</w:t>
      </w:r>
      <w:r>
        <w:rPr>
          <w:rFonts w:ascii="Times New Roman" w:cs="Times New Roman" w:eastAsia="Times New Roman" w:hAnsi="Times New Roman"/>
          <w:sz w:val="22"/>
          <w:szCs w:val="22"/>
          <w:b w:val="1"/>
          <w:bCs w:val="1"/>
          <w:color w:val="auto"/>
        </w:rPr>
        <w:t>Supplemental Indenture</w:t>
      </w:r>
      <w:r>
        <w:rPr>
          <w:rFonts w:ascii="Times New Roman" w:cs="Times New Roman" w:eastAsia="Times New Roman" w:hAnsi="Times New Roman"/>
          <w:sz w:val="22"/>
          <w:szCs w:val="22"/>
          <w:color w:val="auto"/>
        </w:rPr>
        <w:t>”) is made as of April 28, 2017, by and among WESTINGHOUSE AIR BRAKE TECHNOLOGIES CORPORATION,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each of the GUARANTORS and WELLS FARGO BANK, NATIONAL ASSOCIATION, a national banking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WHEREAS, the Company and the Trustee entered into that certain Indenture dated as of August 8, 2013 (the “</w:t>
      </w:r>
      <w:r>
        <w:rPr>
          <w:rFonts w:ascii="Times New Roman" w:cs="Times New Roman" w:eastAsia="Times New Roman" w:hAnsi="Times New Roman"/>
          <w:sz w:val="22"/>
          <w:szCs w:val="22"/>
          <w:b w:val="1"/>
          <w:bCs w:val="1"/>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and as supplemented to date,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provides for the issuance by the Company from time to time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in one or more series as provided therein, and that certain First Supplemental Indenture dated as of August 8, 2013 (the “</w:t>
      </w:r>
      <w:r>
        <w:rPr>
          <w:rFonts w:ascii="Times New Roman" w:cs="Times New Roman" w:eastAsia="Times New Roman" w:hAnsi="Times New Roman"/>
          <w:sz w:val="22"/>
          <w:szCs w:val="22"/>
          <w:b w:val="1"/>
          <w:bCs w:val="1"/>
          <w:color w:val="auto"/>
        </w:rPr>
        <w:t>First Supplemental Indenture</w:t>
      </w:r>
      <w:r>
        <w:rPr>
          <w:rFonts w:ascii="Times New Roman" w:cs="Times New Roman" w:eastAsia="Times New Roman" w:hAnsi="Times New Roman"/>
          <w:sz w:val="22"/>
          <w:szCs w:val="22"/>
          <w:color w:val="auto"/>
        </w:rPr>
        <w:t>”), which provides for the issuance of $250,000,000 aggregate principal amount of the Company’s 4.375% Senior Notes due 2023 (the “</w:t>
      </w:r>
      <w:r>
        <w:rPr>
          <w:rFonts w:ascii="Times New Roman" w:cs="Times New Roman" w:eastAsia="Times New Roman" w:hAnsi="Times New Roman"/>
          <w:sz w:val="22"/>
          <w:szCs w:val="22"/>
          <w:b w:val="1"/>
          <w:bCs w:val="1"/>
          <w:color w:val="auto"/>
        </w:rPr>
        <w:t>2023 Notes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WHEREAS, the Company, certain Guarantors and the Trustee entered into that certain Second Supplemental Indenture dated as of November 3, 2016 (the “</w:t>
      </w:r>
      <w:r>
        <w:rPr>
          <w:rFonts w:ascii="Times New Roman" w:cs="Times New Roman" w:eastAsia="Times New Roman" w:hAnsi="Times New Roman"/>
          <w:sz w:val="22"/>
          <w:szCs w:val="22"/>
          <w:b w:val="1"/>
          <w:bCs w:val="1"/>
          <w:color w:val="auto"/>
        </w:rPr>
        <w:t>Second Supplemental Indenture</w:t>
      </w:r>
      <w:r>
        <w:rPr>
          <w:rFonts w:ascii="Times New Roman" w:cs="Times New Roman" w:eastAsia="Times New Roman" w:hAnsi="Times New Roman"/>
          <w:sz w:val="22"/>
          <w:szCs w:val="22"/>
          <w:color w:val="auto"/>
        </w:rPr>
        <w:t>”), which provides for certain amendments to the Original Indenture and the First Supplemental Indenture, including amendments to, among other things, provides for the issuance of Guarantees from time to time by the Guarantors party to the Indenture, and that certain Third Supplemental Indenture dated as of November 3, 2016 (the “</w:t>
      </w:r>
      <w:r>
        <w:rPr>
          <w:rFonts w:ascii="Times New Roman" w:cs="Times New Roman" w:eastAsia="Times New Roman" w:hAnsi="Times New Roman"/>
          <w:sz w:val="22"/>
          <w:szCs w:val="22"/>
          <w:b w:val="1"/>
          <w:bCs w:val="1"/>
          <w:color w:val="auto"/>
        </w:rPr>
        <w:t>Third Supplemental Indenture</w:t>
      </w:r>
      <w:r>
        <w:rPr>
          <w:rFonts w:ascii="Times New Roman" w:cs="Times New Roman" w:eastAsia="Times New Roman" w:hAnsi="Times New Roman"/>
          <w:sz w:val="22"/>
          <w:szCs w:val="22"/>
          <w:color w:val="auto"/>
        </w:rPr>
        <w:t>”), which provides for the issuance of $750,000,000 aggregate principal amount of the Company’s 3.450% Senior Notes due 2026 (the “</w:t>
      </w:r>
      <w:r>
        <w:rPr>
          <w:rFonts w:ascii="Times New Roman" w:cs="Times New Roman" w:eastAsia="Times New Roman" w:hAnsi="Times New Roman"/>
          <w:sz w:val="22"/>
          <w:szCs w:val="22"/>
          <w:b w:val="1"/>
          <w:bCs w:val="1"/>
          <w:color w:val="auto"/>
        </w:rPr>
        <w:t>2026 Notes</w:t>
      </w:r>
      <w:r>
        <w:rPr>
          <w:rFonts w:ascii="Times New Roman" w:cs="Times New Roman" w:eastAsia="Times New Roman" w:hAnsi="Times New Roman"/>
          <w:sz w:val="22"/>
          <w:szCs w:val="22"/>
          <w:color w:val="auto"/>
        </w:rPr>
        <w:t>” and together with the 2023 Notes,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and that certain Fourth Supplemental Indenture dated as of February 9, 2017 (the “</w:t>
      </w:r>
      <w:r>
        <w:rPr>
          <w:rFonts w:ascii="Times New Roman" w:cs="Times New Roman" w:eastAsia="Times New Roman" w:hAnsi="Times New Roman"/>
          <w:sz w:val="22"/>
          <w:szCs w:val="22"/>
          <w:b w:val="1"/>
          <w:bCs w:val="1"/>
          <w:color w:val="auto"/>
        </w:rPr>
        <w:t>Fourth Supplemental Indenture</w:t>
      </w:r>
      <w:r>
        <w:rPr>
          <w:rFonts w:ascii="Times New Roman" w:cs="Times New Roman" w:eastAsia="Times New Roman" w:hAnsi="Times New Roman"/>
          <w:sz w:val="22"/>
          <w:szCs w:val="22"/>
          <w:color w:val="auto"/>
        </w:rPr>
        <w:t>”), which provides for the inclusion of Workhorse Rail, LLC as a Guarantor with respect to the Notes;</w:t>
      </w:r>
    </w:p>
    <w:p>
      <w:pPr>
        <w:spacing w:after="0" w:line="18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1"/>
          <w:szCs w:val="21"/>
          <w:color w:val="auto"/>
        </w:rPr>
        <w:t>WHEREAS, Section 9.1(d) of the Original Indenture provides for the Company and the Trustee to enter into an indenture supplemental to the Indenture to provide any guarantees of the Company’s Securities, and Section 9.1(m) of the Original Indenture provides for the Company and the Trustee to enter into an indenture supplemental to the Indenture to make any change to the Indenture that does not adversely affect the rights of any holder of any of its outstanding Securities in any material respect;</w:t>
      </w:r>
    </w:p>
    <w:p>
      <w:pPr>
        <w:spacing w:after="0" w:line="164" w:lineRule="exact"/>
        <w:rPr>
          <w:sz w:val="20"/>
          <w:szCs w:val="20"/>
          <w:color w:val="auto"/>
        </w:rPr>
      </w:pPr>
    </w:p>
    <w:p>
      <w:pPr>
        <w:ind w:right="200" w:firstLine="648"/>
        <w:spacing w:after="0" w:line="249" w:lineRule="auto"/>
        <w:rPr>
          <w:sz w:val="20"/>
          <w:szCs w:val="20"/>
          <w:color w:val="auto"/>
        </w:rPr>
      </w:pPr>
      <w:r>
        <w:rPr>
          <w:rFonts w:ascii="Times New Roman" w:cs="Times New Roman" w:eastAsia="Times New Roman" w:hAnsi="Times New Roman"/>
          <w:sz w:val="22"/>
          <w:szCs w:val="22"/>
          <w:color w:val="auto"/>
        </w:rPr>
        <w:t>WHEREAS, the Company and the Guarantors desire and have requested the Trustee to join them in the execution and delivery of this Supplemental Indenture in order to cause Aero Transportation Products, Inc., a Missouri corporation and a wholly owned subsidiary of the Company, and Thermal Transfer Corporation, a Delaware corporation and a wholly owned subsidiary of the Company (collectively, the “</w:t>
      </w:r>
      <w:r>
        <w:rPr>
          <w:rFonts w:ascii="Times New Roman" w:cs="Times New Roman" w:eastAsia="Times New Roman" w:hAnsi="Times New Roman"/>
          <w:sz w:val="22"/>
          <w:szCs w:val="22"/>
          <w:b w:val="1"/>
          <w:bCs w:val="1"/>
          <w:color w:val="auto"/>
        </w:rPr>
        <w:t>Guaranteeing Subsidiaries</w:t>
      </w:r>
      <w:r>
        <w:rPr>
          <w:rFonts w:ascii="Times New Roman" w:cs="Times New Roman" w:eastAsia="Times New Roman" w:hAnsi="Times New Roman"/>
          <w:sz w:val="22"/>
          <w:szCs w:val="22"/>
          <w:color w:val="auto"/>
        </w:rPr>
        <w:t>”), to each provide a Guarantee with respect to the Notes and to each become a Guarantor with the same effect and to the same extent as if the Guaranteeing Subsidiaries had been named in the Indenture as Guarantors;</w:t>
      </w:r>
    </w:p>
    <w:p>
      <w:pPr>
        <w:spacing w:after="0" w:line="18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WHEREAS, this Supplemental Indenture shall not result in a material modification of the Notes for purposes of compliance with the Foreign Accounts Tax Compliance Act; and</w:t>
      </w:r>
    </w:p>
    <w:p>
      <w:pPr>
        <w:spacing w:after="0" w:line="158" w:lineRule="exact"/>
        <w:rPr>
          <w:sz w:val="20"/>
          <w:szCs w:val="20"/>
          <w:color w:val="auto"/>
        </w:rPr>
      </w:pPr>
    </w:p>
    <w:p>
      <w:pPr>
        <w:ind w:right="160" w:firstLine="648"/>
        <w:spacing w:after="0" w:line="295" w:lineRule="auto"/>
        <w:rPr>
          <w:sz w:val="20"/>
          <w:szCs w:val="20"/>
          <w:color w:val="auto"/>
        </w:rPr>
      </w:pPr>
      <w:r>
        <w:rPr>
          <w:rFonts w:ascii="Times New Roman" w:cs="Times New Roman" w:eastAsia="Times New Roman" w:hAnsi="Times New Roman"/>
          <w:sz w:val="21"/>
          <w:szCs w:val="21"/>
          <w:color w:val="auto"/>
        </w:rPr>
        <w:t>WHEREAS, all the conditions and requirements necessary to make this Supplemental Indenture, when duly executed and delivered, a valid and binding agreement in accordance with its terms and for the purposes herein expressed, have been performed</w:t>
      </w:r>
    </w:p>
    <w:p>
      <w:pPr>
        <w:sectPr>
          <w:pgSz w:w="11900" w:h="16838" w:orient="portrait"/>
          <w:cols w:equalWidth="0" w:num="1">
            <w:col w:w="11420"/>
          </w:cols>
          <w:pgMar w:left="240" w:top="365" w:right="239"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and fulfilled;</w:t>
      </w:r>
    </w:p>
    <w:p>
      <w:pPr>
        <w:spacing w:after="0" w:line="220"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agreements and obligations set forth herein and for other good and valuable consideration, the receipt and sufficiency of which are hereby acknowledged, the parties hereto agree as follows:</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Article 1</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DEFINITIONS</w:t>
      </w:r>
    </w:p>
    <w:p>
      <w:pPr>
        <w:spacing w:after="0" w:line="2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i w:val="1"/>
          <w:iCs w:val="1"/>
          <w:color w:val="auto"/>
        </w:rPr>
        <w:t>Definitions.</w:t>
      </w:r>
    </w:p>
    <w:p>
      <w:pPr>
        <w:spacing w:after="0" w:line="23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For all purposes of this Supplemental Indenture, except as otherwise expressly provided for or unless the context otherwise requires:</w:t>
      </w:r>
    </w:p>
    <w:p>
      <w:pPr>
        <w:spacing w:after="0" w:line="158" w:lineRule="exact"/>
        <w:rPr>
          <w:sz w:val="20"/>
          <w:szCs w:val="20"/>
          <w:color w:val="auto"/>
        </w:rPr>
      </w:pPr>
    </w:p>
    <w:p>
      <w:pPr>
        <w:ind w:left="1120" w:hanging="464"/>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defined herein shall have the respective meanings given them in the Indenture; and</w:t>
      </w:r>
    </w:p>
    <w:p>
      <w:pPr>
        <w:spacing w:after="0" w:line="219" w:lineRule="exact"/>
        <w:rPr>
          <w:rFonts w:ascii="Times New Roman" w:cs="Times New Roman" w:eastAsia="Times New Roman" w:hAnsi="Times New Roman"/>
          <w:sz w:val="22"/>
          <w:szCs w:val="22"/>
          <w:color w:val="auto"/>
        </w:rPr>
      </w:pPr>
    </w:p>
    <w:p>
      <w:pPr>
        <w:ind w:right="460" w:firstLine="656"/>
        <w:spacing w:after="0" w:line="271" w:lineRule="auto"/>
        <w:tabs>
          <w:tab w:leader="none" w:pos="110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Articles and Sections, unless otherwise specified, refer to the corresponding Articles and Sections of this Supplemental Indenture.</w:t>
      </w:r>
    </w:p>
    <w:p>
      <w:pPr>
        <w:spacing w:after="0" w:line="1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ARTICLE 2</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GUARANTEES ISSUED BY THE GUARANTEEING SUBSIDIARIES</w:t>
      </w:r>
    </w:p>
    <w:p>
      <w:pPr>
        <w:spacing w:after="0" w:line="2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i w:val="1"/>
          <w:iCs w:val="1"/>
          <w:color w:val="auto"/>
        </w:rPr>
        <w:t>Agreement to Guarantee.</w:t>
      </w:r>
    </w:p>
    <w:p>
      <w:pPr>
        <w:spacing w:after="0" w:line="200" w:lineRule="exact"/>
        <w:rPr>
          <w:sz w:val="20"/>
          <w:szCs w:val="20"/>
          <w:color w:val="auto"/>
        </w:rPr>
      </w:pPr>
    </w:p>
    <w:p>
      <w:pPr>
        <w:spacing w:after="0" w:line="253"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The Guaranteeing Subsidiaries hereby provide a Guarantee on the terms and subject to the conditions set forth in the Indenture including, but not limited to, Article IX-A thereof. From and after the date hereof, the Guaranteeing Subsidiaries shall each be a Guarantor for all purposes under the Indenture and the Notes.</w:t>
      </w:r>
    </w:p>
    <w:p>
      <w:pPr>
        <w:spacing w:after="0" w:line="1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3</w:t>
      </w:r>
    </w:p>
    <w:p>
      <w:pPr>
        <w:spacing w:after="0" w:line="5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24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1"/>
          <w:szCs w:val="21"/>
          <w:i w:val="1"/>
          <w:iCs w:val="1"/>
          <w:color w:val="auto"/>
        </w:rPr>
        <w:t>Recitals by Company.</w:t>
      </w:r>
    </w:p>
    <w:p>
      <w:pPr>
        <w:spacing w:after="0" w:line="237"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The recitals in this Supplemental Indenture are made by the Company and the Guarantors only and not by the Trustee, and all of the provisions contained in the Original Indenture in respect of the rights, privileges, immunities, powers and duties of the Trustee shall be applicable in respect of the Notes and of this Supplemental Indenture as fully and with like effect as if set forth herein in full.</w:t>
      </w:r>
    </w:p>
    <w:p>
      <w:pPr>
        <w:spacing w:after="0" w:line="17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i w:val="1"/>
          <w:iCs w:val="1"/>
          <w:color w:val="auto"/>
        </w:rPr>
        <w:t>Application to the Notes Only.</w:t>
      </w:r>
    </w:p>
    <w:p>
      <w:pPr>
        <w:spacing w:after="0" w:line="23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Each and every term and condition contained in this Supplemental Indenture that modifies, amends or supplements the terms and conditions of the Indenture shall apply only to the Notes and not to any future series of Securities established under the Indenture.</w:t>
      </w:r>
    </w:p>
    <w:p>
      <w:pPr>
        <w:spacing w:after="0" w:line="16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i w:val="1"/>
          <w:iCs w:val="1"/>
          <w:color w:val="auto"/>
        </w:rPr>
        <w:t>Benefits.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Nothing contained in this Supplemental Indenture shall or shall be construed to confer upon any person other than a Holder of Securities, the Company, the Guarantors and the Trustee any right or interest to avail itself of any benefit under any provision of the Indenture, the Notes or this Supplemental Indenture.</w:t>
      </w:r>
    </w:p>
    <w:p>
      <w:pPr>
        <w:spacing w:after="0" w:line="169"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3.04.</w:t>
      </w:r>
      <w:r>
        <w:rPr>
          <w:sz w:val="20"/>
          <w:szCs w:val="20"/>
          <w:color w:val="auto"/>
        </w:rPr>
        <w:tab/>
      </w:r>
      <w:r>
        <w:rPr>
          <w:rFonts w:ascii="Times New Roman" w:cs="Times New Roman" w:eastAsia="Times New Roman" w:hAnsi="Times New Roman"/>
          <w:sz w:val="21"/>
          <w:szCs w:val="21"/>
          <w:i w:val="1"/>
          <w:iCs w:val="1"/>
          <w:color w:val="auto"/>
        </w:rPr>
        <w:t>Effective Date.</w:t>
      </w:r>
    </w:p>
    <w:p>
      <w:pPr>
        <w:spacing w:after="0" w:line="237"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This Supplemental Indenture shall be effective as of the date first above written upon the execution and delivery hereof by each of the parties hereto.</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i w:val="1"/>
          <w:iCs w:val="1"/>
          <w:color w:val="auto"/>
        </w:rPr>
        <w:t>Ratification.</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As supplemented hereby, the Indenture and the Notes are in all respects ratified and confirmed and all the terms, provisions and conditions thereof remain in full force and effect.</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i w:val="1"/>
          <w:iCs w:val="1"/>
          <w:color w:val="auto"/>
        </w:rPr>
        <w:t>Separability</w:t>
      </w:r>
    </w:p>
    <w:p>
      <w:pPr>
        <w:spacing w:after="0" w:line="237"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i w:val="1"/>
          <w:iCs w:val="1"/>
          <w:color w:val="auto"/>
        </w:rPr>
        <w:t>Counterparts</w:t>
      </w:r>
    </w:p>
    <w:p>
      <w:pPr>
        <w:sectPr>
          <w:pgSz w:w="11900" w:h="16838" w:orient="portrait"/>
          <w:cols w:equalWidth="0" w:num="1">
            <w:col w:w="11320"/>
          </w:cols>
          <w:pgMar w:left="240" w:top="126" w:right="339" w:bottom="0" w:gutter="0" w:footer="0" w:header="0"/>
        </w:sectPr>
      </w:pPr>
    </w:p>
    <w:bookmarkStart w:id="53" w:name="page54"/>
    <w:bookmarkEnd w:id="53"/>
    <w:p>
      <w:pPr>
        <w:ind w:firstLine="648"/>
        <w:spacing w:after="0" w:line="249" w:lineRule="auto"/>
        <w:rPr>
          <w:sz w:val="20"/>
          <w:szCs w:val="20"/>
          <w:color w:val="auto"/>
        </w:rPr>
      </w:pPr>
      <w:r>
        <w:rPr>
          <w:rFonts w:ascii="Times New Roman" w:cs="Times New Roman" w:eastAsia="Times New Roman" w:hAnsi="Times New Roman"/>
          <w:sz w:val="22"/>
          <w:szCs w:val="22"/>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transmission shall be deemed to be their original signatures for all purposes.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i w:val="1"/>
          <w:iCs w:val="1"/>
          <w:color w:val="auto"/>
        </w:rPr>
        <w:t>GOVERNING LAW.</w:t>
      </w:r>
    </w:p>
    <w:p>
      <w:pPr>
        <w:spacing w:after="0" w:line="237"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1"/>
          <w:szCs w:val="21"/>
          <w:color w:val="auto"/>
        </w:rPr>
        <w:t>THIS SUPPLEMENTAL INDENTURE SHALL BE GOVERNED BY, AND CONSTRUED IN ACCORDANCE WITH, THE LAWS OF THE STATE OF NEW YORK, AS APPLIED TO CONTRACTS MADE AND PERFORMED WITHIN THE STATE OF NEW YORK, INCLUDING, WITHOUT LIMITATION, SECTIONS 5-1401 AND 5-1402 OF THE NEW YORK GENERAL OBLIGATIONS LAW AND RULE 327(b) OF THE NEW YORK CIVIL PRACTICE LAWS AND RULES.</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Fifth Supplemental Indenture to be duly executed, all as of the day and year first above written.</w:t>
      </w:r>
    </w:p>
    <w:p>
      <w:pPr>
        <w:spacing w:after="0" w:line="200" w:lineRule="exact"/>
        <w:rPr>
          <w:sz w:val="20"/>
          <w:szCs w:val="20"/>
          <w:color w:val="auto"/>
        </w:rPr>
      </w:pPr>
    </w:p>
    <w:p>
      <w:pPr>
        <w:spacing w:after="0" w:line="3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Westinghouse Air Brake Technologies Corporation</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860" w:val="left"/>
        </w:tabs>
        <w:rPr>
          <w:sz w:val="20"/>
          <w:szCs w:val="20"/>
          <w:color w:val="auto"/>
        </w:rPr>
      </w:pPr>
      <w:r>
        <w:rPr>
          <w:rFonts w:ascii="Times New Roman" w:cs="Times New Roman" w:eastAsia="Times New Roman" w:hAnsi="Times New Roman"/>
          <w:sz w:val="22"/>
          <w:szCs w:val="22"/>
          <w:color w:val="auto"/>
        </w:rPr>
        <w:t>By:</w:t>
        <w:tab/>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-13970</wp:posOffset>
            </wp:positionV>
            <wp:extent cx="2458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8085" cy="8890"/>
                    </a:xfrm>
                    <a:prstGeom prst="rect">
                      <a:avLst/>
                    </a:prstGeom>
                    <a:noFill/>
                  </pic:spPr>
                </pic:pic>
              </a:graphicData>
            </a:graphic>
          </wp:anchor>
        </w:drawing>
      </w:r>
    </w:p>
    <w:p>
      <w:pPr>
        <w:spacing w:after="0" w:line="10" w:lineRule="exact"/>
        <w:rPr>
          <w:sz w:val="20"/>
          <w:szCs w:val="20"/>
          <w:color w:val="auto"/>
        </w:rPr>
      </w:pPr>
    </w:p>
    <w:p>
      <w:pPr>
        <w:ind w:left="3880"/>
        <w:spacing w:after="0"/>
        <w:tabs>
          <w:tab w:leader="none" w:pos="45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Patrick D. Dugan</w:t>
      </w:r>
    </w:p>
    <w:p>
      <w:pPr>
        <w:spacing w:after="0" w:line="21" w:lineRule="exact"/>
        <w:rPr>
          <w:sz w:val="20"/>
          <w:szCs w:val="20"/>
          <w:color w:val="auto"/>
        </w:rPr>
      </w:pPr>
    </w:p>
    <w:p>
      <w:pPr>
        <w:ind w:left="3880"/>
        <w:spacing w:after="0"/>
        <w:tabs>
          <w:tab w:leader="none" w:pos="4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 and</w:t>
      </w:r>
    </w:p>
    <w:p>
      <w:pPr>
        <w:spacing w:after="0" w:line="27"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Barber Steel Foundry Corp.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Durox Company</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G&amp;B Specialties,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Longwood Elastomers,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Longwood Industries,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Longwood International,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MotivePower,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Railroad Friction Products Corporation</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RCL, L.L.C.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RFPC Holding Corp.</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Ricon Corp.</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Schaeffer Equipment,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Standard Car Truck Company</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TransTech of South Carolina,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Turbonetics Holdings,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WABTEC Holding Corp.</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WABTEC International,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WABTEC Railway Electronics,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WABTEC Railway Electronics Manufacturing,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Xorail, Inc.</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Young Touchstone Company</w:t>
      </w:r>
    </w:p>
    <w:p>
      <w:pPr>
        <w:spacing w:after="0" w:line="389"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4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Patrick D. Dugan</w:t>
            </w:r>
          </w:p>
        </w:tc>
        <w:tc>
          <w:tcPr>
            <w:tcW w:w="1520" w:type="dxa"/>
            <w:vAlign w:val="bottom"/>
          </w:tcPr>
          <w:p>
            <w:pPr>
              <w:spacing w:after="0"/>
              <w:rPr>
                <w:sz w:val="21"/>
                <w:szCs w:val="21"/>
                <w:color w:val="auto"/>
              </w:rPr>
            </w:pPr>
          </w:p>
        </w:tc>
      </w:tr>
      <w:tr>
        <w:trPr>
          <w:trHeight w:val="263"/>
        </w:trPr>
        <w:tc>
          <w:tcPr>
            <w:tcW w:w="640" w:type="dxa"/>
            <w:vAlign w:val="bottom"/>
          </w:tcPr>
          <w:p>
            <w:pPr>
              <w:spacing w:after="0"/>
              <w:rPr>
                <w:sz w:val="22"/>
                <w:szCs w:val="22"/>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Patrick D. Dugan</w:t>
            </w:r>
          </w:p>
        </w:tc>
        <w:tc>
          <w:tcPr>
            <w:tcW w:w="1520" w:type="dxa"/>
            <w:vAlign w:val="bottom"/>
          </w:tcPr>
          <w:p>
            <w:pPr>
              <w:spacing w:after="0"/>
              <w:rPr>
                <w:sz w:val="22"/>
                <w:szCs w:val="22"/>
                <w:color w:val="auto"/>
              </w:rPr>
            </w:pPr>
          </w:p>
        </w:tc>
      </w:tr>
      <w:tr>
        <w:trPr>
          <w:trHeight w:val="283"/>
        </w:trPr>
        <w:tc>
          <w:tcPr>
            <w:tcW w:w="6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Vice President, Finance of each</w:t>
            </w:r>
          </w:p>
        </w:tc>
        <w:tc>
          <w:tcPr>
            <w:tcW w:w="15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5"/>
              </w:rPr>
              <w:t>of the above</w:t>
            </w:r>
          </w:p>
        </w:tc>
      </w:tr>
    </w:tbl>
    <w:p>
      <w:pPr>
        <w:sectPr>
          <w:pgSz w:w="11900" w:h="16838" w:orient="portrait"/>
          <w:cols w:equalWidth="0" w:num="1">
            <w:col w:w="11360"/>
          </w:cols>
          <w:pgMar w:left="240" w:top="126" w:right="299" w:bottom="24" w:gutter="0" w:footer="0" w:header="0"/>
        </w:sectPr>
      </w:pPr>
    </w:p>
    <w:bookmarkStart w:id="54" w:name="page55"/>
    <w:bookmarkEnd w:id="54"/>
    <w:p>
      <w:pPr>
        <w:ind w:left="2040"/>
        <w:spacing w:after="0"/>
        <w:rPr>
          <w:sz w:val="20"/>
          <w:szCs w:val="20"/>
          <w:color w:val="auto"/>
        </w:rPr>
      </w:pPr>
      <w:r>
        <w:rPr>
          <w:rFonts w:ascii="Times New Roman" w:cs="Times New Roman" w:eastAsia="Times New Roman" w:hAnsi="Times New Roman"/>
          <w:sz w:val="22"/>
          <w:szCs w:val="22"/>
          <w:color w:val="auto"/>
        </w:rPr>
        <w:t>Railroad Controls, L.P.</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By: RCL, L.L.C., its General Partner</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-13970</wp:posOffset>
            </wp:positionV>
            <wp:extent cx="2080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0895" cy="8890"/>
                    </a:xfrm>
                    <a:prstGeom prst="rect">
                      <a:avLst/>
                    </a:prstGeom>
                    <a:noFill/>
                  </pic:spPr>
                </pic:pic>
              </a:graphicData>
            </a:graphic>
          </wp:anchor>
        </w:drawing>
      </w:r>
    </w:p>
    <w:p>
      <w:pPr>
        <w:spacing w:after="0" w:line="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 Patrick D. Dugan</w:t>
      </w:r>
    </w:p>
    <w:p>
      <w:pPr>
        <w:spacing w:after="0" w:line="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Title: Vice President, Finance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Workhorse Rail, LLC</w:t>
      </w:r>
    </w:p>
    <w:p>
      <w:pPr>
        <w:spacing w:after="0" w:line="200" w:lineRule="exact"/>
        <w:rPr>
          <w:sz w:val="20"/>
          <w:szCs w:val="20"/>
          <w:color w:val="auto"/>
        </w:rPr>
      </w:pPr>
    </w:p>
    <w:p>
      <w:pPr>
        <w:spacing w:after="0" w:line="236" w:lineRule="exact"/>
        <w:rPr>
          <w:sz w:val="20"/>
          <w:szCs w:val="20"/>
          <w:color w:val="auto"/>
        </w:rPr>
      </w:pPr>
    </w:p>
    <w:p>
      <w:pPr>
        <w:ind w:left="2040"/>
        <w:spacing w:after="0"/>
        <w:tabs>
          <w:tab w:leader="none" w:pos="2660" w:val="left"/>
        </w:tabs>
        <w:rPr>
          <w:sz w:val="20"/>
          <w:szCs w:val="20"/>
          <w:color w:val="auto"/>
        </w:rPr>
      </w:pPr>
      <w:r>
        <w:rPr>
          <w:rFonts w:ascii="Times New Roman" w:cs="Times New Roman" w:eastAsia="Times New Roman" w:hAnsi="Times New Roman"/>
          <w:sz w:val="22"/>
          <w:szCs w:val="22"/>
          <w:color w:val="auto"/>
        </w:rPr>
        <w:t>By:</w:t>
        <w:tab/>
        <w:t>/s/ Keith P. Hildum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-13970</wp:posOffset>
            </wp:positionV>
            <wp:extent cx="2458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8720" cy="8890"/>
                    </a:xfrm>
                    <a:prstGeom prst="rect">
                      <a:avLst/>
                    </a:prstGeom>
                    <a:noFill/>
                  </pic:spPr>
                </pic:pic>
              </a:graphicData>
            </a:graphic>
          </wp:anchor>
        </w:drawing>
      </w:r>
    </w:p>
    <w:p>
      <w:pPr>
        <w:spacing w:after="0" w:line="8" w:lineRule="exact"/>
        <w:rPr>
          <w:sz w:val="20"/>
          <w:szCs w:val="20"/>
          <w:color w:val="auto"/>
        </w:rPr>
      </w:pPr>
    </w:p>
    <w:p>
      <w:pPr>
        <w:ind w:left="2680"/>
        <w:spacing w:after="0"/>
        <w:tabs>
          <w:tab w:leader="none" w:pos="3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Keith P. Hildum</w:t>
      </w:r>
    </w:p>
    <w:p>
      <w:pPr>
        <w:spacing w:after="0" w:line="4" w:lineRule="exact"/>
        <w:rPr>
          <w:sz w:val="20"/>
          <w:szCs w:val="20"/>
          <w:color w:val="auto"/>
        </w:rPr>
      </w:pPr>
    </w:p>
    <w:p>
      <w:pPr>
        <w:ind w:left="2680"/>
        <w:spacing w:after="0"/>
        <w:tabs>
          <w:tab w:leader="none" w:pos="35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26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Aero Transportation Products, Inc.</w:t>
      </w:r>
    </w:p>
    <w:p>
      <w:pPr>
        <w:spacing w:after="0" w:line="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Thermal Transfer Corporation</w:t>
      </w:r>
    </w:p>
    <w:p>
      <w:pPr>
        <w:spacing w:after="0" w:line="200" w:lineRule="exact"/>
        <w:rPr>
          <w:sz w:val="20"/>
          <w:szCs w:val="20"/>
          <w:color w:val="auto"/>
        </w:rPr>
      </w:pPr>
    </w:p>
    <w:p>
      <w:pPr>
        <w:spacing w:after="0" w:line="212" w:lineRule="exact"/>
        <w:rPr>
          <w:sz w:val="20"/>
          <w:szCs w:val="20"/>
          <w:color w:val="auto"/>
        </w:rPr>
      </w:pPr>
    </w:p>
    <w:p>
      <w:pPr>
        <w:ind w:left="2040"/>
        <w:spacing w:after="0"/>
        <w:tabs>
          <w:tab w:leader="none" w:pos="2660" w:val="left"/>
        </w:tabs>
        <w:rPr>
          <w:sz w:val="20"/>
          <w:szCs w:val="20"/>
          <w:color w:val="auto"/>
        </w:rPr>
      </w:pPr>
      <w:r>
        <w:rPr>
          <w:rFonts w:ascii="Times New Roman" w:cs="Times New Roman" w:eastAsia="Times New Roman" w:hAnsi="Times New Roman"/>
          <w:sz w:val="22"/>
          <w:szCs w:val="22"/>
          <w:color w:val="auto"/>
        </w:rPr>
        <w:t>By:</w:t>
        <w:tab/>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-13970</wp:posOffset>
            </wp:positionV>
            <wp:extent cx="24580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8085" cy="8890"/>
                    </a:xfrm>
                    <a:prstGeom prst="rect">
                      <a:avLst/>
                    </a:prstGeom>
                    <a:noFill/>
                  </pic:spPr>
                </pic:pic>
              </a:graphicData>
            </a:graphic>
          </wp:anchor>
        </w:drawing>
      </w:r>
    </w:p>
    <w:p>
      <w:pPr>
        <w:spacing w:after="0" w:line="8" w:lineRule="exact"/>
        <w:rPr>
          <w:sz w:val="20"/>
          <w:szCs w:val="20"/>
          <w:color w:val="auto"/>
        </w:rPr>
      </w:pPr>
    </w:p>
    <w:p>
      <w:pPr>
        <w:ind w:left="2680"/>
        <w:spacing w:after="0"/>
        <w:tabs>
          <w:tab w:leader="none" w:pos="3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Patrick D. Dugan</w:t>
      </w:r>
    </w:p>
    <w:p>
      <w:pPr>
        <w:spacing w:after="0" w:line="4" w:lineRule="exact"/>
        <w:rPr>
          <w:sz w:val="20"/>
          <w:szCs w:val="20"/>
          <w:color w:val="auto"/>
        </w:rPr>
      </w:pPr>
    </w:p>
    <w:p>
      <w:pPr>
        <w:ind w:left="2680"/>
        <w:spacing w:after="0"/>
        <w:tabs>
          <w:tab w:leader="none" w:pos="35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ectPr>
          <w:pgSz w:w="11900" w:h="16838" w:orient="portrait"/>
          <w:cols w:equalWidth="0" w:num="1">
            <w:col w:w="9019"/>
          </w:cols>
          <w:pgMar w:left="1440" w:top="558" w:right="1440" w:bottom="1440" w:gutter="0" w:footer="0" w:header="0"/>
        </w:sectPr>
      </w:pPr>
    </w:p>
    <w:bookmarkStart w:id="55" w:name="page56"/>
    <w:bookmarkEnd w:id="55"/>
    <w:p>
      <w:pPr>
        <w:ind w:left="2040"/>
        <w:spacing w:after="0"/>
        <w:rPr>
          <w:sz w:val="20"/>
          <w:szCs w:val="20"/>
          <w:color w:val="auto"/>
        </w:rPr>
      </w:pPr>
      <w:r>
        <w:rPr>
          <w:rFonts w:ascii="Times New Roman" w:cs="Times New Roman" w:eastAsia="Times New Roman" w:hAnsi="Times New Roman"/>
          <w:sz w:val="22"/>
          <w:szCs w:val="22"/>
          <w:color w:val="auto"/>
        </w:rPr>
        <w:t>Wells Fargo Bank, National Association, as Trustee</w:t>
      </w:r>
    </w:p>
    <w:p>
      <w:pPr>
        <w:spacing w:after="0" w:line="200" w:lineRule="exact"/>
        <w:rPr>
          <w:sz w:val="20"/>
          <w:szCs w:val="20"/>
          <w:color w:val="auto"/>
        </w:rPr>
      </w:pPr>
    </w:p>
    <w:p>
      <w:pPr>
        <w:spacing w:after="0" w:line="236" w:lineRule="exact"/>
        <w:rPr>
          <w:sz w:val="20"/>
          <w:szCs w:val="20"/>
          <w:color w:val="auto"/>
        </w:rPr>
      </w:pPr>
    </w:p>
    <w:p>
      <w:pPr>
        <w:ind w:left="2040"/>
        <w:spacing w:after="0"/>
        <w:tabs>
          <w:tab w:leader="none" w:pos="2660" w:val="left"/>
        </w:tabs>
        <w:rPr>
          <w:sz w:val="20"/>
          <w:szCs w:val="20"/>
          <w:color w:val="auto"/>
        </w:rPr>
      </w:pPr>
      <w:r>
        <w:rPr>
          <w:rFonts w:ascii="Times New Roman" w:cs="Times New Roman" w:eastAsia="Times New Roman" w:hAnsi="Times New Roman"/>
          <w:sz w:val="22"/>
          <w:szCs w:val="22"/>
          <w:color w:val="auto"/>
        </w:rPr>
        <w:t>By:</w:t>
        <w:tab/>
        <w:t>/s/ Raymond Delli Colli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-13970</wp:posOffset>
            </wp:positionV>
            <wp:extent cx="2549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spacing w:after="0" w:line="10" w:lineRule="exact"/>
        <w:rPr>
          <w:sz w:val="20"/>
          <w:szCs w:val="20"/>
          <w:color w:val="auto"/>
        </w:rPr>
      </w:pPr>
    </w:p>
    <w:p>
      <w:pPr>
        <w:ind w:left="2680"/>
        <w:spacing w:after="0"/>
        <w:tabs>
          <w:tab w:leader="none" w:pos="3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Raymond Delli Colli</w:t>
      </w:r>
    </w:p>
    <w:p>
      <w:pPr>
        <w:spacing w:after="0" w:line="15" w:lineRule="exact"/>
        <w:rPr>
          <w:sz w:val="20"/>
          <w:szCs w:val="20"/>
          <w:color w:val="auto"/>
        </w:rPr>
      </w:pPr>
    </w:p>
    <w:p>
      <w:pPr>
        <w:ind w:left="2680"/>
        <w:spacing w:after="0"/>
        <w:tabs>
          <w:tab w:leader="none" w:pos="3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i w:val="1"/>
          <w:iCs w:val="1"/>
          <w:color w:val="auto"/>
        </w:rPr>
        <w:t>[Trustee Signature Page to Fifth Supplemental Indenture]</w:t>
      </w:r>
    </w:p>
    <w:p>
      <w:pPr>
        <w:sectPr>
          <w:pgSz w:w="11900" w:h="16838" w:orient="portrait"/>
          <w:cols w:equalWidth="0" w:num="1">
            <w:col w:w="9019"/>
          </w:cols>
          <w:pgMar w:left="1440" w:top="625"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FIRST AMENDMENT TO SECOND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REFINANCING CREDIT AGREEMENT</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THIS FIRST AMENDMENT TO SECOND AMENDED AND RESTATED REFINANCING CREDIT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dated as of April 19, 2017, is made by and among</w:t>
      </w:r>
      <w:r>
        <w:rPr>
          <w:rFonts w:ascii="Times New Roman" w:cs="Times New Roman" w:eastAsia="Times New Roman" w:hAnsi="Times New Roman"/>
          <w:sz w:val="22"/>
          <w:szCs w:val="22"/>
          <w:b w:val="1"/>
          <w:bCs w:val="1"/>
          <w:color w:val="auto"/>
        </w:rPr>
        <w:t xml:space="preserve"> WESTINGHOUSE AIR BRAKE TECHNOLOGIES CORPORATION, </w:t>
      </w:r>
      <w:r>
        <w:rPr>
          <w:rFonts w:ascii="Times New Roman" w:cs="Times New Roman" w:eastAsia="Times New Roman" w:hAnsi="Times New Roman"/>
          <w:sz w:val="22"/>
          <w:szCs w:val="22"/>
          <w:color w:val="auto"/>
        </w:rPr>
        <w:t>a Delaware corporation, as a borrower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WABTEC COÖPERATIEF U.A.,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coöperatieve vereniging met uitsluiting van aansprakelijkheid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laws of the Netherlands, as a borrower ("</w:t>
      </w:r>
      <w:r>
        <w:rPr>
          <w:rFonts w:ascii="Times New Roman" w:cs="Times New Roman" w:eastAsia="Times New Roman" w:hAnsi="Times New Roman"/>
          <w:sz w:val="22"/>
          <w:szCs w:val="22"/>
          <w:i w:val="1"/>
          <w:iCs w:val="1"/>
          <w:color w:val="auto"/>
        </w:rPr>
        <w:t>WABTEC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UA</w:t>
      </w:r>
      <w:r>
        <w:rPr>
          <w:rFonts w:ascii="Times New Roman" w:cs="Times New Roman" w:eastAsia="Times New Roman" w:hAnsi="Times New Roman"/>
          <w:sz w:val="22"/>
          <w:szCs w:val="22"/>
          <w:color w:val="auto"/>
        </w:rPr>
        <w:t>" and together with the Company, collectively referred to as the "</w:t>
      </w:r>
      <w:r>
        <w:rPr>
          <w:rFonts w:ascii="Times New Roman" w:cs="Times New Roman" w:eastAsia="Times New Roman" w:hAnsi="Times New Roman"/>
          <w:sz w:val="22"/>
          <w:szCs w:val="22"/>
          <w:i w:val="1"/>
          <w:iCs w:val="1"/>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LENDERS </w:t>
      </w:r>
      <w:r>
        <w:rPr>
          <w:rFonts w:ascii="Times New Roman" w:cs="Times New Roman" w:eastAsia="Times New Roman" w:hAnsi="Times New Roman"/>
          <w:sz w:val="22"/>
          <w:szCs w:val="22"/>
          <w:color w:val="auto"/>
        </w:rPr>
        <w:t>party to the Credit Agreement, and</w:t>
      </w:r>
      <w:r>
        <w:rPr>
          <w:rFonts w:ascii="Times New Roman" w:cs="Times New Roman" w:eastAsia="Times New Roman" w:hAnsi="Times New Roman"/>
          <w:sz w:val="22"/>
          <w:szCs w:val="22"/>
          <w:b w:val="1"/>
          <w:bCs w:val="1"/>
          <w:color w:val="auto"/>
        </w:rPr>
        <w:t xml:space="preserve"> PNC BANK, NATIONAL ASSOCIATION</w:t>
      </w:r>
      <w:r>
        <w:rPr>
          <w:rFonts w:ascii="Times New Roman" w:cs="Times New Roman" w:eastAsia="Times New Roman" w:hAnsi="Times New Roman"/>
          <w:sz w:val="22"/>
          <w:szCs w:val="22"/>
          <w:color w:val="auto"/>
        </w:rPr>
        <w:t>, in its capacity as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for the Lenders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are parties to that certain Second Amended and Restated Refinancing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as of June 22, 2016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pursuant to which the Lenders provided a revolving credit facility and a delayed draw term loan to the Borrowers; and</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Borrowers, the Lenders and the Administrative Agent desire to amend the Credit Agreement as hereinafter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w:t>
      </w:r>
    </w:p>
    <w:p>
      <w:pPr>
        <w:spacing w:after="0" w:line="1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hereto, in consideration of their mutual covenants and agreements hereinafter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intending to be legally bound hereby, covenant and agree as follows:</w:t>
      </w:r>
    </w:p>
    <w:p>
      <w:pPr>
        <w:spacing w:after="0" w:line="154" w:lineRule="exact"/>
        <w:rPr>
          <w:sz w:val="20"/>
          <w:szCs w:val="20"/>
          <w:color w:val="auto"/>
        </w:rPr>
      </w:pPr>
    </w:p>
    <w:p>
      <w:pPr>
        <w:ind w:left="1460" w:hanging="804"/>
        <w:spacing w:after="0"/>
        <w:tabs>
          <w:tab w:leader="none" w:pos="14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The foregoing recitals are incorporated herein by reference.</w:t>
      </w:r>
    </w:p>
    <w:p>
      <w:pPr>
        <w:spacing w:after="0" w:line="219" w:lineRule="exact"/>
        <w:rPr>
          <w:rFonts w:ascii="Times New Roman" w:cs="Times New Roman" w:eastAsia="Times New Roman" w:hAnsi="Times New Roman"/>
          <w:sz w:val="22"/>
          <w:szCs w:val="22"/>
          <w:color w:val="auto"/>
        </w:rPr>
      </w:pPr>
    </w:p>
    <w:p>
      <w:pPr>
        <w:ind w:right="420" w:firstLine="656"/>
        <w:spacing w:after="0" w:line="284" w:lineRule="auto"/>
        <w:tabs>
          <w:tab w:leader="none" w:pos="9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not otherwise defined in this Amendment have the meanings given to them in the Credit Agreement.</w:t>
      </w:r>
    </w:p>
    <w:p>
      <w:pPr>
        <w:spacing w:after="0" w:line="144"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Credit Agreement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56"/>
        <w:spacing w:after="0" w:line="284" w:lineRule="auto"/>
        <w:tabs>
          <w:tab w:leader="none" w:pos="106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March 31, 2017, Section 1.1 [Certain Definitions] of the Credit Agreement is hereby amended to amend and restate the following definitions in their entirety:</w:t>
      </w:r>
    </w:p>
    <w:p>
      <w:pPr>
        <w:spacing w:after="0" w:line="140" w:lineRule="exact"/>
        <w:rPr>
          <w:sz w:val="20"/>
          <w:szCs w:val="20"/>
          <w:color w:val="auto"/>
        </w:rPr>
      </w:pPr>
    </w:p>
    <w:p>
      <w:pPr>
        <w:jc w:val="both"/>
        <w:ind w:left="1300"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EBITDA </w:t>
      </w:r>
      <w:r>
        <w:rPr>
          <w:rFonts w:ascii="Times New Roman" w:cs="Times New Roman" w:eastAsia="Times New Roman" w:hAnsi="Times New Roman"/>
          <w:sz w:val="22"/>
          <w:szCs w:val="22"/>
          <w:color w:val="auto"/>
        </w:rPr>
        <w:t>shall mean, for any period, Consolidated Net Income for such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to the extent deducted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determining such Consolidated Net Income, Interest Expense, income tax expense, depreciation, amortization, losses from Asset Dispositions, extraordinary losses, noncash losses from discontinued operations and other noncash charges to net income for such period, one-time transaction costs related to the LEY Acquisition in an aggregate amount not to exceed $30,000,000,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to the extent added in determining such Consolidated Net Income, noncash credits to net</w:t>
      </w:r>
    </w:p>
    <w:p>
      <w:pPr>
        <w:sectPr>
          <w:pgSz w:w="11900" w:h="16838" w:orient="portrait"/>
          <w:cols w:equalWidth="0" w:num="1">
            <w:col w:w="11420"/>
          </w:cols>
          <w:pgMar w:left="240" w:top="837" w:right="239" w:bottom="1440" w:gutter="0" w:footer="0" w:header="0"/>
        </w:sectPr>
      </w:pPr>
    </w:p>
    <w:bookmarkStart w:id="57" w:name="page58"/>
    <w:bookmarkEnd w:id="57"/>
    <w:p>
      <w:pPr>
        <w:jc w:val="center"/>
        <w:ind w:left="260" w:right="80"/>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397"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 xml:space="preserve">income, gains from Asset Dispositions, noncash gains from discontinued operations, and other extraordinary income for such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an acquisition or disposition of a Subsidiary or material line of business or a material division during the period of determination and solely for the purposes of Section 8.2.13.2 [Leverage Ratio], such calculation shall (a) in the case of such a disposition, exclude for the period of determination, EBITDA attributable to the disposed Subsidiary, line of business, or division as if such disposition had occurred at the beginning of such period of determination and (b) in the case of such an acquisition, include for the period of determination, EBITDA attributable to the acquired Subsidiary, line of business, or division as if such acquisition had occurred at the beginning of such period of determination.</w:t>
      </w:r>
    </w:p>
    <w:p>
      <w:pPr>
        <w:spacing w:after="0" w:line="182" w:lineRule="exact"/>
        <w:rPr>
          <w:sz w:val="20"/>
          <w:szCs w:val="20"/>
          <w:color w:val="auto"/>
        </w:rPr>
      </w:pPr>
    </w:p>
    <w:p>
      <w:pPr>
        <w:jc w:val="both"/>
        <w:ind w:left="1300"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Total Debt </w:t>
      </w:r>
      <w:r>
        <w:rPr>
          <w:rFonts w:ascii="Times New Roman" w:cs="Times New Roman" w:eastAsia="Times New Roman" w:hAnsi="Times New Roman"/>
          <w:sz w:val="22"/>
          <w:szCs w:val="22"/>
          <w:color w:val="auto"/>
        </w:rPr>
        <w:t>shall mean all Indebtedness of the Company and its Subsidiaries, determined on a consolidated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basis, </w:t>
      </w:r>
      <w:r>
        <w:rPr>
          <w:rFonts w:ascii="Times New Roman" w:cs="Times New Roman" w:eastAsia="Times New Roman" w:hAnsi="Times New Roman"/>
          <w:sz w:val="22"/>
          <w:szCs w:val="22"/>
          <w:i w:val="1"/>
          <w:iCs w:val="1"/>
          <w:u w:val="single" w:color="auto"/>
          <w:color w:val="auto"/>
        </w:rPr>
        <w:t>including</w:t>
      </w:r>
      <w:r>
        <w:rPr>
          <w:rFonts w:ascii="Times New Roman" w:cs="Times New Roman" w:eastAsia="Times New Roman" w:hAnsi="Times New Roman"/>
          <w:sz w:val="22"/>
          <w:szCs w:val="22"/>
          <w:color w:val="auto"/>
        </w:rPr>
        <w:t xml:space="preserve"> Contingent Liabilities incurred in respect of letters of credit or bank guaranties (including Letters of Credit or bank guaranties issued hereunder), but </w:t>
      </w:r>
      <w:r>
        <w:rPr>
          <w:rFonts w:ascii="Times New Roman" w:cs="Times New Roman" w:eastAsia="Times New Roman" w:hAnsi="Times New Roman"/>
          <w:sz w:val="22"/>
          <w:szCs w:val="22"/>
          <w:i w:val="1"/>
          <w:iCs w:val="1"/>
          <w:u w:val="single" w:color="auto"/>
          <w:color w:val="auto"/>
        </w:rPr>
        <w:t>excluding</w:t>
      </w:r>
      <w:r>
        <w:rPr>
          <w:rFonts w:ascii="Times New Roman" w:cs="Times New Roman" w:eastAsia="Times New Roman" w:hAnsi="Times New Roman"/>
          <w:sz w:val="22"/>
          <w:szCs w:val="22"/>
          <w:color w:val="auto"/>
        </w:rPr>
        <w:t xml:space="preserve"> all other Contingent Liabilities, Hedging Liabilities, and obligations of a Loan Party arising from any Performance Letter of Credit, surety bonds, performance bonds, bid bonds, performance guaranties, or other similar obligations incurred in the ordinary course of business and that do not support Indebtedness.</w:t>
      </w:r>
    </w:p>
    <w:p>
      <w:pPr>
        <w:spacing w:after="0" w:line="185" w:lineRule="exact"/>
        <w:rPr>
          <w:sz w:val="20"/>
          <w:szCs w:val="20"/>
          <w:color w:val="auto"/>
        </w:rPr>
      </w:pPr>
    </w:p>
    <w:p>
      <w:pPr>
        <w:ind w:firstLine="656"/>
        <w:spacing w:after="0" w:line="284" w:lineRule="auto"/>
        <w:tabs>
          <w:tab w:leader="none" w:pos="12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[Certain Definitions] of the Credit Agreement is hereby amended to amend and restate the following definition in its entirety:</w:t>
      </w:r>
    </w:p>
    <w:p>
      <w:pPr>
        <w:spacing w:after="0" w:line="140"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Excluded Subsidiaries </w:t>
      </w:r>
      <w:r>
        <w:rPr>
          <w:rFonts w:ascii="Times New Roman" w:cs="Times New Roman" w:eastAsia="Times New Roman" w:hAnsi="Times New Roman"/>
          <w:sz w:val="22"/>
          <w:szCs w:val="22"/>
          <w:color w:val="auto"/>
        </w:rPr>
        <w:t>shall mean (a) any Subsidiary substantially all of the assets of which consist of Capital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Securities of other Subsidiaries, (b) any Subsidiary with respect to which the Administrative Agent and the Company reasonably agree that the joinder by such Subsidiary as a Guarantor would result in adverse tax consequences to the Company or any Subsidiary, and (c) the entities named on </w:t>
      </w:r>
      <w:r>
        <w:rPr>
          <w:rFonts w:ascii="Times New Roman" w:cs="Times New Roman" w:eastAsia="Times New Roman" w:hAnsi="Times New Roman"/>
          <w:sz w:val="22"/>
          <w:szCs w:val="22"/>
          <w:u w:val="single" w:color="auto"/>
          <w:color w:val="auto"/>
        </w:rPr>
        <w:t>Schedule 1.1(E)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656"/>
        <w:spacing w:after="0" w:line="284" w:lineRule="auto"/>
        <w:tabs>
          <w:tab w:leader="none" w:pos="10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March 31, 2017, Section 1.1 [Certain Definitions] of the Credit Agreement is hereby amended to insert the following new definition in its appropriate alphabetical position:</w:t>
      </w:r>
    </w:p>
    <w:p>
      <w:pPr>
        <w:spacing w:after="0" w:line="140"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Performance Letter of Credit </w:t>
      </w:r>
      <w:r>
        <w:rPr>
          <w:rFonts w:ascii="Times New Roman" w:cs="Times New Roman" w:eastAsia="Times New Roman" w:hAnsi="Times New Roman"/>
          <w:sz w:val="22"/>
          <w:szCs w:val="22"/>
          <w:color w:val="auto"/>
        </w:rPr>
        <w:t>shall mean (a) a standby Letter of Credit issued to secure performance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including, without limitation, the performance of services and/or delivery of goods by or on behalf of the Company and its Subsidiaries, advance payment, retention or warranty obligations, in each case in connection with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22" w:right="239" w:bottom="1440" w:gutter="0" w:footer="0" w:header="0"/>
        </w:sectPr>
      </w:pPr>
    </w:p>
    <w:bookmarkStart w:id="58" w:name="page59"/>
    <w:bookmarkEnd w:id="58"/>
    <w:p>
      <w:pPr>
        <w:jc w:val="center"/>
        <w:ind w:left="260" w:right="80"/>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397"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business activities of the Company or its Subsidiaries or bids for prospective projects, and (b) a standby Letter of Credit issued to back a bank guarantee, surety bond, performance bond, or other similar obligation in each case issued to support obligations of the type described in clause (a).</w:t>
      </w:r>
    </w:p>
    <w:p>
      <w:pPr>
        <w:spacing w:after="0" w:line="173" w:lineRule="exact"/>
        <w:rPr>
          <w:sz w:val="20"/>
          <w:szCs w:val="20"/>
          <w:color w:val="auto"/>
        </w:rPr>
      </w:pPr>
    </w:p>
    <w:p>
      <w:pPr>
        <w:ind w:firstLine="656"/>
        <w:spacing w:after="0" w:line="284" w:lineRule="auto"/>
        <w:tabs>
          <w:tab w:leader="none" w:pos="110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[Certain Definitions] of the Credit Agreement is hereby amended to insert the following new definition in its appropriate alphabetical position:</w:t>
      </w:r>
    </w:p>
    <w:p>
      <w:pPr>
        <w:spacing w:after="0" w:line="14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i w:val="1"/>
          <w:iCs w:val="1"/>
          <w:color w:val="auto"/>
        </w:rPr>
        <w:t xml:space="preserve">First Amendment Closing Date </w:t>
      </w:r>
      <w:r>
        <w:rPr>
          <w:rFonts w:ascii="Times New Roman" w:cs="Times New Roman" w:eastAsia="Times New Roman" w:hAnsi="Times New Roman"/>
          <w:sz w:val="22"/>
          <w:szCs w:val="22"/>
          <w:color w:val="auto"/>
        </w:rPr>
        <w:t>shall mean April 19, 2017.</w:t>
      </w:r>
    </w:p>
    <w:p>
      <w:pPr>
        <w:spacing w:after="0" w:line="224" w:lineRule="exact"/>
        <w:rPr>
          <w:sz w:val="20"/>
          <w:szCs w:val="20"/>
          <w:color w:val="auto"/>
        </w:rPr>
      </w:pPr>
    </w:p>
    <w:p>
      <w:pPr>
        <w:jc w:val="both"/>
        <w:ind w:right="100" w:firstLine="656"/>
        <w:spacing w:after="0" w:line="263" w:lineRule="auto"/>
        <w:tabs>
          <w:tab w:leader="none" w:pos="106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6.1.8 [Equity Ownership; Subsidiaries] of the Credit Agreement is hereby amended by replacing in its entirety the phrase (i) "as of the Closing Date" with the phrase "as of the First Amendment Closing Date" and (ii) "As of the Closing Date" with the phrase "As of the First Amendment Closing Date".</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0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8.1.8 [Further Assurances; Joinder of Loan Parties] of the Credit Agreement is hereby amended by replacing in its entirety the parenthetical "(including, upon the acquisition or creation thereof, any Subsidiary acquired or created after the Closing Date)" with the parenthetical "(including, upon the acquisition or creation thereof, any Subsidiary (other than any Excluded Subsidiary) acquired or created after the Closing Date)".</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8.1.9 [Excluded Subsidiaries] of the Credit Agreement is hereby amended and restated in its entirety as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07" w:lineRule="exact"/>
        <w:rPr>
          <w:sz w:val="20"/>
          <w:szCs w:val="20"/>
          <w:color w:val="auto"/>
        </w:rPr>
      </w:pPr>
    </w:p>
    <w:p>
      <w:pPr>
        <w:jc w:val="both"/>
        <w:ind w:left="1300" w:firstLine="648"/>
        <w:spacing w:after="0" w:line="246" w:lineRule="auto"/>
        <w:rPr>
          <w:sz w:val="20"/>
          <w:szCs w:val="20"/>
          <w:color w:val="auto"/>
        </w:rPr>
      </w:pPr>
      <w:r>
        <w:rPr>
          <w:rFonts w:ascii="Times New Roman" w:cs="Times New Roman" w:eastAsia="Times New Roman" w:hAnsi="Times New Roman"/>
          <w:sz w:val="22"/>
          <w:szCs w:val="22"/>
          <w:color w:val="auto"/>
        </w:rPr>
        <w:t xml:space="preserve">8.1.9 </w:t>
      </w:r>
      <w:r>
        <w:rPr>
          <w:rFonts w:ascii="Times New Roman" w:cs="Times New Roman" w:eastAsia="Times New Roman" w:hAnsi="Times New Roman"/>
          <w:sz w:val="22"/>
          <w:szCs w:val="22"/>
          <w:u w:val="single" w:color="auto"/>
          <w:color w:val="auto"/>
        </w:rPr>
        <w:t>Excluded Subsidiaries</w:t>
      </w:r>
      <w:r>
        <w:rPr>
          <w:rFonts w:ascii="Times New Roman" w:cs="Times New Roman" w:eastAsia="Times New Roman" w:hAnsi="Times New Roman"/>
          <w:sz w:val="22"/>
          <w:szCs w:val="22"/>
          <w:color w:val="auto"/>
        </w:rPr>
        <w:t xml:space="preserve">. In the event that (i) the operations or revenue of any Excluded Subsidiary is no longer immaterial to the operations or income of a Borrower and its other Subsidiaries, as reasonably determined by the Administrative Agent in consultation with the Company, (ii) any Subsidiary that is an Excluded Subsidiary pursuant to clauses (a) or (b) of the definition of Excluded Subsidiary ceases to constitute an Excluded Subsidiary pursuant to such clauses, or (iii) at any time the EBITDA of any Excluded Subsidiary shall equal or exceed 5% of the total EBITDA of the Company and its Subsidiaries, then in any such event, such entity shall cease to be an Excluded Subsidiary and shall guaranty the Obligations of each Loan Party under the Loan Documents and become a Loan Party hereunder by the execution and delivery of guaranties and other documents including a Loan Party Joinder substantially in the form of </w:t>
      </w:r>
      <w:r>
        <w:rPr>
          <w:rFonts w:ascii="Times New Roman" w:cs="Times New Roman" w:eastAsia="Times New Roman" w:hAnsi="Times New Roman"/>
          <w:sz w:val="22"/>
          <w:szCs w:val="22"/>
          <w:u w:val="single" w:color="auto"/>
          <w:color w:val="auto"/>
        </w:rPr>
        <w:t>Exhibit 1.1(L)</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1180" w:hanging="524"/>
        <w:spacing w:after="0"/>
        <w:tabs>
          <w:tab w:leader="none" w:pos="11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11.16 [Joinder of Loan Parties] of the Credit Agreement is hereby amended and restated in its entirety as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07" w:lineRule="exact"/>
        <w:rPr>
          <w:sz w:val="20"/>
          <w:szCs w:val="20"/>
          <w:color w:val="auto"/>
        </w:rPr>
      </w:pPr>
    </w:p>
    <w:p>
      <w:pPr>
        <w:ind w:left="1300"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11.16 </w:t>
      </w:r>
      <w:r>
        <w:rPr>
          <w:rFonts w:ascii="Times New Roman" w:cs="Times New Roman" w:eastAsia="Times New Roman" w:hAnsi="Times New Roman"/>
          <w:sz w:val="22"/>
          <w:szCs w:val="22"/>
          <w:u w:val="single" w:color="auto"/>
          <w:color w:val="auto"/>
        </w:rPr>
        <w:t>Joinder of Loan Parties</w:t>
      </w:r>
      <w:r>
        <w:rPr>
          <w:rFonts w:ascii="Times New Roman" w:cs="Times New Roman" w:eastAsia="Times New Roman" w:hAnsi="Times New Roman"/>
          <w:sz w:val="22"/>
          <w:szCs w:val="22"/>
          <w:color w:val="auto"/>
        </w:rPr>
        <w:t>. Each domestic Subsidiary (other than any Excluded Subsidiary) that is acquired, formed or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22" w:right="239" w:bottom="1440" w:gutter="0" w:footer="0" w:header="0"/>
        </w:sectPr>
      </w:pPr>
    </w:p>
    <w:bookmarkStart w:id="59" w:name="page60"/>
    <w:bookmarkEnd w:id="59"/>
    <w:p>
      <w:pPr>
        <w:jc w:val="center"/>
        <w:ind w:left="260" w:right="80"/>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397" w:lineRule="exact"/>
        <w:rPr>
          <w:sz w:val="20"/>
          <w:szCs w:val="20"/>
          <w:color w:val="auto"/>
        </w:rPr>
      </w:pPr>
    </w:p>
    <w:p>
      <w:pPr>
        <w:jc w:val="both"/>
        <w:ind w:left="1300"/>
        <w:spacing w:after="0" w:line="245" w:lineRule="auto"/>
        <w:rPr>
          <w:sz w:val="20"/>
          <w:szCs w:val="20"/>
          <w:color w:val="auto"/>
        </w:rPr>
      </w:pPr>
      <w:r>
        <w:rPr>
          <w:rFonts w:ascii="Times New Roman" w:cs="Times New Roman" w:eastAsia="Times New Roman" w:hAnsi="Times New Roman"/>
          <w:sz w:val="22"/>
          <w:szCs w:val="22"/>
          <w:color w:val="auto"/>
        </w:rPr>
        <w:t xml:space="preserve">existence after the Closing Date shall join this Agreement as either a Borrower or a Guarantor, as designated by the Borrowers and agreed to by the Administrative Agent. The Loan Parties shall cause each such domestic Subsidiary to deliver to the Administrative Agent within thirty (30) days (unless such time period is extended in writing by the Administrative Agent) after the date of organization or acquisition of such domestic Subsidiary, (i) a Loan Party Joinder substantially in the form of </w:t>
      </w:r>
      <w:r>
        <w:rPr>
          <w:rFonts w:ascii="Times New Roman" w:cs="Times New Roman" w:eastAsia="Times New Roman" w:hAnsi="Times New Roman"/>
          <w:sz w:val="22"/>
          <w:szCs w:val="22"/>
          <w:u w:val="single" w:color="auto"/>
          <w:color w:val="auto"/>
        </w:rPr>
        <w:t>Exhibit 1.1(L)</w:t>
      </w:r>
      <w:r>
        <w:rPr>
          <w:rFonts w:ascii="Times New Roman" w:cs="Times New Roman" w:eastAsia="Times New Roman" w:hAnsi="Times New Roman"/>
          <w:sz w:val="22"/>
          <w:szCs w:val="22"/>
          <w:color w:val="auto"/>
        </w:rPr>
        <w:t>, pursuant to which such domestic Subsidiary shall join this Agreement and other Loan Documents, as a Borrower or a Guarantor, as applicable; and such domestic Subsidiary shall, after acceptance by the Administrative Agent of such Loan Party Joinder, join each of the other Loan Documents as set forth in such Loan Party Joinder, (ii) deliver documents and other deliverables in the forms described in Section 7 [First Loans and Letters of Credit], modified as appropriate to relate to such domestic Subsidiary, and (iii) do all such other acts and things as the Administrative Agent in its reasonable discretion may deem necessary or advisable from time to time in order to more effectively carry out the provisions and goals of this Agreement and the other Loan Documents.</w:t>
      </w:r>
    </w:p>
    <w:p>
      <w:pPr>
        <w:spacing w:after="0" w:line="196" w:lineRule="exact"/>
        <w:rPr>
          <w:sz w:val="20"/>
          <w:szCs w:val="20"/>
          <w:color w:val="auto"/>
        </w:rPr>
      </w:pPr>
    </w:p>
    <w:p>
      <w:pPr>
        <w:jc w:val="both"/>
        <w:ind w:firstLine="656"/>
        <w:spacing w:after="0" w:line="263" w:lineRule="auto"/>
        <w:tabs>
          <w:tab w:leader="none" w:pos="10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 xml:space="preserve">. The Credit Agreement is hereby amended by replacing (i) </w:t>
      </w:r>
      <w:r>
        <w:rPr>
          <w:rFonts w:ascii="Times New Roman" w:cs="Times New Roman" w:eastAsia="Times New Roman" w:hAnsi="Times New Roman"/>
          <w:sz w:val="22"/>
          <w:szCs w:val="22"/>
          <w:u w:val="single" w:color="auto"/>
          <w:color w:val="auto"/>
        </w:rPr>
        <w:t>Schedule 1.1(E)</w:t>
      </w:r>
      <w:r>
        <w:rPr>
          <w:rFonts w:ascii="Times New Roman" w:cs="Times New Roman" w:eastAsia="Times New Roman" w:hAnsi="Times New Roman"/>
          <w:sz w:val="22"/>
          <w:szCs w:val="22"/>
          <w:color w:val="auto"/>
        </w:rPr>
        <w:t xml:space="preserve"> [Excluded Subsidiaries], with the </w:t>
      </w:r>
      <w:r>
        <w:rPr>
          <w:rFonts w:ascii="Times New Roman" w:cs="Times New Roman" w:eastAsia="Times New Roman" w:hAnsi="Times New Roman"/>
          <w:sz w:val="22"/>
          <w:szCs w:val="22"/>
          <w:u w:val="single" w:color="auto"/>
          <w:color w:val="auto"/>
        </w:rPr>
        <w:t>Schedule 1.1(E)</w:t>
      </w:r>
      <w:r>
        <w:rPr>
          <w:rFonts w:ascii="Times New Roman" w:cs="Times New Roman" w:eastAsia="Times New Roman" w:hAnsi="Times New Roman"/>
          <w:sz w:val="22"/>
          <w:szCs w:val="22"/>
          <w:color w:val="auto"/>
        </w:rPr>
        <w:t xml:space="preserve"> attached to and made a part of this Amendment and (ii) </w:t>
      </w:r>
      <w:r>
        <w:rPr>
          <w:rFonts w:ascii="Times New Roman" w:cs="Times New Roman" w:eastAsia="Times New Roman" w:hAnsi="Times New Roman"/>
          <w:sz w:val="22"/>
          <w:szCs w:val="22"/>
          <w:u w:val="single" w:color="auto"/>
          <w:color w:val="auto"/>
        </w:rPr>
        <w:t>Schedule 6.1.8</w:t>
      </w:r>
      <w:r>
        <w:rPr>
          <w:rFonts w:ascii="Times New Roman" w:cs="Times New Roman" w:eastAsia="Times New Roman" w:hAnsi="Times New Roman"/>
          <w:sz w:val="22"/>
          <w:szCs w:val="22"/>
          <w:color w:val="auto"/>
        </w:rPr>
        <w:t xml:space="preserve"> – [Subsidiaries], with the </w:t>
      </w:r>
      <w:r>
        <w:rPr>
          <w:rFonts w:ascii="Times New Roman" w:cs="Times New Roman" w:eastAsia="Times New Roman" w:hAnsi="Times New Roman"/>
          <w:sz w:val="22"/>
          <w:szCs w:val="22"/>
          <w:u w:val="single" w:color="auto"/>
          <w:color w:val="auto"/>
        </w:rPr>
        <w:t>Schedule 6.1.8</w:t>
      </w:r>
      <w:r>
        <w:rPr>
          <w:rFonts w:ascii="Times New Roman" w:cs="Times New Roman" w:eastAsia="Times New Roman" w:hAnsi="Times New Roman"/>
          <w:sz w:val="22"/>
          <w:szCs w:val="22"/>
          <w:color w:val="auto"/>
        </w:rPr>
        <w:t xml:space="preserve"> attached to and made a part of this Amendment.</w:t>
      </w:r>
    </w:p>
    <w:p>
      <w:pPr>
        <w:spacing w:after="0" w:line="168" w:lineRule="exact"/>
        <w:rPr>
          <w:sz w:val="20"/>
          <w:szCs w:val="20"/>
          <w:color w:val="auto"/>
        </w:rPr>
      </w:pPr>
    </w:p>
    <w:p>
      <w:pPr>
        <w:ind w:firstLine="656"/>
        <w:spacing w:after="0" w:line="284" w:lineRule="auto"/>
        <w:tabs>
          <w:tab w:leader="none" w:pos="12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of Effectiveness of Amendments and Consent</w:t>
      </w:r>
      <w:r>
        <w:rPr>
          <w:rFonts w:ascii="Times New Roman" w:cs="Times New Roman" w:eastAsia="Times New Roman" w:hAnsi="Times New Roman"/>
          <w:sz w:val="22"/>
          <w:szCs w:val="22"/>
          <w:color w:val="auto"/>
        </w:rPr>
        <w:t>. The effectiveness of this Amendment is expressly conditioned upon satisfaction of each of the following conditions precedent:</w:t>
      </w:r>
    </w:p>
    <w:p>
      <w:pPr>
        <w:spacing w:after="0" w:line="144" w:lineRule="exact"/>
        <w:rPr>
          <w:sz w:val="20"/>
          <w:szCs w:val="20"/>
          <w:color w:val="auto"/>
        </w:rPr>
      </w:pPr>
    </w:p>
    <w:p>
      <w:pPr>
        <w:jc w:val="both"/>
        <w:ind w:firstLine="656"/>
        <w:spacing w:after="0" w:line="257" w:lineRule="auto"/>
        <w:tabs>
          <w:tab w:leader="none" w:pos="123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 of Amendment</w:t>
      </w:r>
      <w:r>
        <w:rPr>
          <w:rFonts w:ascii="Times New Roman" w:cs="Times New Roman" w:eastAsia="Times New Roman" w:hAnsi="Times New Roman"/>
          <w:sz w:val="22"/>
          <w:szCs w:val="22"/>
          <w:color w:val="auto"/>
        </w:rPr>
        <w:t>. The Borrowers, the other Loan Parties, the Required Lenders, and the Administrative Agent shall have executed and delivered this Amendment to the Administrative Agent, and all other documentation necessary for effectiveness of this Amendment shall have been executed and delivered all to the satisfaction of the Administrative Agent.</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0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There shall be delivered to the Administrative Agent for the benefit of each Lender a certificate, dated the date hereof and signed by an authorized officer certifying that (i) all representations and warranties of the Loan Parties set forth in the Credit Agreement and hereunder are true and correct in all material respects, (ii) the Loan Parties are in compliance with each of the covenants and conditions set forth in the Credit Agreement and hereunder, (iii) since the date of the last audited financial statements of the Borrowers delivered to the Administrative Agent there has been no material adverse change in the financial condition, operations, assets, business, or properties of the Loan Parties taken as a whole, and (iv) no Event of Default or Potential Default exists.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22" w:right="239" w:bottom="1440" w:gutter="0" w:footer="0" w:header="0"/>
        </w:sectPr>
      </w:pPr>
    </w:p>
    <w:bookmarkStart w:id="60" w:name="page61"/>
    <w:bookmarkEnd w:id="60"/>
    <w:p>
      <w:pPr>
        <w:jc w:val="center"/>
        <w:ind w:left="260" w:right="80"/>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397" w:lineRule="exact"/>
        <w:rPr>
          <w:sz w:val="20"/>
          <w:szCs w:val="20"/>
          <w:color w:val="auto"/>
        </w:rPr>
      </w:pPr>
    </w:p>
    <w:p>
      <w:pPr>
        <w:jc w:val="both"/>
        <w:ind w:firstLine="656"/>
        <w:spacing w:after="0" w:line="263" w:lineRule="auto"/>
        <w:tabs>
          <w:tab w:leader="none" w:pos="106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There shall be delivered to the Administrative Agent for the benefit of each Lender a certificate, dated the date hereof and signed by the Secretary, an Assistant Secretary or authorized officer of each Loan Party, certifying as appropriate as to:</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82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action taken by such party in connection with this Amendment and the other documents executed and delivered in connection herewith, together with authorizing resolutions on behalf of each of the Loan Parties evidencing the same;</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officer or officers authorized to sign this Amendment and the other documents executed and delivered in connection herewith and the true signatures of such officer or officers and specifying the authorized officers permitted to act on behalf of the Loan Parties for purposes of the Loan Documents and the true signatures of such officers, on which the Administrative Agent and each Lender may conclusively rely; and</w:t>
      </w:r>
    </w:p>
    <w:p>
      <w:pPr>
        <w:spacing w:after="0" w:line="172" w:lineRule="exact"/>
        <w:rPr>
          <w:rFonts w:ascii="Times New Roman" w:cs="Times New Roman" w:eastAsia="Times New Roman" w:hAnsi="Times New Roman"/>
          <w:sz w:val="22"/>
          <w:szCs w:val="22"/>
          <w:color w:val="auto"/>
        </w:rPr>
      </w:pPr>
    </w:p>
    <w:p>
      <w:pPr>
        <w:jc w:val="both"/>
        <w:ind w:left="660" w:firstLine="645"/>
        <w:spacing w:after="0" w:line="249" w:lineRule="auto"/>
        <w:tabs>
          <w:tab w:leader="none" w:pos="18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copies of its organizational documents, including its certificate of incorporation, bylaws, certificate of limited partnership, partnership agreement, certificate of formation and limited liability company agreement, in each case as in effect on the date hereof, certified by the appropriate state official where such documents are filed in a state office together with certificates from the appropriate state officials as to the continued existence and good standing of the Loan Party in each state where organized or qualified to do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Loan Parties may, in lieu of delivering copies of the foregoing organizational documents and good standing certificates, certify that the organizational documents and good standing certificates previously delivered by the Loan Parties to the Administrative Agent remain in full force and effect and have not been modified, amended, or rescinded.</w:t>
      </w:r>
    </w:p>
    <w:p>
      <w:pPr>
        <w:spacing w:after="0" w:line="182" w:lineRule="exact"/>
        <w:rPr>
          <w:rFonts w:ascii="Times New Roman" w:cs="Times New Roman" w:eastAsia="Times New Roman" w:hAnsi="Times New Roman"/>
          <w:sz w:val="22"/>
          <w:szCs w:val="22"/>
          <w:color w:val="auto"/>
        </w:rPr>
      </w:pPr>
    </w:p>
    <w:p>
      <w:pPr>
        <w:jc w:val="both"/>
        <w:ind w:firstLine="656"/>
        <w:spacing w:after="0" w:line="247" w:lineRule="auto"/>
        <w:tabs>
          <w:tab w:leader="none" w:pos="10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Each of the Loan Parties represents and warrants to the Administrative Agent and the Lenders that, by its execution and delivery hereof to the Administrative Agent, after giving effect to this Amendment: (i) the representations and warranties of the Loan Parties contained in Article 6 of the Credit Agreement shall be true and correct on and as of the date hereof with the same effect as though such representations and warranties had been made on and as of such date (except representations and warranties which relate solely to an earlier date or time, which representations and warranties shall be true and correct on and as of the specific dates or times referred to therein); (ii) the Loan Parties shall have performed and complied with all covenants and conditions of the Credit Agreement and this Amendment; (iii) no Event of Default or Potential Default under the Credit Agreement shall have occurred and be continuing or shall exist, (iv) since the Closing Date of the Credit Agreement no event has occurred which would have a Material Adverse Effect, and (v) there are no actions, suits, investigations, litigation or governmental proceedings pending or, to the Loans Parties' knowledge, threatened against any of the Loan Parties that could reasonably be expected to have a Material Adverse Effect.</w:t>
      </w:r>
    </w:p>
    <w:p>
      <w:pPr>
        <w:spacing w:after="0" w:line="188" w:lineRule="exact"/>
        <w:rPr>
          <w:rFonts w:ascii="Times New Roman" w:cs="Times New Roman" w:eastAsia="Times New Roman" w:hAnsi="Times New Roman"/>
          <w:sz w:val="22"/>
          <w:szCs w:val="22"/>
          <w:color w:val="auto"/>
        </w:rPr>
      </w:pPr>
    </w:p>
    <w:p>
      <w:pPr>
        <w:ind w:right="20" w:firstLine="656"/>
        <w:spacing w:after="0" w:line="284" w:lineRule="auto"/>
        <w:tabs>
          <w:tab w:leader="none" w:pos="109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All material consents required to effectuate the transactions contemplated by this Amendment and the other Loan Documents shall have been obtained and are in full force and effect.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22" w:right="239" w:bottom="1440" w:gutter="0" w:footer="0" w:header="0"/>
        </w:sectPr>
      </w:pPr>
    </w:p>
    <w:bookmarkStart w:id="61" w:name="page62"/>
    <w:bookmarkEnd w:id="61"/>
    <w:p>
      <w:pPr>
        <w:jc w:val="center"/>
        <w:ind w:left="260" w:right="80"/>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397" w:lineRule="exact"/>
        <w:rPr>
          <w:sz w:val="20"/>
          <w:szCs w:val="20"/>
          <w:color w:val="auto"/>
        </w:rPr>
      </w:pPr>
    </w:p>
    <w:p>
      <w:pPr>
        <w:jc w:val="both"/>
        <w:ind w:firstLine="656"/>
        <w:spacing w:after="0" w:line="267" w:lineRule="auto"/>
        <w:tabs>
          <w:tab w:leader="none" w:pos="111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Confirmation of Guaranty</w:t>
      </w:r>
      <w:r>
        <w:rPr>
          <w:rFonts w:ascii="Times New Roman" w:cs="Times New Roman" w:eastAsia="Times New Roman" w:hAnsi="Times New Roman"/>
          <w:sz w:val="21"/>
          <w:szCs w:val="21"/>
          <w:color w:val="auto"/>
        </w:rPr>
        <w:t>. Each of the Guarantors confirms that they have read and understand this Amendment. In order to induce the Lenders and the Administrative Agent to enter into this Amendment, each of the Guarantors: (i) consents to the Amendment and the transactions contemplated thereby; (ii) ratifies and confirms each of the Loan Documents to which it is a party;</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8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ratifies, agrees and confirms that it has been a Guarantor and a Loan Party at all times since it became a Guarantor and a Loan Party and from and after the date hereof, each Guarantor shall continue to be a Guarantor and a Loan Party in accordance with the terms of the Loan Documents, as the same may be amended in connection with this Amendment and the transactions contemplated thereby; and (iv) hereby ratifies and confirms its obligations under each of the Loan Documents (including all exhibits and schedules thereto), as the same may be amended in connection with this Amendment and the transactions contemplated thereby, by signing below as indicated and hereby acknowledges and agrees that nothing contained in any of such Loan Documents is intended to create, nor shall it constitute an interruption, suspension of continuity, satisfaction, discharge of prior duties, novation or termination of the indebtedness, loans, liabilities, expenses, guaranty or obligations of any of the Loan Parties under the Credit Agreement or any other such Loan Document.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0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Details</w:t>
      </w:r>
      <w:r>
        <w:rPr>
          <w:rFonts w:ascii="Times New Roman" w:cs="Times New Roman" w:eastAsia="Times New Roman" w:hAnsi="Times New Roman"/>
          <w:sz w:val="22"/>
          <w:szCs w:val="22"/>
          <w:color w:val="auto"/>
        </w:rPr>
        <w:t>. All legal details and proceedings in connection with the transactions contemplated by this Amendment and the other Loan Documents shall be in form and substance satisfactory to the Administrative Agent and counsel for the Administrative Agent, and the Administrative Agent shall have received all such other counterpart originals or certified or other copies of such documents and proceedings in connection with such transactions, in form and substance satisfactory to the Administrative Agent and its counsel, as the Administrative Agent or its counsel may reasonably request.</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The Borrowers shall have paid to the Administrative Agent all fees, costs and expenses payable to the Administrative Agent, for which the Administrative Agent is entitled to be reimbursed, including but not limited to the fees and expenses of the Administrative Agent's legal counsel.</w:t>
      </w:r>
    </w:p>
    <w:p>
      <w:pPr>
        <w:spacing w:after="0" w:line="168" w:lineRule="exact"/>
        <w:rPr>
          <w:sz w:val="20"/>
          <w:szCs w:val="20"/>
          <w:color w:val="auto"/>
        </w:rPr>
      </w:pPr>
    </w:p>
    <w:p>
      <w:pPr>
        <w:ind w:right="20" w:firstLine="656"/>
        <w:spacing w:after="0" w:line="284" w:lineRule="auto"/>
        <w:tabs>
          <w:tab w:leader="none" w:pos="9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Force and Effect</w:t>
      </w:r>
      <w:r>
        <w:rPr>
          <w:rFonts w:ascii="Times New Roman" w:cs="Times New Roman" w:eastAsia="Times New Roman" w:hAnsi="Times New Roman"/>
          <w:sz w:val="22"/>
          <w:szCs w:val="22"/>
          <w:color w:val="auto"/>
        </w:rPr>
        <w:t>. Except as otherwise expressly modified by this Amendment, the Credit Agreement and the other Loan Documents are hereby ratified and confirmed and shall remain in full force and effect after the date hereof.</w:t>
      </w:r>
    </w:p>
    <w:p>
      <w:pPr>
        <w:spacing w:after="0" w:line="144" w:lineRule="exact"/>
        <w:rPr>
          <w:rFonts w:ascii="Times New Roman" w:cs="Times New Roman" w:eastAsia="Times New Roman" w:hAnsi="Times New Roman"/>
          <w:sz w:val="22"/>
          <w:szCs w:val="22"/>
          <w:color w:val="auto"/>
        </w:rPr>
      </w:pPr>
    </w:p>
    <w:p>
      <w:pPr>
        <w:ind w:right="180" w:firstLine="656"/>
        <w:spacing w:after="0" w:line="284" w:lineRule="auto"/>
        <w:tabs>
          <w:tab w:leader="none" w:pos="9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various headings of this Amendment are inserted for convenience only and shall not affect the meaning or interpretation of this Amendment or any provisions hereof.</w:t>
      </w:r>
    </w:p>
    <w:p>
      <w:pPr>
        <w:spacing w:after="0" w:line="144" w:lineRule="exact"/>
        <w:rPr>
          <w:rFonts w:ascii="Times New Roman" w:cs="Times New Roman" w:eastAsia="Times New Roman" w:hAnsi="Times New Roman"/>
          <w:sz w:val="22"/>
          <w:szCs w:val="22"/>
          <w:color w:val="auto"/>
        </w:rPr>
      </w:pPr>
    </w:p>
    <w:p>
      <w:pPr>
        <w:ind w:right="180" w:firstLine="656"/>
        <w:spacing w:after="0" w:line="284" w:lineRule="auto"/>
        <w:tabs>
          <w:tab w:leader="none" w:pos="9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and inure to the benefit of the parties hereto and their respective successors and assigns.</w:t>
      </w:r>
    </w:p>
    <w:p>
      <w:pPr>
        <w:spacing w:after="0" w:line="144" w:lineRule="exact"/>
        <w:rPr>
          <w:rFonts w:ascii="Times New Roman" w:cs="Times New Roman" w:eastAsia="Times New Roman" w:hAnsi="Times New Roman"/>
          <w:sz w:val="22"/>
          <w:szCs w:val="22"/>
          <w:color w:val="auto"/>
        </w:rPr>
      </w:pPr>
    </w:p>
    <w:p>
      <w:pPr>
        <w:ind w:right="320" w:firstLine="656"/>
        <w:spacing w:after="0" w:line="284" w:lineRule="auto"/>
        <w:tabs>
          <w:tab w:leader="none" w:pos="9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constitutes the entire understanding among the parties hereto with respect to the subject matter hereof and supersedes any prior agreements, written or oral, with respect thereto.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22" w:right="239" w:bottom="1440" w:gutter="0" w:footer="0" w:header="0"/>
        </w:sectPr>
      </w:pPr>
    </w:p>
    <w:bookmarkStart w:id="62" w:name="page63"/>
    <w:bookmarkEnd w:id="62"/>
    <w:p>
      <w:pPr>
        <w:spacing w:after="0" w:line="63" w:lineRule="exact"/>
        <w:rPr>
          <w:sz w:val="20"/>
          <w:szCs w:val="20"/>
          <w:color w:val="auto"/>
        </w:rPr>
      </w:pPr>
    </w:p>
    <w:p>
      <w:pPr>
        <w:jc w:val="center"/>
        <w:ind w:left="260" w:right="80"/>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397" w:lineRule="exact"/>
        <w:rPr>
          <w:sz w:val="20"/>
          <w:szCs w:val="20"/>
          <w:color w:val="auto"/>
        </w:rPr>
      </w:pPr>
    </w:p>
    <w:p>
      <w:pPr>
        <w:ind w:right="220" w:firstLine="656"/>
        <w:spacing w:after="0" w:line="263" w:lineRule="auto"/>
        <w:tabs>
          <w:tab w:leader="none" w:pos="9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Loan Document Pursuant to Credit Agreement</w:t>
      </w:r>
      <w:r>
        <w:rPr>
          <w:rFonts w:ascii="Times New Roman" w:cs="Times New Roman" w:eastAsia="Times New Roman" w:hAnsi="Times New Roman"/>
          <w:sz w:val="22"/>
          <w:szCs w:val="22"/>
          <w:color w:val="auto"/>
        </w:rPr>
        <w:t>. This Amendment is a Loan Document executed pursuant to the Credit Agreement and shall be construed, administered and applied in accordance with all of the terms and provisions of the Credit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deemed to be a contract under the Laws of the State of New York and for all purposes shall be governed by and construed and enforced in accordance with the internal laws of the State of New York without regard to its conflict of laws principles.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Amendment shall be dated as of and shall be binding, effective and enforceable upon the date of satisfaction of all conditions set forth in Section 4 hereof, and from and after such date this Amendment shall be binding upon the Borrowers, each Lender and the Administrative Agent, and their respective successors and assigns permitted by the Credit Agreement.</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27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This Amendment amends the Credit Agreement, but is not intended to constitute, and does not constitute, a novation of the Obligations of the Loan Parties under the Credit Agreement or any other Loan Document.</w:t>
      </w:r>
    </w:p>
    <w:p>
      <w:pPr>
        <w:spacing w:after="0" w:line="144" w:lineRule="exact"/>
        <w:rPr>
          <w:rFonts w:ascii="Times New Roman" w:cs="Times New Roman" w:eastAsia="Times New Roman" w:hAnsi="Times New Roman"/>
          <w:sz w:val="22"/>
          <w:szCs w:val="22"/>
          <w:color w:val="auto"/>
        </w:rPr>
      </w:pPr>
    </w:p>
    <w:p>
      <w:pPr>
        <w:ind w:firstLine="656"/>
        <w:spacing w:after="0" w:line="284" w:lineRule="auto"/>
        <w:tabs>
          <w:tab w:leader="none" w:pos="111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signed in counterparts (by facsimile transmission or otherwise) but all of such counterparts together shall constitute one and the same instrument.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by their officers thereunto duly authorized, have executed this Amendment as of the day and year first above written.</w:t>
      </w:r>
    </w:p>
    <w:p>
      <w:pPr>
        <w:spacing w:after="0" w:line="30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BORROWERS:</w:t>
      </w:r>
    </w:p>
    <w:p>
      <w:pPr>
        <w:spacing w:after="0" w:line="287" w:lineRule="exact"/>
        <w:rPr>
          <w:sz w:val="20"/>
          <w:szCs w:val="20"/>
          <w:color w:val="auto"/>
        </w:rPr>
      </w:pPr>
    </w:p>
    <w:p>
      <w:pPr>
        <w:ind w:left="3280" w:right="1520"/>
        <w:spacing w:after="0" w:line="262" w:lineRule="auto"/>
        <w:rPr>
          <w:sz w:val="20"/>
          <w:szCs w:val="20"/>
          <w:color w:val="auto"/>
        </w:rPr>
      </w:pPr>
      <w:r>
        <w:rPr>
          <w:rFonts w:ascii="Times New Roman" w:cs="Times New Roman" w:eastAsia="Times New Roman" w:hAnsi="Times New Roman"/>
          <w:sz w:val="22"/>
          <w:szCs w:val="22"/>
          <w:b w:val="1"/>
          <w:bCs w:val="1"/>
          <w:color w:val="auto"/>
        </w:rPr>
        <w:t>WESTINGHOUSE AIR BRAKE TECHNOLOGIES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Delaware corporation</w:t>
      </w:r>
    </w:p>
    <w:p>
      <w:pPr>
        <w:spacing w:after="0" w:line="158" w:lineRule="exact"/>
        <w:rPr>
          <w:sz w:val="20"/>
          <w:szCs w:val="20"/>
          <w:color w:val="auto"/>
        </w:rPr>
      </w:pPr>
    </w:p>
    <w:tbl>
      <w:tblPr>
        <w:tblLayout w:type="fixed"/>
        <w:tblInd w:w="3280" w:type="dxa"/>
        <w:tblCellMar>
          <w:top w:w="0" w:type="dxa"/>
          <w:left w:w="0" w:type="dxa"/>
          <w:bottom w:w="0" w:type="dxa"/>
          <w:right w:w="0" w:type="dxa"/>
        </w:tblCellMar>
      </w:tblPr>
      <w:tr>
        <w:trPr>
          <w:trHeight w:val="253"/>
        </w:trPr>
        <w:tc>
          <w:tcPr>
            <w:tcW w:w="2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/s/Brian Kelly</w:t>
            </w:r>
          </w:p>
        </w:tc>
        <w:tc>
          <w:tcPr>
            <w:tcW w:w="102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4"/>
              </w:rPr>
              <w:t>(SEAL)</w:t>
            </w:r>
          </w:p>
        </w:tc>
      </w:tr>
      <w:tr>
        <w:trPr>
          <w:trHeight w:val="260"/>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w w:val="85"/>
              </w:rPr>
              <w:t>Name:</w:t>
            </w:r>
          </w:p>
        </w:tc>
        <w:tc>
          <w:tcPr>
            <w:tcW w:w="1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Brian Kelly</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ind w:left="3280"/>
        <w:spacing w:after="0"/>
        <w:rPr>
          <w:sz w:val="20"/>
          <w:szCs w:val="20"/>
          <w:color w:val="auto"/>
        </w:rPr>
      </w:pPr>
      <w:r>
        <w:rPr>
          <w:rFonts w:ascii="Times New Roman" w:cs="Times New Roman" w:eastAsia="Times New Roman" w:hAnsi="Times New Roman"/>
          <w:sz w:val="22"/>
          <w:szCs w:val="22"/>
          <w:color w:val="auto"/>
        </w:rPr>
        <w:t>Title: Treasurer and Vice President of Tax</w:t>
      </w:r>
    </w:p>
    <w:p>
      <w:pPr>
        <w:spacing w:after="0" w:line="25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WABTEC COÖPERATIEF U.A.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280" w:right="780"/>
        <w:spacing w:after="0" w:line="237"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i w:val="1"/>
          <w:iCs w:val="1"/>
          <w:color w:val="auto"/>
        </w:rPr>
        <w:t>coöperatieve vereniging met uitsluiting van aansprakelijkheid</w:t>
      </w:r>
      <w:r>
        <w:rPr>
          <w:rFonts w:ascii="Times New Roman" w:cs="Times New Roman" w:eastAsia="Times New Roman" w:hAnsi="Times New Roman"/>
          <w:sz w:val="22"/>
          <w:szCs w:val="22"/>
          <w:color w:val="auto"/>
        </w:rPr>
        <w:t xml:space="preserve"> under the laws of the Netherlands</w:t>
      </w:r>
    </w:p>
    <w:p>
      <w:pPr>
        <w:spacing w:after="0" w:line="183" w:lineRule="exact"/>
        <w:rPr>
          <w:sz w:val="20"/>
          <w:szCs w:val="20"/>
          <w:color w:val="auto"/>
        </w:rPr>
      </w:pPr>
    </w:p>
    <w:tbl>
      <w:tblPr>
        <w:tblLayout w:type="fixed"/>
        <w:tblInd w:w="3280" w:type="dxa"/>
        <w:tblCellMar>
          <w:top w:w="0" w:type="dxa"/>
          <w:left w:w="0" w:type="dxa"/>
          <w:bottom w:w="0" w:type="dxa"/>
          <w:right w:w="0" w:type="dxa"/>
        </w:tblCellMar>
      </w:tblPr>
      <w:tr>
        <w:trPr>
          <w:trHeight w:val="253"/>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Patrick D. Dugan</w:t>
            </w:r>
          </w:p>
        </w:tc>
        <w:tc>
          <w:tcPr>
            <w:tcW w:w="9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(SEAL)</w:t>
            </w:r>
          </w:p>
        </w:tc>
      </w:tr>
      <w:tr>
        <w:trPr>
          <w:trHeight w:val="236"/>
        </w:trPr>
        <w:tc>
          <w:tcPr>
            <w:tcW w:w="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85"/>
              </w:rPr>
              <w:t>Name:</w:t>
            </w:r>
          </w:p>
        </w:tc>
        <w:tc>
          <w:tcPr>
            <w:tcW w:w="1760" w:type="dxa"/>
            <w:vAlign w:val="bottom"/>
            <w:tcBorders>
              <w:top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Patrick D. Dugan</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3"/>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Authorized Person</w:t>
            </w: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26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MOTIVEPOWER,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RAILROAD FRICTION PRODUCTS CORPORATION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RICON CORP.</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SCHAEFER EQUIPMENT,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 Ohio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YOUNG TOUCHSTONE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 Wisconsin corporation;</w:t>
      </w:r>
    </w:p>
    <w:p>
      <w:pPr>
        <w:sectPr>
          <w:pgSz w:w="11900" w:h="16902" w:orient="portrait"/>
          <w:cols w:equalWidth="0" w:num="1">
            <w:col w:w="11420"/>
          </w:cols>
          <w:pgMar w:left="240" w:top="122" w:right="239" w:bottom="0" w:gutter="0" w:footer="0" w:header="0"/>
        </w:sectPr>
      </w:pPr>
    </w:p>
    <w:bookmarkStart w:id="63" w:name="page64"/>
    <w:bookmarkEnd w:id="63"/>
    <w:p>
      <w:pPr>
        <w:ind w:left="1960"/>
        <w:spacing w:after="0"/>
        <w:rPr>
          <w:sz w:val="20"/>
          <w:szCs w:val="20"/>
          <w:color w:val="auto"/>
        </w:rPr>
      </w:pPr>
      <w:r>
        <w:rPr>
          <w:rFonts w:ascii="Times New Roman" w:cs="Times New Roman" w:eastAsia="Times New Roman" w:hAnsi="Times New Roman"/>
          <w:sz w:val="18"/>
          <w:szCs w:val="18"/>
          <w:b w:val="1"/>
          <w:bCs w:val="1"/>
          <w:color w:val="auto"/>
        </w:rPr>
        <w:t>STANDARD CAR TRUCK 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DUROX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 Ohio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G&amp;B SPECIALTIES,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Pennsylvania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XORAIL,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Florida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WABTEC INTERNATIONAL,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RFPC HOLDING CORP.</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WABTEC HOLDING CORP.</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TURBONETICS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BARBER STEEL FOUNDRY CORP.</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LONGWOOD ELASTOMERS,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Virginia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LONGWOOD INDUSTRIES,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New Jersey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LONGWOOD INTERNATIONAL,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RCL, L.L.C.,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Tennessee limited liability company;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WABTEC RAILWAY ELECTRONICS,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9" w:lineRule="exact"/>
        <w:rPr>
          <w:sz w:val="20"/>
          <w:szCs w:val="20"/>
          <w:color w:val="auto"/>
        </w:rPr>
      </w:pPr>
    </w:p>
    <w:p>
      <w:pPr>
        <w:ind w:left="1960" w:right="183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WABTEC RAILWAY ELECTRONICS MANUFACTURING, INC., </w:t>
      </w:r>
      <w:r>
        <w:rPr>
          <w:rFonts w:ascii="Times New Roman" w:cs="Times New Roman" w:eastAsia="Times New Roman" w:hAnsi="Times New Roman"/>
          <w:sz w:val="18"/>
          <w:szCs w:val="18"/>
          <w:color w:val="auto"/>
        </w:rPr>
        <w:t>a Delaware corporation;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TRANSTECH OF SOUTH CAROLINA,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88"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Patrick D. Dugan</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250"/>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Name: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Patrick D. Dugan</w:t>
            </w:r>
          </w:p>
        </w:tc>
        <w:tc>
          <w:tcPr>
            <w:tcW w:w="620" w:type="dxa"/>
            <w:vAlign w:val="bottom"/>
          </w:tcPr>
          <w:p>
            <w:pPr>
              <w:spacing w:after="0"/>
              <w:rPr>
                <w:sz w:val="21"/>
                <w:szCs w:val="21"/>
                <w:color w:val="auto"/>
              </w:rPr>
            </w:pPr>
          </w:p>
        </w:tc>
      </w:tr>
    </w:tbl>
    <w:p>
      <w:pPr>
        <w:ind w:left="1960"/>
        <w:spacing w:after="0"/>
        <w:tabs>
          <w:tab w:leader="none" w:pos="2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of each Guarantor listed above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WORKHORSE RAIL, LLC,</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 Pennsylvania limited liability company</w:t>
      </w:r>
    </w:p>
    <w:p>
      <w:pPr>
        <w:spacing w:after="0" w:line="213"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3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David M. Seitz</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4"/>
              </w:rPr>
              <w:t>(SEAL)</w:t>
            </w:r>
          </w:p>
        </w:tc>
      </w:tr>
      <w:tr>
        <w:trPr>
          <w:trHeight w:val="20"/>
        </w:trPr>
        <w:tc>
          <w:tcPr>
            <w:tcW w:w="3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3"/>
        </w:trPr>
        <w:tc>
          <w:tcPr>
            <w:tcW w:w="3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David M. Seitz</w:t>
            </w:r>
          </w:p>
        </w:tc>
        <w:tc>
          <w:tcPr>
            <w:tcW w:w="740" w:type="dxa"/>
            <w:vAlign w:val="bottom"/>
          </w:tcPr>
          <w:p>
            <w:pPr>
              <w:spacing w:after="0"/>
              <w:rPr>
                <w:sz w:val="22"/>
                <w:szCs w:val="22"/>
                <w:color w:val="auto"/>
              </w:rPr>
            </w:pPr>
          </w:p>
        </w:tc>
      </w:tr>
      <w:tr>
        <w:trPr>
          <w:trHeight w:val="283"/>
        </w:trPr>
        <w:tc>
          <w:tcPr>
            <w:tcW w:w="3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Vice President &amp; Secretary</w:t>
            </w:r>
          </w:p>
        </w:tc>
        <w:tc>
          <w:tcPr>
            <w:tcW w:w="740" w:type="dxa"/>
            <w:vAlign w:val="bottom"/>
          </w:tcPr>
          <w:p>
            <w:pPr>
              <w:spacing w:after="0"/>
              <w:rPr>
                <w:sz w:val="24"/>
                <w:szCs w:val="24"/>
                <w:color w:val="auto"/>
              </w:rPr>
            </w:pPr>
          </w:p>
        </w:tc>
      </w:tr>
      <w:tr>
        <w:trPr>
          <w:trHeight w:val="447"/>
        </w:trPr>
        <w:tc>
          <w:tcPr>
            <w:tcW w:w="3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RAILROAD CONTROLS, L.P.</w:t>
            </w:r>
            <w:r>
              <w:rPr>
                <w:rFonts w:ascii="Times New Roman" w:cs="Times New Roman" w:eastAsia="Times New Roman" w:hAnsi="Times New Roman"/>
                <w:sz w:val="22"/>
                <w:szCs w:val="22"/>
                <w:color w:val="auto"/>
              </w:rPr>
              <w:t>,</w:t>
            </w:r>
          </w:p>
        </w:tc>
        <w:tc>
          <w:tcPr>
            <w:tcW w:w="740" w:type="dxa"/>
            <w:vAlign w:val="bottom"/>
          </w:tcPr>
          <w:p>
            <w:pPr>
              <w:spacing w:after="0"/>
              <w:rPr>
                <w:sz w:val="24"/>
                <w:szCs w:val="24"/>
                <w:color w:val="auto"/>
              </w:rPr>
            </w:pPr>
          </w:p>
        </w:tc>
      </w:tr>
      <w:tr>
        <w:trPr>
          <w:trHeight w:val="283"/>
        </w:trPr>
        <w:tc>
          <w:tcPr>
            <w:tcW w:w="3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 Texas limited partnership</w:t>
            </w:r>
          </w:p>
        </w:tc>
        <w:tc>
          <w:tcPr>
            <w:tcW w:w="740" w:type="dxa"/>
            <w:vAlign w:val="bottom"/>
          </w:tcPr>
          <w:p>
            <w:pPr>
              <w:spacing w:after="0"/>
              <w:rPr>
                <w:sz w:val="24"/>
                <w:szCs w:val="24"/>
                <w:color w:val="auto"/>
              </w:rPr>
            </w:pPr>
          </w:p>
        </w:tc>
      </w:tr>
    </w:tbl>
    <w:p>
      <w:pPr>
        <w:spacing w:after="0" w:line="1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By: RCL, L.L.C., its General Partner</w:t>
      </w:r>
    </w:p>
    <w:p>
      <w:pPr>
        <w:spacing w:after="0" w:line="305"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Patrick D. Dugan</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4"/>
              </w:rPr>
              <w:t>(SEAL)</w:t>
            </w:r>
          </w:p>
        </w:tc>
      </w:tr>
      <w:tr>
        <w:trPr>
          <w:trHeight w:val="20"/>
        </w:trPr>
        <w:tc>
          <w:tcPr>
            <w:tcW w:w="3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3"/>
        </w:trPr>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Patrick D. Dugan</w:t>
            </w:r>
          </w:p>
        </w:tc>
        <w:tc>
          <w:tcPr>
            <w:tcW w:w="740" w:type="dxa"/>
            <w:vAlign w:val="bottom"/>
          </w:tcPr>
          <w:p>
            <w:pPr>
              <w:spacing w:after="0"/>
              <w:rPr>
                <w:sz w:val="22"/>
                <w:szCs w:val="22"/>
                <w:color w:val="auto"/>
              </w:rPr>
            </w:pPr>
          </w:p>
        </w:tc>
      </w:tr>
      <w:tr>
        <w:trPr>
          <w:trHeight w:val="283"/>
        </w:trPr>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Vice President, Finance</w:t>
            </w:r>
          </w:p>
        </w:tc>
        <w:tc>
          <w:tcPr>
            <w:tcW w:w="740" w:type="dxa"/>
            <w:vAlign w:val="bottom"/>
          </w:tcPr>
          <w:p>
            <w:pPr>
              <w:spacing w:after="0"/>
              <w:rPr>
                <w:sz w:val="24"/>
                <w:szCs w:val="24"/>
                <w:color w:val="auto"/>
              </w:rPr>
            </w:pPr>
          </w:p>
        </w:tc>
      </w:tr>
    </w:tbl>
    <w:p>
      <w:pPr>
        <w:spacing w:after="0" w:line="1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THERMAL TRANSFER CORPORATION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60"/>
        <w:spacing w:after="0"/>
        <w:tabs>
          <w:tab w:leader="none" w:pos="2540" w:val="left"/>
          <w:tab w:leader="none" w:pos="4800" w:val="left"/>
        </w:tabs>
        <w:rPr>
          <w:sz w:val="20"/>
          <w:szCs w:val="20"/>
          <w:color w:val="auto"/>
        </w:rPr>
      </w:pPr>
      <w:r>
        <w:rPr>
          <w:rFonts w:ascii="Times New Roman" w:cs="Times New Roman" w:eastAsia="Times New Roman" w:hAnsi="Times New Roman"/>
          <w:sz w:val="22"/>
          <w:szCs w:val="22"/>
          <w:color w:val="auto"/>
        </w:rPr>
        <w:t>By:</w:t>
        <w:tab/>
        <w:t>/s/ David M. Seitz</w:t>
      </w:r>
      <w:r>
        <w:rPr>
          <w:sz w:val="20"/>
          <w:szCs w:val="20"/>
          <w:color w:val="auto"/>
        </w:rPr>
        <w:tab/>
      </w: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-13970</wp:posOffset>
            </wp:positionV>
            <wp:extent cx="1547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pacing w:after="0" w:line="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Name: David M. Seitz</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Title: Vice President &amp; Secretary</w:t>
      </w:r>
    </w:p>
    <w:p>
      <w:pPr>
        <w:spacing w:after="0" w:line="192" w:lineRule="exact"/>
        <w:rPr>
          <w:sz w:val="20"/>
          <w:szCs w:val="20"/>
          <w:color w:val="auto"/>
        </w:rPr>
      </w:pPr>
    </w:p>
    <w:p>
      <w:pPr>
        <w:ind w:left="1960" w:right="2519"/>
        <w:spacing w:after="0" w:line="275" w:lineRule="auto"/>
        <w:rPr>
          <w:sz w:val="20"/>
          <w:szCs w:val="20"/>
          <w:color w:val="auto"/>
        </w:rPr>
      </w:pPr>
      <w:r>
        <w:rPr>
          <w:rFonts w:ascii="Times New Roman" w:cs="Times New Roman" w:eastAsia="Times New Roman" w:hAnsi="Times New Roman"/>
          <w:sz w:val="22"/>
          <w:szCs w:val="22"/>
          <w:b w:val="1"/>
          <w:bCs w:val="1"/>
          <w:color w:val="auto"/>
        </w:rPr>
        <w:t>AERO TRANSPORTATION PRODUCTS, INC.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Missouri corporation</w:t>
      </w:r>
    </w:p>
    <w:p>
      <w:pPr>
        <w:sectPr>
          <w:pgSz w:w="11900" w:h="16838" w:orient="portrait"/>
          <w:cols w:equalWidth="0" w:num="1">
            <w:col w:w="9019"/>
          </w:cols>
          <w:pgMar w:left="144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60"/>
        <w:spacing w:after="0"/>
        <w:tabs>
          <w:tab w:leader="none" w:pos="2540" w:val="left"/>
          <w:tab w:leader="none" w:pos="4800" w:val="left"/>
        </w:tabs>
        <w:rPr>
          <w:sz w:val="20"/>
          <w:szCs w:val="20"/>
          <w:color w:val="auto"/>
        </w:rPr>
      </w:pPr>
      <w:r>
        <w:rPr>
          <w:rFonts w:ascii="Times New Roman" w:cs="Times New Roman" w:eastAsia="Times New Roman" w:hAnsi="Times New Roman"/>
          <w:sz w:val="22"/>
          <w:szCs w:val="22"/>
          <w:color w:val="auto"/>
        </w:rPr>
        <w:t>By:</w:t>
        <w:tab/>
        <w:t>/s/ David M. Seitz</w:t>
      </w:r>
      <w:r>
        <w:rPr>
          <w:sz w:val="20"/>
          <w:szCs w:val="20"/>
          <w:color w:val="auto"/>
        </w:rPr>
        <w:tab/>
      </w: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-13970</wp:posOffset>
            </wp:positionV>
            <wp:extent cx="1547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ectPr>
          <w:pgSz w:w="11900" w:h="16838" w:orient="portrait"/>
          <w:cols w:equalWidth="0" w:num="1">
            <w:col w:w="9019"/>
          </w:cols>
          <w:pgMar w:left="1440" w:top="117" w:right="1440" w:bottom="0" w:gutter="0" w:footer="0" w:header="0"/>
          <w:type w:val="continuous"/>
        </w:sectPr>
      </w:pPr>
    </w:p>
    <w:bookmarkStart w:id="64" w:name="page65"/>
    <w:bookmarkEnd w:id="64"/>
    <w:p>
      <w:pPr>
        <w:ind w:left="1960"/>
        <w:spacing w:after="0"/>
        <w:rPr>
          <w:sz w:val="20"/>
          <w:szCs w:val="20"/>
          <w:color w:val="auto"/>
        </w:rPr>
      </w:pPr>
      <w:r>
        <w:rPr>
          <w:rFonts w:ascii="Times New Roman" w:cs="Times New Roman" w:eastAsia="Times New Roman" w:hAnsi="Times New Roman"/>
          <w:sz w:val="22"/>
          <w:szCs w:val="22"/>
          <w:color w:val="auto"/>
        </w:rPr>
        <w:t>Name: David M. Seitz</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Title: Vice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as a Lender and as Administrative Agent</w:t>
      </w:r>
    </w:p>
    <w:p>
      <w:pPr>
        <w:spacing w:after="0" w:line="20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Tracy J. DeCock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6338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Tracy J. DeCock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67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2011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1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/s/John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391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John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398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5963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/s/Susan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437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700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Susan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307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479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b w:val="1"/>
          <w:bCs w:val="1"/>
          <w:color w:val="auto"/>
        </w:rPr>
        <w:t>HSBC BANK USA, NATIONAL ASSOCIATION</w:t>
      </w:r>
    </w:p>
    <w:p>
      <w:pPr>
        <w:spacing w:after="0" w:line="24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/s/Ross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3836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Ross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391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7373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126" w:right="1440" w:bottom="1440" w:gutter="0" w:footer="0" w:header="0"/>
        </w:sectPr>
      </w:pPr>
    </w:p>
    <w:bookmarkStart w:id="65" w:name="page66"/>
    <w:bookmarkEnd w:id="65"/>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HSBC FRANCE, S.A.</w:t>
      </w:r>
    </w:p>
    <w:p>
      <w:pPr>
        <w:spacing w:after="0" w:line="224"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/s/Ludovic Lepic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482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Ludovic Lepic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4897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9710"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143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SOCIÉTÉ GÉNÉRALE</w:t>
      </w:r>
    </w:p>
    <w:p>
      <w:pPr>
        <w:spacing w:after="0" w:line="237"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/s/Joseph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795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5145"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Joseph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391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5963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CITIZENS BANK OF PENNSYLVANIA</w:t>
      </w:r>
    </w:p>
    <w:p>
      <w:pPr>
        <w:spacing w:after="0" w:line="237"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/s/Carl S. Tabacjar,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7532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53235"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Carl S. Tabacjar,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6236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369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7373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BRANCH BANKING AND TRUST COMPANY</w:t>
      </w:r>
    </w:p>
    <w:p>
      <w:pPr>
        <w:spacing w:after="0" w:line="237"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/s/Daniel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421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Danial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4293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938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479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THE BANK OF TOKYO-MITSUBISHI UFJ, LTD.</w:t>
      </w:r>
    </w:p>
    <w:p>
      <w:pPr>
        <w:spacing w:after="0" w:line="237"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6935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3545"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5633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3370"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5963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CREDIT AGRICOLE CORPORATE AND INVESTMENT BANK</w:t>
      </w:r>
    </w:p>
    <w:p>
      <w:pPr>
        <w:spacing w:after="0" w:line="237"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/s/Michael Madnick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649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49730"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Madnick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520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5963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60"/>
        <w:spacing w:after="0"/>
        <w:tabs>
          <w:tab w:leader="none" w:pos="3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/s/Alistair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-13970</wp:posOffset>
            </wp:positionV>
            <wp:extent cx="1657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7985" cy="8890"/>
                    </a:xfrm>
                    <a:prstGeom prst="rect">
                      <a:avLst/>
                    </a:prstGeom>
                    <a:noFill/>
                  </pic:spPr>
                </pic:pic>
              </a:graphicData>
            </a:graphic>
          </wp:anchor>
        </w:drawing>
      </w:r>
    </w:p>
    <w:p>
      <w:pPr>
        <w:spacing w:after="0" w:line="10" w:lineRule="exact"/>
        <w:rPr>
          <w:sz w:val="20"/>
          <w:szCs w:val="20"/>
          <w:color w:val="auto"/>
        </w:rPr>
      </w:pPr>
    </w:p>
    <w:p>
      <w:pPr>
        <w:ind w:left="3060"/>
        <w:spacing w:after="0"/>
        <w:tabs>
          <w:tab w:leader="none" w:pos="38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Alistair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15208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2082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-21590</wp:posOffset>
            </wp:positionV>
            <wp:extent cx="13423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ectPr>
          <w:pgSz w:w="11900" w:h="16838" w:orient="portrait"/>
          <w:cols w:equalWidth="0" w:num="1">
            <w:col w:w="11240"/>
          </w:cols>
          <w:pgMar w:left="340" w:top="122" w:right="319" w:bottom="0" w:gutter="0" w:footer="0" w:header="0"/>
        </w:sectPr>
      </w:pPr>
    </w:p>
    <w:bookmarkStart w:id="66" w:name="page67"/>
    <w:bookmarkEnd w:id="66"/>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TD BANK, N.A.</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364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235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6002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p>
    <w:p>
      <w:pPr>
        <w:spacing w:after="0" w:line="24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Thomas M. Molitor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6617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179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Thomas M. Molitor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632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258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5963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THE BANK OF NOVA SCOTIA</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Sangeeta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517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Sangeeta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903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9034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1430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THE HUNTINGTON NATIONAL BANK</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406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1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479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FIRST NATIONAL BANK OF PENNSYLVANIA</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/s/Brad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467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Brad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751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479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U.S. BANK NATIONAL ASSOCIATION</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574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109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0970"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4795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BANK OF THE WEST</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Harry Yergey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4547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478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19"/>
          <w:szCs w:val="19"/>
          <w:color w:val="auto"/>
        </w:rPr>
        <w:t>Harry Yergey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281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5963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6275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2750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4636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1430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92" w:orient="portrait"/>
          <w:cols w:equalWidth="0" w:num="1">
            <w:col w:w="9019"/>
          </w:cols>
          <w:pgMar w:left="1440" w:top="1134" w:right="1440" w:bottom="0" w:gutter="0" w:footer="0" w:header="0"/>
        </w:sectPr>
      </w:pPr>
    </w:p>
    <w:bookmarkStart w:id="67" w:name="page68"/>
    <w:bookmarkEnd w:id="67"/>
    <w:p>
      <w:pPr>
        <w:spacing w:after="0" w:line="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CITIBANK, N.A.</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/s/Shawna Elkus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7341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3418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Shawna Elkus</w:t>
      </w:r>
    </w:p>
    <w:p>
      <w:pPr>
        <w:spacing w:after="0" w:line="17" w:lineRule="exact"/>
        <w:rPr>
          <w:sz w:val="20"/>
          <w:szCs w:val="20"/>
          <w:color w:val="auto"/>
        </w:rPr>
      </w:pP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FIRST COMMONWEALTH BANK</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Neil Corry-Roberts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7760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7609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Neil Corry-Roberts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6122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7373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b w:val="1"/>
          <w:bCs w:val="1"/>
          <w:color w:val="auto"/>
        </w:rPr>
        <w:t>THE PRIVATEBANK AND TRUST COMPANY</w:t>
      </w:r>
    </w:p>
    <w:p>
      <w:pPr>
        <w:spacing w:after="0" w:line="24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/s/Anne M.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654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Anne M.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654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5963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DOLLAR BANK, FEDERAL SAVINGS BANK</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Brian E. Waychoff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7392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3926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Brian E. Waychoff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575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4795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NORTHWEST BANK</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 Forrest Tefft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558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58290"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 Forrest Tefft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3938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7373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KEYBANK NATIONAL ASSOCIATION</w:t>
      </w:r>
    </w:p>
    <w:p>
      <w:pPr>
        <w:spacing w:after="0" w:line="237"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Philip R. Medsger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-13970</wp:posOffset>
            </wp:positionV>
            <wp:extent cx="17151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0" w:lineRule="exact"/>
        <w:rPr>
          <w:sz w:val="20"/>
          <w:szCs w:val="20"/>
          <w:color w:val="auto"/>
        </w:rPr>
      </w:pPr>
    </w:p>
    <w:p>
      <w:pPr>
        <w:ind w:left="1960"/>
        <w:spacing w:after="0"/>
        <w:tabs>
          <w:tab w:leader="none" w:pos="27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Philip R. Medsger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-21590</wp:posOffset>
            </wp:positionV>
            <wp:extent cx="15513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-21590</wp:posOffset>
            </wp:positionV>
            <wp:extent cx="17373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1.1(E)</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[Excluded Subsidiaries]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(Attached)</w:t>
      </w:r>
    </w:p>
    <w:p>
      <w:pPr>
        <w:sectPr>
          <w:pgSz w:w="11900" w:h="16851" w:orient="portrait"/>
          <w:cols w:equalWidth="0" w:num="1">
            <w:col w:w="9019"/>
          </w:cols>
          <w:pgMar w:left="1440" w:top="12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6.1.8</w:t>
      </w:r>
    </w:p>
    <w:p>
      <w:pPr>
        <w:sectPr>
          <w:pgSz w:w="11900" w:h="16851" w:orient="portrait"/>
          <w:cols w:equalWidth="0" w:num="1">
            <w:col w:w="9019"/>
          </w:cols>
          <w:pgMar w:left="1440" w:top="1270" w:right="1440" w:bottom="0" w:gutter="0" w:footer="0" w:header="0"/>
          <w:type w:val="continuous"/>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21"/>
          <w:szCs w:val="21"/>
          <w:color w:val="auto"/>
        </w:rPr>
        <w:t>[Subsidiaries]</w:t>
      </w:r>
    </w:p>
    <w:p>
      <w:pPr>
        <w:sectPr>
          <w:pgSz w:w="11900" w:h="16838" w:orient="portrait"/>
          <w:cols w:equalWidth="0" w:num="1">
            <w:col w:w="9019"/>
          </w:cols>
          <w:pgMar w:left="1440" w:top="315" w:right="1440" w:bottom="1440"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(Attached)</w:t>
      </w:r>
    </w:p>
    <w:p>
      <w:pPr>
        <w:sectPr>
          <w:pgSz w:w="11900" w:h="16838" w:orient="portrait"/>
          <w:cols w:equalWidth="0" w:num="1">
            <w:col w:w="9019"/>
          </w:cols>
          <w:pgMar w:left="1440" w:top="315" w:right="1440"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Westinghouse Air Brake Technologies Corporation.</w:t>
      </w:r>
    </w:p>
    <w:p>
      <w:pPr>
        <w:spacing w:after="0" w:line="117" w:lineRule="exact"/>
        <w:rPr>
          <w:rFonts w:ascii="Times New Roman" w:cs="Times New Roman" w:eastAsia="Times New Roman" w:hAnsi="Times New Roman"/>
          <w:sz w:val="18"/>
          <w:szCs w:val="18"/>
          <w:color w:val="auto"/>
        </w:rPr>
      </w:pPr>
    </w:p>
    <w:p>
      <w:pPr>
        <w:jc w:val="both"/>
        <w:ind w:right="260" w:firstLine="508"/>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Times New Roman" w:cs="Times New Roman" w:eastAsia="Times New Roman" w:hAnsi="Times New Roman"/>
          <w:sz w:val="18"/>
          <w:szCs w:val="18"/>
          <w:color w:val="auto"/>
        </w:rPr>
      </w:pPr>
    </w:p>
    <w:p>
      <w:pPr>
        <w:ind w:right="420" w:firstLine="508"/>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right="260" w:firstLine="508"/>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ind w:right="140" w:firstLine="1007"/>
        <w:spacing w:after="0" w:line="266" w:lineRule="auto"/>
        <w:tabs>
          <w:tab w:leader="none" w:pos="12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Times New Roman" w:cs="Times New Roman" w:eastAsia="Times New Roman" w:hAnsi="Times New Roman"/>
          <w:sz w:val="18"/>
          <w:szCs w:val="18"/>
          <w:color w:val="auto"/>
        </w:rPr>
      </w:pPr>
    </w:p>
    <w:p>
      <w:pPr>
        <w:ind w:right="20" w:firstLine="1007"/>
        <w:spacing w:after="0" w:line="266" w:lineRule="auto"/>
        <w:tabs>
          <w:tab w:leader="none" w:pos="12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0" w:firstLine="1007"/>
        <w:spacing w:after="0" w:line="282" w:lineRule="auto"/>
        <w:tabs>
          <w:tab w:leader="none" w:pos="12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3" w:lineRule="exact"/>
        <w:rPr>
          <w:rFonts w:ascii="Times New Roman" w:cs="Times New Roman" w:eastAsia="Times New Roman" w:hAnsi="Times New Roman"/>
          <w:sz w:val="18"/>
          <w:szCs w:val="18"/>
          <w:color w:val="auto"/>
        </w:rPr>
      </w:pPr>
    </w:p>
    <w:p>
      <w:pPr>
        <w:jc w:val="both"/>
        <w:ind w:right="100" w:firstLine="1007"/>
        <w:spacing w:after="0" w:line="313" w:lineRule="auto"/>
        <w:tabs>
          <w:tab w:leader="none" w:pos="125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7"/>
          <w:szCs w:val="17"/>
          <w:color w:val="auto"/>
        </w:rPr>
      </w:pPr>
    </w:p>
    <w:p>
      <w:pPr>
        <w:ind w:right="80" w:firstLine="508"/>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80" w:firstLine="1007"/>
        <w:spacing w:after="0" w:line="282" w:lineRule="auto"/>
        <w:tabs>
          <w:tab w:leader="none" w:pos="12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60" w:firstLine="1007"/>
        <w:spacing w:after="0" w:line="282" w:lineRule="auto"/>
        <w:tabs>
          <w:tab w:leader="none" w:pos="12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August 3,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  RAYMOND T. BETLER</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Raymond T. Betler</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420"/>
          </w:cols>
          <w:pgMar w:left="240" w:top="576"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Westinghouse Air Brake Technologies Corporation.</w:t>
      </w:r>
    </w:p>
    <w:p>
      <w:pPr>
        <w:spacing w:after="0" w:line="117" w:lineRule="exact"/>
        <w:rPr>
          <w:rFonts w:ascii="Times New Roman" w:cs="Times New Roman" w:eastAsia="Times New Roman" w:hAnsi="Times New Roman"/>
          <w:sz w:val="18"/>
          <w:szCs w:val="18"/>
          <w:color w:val="auto"/>
        </w:rPr>
      </w:pPr>
    </w:p>
    <w:p>
      <w:pPr>
        <w:jc w:val="both"/>
        <w:ind w:right="260" w:firstLine="508"/>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Times New Roman" w:cs="Times New Roman" w:eastAsia="Times New Roman" w:hAnsi="Times New Roman"/>
          <w:sz w:val="18"/>
          <w:szCs w:val="18"/>
          <w:color w:val="auto"/>
        </w:rPr>
      </w:pPr>
    </w:p>
    <w:p>
      <w:pPr>
        <w:ind w:right="420" w:firstLine="508"/>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right="260" w:firstLine="508"/>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ind w:right="140" w:firstLine="1007"/>
        <w:spacing w:after="0" w:line="266" w:lineRule="auto"/>
        <w:tabs>
          <w:tab w:leader="none" w:pos="12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Times New Roman" w:cs="Times New Roman" w:eastAsia="Times New Roman" w:hAnsi="Times New Roman"/>
          <w:sz w:val="18"/>
          <w:szCs w:val="18"/>
          <w:color w:val="auto"/>
        </w:rPr>
      </w:pPr>
    </w:p>
    <w:p>
      <w:pPr>
        <w:ind w:right="20" w:firstLine="1007"/>
        <w:spacing w:after="0" w:line="266" w:lineRule="auto"/>
        <w:tabs>
          <w:tab w:leader="none" w:pos="12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40" w:firstLine="1007"/>
        <w:spacing w:after="0" w:line="282" w:lineRule="auto"/>
        <w:tabs>
          <w:tab w:leader="none" w:pos="12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3" w:lineRule="exact"/>
        <w:rPr>
          <w:rFonts w:ascii="Times New Roman" w:cs="Times New Roman" w:eastAsia="Times New Roman" w:hAnsi="Times New Roman"/>
          <w:sz w:val="18"/>
          <w:szCs w:val="18"/>
          <w:color w:val="auto"/>
        </w:rPr>
      </w:pPr>
    </w:p>
    <w:p>
      <w:pPr>
        <w:jc w:val="both"/>
        <w:ind w:right="100" w:firstLine="1007"/>
        <w:spacing w:after="0" w:line="313" w:lineRule="auto"/>
        <w:tabs>
          <w:tab w:leader="none" w:pos="125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7"/>
          <w:szCs w:val="17"/>
          <w:color w:val="auto"/>
        </w:rPr>
      </w:pPr>
    </w:p>
    <w:p>
      <w:pPr>
        <w:ind w:right="80" w:firstLine="508"/>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80" w:firstLine="1007"/>
        <w:spacing w:after="0" w:line="282" w:lineRule="auto"/>
        <w:tabs>
          <w:tab w:leader="none" w:pos="12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60" w:firstLine="1007"/>
        <w:spacing w:after="0" w:line="282" w:lineRule="auto"/>
        <w:tabs>
          <w:tab w:leader="none" w:pos="12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August 3,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ATRICK</w:t>
            </w:r>
            <w:r>
              <w:rPr>
                <w:rFonts w:ascii="Times New Roman" w:cs="Times New Roman" w:eastAsia="Times New Roman" w:hAnsi="Times New Roman"/>
                <w:sz w:val="18"/>
                <w:szCs w:val="18"/>
                <w:color w:val="auto"/>
              </w:rPr>
              <w:t xml:space="preserve"> D. D</w:t>
            </w:r>
            <w:r>
              <w:rPr>
                <w:rFonts w:ascii="Times New Roman" w:cs="Times New Roman" w:eastAsia="Times New Roman" w:hAnsi="Times New Roman"/>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Executive Vice President Finance and Chief Financial Officer</w:t>
            </w:r>
          </w:p>
        </w:tc>
      </w:tr>
    </w:tbl>
    <w:p>
      <w:pPr>
        <w:sectPr>
          <w:pgSz w:w="11900" w:h="16838" w:orient="portrait"/>
          <w:cols w:equalWidth="0" w:num="1">
            <w:col w:w="11420"/>
          </w:cols>
          <w:pgMar w:left="240" w:top="576"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officers of Westinghouse Air Brake Technologies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the best of their knowledge, that the Company’s Quarterly Report on Form 10-Q for the quarter ended March 31, 2017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9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AYMOND</w:t>
            </w:r>
            <w:r>
              <w:rPr>
                <w:rFonts w:ascii="Times New Roman" w:cs="Times New Roman" w:eastAsia="Times New Roman" w:hAnsi="Times New Roman"/>
                <w:sz w:val="18"/>
                <w:szCs w:val="18"/>
                <w:color w:val="auto"/>
              </w:rPr>
              <w:t xml:space="preserve"> T. B</w:t>
            </w:r>
            <w:r>
              <w:rPr>
                <w:rFonts w:ascii="Times New Roman" w:cs="Times New Roman" w:eastAsia="Times New Roman" w:hAnsi="Times New Roman"/>
                <w:sz w:val="14"/>
                <w:szCs w:val="14"/>
                <w:color w:val="auto"/>
              </w:rPr>
              <w:t>ETLER</w:t>
            </w:r>
          </w:p>
        </w:tc>
      </w:tr>
      <w:tr>
        <w:trPr>
          <w:trHeight w:val="27"/>
        </w:trPr>
        <w:tc>
          <w:tcPr>
            <w:tcW w:w="150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4"/>
        </w:trPr>
        <w:tc>
          <w:tcPr>
            <w:tcW w:w="1500" w:type="dxa"/>
            <w:vAlign w:val="bottom"/>
          </w:tcPr>
          <w:p>
            <w:pPr>
              <w:spacing w:after="0"/>
              <w:rPr>
                <w:sz w:val="12"/>
                <w:szCs w:val="12"/>
                <w:color w:val="auto"/>
              </w:rPr>
            </w:pPr>
          </w:p>
        </w:tc>
        <w:tc>
          <w:tcPr>
            <w:tcW w:w="9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Raymond T. Betler</w:t>
            </w:r>
          </w:p>
        </w:tc>
      </w:tr>
      <w:tr>
        <w:trPr>
          <w:trHeight w:val="190"/>
        </w:trPr>
        <w:tc>
          <w:tcPr>
            <w:tcW w:w="15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537"/>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 2017</w:t>
            </w:r>
          </w:p>
        </w:tc>
      </w:tr>
      <w:tr>
        <w:trPr>
          <w:trHeight w:val="55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9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ATRICK</w:t>
            </w:r>
            <w:r>
              <w:rPr>
                <w:rFonts w:ascii="Times New Roman" w:cs="Times New Roman" w:eastAsia="Times New Roman" w:hAnsi="Times New Roman"/>
                <w:sz w:val="18"/>
                <w:szCs w:val="18"/>
                <w:color w:val="auto"/>
              </w:rPr>
              <w:t xml:space="preserve"> D. D</w:t>
            </w:r>
            <w:r>
              <w:rPr>
                <w:rFonts w:ascii="Times New Roman" w:cs="Times New Roman" w:eastAsia="Times New Roman" w:hAnsi="Times New Roman"/>
                <w:sz w:val="14"/>
                <w:szCs w:val="14"/>
                <w:color w:val="auto"/>
              </w:rPr>
              <w:t>UGAN</w:t>
            </w:r>
          </w:p>
        </w:tc>
      </w:tr>
      <w:tr>
        <w:trPr>
          <w:trHeight w:val="27"/>
        </w:trPr>
        <w:tc>
          <w:tcPr>
            <w:tcW w:w="150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4"/>
        </w:trPr>
        <w:tc>
          <w:tcPr>
            <w:tcW w:w="1500" w:type="dxa"/>
            <w:vAlign w:val="bottom"/>
          </w:tcPr>
          <w:p>
            <w:pPr>
              <w:spacing w:after="0"/>
              <w:rPr>
                <w:sz w:val="12"/>
                <w:szCs w:val="12"/>
                <w:color w:val="auto"/>
              </w:rPr>
            </w:pPr>
          </w:p>
        </w:tc>
        <w:tc>
          <w:tcPr>
            <w:tcW w:w="9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Patrick D. Dugan,</w:t>
            </w:r>
          </w:p>
        </w:tc>
      </w:tr>
      <w:tr>
        <w:trPr>
          <w:trHeight w:val="190"/>
        </w:trPr>
        <w:tc>
          <w:tcPr>
            <w:tcW w:w="15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Finance and Chief Financial Officer</w:t>
            </w:r>
          </w:p>
        </w:tc>
      </w:tr>
      <w:tr>
        <w:trPr>
          <w:trHeight w:val="253"/>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 2017</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3"/>
    </w:lvl>
  </w:abstractNum>
  <w:abstractNum w:abstractNumId="20">
    <w:nsid w:val="54E49EB4"/>
    <w:multiLevelType w:val="hybridMultilevel"/>
    <w:lvl w:ilvl="0">
      <w:lvlJc w:val="left"/>
      <w:lvlText w:val="(%1)"/>
      <w:numFmt w:val="lowerLetter"/>
      <w:start w:val="4"/>
    </w:lvl>
  </w:abstractNum>
  <w:abstractNum w:abstractNumId="21">
    <w:nsid w:val="71F32454"/>
    <w:multiLevelType w:val="hybridMultilevel"/>
    <w:lvl w:ilvl="0">
      <w:lvlJc w:val="left"/>
      <w:lvlText w:val="(%1)"/>
      <w:numFmt w:val="lowerLetter"/>
      <w:start w:val="5"/>
    </w:lvl>
  </w:abstractNum>
  <w:abstractNum w:abstractNumId="22">
    <w:nsid w:val="2CA88611"/>
    <w:multiLevelType w:val="hybridMultilevel"/>
    <w:lvl w:ilvl="0">
      <w:lvlJc w:val="left"/>
      <w:lvlText w:val="(%1)"/>
      <w:numFmt w:val="lowerLetter"/>
      <w:start w:val="8"/>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1."/>
      <w:numFmt w:val="decimal"/>
      <w:start w:val="4"/>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lvl w:ilvl="1">
      <w:lvlJc w:val="left"/>
      <w:lvlText w:val="(%2)"/>
      <w:numFmt w:val="lowerRoman"/>
      <w:start w:val="1"/>
    </w:lvl>
  </w:abstractNum>
  <w:abstractNum w:abstractNumId="27">
    <w:nsid w:val="1E7FF521"/>
    <w:multiLevelType w:val="hybridMultilevel"/>
    <w:lvl w:ilvl="0">
      <w:lvlJc w:val="left"/>
      <w:lvlText w:val="%1"/>
      <w:numFmt w:val="lowerLetter"/>
      <w:start w:val="1"/>
    </w:lvl>
    <w:lvl w:ilvl="1">
      <w:lvlJc w:val="left"/>
      <w:lvlText w:val="(%2)"/>
      <w:numFmt w:val="lowerLetter"/>
      <w:start w:val="6"/>
    </w:lvl>
  </w:abstractNum>
  <w:abstractNum w:abstractNumId="28">
    <w:nsid w:val="7C3DBD3D"/>
    <w:multiLevelType w:val="hybridMultilevel"/>
    <w:lvl w:ilvl="0">
      <w:lvlJc w:val="left"/>
      <w:lvlText w:val="(%1)"/>
      <w:numFmt w:val="lowerLetter"/>
      <w:start w:val="61"/>
    </w:lvl>
    <w:lvl w:ilvl="1">
      <w:lvlJc w:val="left"/>
      <w:lvlText w:val="(%2)"/>
      <w:numFmt w:val="lowerLetter"/>
      <w:start w:val="7"/>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decimal"/>
      <w:start w:val="9"/>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2019-12-29T05:40:14Z</dcterms:created>
  <dcterms:modified xsi:type="dcterms:W3CDTF">2019-12-29T05:40:14Z</dcterms:modified>
</cp:coreProperties>
</file>