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598170</wp:posOffset>
            </wp:positionH>
            <wp:positionV relativeFrom="page">
              <wp:posOffset>612775</wp:posOffset>
            </wp:positionV>
            <wp:extent cx="68110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11010" cy="8255"/>
                    </a:xfrm>
                    <a:prstGeom prst="rect">
                      <a:avLst/>
                    </a:prstGeom>
                    <a:noFill/>
                  </pic:spPr>
                </pic:pic>
              </a:graphicData>
            </a:graphic>
          </wp:anchor>
        </w:drawing>
        <w:drawing>
          <wp:anchor simplePos="0" relativeHeight="251657728" behindDoc="1" locked="0" layoutInCell="0" allowOverlap="1">
            <wp:simplePos x="0" y="0"/>
            <wp:positionH relativeFrom="page">
              <wp:posOffset>598170</wp:posOffset>
            </wp:positionH>
            <wp:positionV relativeFrom="page">
              <wp:posOffset>645795</wp:posOffset>
            </wp:positionV>
            <wp:extent cx="68110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11010" cy="8255"/>
                    </a:xfrm>
                    <a:prstGeom prst="rect">
                      <a:avLst/>
                    </a:prstGeom>
                    <a:noFill/>
                  </pic:spPr>
                </pic:pic>
              </a:graphicData>
            </a:graphic>
          </wp:anchor>
        </w:drawing>
        <w:t>UNITED STATES</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SECURITIES AND EXCHANGE COMMISSION</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WASHINGTON, D.C. 20549</w:t>
      </w:r>
    </w:p>
    <w:p>
      <w:pPr>
        <w:spacing w:after="0" w:line="3" w:lineRule="exact"/>
        <w:rPr>
          <w:sz w:val="24"/>
          <w:szCs w:val="24"/>
          <w:color w:val="auto"/>
        </w:rPr>
      </w:pPr>
    </w:p>
    <w:p>
      <w:pPr>
        <w:ind w:left="4080"/>
        <w:spacing w:after="0"/>
        <w:rPr>
          <w:sz w:val="20"/>
          <w:szCs w:val="20"/>
          <w:color w:val="auto"/>
        </w:rPr>
      </w:pPr>
      <w:r>
        <w:rPr>
          <w:rFonts w:ascii="Arial" w:cs="Arial" w:eastAsia="Arial" w:hAnsi="Arial"/>
          <w:sz w:val="17"/>
          <w:szCs w:val="17"/>
          <w:color w:val="auto"/>
        </w:rPr>
        <w:t>____________________________________</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FORM 10-Q</w:t>
      </w:r>
    </w:p>
    <w:p>
      <w:pPr>
        <w:spacing w:after="0" w:line="47" w:lineRule="exact"/>
        <w:rPr>
          <w:sz w:val="24"/>
          <w:szCs w:val="24"/>
          <w:color w:val="auto"/>
        </w:rPr>
      </w:pPr>
    </w:p>
    <w:p>
      <w:pPr>
        <w:ind w:left="4080"/>
        <w:spacing w:after="0"/>
        <w:rPr>
          <w:sz w:val="20"/>
          <w:szCs w:val="20"/>
          <w:color w:val="auto"/>
        </w:rPr>
      </w:pPr>
      <w:r>
        <w:rPr>
          <w:rFonts w:ascii="Arial" w:cs="Arial" w:eastAsia="Arial" w:hAnsi="Arial"/>
          <w:sz w:val="17"/>
          <w:szCs w:val="17"/>
          <w:color w:val="auto"/>
        </w:rPr>
        <w:t>____________________________________</w:t>
      </w:r>
    </w:p>
    <w:p>
      <w:pPr>
        <w:spacing w:after="0" w:line="23" w:lineRule="exact"/>
        <w:rPr>
          <w:sz w:val="24"/>
          <w:szCs w:val="24"/>
          <w:color w:val="auto"/>
        </w:rPr>
      </w:pPr>
    </w:p>
    <w:p>
      <w:pPr>
        <w:ind w:left="480" w:hanging="460"/>
        <w:spacing w:after="0"/>
        <w:tabs>
          <w:tab w:leader="none" w:pos="480" w:val="left"/>
        </w:tabs>
        <w:numPr>
          <w:ilvl w:val="0"/>
          <w:numId w:val="1"/>
        </w:numPr>
        <w:rPr>
          <w:rFonts w:ascii="MS PGothic" w:cs="MS PGothic" w:eastAsia="MS PGothic" w:hAnsi="MS PGothic"/>
          <w:sz w:val="21"/>
          <w:szCs w:val="21"/>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181" w:lineRule="exact"/>
        <w:rPr>
          <w:sz w:val="24"/>
          <w:szCs w:val="24"/>
          <w:color w:val="auto"/>
        </w:rPr>
      </w:pPr>
    </w:p>
    <w:p>
      <w:pPr>
        <w:ind w:left="420"/>
        <w:spacing w:after="0"/>
        <w:rPr>
          <w:sz w:val="20"/>
          <w:szCs w:val="20"/>
          <w:color w:val="auto"/>
        </w:rPr>
      </w:pPr>
      <w:r>
        <w:rPr>
          <w:rFonts w:ascii="Arial" w:cs="Arial" w:eastAsia="Arial" w:hAnsi="Arial"/>
          <w:sz w:val="17"/>
          <w:szCs w:val="17"/>
          <w:b w:val="1"/>
          <w:bCs w:val="1"/>
          <w:color w:val="auto"/>
        </w:rPr>
        <w:t>For the quarterly period ended June 30, 2023</w:t>
      </w:r>
    </w:p>
    <w:p>
      <w:pPr>
        <w:spacing w:after="0" w:line="62"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OR</w:t>
      </w:r>
    </w:p>
    <w:p>
      <w:pPr>
        <w:spacing w:after="0" w:line="43" w:lineRule="exact"/>
        <w:rPr>
          <w:sz w:val="24"/>
          <w:szCs w:val="24"/>
          <w:color w:val="auto"/>
        </w:rPr>
      </w:pPr>
    </w:p>
    <w:p>
      <w:pPr>
        <w:ind w:left="480" w:hanging="460"/>
        <w:spacing w:after="0"/>
        <w:tabs>
          <w:tab w:leader="none" w:pos="480" w:val="left"/>
        </w:tabs>
        <w:numPr>
          <w:ilvl w:val="0"/>
          <w:numId w:val="2"/>
        </w:numPr>
        <w:rPr>
          <w:rFonts w:ascii="MS PGothic" w:cs="MS PGothic" w:eastAsia="MS PGothic" w:hAnsi="MS PGothic"/>
          <w:sz w:val="21"/>
          <w:szCs w:val="21"/>
          <w:color w:val="auto"/>
        </w:rPr>
      </w:pPr>
      <w:r>
        <w:rPr>
          <w:rFonts w:ascii="Arial" w:cs="Arial" w:eastAsia="Arial" w:hAnsi="Arial"/>
          <w:sz w:val="15"/>
          <w:szCs w:val="15"/>
          <w:b w:val="1"/>
          <w:bCs w:val="1"/>
          <w:color w:val="auto"/>
        </w:rPr>
        <w:t>TRANSITION REPORT PURSUANT TO SECTION 13 OR 15(d) OF THE SECURITIES EXCHANGE ACT OF 1934</w:t>
      </w:r>
    </w:p>
    <w:p>
      <w:pPr>
        <w:sectPr>
          <w:pgSz w:w="11900" w:h="16838" w:orient="portrait"/>
          <w:cols w:equalWidth="0" w:num="1">
            <w:col w:w="11200"/>
          </w:cols>
          <w:pgMar w:left="320" w:top="1091" w:right="379" w:bottom="1440" w:gutter="0" w:footer="0" w:header="0"/>
        </w:sectPr>
      </w:pPr>
    </w:p>
    <w:p>
      <w:pPr>
        <w:spacing w:after="0" w:line="181" w:lineRule="exact"/>
        <w:rPr>
          <w:sz w:val="24"/>
          <w:szCs w:val="24"/>
          <w:color w:val="auto"/>
        </w:rPr>
      </w:pPr>
    </w:p>
    <w:p>
      <w:pPr>
        <w:ind w:left="420"/>
        <w:spacing w:after="0"/>
        <w:rPr>
          <w:sz w:val="20"/>
          <w:szCs w:val="20"/>
          <w:color w:val="auto"/>
        </w:rPr>
      </w:pPr>
      <w:r>
        <w:rPr>
          <w:rFonts w:ascii="Arial" w:cs="Arial" w:eastAsia="Arial" w:hAnsi="Arial"/>
          <w:sz w:val="15"/>
          <w:szCs w:val="15"/>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96" w:lineRule="exact"/>
        <w:rPr>
          <w:sz w:val="24"/>
          <w:szCs w:val="24"/>
          <w:color w:val="auto"/>
        </w:rPr>
      </w:pPr>
    </w:p>
    <w:p>
      <w:pPr>
        <w:sectPr>
          <w:pgSz w:w="11900" w:h="16838" w:orient="portrait"/>
          <w:cols w:equalWidth="0" w:num="2">
            <w:col w:w="2880" w:space="720"/>
            <w:col w:w="7600"/>
          </w:cols>
          <w:pgMar w:left="320" w:top="1091" w:right="379" w:bottom="1440" w:gutter="0" w:footer="0" w:header="0"/>
          <w:type w:val="continuous"/>
        </w:sectPr>
      </w:pPr>
    </w:p>
    <w:p>
      <w:pPr>
        <w:jc w:val="center"/>
        <w:ind w:right="-39"/>
        <w:spacing w:after="0"/>
        <w:rPr>
          <w:sz w:val="20"/>
          <w:szCs w:val="20"/>
          <w:color w:val="auto"/>
        </w:rPr>
      </w:pPr>
      <w:r>
        <w:rPr>
          <w:rFonts w:ascii="Arial" w:cs="Arial" w:eastAsia="Arial" w:hAnsi="Arial"/>
          <w:sz w:val="17"/>
          <w:szCs w:val="17"/>
          <w:b w:val="1"/>
          <w:bCs w:val="1"/>
          <w:color w:val="auto"/>
        </w:rPr>
        <w:t>Commission file number: 033-90866</w:t>
      </w:r>
    </w:p>
    <w:p>
      <w:pPr>
        <w:spacing w:after="0" w:line="68" w:lineRule="exact"/>
        <w:rPr>
          <w:sz w:val="24"/>
          <w:szCs w:val="24"/>
          <w:color w:val="auto"/>
        </w:rPr>
      </w:pPr>
    </w:p>
    <w:p>
      <w:pPr>
        <w:ind w:left="4080"/>
        <w:spacing w:after="0"/>
        <w:rPr>
          <w:sz w:val="20"/>
          <w:szCs w:val="20"/>
          <w:color w:val="auto"/>
        </w:rPr>
      </w:pPr>
      <w:r>
        <w:rPr>
          <w:rFonts w:ascii="Arial" w:cs="Arial" w:eastAsia="Arial" w:hAnsi="Arial"/>
          <w:sz w:val="17"/>
          <w:szCs w:val="17"/>
          <w:color w:val="auto"/>
        </w:rPr>
        <w:t>____________________________________</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WESTINGHOUSE AIR BRAKE TECHNOLOGIES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CORPORATION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8" w:lineRule="exact"/>
        <w:rPr>
          <w:sz w:val="24"/>
          <w:szCs w:val="24"/>
          <w:color w:val="auto"/>
        </w:rPr>
      </w:pPr>
    </w:p>
    <w:p>
      <w:pPr>
        <w:ind w:left="4080"/>
        <w:spacing w:after="0"/>
        <w:rPr>
          <w:sz w:val="20"/>
          <w:szCs w:val="20"/>
          <w:color w:val="auto"/>
        </w:rPr>
      </w:pPr>
      <w:r>
        <w:rPr>
          <w:rFonts w:ascii="Arial" w:cs="Arial" w:eastAsia="Arial" w:hAnsi="Arial"/>
          <w:sz w:val="17"/>
          <w:szCs w:val="17"/>
          <w:color w:val="auto"/>
        </w:rPr>
        <w:t>____________________________________</w:t>
      </w:r>
    </w:p>
    <w:p>
      <w:pPr>
        <w:sectPr>
          <w:pgSz w:w="11900" w:h="16838" w:orient="portrait"/>
          <w:cols w:equalWidth="0" w:num="1">
            <w:col w:w="11200"/>
          </w:cols>
          <w:pgMar w:left="320" w:top="1091" w:right="379" w:bottom="1440" w:gutter="0" w:footer="0" w:header="0"/>
          <w:type w:val="continuous"/>
        </w:sectPr>
      </w:pPr>
    </w:p>
    <w:p>
      <w:pPr>
        <w:spacing w:after="0" w:line="29" w:lineRule="exact"/>
        <w:rPr>
          <w:sz w:val="24"/>
          <w:szCs w:val="24"/>
          <w:color w:val="auto"/>
        </w:rPr>
      </w:pPr>
    </w:p>
    <w:p>
      <w:pPr>
        <w:ind w:left="248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25-1615902</w:t>
      </w:r>
    </w:p>
    <w:p>
      <w:pPr>
        <w:spacing w:after="0" w:line="54" w:lineRule="exact"/>
        <w:rPr>
          <w:sz w:val="24"/>
          <w:szCs w:val="24"/>
          <w:color w:val="auto"/>
        </w:rPr>
      </w:pPr>
    </w:p>
    <w:p>
      <w:pPr>
        <w:sectPr>
          <w:pgSz w:w="11900" w:h="16838" w:orient="portrait"/>
          <w:cols w:equalWidth="0" w:num="2">
            <w:col w:w="7320" w:space="720"/>
            <w:col w:w="3160"/>
          </w:cols>
          <w:pgMar w:left="320" w:top="1091" w:right="379" w:bottom="1440" w:gutter="0" w:footer="0" w:header="0"/>
          <w:type w:val="continuous"/>
        </w:sectPr>
      </w:pPr>
    </w:p>
    <w:p>
      <w:pPr>
        <w:ind w:left="1160"/>
        <w:spacing w:after="0"/>
        <w:rPr>
          <w:sz w:val="20"/>
          <w:szCs w:val="20"/>
          <w:color w:val="auto"/>
        </w:rPr>
      </w:pPr>
      <w:r>
        <w:rPr>
          <w:rFonts w:ascii="Arial" w:cs="Arial" w:eastAsia="Arial" w:hAnsi="Arial"/>
          <w:sz w:val="11"/>
          <w:szCs w:val="11"/>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85" w:lineRule="exact"/>
        <w:rPr>
          <w:sz w:val="24"/>
          <w:szCs w:val="24"/>
          <w:color w:val="auto"/>
        </w:rPr>
      </w:pPr>
    </w:p>
    <w:p>
      <w:pPr>
        <w:sectPr>
          <w:pgSz w:w="11900" w:h="16838" w:orient="portrait"/>
          <w:cols w:equalWidth="0" w:num="2">
            <w:col w:w="6720" w:space="720"/>
            <w:col w:w="3760"/>
          </w:cols>
          <w:pgMar w:left="320" w:top="1091" w:right="379" w:bottom="1440" w:gutter="0" w:footer="0" w:header="0"/>
          <w:type w:val="continuous"/>
        </w:sectPr>
      </w:pPr>
    </w:p>
    <w:p>
      <w:pPr>
        <w:ind w:left="1320"/>
        <w:spacing w:after="0"/>
        <w:rPr>
          <w:sz w:val="20"/>
          <w:szCs w:val="20"/>
          <w:color w:val="auto"/>
        </w:rPr>
      </w:pPr>
      <w:r>
        <w:rPr>
          <w:rFonts w:ascii="Arial" w:cs="Arial" w:eastAsia="Arial" w:hAnsi="Arial"/>
          <w:sz w:val="14"/>
          <w:szCs w:val="14"/>
          <w:b w:val="1"/>
          <w:bCs w:val="1"/>
          <w:color w:val="auto"/>
        </w:rPr>
        <w:t>30 Isabella Street Pittsburgh, Pennsylvania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15212</w:t>
      </w:r>
    </w:p>
    <w:p>
      <w:pPr>
        <w:spacing w:after="0" w:line="67" w:lineRule="exact"/>
        <w:rPr>
          <w:sz w:val="24"/>
          <w:szCs w:val="24"/>
          <w:color w:val="auto"/>
        </w:rPr>
      </w:pPr>
    </w:p>
    <w:p>
      <w:pPr>
        <w:sectPr>
          <w:pgSz w:w="11900" w:h="16838" w:orient="portrait"/>
          <w:cols w:equalWidth="0" w:num="2">
            <w:col w:w="7520" w:space="720"/>
            <w:col w:w="2960"/>
          </w:cols>
          <w:pgMar w:left="320" w:top="1091" w:right="37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26" w:lineRule="exact"/>
        <w:rPr>
          <w:sz w:val="24"/>
          <w:szCs w:val="24"/>
          <w:color w:val="auto"/>
        </w:rPr>
      </w:pPr>
    </w:p>
    <w:p>
      <w:pPr>
        <w:sectPr>
          <w:pgSz w:w="11900" w:h="16838" w:orient="portrait"/>
          <w:cols w:equalWidth="0" w:num="2">
            <w:col w:w="7440" w:space="720"/>
            <w:col w:w="3040"/>
          </w:cols>
          <w:pgMar w:left="320" w:top="1091" w:right="379" w:bottom="1440" w:gutter="0" w:footer="0" w:header="0"/>
          <w:type w:val="continuous"/>
        </w:sectPr>
      </w:pPr>
    </w:p>
    <w:p>
      <w:pPr>
        <w:jc w:val="center"/>
        <w:ind w:right="-59"/>
        <w:spacing w:after="0"/>
        <w:rPr>
          <w:sz w:val="20"/>
          <w:szCs w:val="20"/>
          <w:color w:val="auto"/>
        </w:rPr>
      </w:pPr>
      <w:r>
        <w:rPr>
          <w:rFonts w:ascii="Arial" w:cs="Arial" w:eastAsia="Arial" w:hAnsi="Arial"/>
          <w:sz w:val="17"/>
          <w:szCs w:val="17"/>
          <w:b w:val="1"/>
          <w:bCs w:val="1"/>
          <w:color w:val="auto"/>
        </w:rPr>
        <w:t>412-825-1000</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1"/>
          <w:szCs w:val="11"/>
          <w:b w:val="1"/>
          <w:bCs w:val="1"/>
          <w:color w:val="auto"/>
        </w:rPr>
        <w:t>(Registrant’s telephone number, including area code)</w:t>
      </w:r>
    </w:p>
    <w:p>
      <w:pPr>
        <w:sectPr>
          <w:pgSz w:w="11900" w:h="16838" w:orient="portrait"/>
          <w:cols w:equalWidth="0" w:num="1">
            <w:col w:w="11200"/>
          </w:cols>
          <w:pgMar w:left="320" w:top="1091" w:right="379" w:bottom="1440" w:gutter="0" w:footer="0" w:header="0"/>
          <w:type w:val="continuous"/>
        </w:sectPr>
      </w:pPr>
    </w:p>
    <w:p>
      <w:pPr>
        <w:spacing w:after="0" w:line="81"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Not applicable</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 w:lineRule="exact"/>
        <w:rPr>
          <w:sz w:val="24"/>
          <w:szCs w:val="24"/>
          <w:color w:val="auto"/>
        </w:rPr>
      </w:pPr>
    </w:p>
    <w:p>
      <w:pPr>
        <w:ind w:left="4080"/>
        <w:spacing w:after="0"/>
        <w:rPr>
          <w:sz w:val="20"/>
          <w:szCs w:val="20"/>
          <w:color w:val="auto"/>
        </w:rPr>
      </w:pPr>
      <w:r>
        <w:rPr>
          <w:rFonts w:ascii="Arial" w:cs="Arial" w:eastAsia="Arial" w:hAnsi="Arial"/>
          <w:sz w:val="17"/>
          <w:szCs w:val="17"/>
          <w:color w:val="auto"/>
        </w:rPr>
        <w:t>____________________________________</w:t>
      </w:r>
    </w:p>
    <w:p>
      <w:pPr>
        <w:spacing w:after="0" w:line="99" w:lineRule="exact"/>
        <w:rPr>
          <w:sz w:val="24"/>
          <w:szCs w:val="24"/>
          <w:color w:val="auto"/>
        </w:rPr>
      </w:pPr>
    </w:p>
    <w:p>
      <w:pPr>
        <w:ind w:left="460"/>
        <w:spacing w:after="0"/>
        <w:rPr>
          <w:sz w:val="20"/>
          <w:szCs w:val="20"/>
          <w:color w:val="auto"/>
        </w:rPr>
      </w:pPr>
      <w:r>
        <w:rPr>
          <w:rFonts w:ascii="Arial" w:cs="Arial" w:eastAsia="Arial" w:hAnsi="Arial"/>
          <w:sz w:val="15"/>
          <w:szCs w:val="15"/>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195"/>
        </w:trPr>
        <w:tc>
          <w:tcPr>
            <w:tcW w:w="4280" w:type="dxa"/>
            <w:vAlign w:val="bottom"/>
            <w:tcBorders>
              <w:top w:val="single" w:sz="8" w:color="auto"/>
              <w:left w:val="single" w:sz="8" w:color="auto"/>
            </w:tcBorders>
          </w:tcPr>
          <w:p>
            <w:pPr>
              <w:ind w:left="2240"/>
              <w:spacing w:after="0"/>
              <w:rPr>
                <w:sz w:val="20"/>
                <w:szCs w:val="20"/>
                <w:color w:val="auto"/>
              </w:rPr>
            </w:pPr>
            <w:r>
              <w:rPr>
                <w:rFonts w:ascii="Arial" w:cs="Arial" w:eastAsia="Arial" w:hAnsi="Arial"/>
                <w:sz w:val="14"/>
                <w:szCs w:val="14"/>
                <w:b w:val="1"/>
                <w:bCs w:val="1"/>
                <w:color w:val="auto"/>
              </w:rPr>
              <w:t>Class</w:t>
            </w:r>
          </w:p>
        </w:tc>
        <w:tc>
          <w:tcPr>
            <w:tcW w:w="2520" w:type="dxa"/>
            <w:vAlign w:val="bottom"/>
            <w:tcBorders>
              <w:top w:val="single" w:sz="8" w:color="auto"/>
            </w:tcBorders>
          </w:tcPr>
          <w:p>
            <w:pPr>
              <w:ind w:left="740"/>
              <w:spacing w:after="0"/>
              <w:rPr>
                <w:sz w:val="20"/>
                <w:szCs w:val="20"/>
                <w:color w:val="auto"/>
              </w:rPr>
            </w:pPr>
            <w:r>
              <w:rPr>
                <w:rFonts w:ascii="Arial" w:cs="Arial" w:eastAsia="Arial" w:hAnsi="Arial"/>
                <w:sz w:val="14"/>
                <w:szCs w:val="14"/>
                <w:b w:val="1"/>
                <w:bCs w:val="1"/>
                <w:color w:val="auto"/>
              </w:rPr>
              <w:t>Trading Symbol(s)</w:t>
            </w:r>
          </w:p>
        </w:tc>
        <w:tc>
          <w:tcPr>
            <w:tcW w:w="4380" w:type="dxa"/>
            <w:vAlign w:val="bottom"/>
            <w:tcBorders>
              <w:top w:val="single" w:sz="8" w:color="auto"/>
              <w:right w:val="single" w:sz="8" w:color="auto"/>
            </w:tcBorders>
          </w:tcPr>
          <w:p>
            <w:pPr>
              <w:jc w:val="center"/>
              <w:ind w:right="409"/>
              <w:spacing w:after="0"/>
              <w:rPr>
                <w:sz w:val="20"/>
                <w:szCs w:val="20"/>
                <w:color w:val="auto"/>
              </w:rPr>
            </w:pPr>
            <w:r>
              <w:rPr>
                <w:rFonts w:ascii="Arial" w:cs="Arial" w:eastAsia="Arial" w:hAnsi="Arial"/>
                <w:sz w:val="14"/>
                <w:szCs w:val="14"/>
                <w:b w:val="1"/>
                <w:bCs w:val="1"/>
                <w:color w:val="auto"/>
                <w:w w:val="85"/>
              </w:rPr>
              <w:t>Name of each exchange on which registered</w:t>
            </w:r>
          </w:p>
        </w:tc>
      </w:tr>
      <w:tr>
        <w:trPr>
          <w:trHeight w:val="24"/>
        </w:trPr>
        <w:tc>
          <w:tcPr>
            <w:tcW w:w="4280" w:type="dxa"/>
            <w:vAlign w:val="bottom"/>
            <w:tcBorders>
              <w:left w:val="single" w:sz="8" w:color="auto"/>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r>
      <w:tr>
        <w:trPr>
          <w:trHeight w:val="183"/>
        </w:trPr>
        <w:tc>
          <w:tcPr>
            <w:tcW w:w="4280" w:type="dxa"/>
            <w:vAlign w:val="bottom"/>
            <w:tcBorders>
              <w:left w:val="single" w:sz="8" w:color="auto"/>
              <w:bottom w:val="single" w:sz="8" w:color="auto"/>
            </w:tcBorders>
          </w:tcPr>
          <w:p>
            <w:pPr>
              <w:ind w:left="1140"/>
              <w:spacing w:after="0"/>
              <w:rPr>
                <w:sz w:val="20"/>
                <w:szCs w:val="20"/>
                <w:color w:val="auto"/>
              </w:rPr>
            </w:pPr>
            <w:r>
              <w:rPr>
                <w:rFonts w:ascii="Arial" w:cs="Arial" w:eastAsia="Arial" w:hAnsi="Arial"/>
                <w:sz w:val="15"/>
                <w:szCs w:val="15"/>
                <w:color w:val="auto"/>
              </w:rPr>
              <w:t>Common Stock, $.01 par value per share</w:t>
            </w:r>
          </w:p>
        </w:tc>
        <w:tc>
          <w:tcPr>
            <w:tcW w:w="2520" w:type="dxa"/>
            <w:vAlign w:val="bottom"/>
            <w:tcBorders>
              <w:bottom w:val="single" w:sz="8" w:color="auto"/>
            </w:tcBorders>
          </w:tcPr>
          <w:p>
            <w:pPr>
              <w:ind w:left="1040"/>
              <w:spacing w:after="0"/>
              <w:rPr>
                <w:sz w:val="20"/>
                <w:szCs w:val="20"/>
                <w:color w:val="auto"/>
              </w:rPr>
            </w:pPr>
            <w:r>
              <w:rPr>
                <w:rFonts w:ascii="Arial" w:cs="Arial" w:eastAsia="Arial" w:hAnsi="Arial"/>
                <w:sz w:val="15"/>
                <w:szCs w:val="15"/>
                <w:color w:val="auto"/>
              </w:rPr>
              <w:t>WAB</w:t>
            </w:r>
          </w:p>
        </w:tc>
        <w:tc>
          <w:tcPr>
            <w:tcW w:w="4380" w:type="dxa"/>
            <w:vAlign w:val="bottom"/>
            <w:tcBorders>
              <w:bottom w:val="single" w:sz="8" w:color="auto"/>
              <w:right w:val="single" w:sz="8" w:color="auto"/>
            </w:tcBorders>
          </w:tcPr>
          <w:p>
            <w:pPr>
              <w:jc w:val="center"/>
              <w:ind w:right="409"/>
              <w:spacing w:after="0"/>
              <w:rPr>
                <w:sz w:val="20"/>
                <w:szCs w:val="20"/>
                <w:color w:val="auto"/>
              </w:rPr>
            </w:pPr>
            <w:r>
              <w:rPr>
                <w:rFonts w:ascii="Arial" w:cs="Arial" w:eastAsia="Arial" w:hAnsi="Arial"/>
                <w:sz w:val="15"/>
                <w:szCs w:val="15"/>
                <w:color w:val="auto"/>
                <w:w w:val="88"/>
              </w:rPr>
              <w:t>New York Stock Exchange</w:t>
            </w:r>
          </w:p>
        </w:tc>
      </w:tr>
    </w:tbl>
    <w:p>
      <w:pPr>
        <w:spacing w:after="0" w:line="85" w:lineRule="exact"/>
        <w:rPr>
          <w:sz w:val="24"/>
          <w:szCs w:val="24"/>
          <w:color w:val="auto"/>
        </w:rPr>
      </w:pPr>
    </w:p>
    <w:p>
      <w:pPr>
        <w:ind w:right="220" w:firstLine="464"/>
        <w:spacing w:after="0" w:line="18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ind w:right="100" w:firstLine="464"/>
        <w:spacing w:after="0" w:line="18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ind w:right="420" w:firstLine="464"/>
        <w:spacing w:after="0" w:line="26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1091" w:right="379" w:bottom="1440" w:gutter="0" w:footer="0" w:header="0"/>
          <w:type w:val="continuous"/>
        </w:sectPr>
      </w:pPr>
    </w:p>
    <w:p>
      <w:pPr>
        <w:spacing w:after="0" w:line="38" w:lineRule="exact"/>
        <w:rPr>
          <w:sz w:val="24"/>
          <w:szCs w:val="24"/>
          <w:color w:val="auto"/>
        </w:rPr>
      </w:pPr>
    </w:p>
    <w:p>
      <w:pPr>
        <w:ind w:left="20" w:right="140"/>
        <w:spacing w:after="0" w:line="369" w:lineRule="auto"/>
        <w:rPr>
          <w:sz w:val="20"/>
          <w:szCs w:val="20"/>
          <w:color w:val="auto"/>
        </w:rPr>
      </w:pPr>
      <w:r>
        <w:rPr>
          <w:rFonts w:ascii="Arial" w:cs="Arial" w:eastAsia="Arial" w:hAnsi="Arial"/>
          <w:sz w:val="13"/>
          <w:szCs w:val="13"/>
          <w:color w:val="auto"/>
        </w:rPr>
        <w:t>Large accelerated filer Emerging growth company</w:t>
      </w:r>
    </w:p>
    <w:p>
      <w:pPr>
        <w:spacing w:after="0" w:line="20" w:lineRule="exact"/>
        <w:rPr>
          <w:sz w:val="24"/>
          <w:szCs w:val="24"/>
          <w:color w:val="auto"/>
        </w:rPr>
      </w:pPr>
      <w:r>
        <w:rPr>
          <w:sz w:val="24"/>
          <w:szCs w:val="24"/>
          <w:color w:val="auto"/>
        </w:rPr>
        <w:br w:type="column"/>
      </w:r>
    </w:p>
    <w:p>
      <w:pPr>
        <w:spacing w:after="0" w:line="92" w:lineRule="exact"/>
        <w:rPr>
          <w:sz w:val="20"/>
          <w:szCs w:val="20"/>
          <w:color w:val="auto"/>
        </w:rPr>
      </w:pPr>
      <w:r>
        <w:rPr>
          <w:rFonts w:ascii="MS PGothic" w:cs="MS PGothic" w:eastAsia="MS PGothic" w:hAnsi="MS PGothic"/>
          <w:sz w:val="11"/>
          <w:szCs w:val="11"/>
          <w:color w:val="auto"/>
        </w:rPr>
        <w:t>☒</w:t>
      </w:r>
    </w:p>
    <w:p>
      <w:pPr>
        <w:spacing w:after="0" w:line="127" w:lineRule="exact"/>
        <w:rPr>
          <w:sz w:val="24"/>
          <w:szCs w:val="24"/>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201"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92" w:lineRule="exact"/>
        <w:rPr>
          <w:sz w:val="20"/>
          <w:szCs w:val="20"/>
          <w:color w:val="auto"/>
        </w:rPr>
      </w:pPr>
      <w:r>
        <w:rPr>
          <w:rFonts w:ascii="MS PGothic" w:cs="MS PGothic" w:eastAsia="MS PGothic" w:hAnsi="MS PGothic"/>
          <w:sz w:val="11"/>
          <w:szCs w:val="11"/>
          <w:color w:val="auto"/>
        </w:rPr>
        <w:t>☐</w:t>
      </w:r>
    </w:p>
    <w:p>
      <w:pPr>
        <w:spacing w:after="0" w:line="398" w:lineRule="exact"/>
        <w:rPr>
          <w:sz w:val="24"/>
          <w:szCs w:val="24"/>
          <w:color w:val="auto"/>
        </w:rPr>
      </w:pPr>
    </w:p>
    <w:p>
      <w:pPr>
        <w:sectPr>
          <w:pgSz w:w="11900" w:h="16838" w:orient="portrait"/>
          <w:cols w:equalWidth="0" w:num="5">
            <w:col w:w="1760" w:space="720"/>
            <w:col w:w="120" w:space="340"/>
            <w:col w:w="1680" w:space="720"/>
            <w:col w:w="1700" w:space="660"/>
            <w:col w:w="3500"/>
          </w:cols>
          <w:pgMar w:left="320" w:top="1091" w:right="379" w:bottom="1440" w:gutter="0" w:footer="0" w:header="0"/>
          <w:type w:val="continuous"/>
        </w:sectPr>
      </w:pPr>
    </w:p>
    <w:p>
      <w:pPr>
        <w:ind w:firstLine="464"/>
        <w:spacing w:after="0" w:line="18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460" w:right="3440"/>
        <w:spacing w:after="0" w:line="176"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the number of shares outstanding of each of the issuer’s classes of common stock, as of the latest practicable date.</w:t>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As of July 21, 2023, there were 179,130,334 shares of common stock, par value $.01 per share,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772795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32385</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64770</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00"/>
          </w:cols>
          <w:pgMar w:left="320" w:top="1091" w:right="3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WESTINGHOUSE AIR BRAKE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TECHNOLOGIES CORPORATION</w:t>
      </w:r>
    </w:p>
    <w:p>
      <w:pPr>
        <w:spacing w:after="0" w:line="97"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June 30, 2023</w:t>
      </w:r>
    </w:p>
    <w:p>
      <w:pPr>
        <w:spacing w:after="0" w:line="75" w:lineRule="exact"/>
        <w:rPr>
          <w:sz w:val="20"/>
          <w:szCs w:val="20"/>
          <w:color w:val="auto"/>
        </w:rPr>
      </w:pPr>
    </w:p>
    <w:p>
      <w:pPr>
        <w:ind w:left="5120"/>
        <w:spacing w:after="0"/>
        <w:rPr>
          <w:sz w:val="20"/>
          <w:szCs w:val="20"/>
          <w:color w:val="auto"/>
        </w:rPr>
      </w:pPr>
      <w:r>
        <w:rPr>
          <w:rFonts w:ascii="Arial" w:cs="Arial" w:eastAsia="Arial" w:hAnsi="Arial"/>
          <w:sz w:val="17"/>
          <w:szCs w:val="17"/>
          <w:b w:val="1"/>
          <w:bCs w:val="1"/>
          <w:color w:val="auto"/>
        </w:rPr>
        <w:t>FORM 10-Q</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jc w:val="right"/>
              <w:ind w:right="7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4"/>
        </w:trPr>
        <w:tc>
          <w:tcPr>
            <w:tcW w:w="1020" w:type="dxa"/>
            <w:vAlign w:val="bottom"/>
          </w:tcPr>
          <w:p>
            <w:pPr>
              <w:spacing w:after="0"/>
              <w:rPr>
                <w:sz w:val="2"/>
                <w:szCs w:val="2"/>
                <w:color w:val="auto"/>
              </w:rPr>
            </w:pPr>
          </w:p>
        </w:tc>
        <w:tc>
          <w:tcPr>
            <w:tcW w:w="9520" w:type="dxa"/>
            <w:vAlign w:val="bottom"/>
            <w:gridSpan w:val="16"/>
            <w:vMerge w:val="restart"/>
          </w:tcPr>
          <w:p>
            <w:pPr>
              <w:ind w:left="20"/>
              <w:spacing w:after="0"/>
              <w:rPr>
                <w:sz w:val="20"/>
                <w:szCs w:val="20"/>
                <w:color w:val="auto"/>
              </w:rPr>
            </w:pPr>
            <w:r>
              <w:rPr>
                <w:rFonts w:ascii="Arial" w:cs="Arial" w:eastAsia="Arial" w:hAnsi="Arial"/>
                <w:sz w:val="17"/>
                <w:szCs w:val="17"/>
                <w:b w:val="1"/>
                <w:bCs w:val="1"/>
                <w:color w:val="auto"/>
              </w:rPr>
              <w:t>PART I—FINANCIAL INFORMATION</w:t>
            </w: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9520" w:type="dxa"/>
            <w:vAlign w:val="bottom"/>
            <w:gridSpan w:val="16"/>
            <w:vMerge w:val="continue"/>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10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1020" w:type="dxa"/>
            <w:vAlign w:val="bottom"/>
            <w:tcBorders>
              <w:bottom w:val="single" w:sz="8" w:color="CCEEFF"/>
            </w:tcBorders>
            <w:shd w:val="clear" w:color="auto" w:fill="CCEEFF"/>
          </w:tcPr>
          <w:p>
            <w:pPr>
              <w:ind w:left="60"/>
              <w:spacing w:after="0" w:line="180" w:lineRule="exact"/>
              <w:rPr>
                <w:sz w:val="20"/>
                <w:szCs w:val="20"/>
                <w:color w:val="auto"/>
              </w:rPr>
            </w:pPr>
            <w:r>
              <w:rPr>
                <w:rFonts w:ascii="Arial" w:cs="Arial" w:eastAsia="Arial" w:hAnsi="Arial"/>
                <w:sz w:val="17"/>
                <w:szCs w:val="17"/>
                <w:color w:val="auto"/>
              </w:rPr>
              <w:t>Item 1.</w:t>
            </w:r>
          </w:p>
        </w:tc>
        <w:tc>
          <w:tcPr>
            <w:tcW w:w="2400" w:type="dxa"/>
            <w:vAlign w:val="bottom"/>
            <w:tcBorders>
              <w:bottom w:val="single" w:sz="8" w:color="0000FF"/>
            </w:tcBorders>
            <w:gridSpan w:val="6"/>
            <w:shd w:val="clear" w:color="auto" w:fill="CCEEFF"/>
          </w:tcPr>
          <w:p>
            <w:pPr>
              <w:spacing w:after="0" w:line="180" w:lineRule="exact"/>
              <w:rPr>
                <w:sz w:val="20"/>
                <w:szCs w:val="20"/>
                <w:color w:val="auto"/>
              </w:rPr>
            </w:pPr>
            <w:r>
              <w:rPr>
                <w:rFonts w:ascii="Arial" w:cs="Arial" w:eastAsia="Arial" w:hAnsi="Arial"/>
                <w:sz w:val="17"/>
                <w:szCs w:val="17"/>
                <w:color w:val="0000FF"/>
                <w:w w:val="90"/>
              </w:rPr>
              <w:t>Financial Statements - (Unaudited)</w:t>
            </w:r>
          </w:p>
        </w:tc>
        <w:tc>
          <w:tcPr>
            <w:tcW w:w="7120" w:type="dxa"/>
            <w:vAlign w:val="bottom"/>
            <w:tcBorders>
              <w:bottom w:val="single" w:sz="8" w:color="CCEEFF"/>
            </w:tcBorders>
            <w:gridSpan w:val="10"/>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line="180" w:lineRule="exact"/>
              <w:rPr>
                <w:sz w:val="20"/>
                <w:szCs w:val="20"/>
                <w:color w:val="auto"/>
              </w:rPr>
            </w:pPr>
            <w:r>
              <w:rPr>
                <w:rFonts w:ascii="Arial" w:cs="Arial" w:eastAsia="Arial" w:hAnsi="Arial"/>
                <w:sz w:val="17"/>
                <w:szCs w:val="17"/>
                <w:color w:val="0000FF"/>
              </w:rPr>
              <w:t>3</w:t>
            </w:r>
          </w:p>
        </w:tc>
        <w:tc>
          <w:tcPr>
            <w:tcW w:w="0" w:type="dxa"/>
            <w:vAlign w:val="bottom"/>
          </w:tcPr>
          <w:p>
            <w:pPr>
              <w:spacing w:after="0"/>
              <w:rPr>
                <w:sz w:val="1"/>
                <w:szCs w:val="1"/>
                <w:color w:val="auto"/>
              </w:rPr>
            </w:pPr>
          </w:p>
        </w:tc>
      </w:tr>
      <w:tr>
        <w:trPr>
          <w:trHeight w:val="190"/>
        </w:trPr>
        <w:tc>
          <w:tcPr>
            <w:tcW w:w="1020" w:type="dxa"/>
            <w:vAlign w:val="bottom"/>
          </w:tcPr>
          <w:p>
            <w:pPr>
              <w:spacing w:after="0"/>
              <w:rPr>
                <w:sz w:val="16"/>
                <w:szCs w:val="16"/>
                <w:color w:val="auto"/>
              </w:rPr>
            </w:pPr>
          </w:p>
        </w:tc>
        <w:tc>
          <w:tcPr>
            <w:tcW w:w="5860" w:type="dxa"/>
            <w:vAlign w:val="bottom"/>
            <w:tcBorders>
              <w:bottom w:val="single" w:sz="8" w:color="0000FF"/>
            </w:tcBorders>
            <w:gridSpan w:val="10"/>
          </w:tcPr>
          <w:p>
            <w:pPr>
              <w:spacing w:after="0" w:line="180" w:lineRule="exact"/>
              <w:rPr>
                <w:sz w:val="20"/>
                <w:szCs w:val="20"/>
                <w:color w:val="auto"/>
              </w:rPr>
            </w:pPr>
            <w:r>
              <w:rPr>
                <w:rFonts w:ascii="Arial" w:cs="Arial" w:eastAsia="Arial" w:hAnsi="Arial"/>
                <w:sz w:val="17"/>
                <w:szCs w:val="17"/>
                <w:color w:val="0000FF"/>
                <w:w w:val="89"/>
              </w:rPr>
              <w:t>Condensed Consolidated Balance Sheets as of June 30, 2023 and December 31, 2022</w:t>
            </w:r>
          </w:p>
        </w:tc>
        <w:tc>
          <w:tcPr>
            <w:tcW w:w="3660" w:type="dxa"/>
            <w:vAlign w:val="bottom"/>
            <w:gridSpan w:val="6"/>
          </w:tcPr>
          <w:p>
            <w:pPr>
              <w:spacing w:after="0"/>
              <w:rPr>
                <w:sz w:val="16"/>
                <w:szCs w:val="16"/>
                <w:color w:val="auto"/>
              </w:rPr>
            </w:pPr>
          </w:p>
        </w:tc>
        <w:tc>
          <w:tcPr>
            <w:tcW w:w="620" w:type="dxa"/>
            <w:vAlign w:val="bottom"/>
          </w:tcPr>
          <w:p>
            <w:pPr>
              <w:jc w:val="right"/>
              <w:spacing w:after="0" w:line="180" w:lineRule="exact"/>
              <w:rPr>
                <w:sz w:val="20"/>
                <w:szCs w:val="20"/>
                <w:color w:val="auto"/>
              </w:rPr>
            </w:pPr>
            <w:r>
              <w:rPr>
                <w:rFonts w:ascii="Arial" w:cs="Arial" w:eastAsia="Arial" w:hAnsi="Arial"/>
                <w:sz w:val="17"/>
                <w:szCs w:val="17"/>
                <w:color w:val="0000FF"/>
              </w:rPr>
              <w:t>3</w:t>
            </w:r>
          </w:p>
        </w:tc>
        <w:tc>
          <w:tcPr>
            <w:tcW w:w="0" w:type="dxa"/>
            <w:vAlign w:val="bottom"/>
          </w:tcPr>
          <w:p>
            <w:pPr>
              <w:spacing w:after="0"/>
              <w:rPr>
                <w:sz w:val="1"/>
                <w:szCs w:val="1"/>
                <w:color w:val="auto"/>
              </w:rPr>
            </w:pPr>
          </w:p>
        </w:tc>
      </w:tr>
      <w:tr>
        <w:trPr>
          <w:trHeight w:val="190"/>
        </w:trPr>
        <w:tc>
          <w:tcPr>
            <w:tcW w:w="1020" w:type="dxa"/>
            <w:vAlign w:val="bottom"/>
            <w:shd w:val="clear" w:color="auto" w:fill="CCEEFF"/>
          </w:tcPr>
          <w:p>
            <w:pPr>
              <w:spacing w:after="0"/>
              <w:rPr>
                <w:sz w:val="16"/>
                <w:szCs w:val="16"/>
                <w:color w:val="auto"/>
              </w:rPr>
            </w:pPr>
          </w:p>
        </w:tc>
        <w:tc>
          <w:tcPr>
            <w:tcW w:w="9520" w:type="dxa"/>
            <w:vAlign w:val="bottom"/>
            <w:gridSpan w:val="16"/>
            <w:shd w:val="clear" w:color="auto" w:fill="CCEEFF"/>
          </w:tcPr>
          <w:p>
            <w:pPr>
              <w:spacing w:after="0" w:line="190" w:lineRule="exact"/>
              <w:rPr>
                <w:sz w:val="20"/>
                <w:szCs w:val="20"/>
                <w:color w:val="auto"/>
              </w:rPr>
            </w:pPr>
            <w:r>
              <w:rPr>
                <w:rFonts w:ascii="Arial" w:cs="Arial" w:eastAsia="Arial" w:hAnsi="Arial"/>
                <w:sz w:val="17"/>
                <w:szCs w:val="17"/>
                <w:color w:val="0000FF"/>
              </w:rPr>
              <w:t>Condensed Consolidated Statements of Income for the three and six months ended June 30, 2023 and 2022</w:t>
            </w:r>
          </w:p>
        </w:tc>
        <w:tc>
          <w:tcPr>
            <w:tcW w:w="62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0000FF"/>
              </w:rPr>
              <w:t>4</w:t>
            </w:r>
          </w:p>
        </w:tc>
        <w:tc>
          <w:tcPr>
            <w:tcW w:w="0" w:type="dxa"/>
            <w:vAlign w:val="bottom"/>
          </w:tcPr>
          <w:p>
            <w:pPr>
              <w:spacing w:after="0"/>
              <w:rPr>
                <w:sz w:val="1"/>
                <w:szCs w:val="1"/>
                <w:color w:val="auto"/>
              </w:rPr>
            </w:pPr>
          </w:p>
        </w:tc>
      </w:tr>
      <w:tr>
        <w:trPr>
          <w:trHeight w:val="32"/>
        </w:trPr>
        <w:tc>
          <w:tcPr>
            <w:tcW w:w="10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14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72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82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1020" w:type="dxa"/>
            <w:vAlign w:val="bottom"/>
          </w:tcPr>
          <w:p>
            <w:pPr>
              <w:spacing w:after="0"/>
              <w:rPr>
                <w:sz w:val="16"/>
                <w:szCs w:val="16"/>
                <w:color w:val="auto"/>
              </w:rPr>
            </w:pPr>
          </w:p>
        </w:tc>
        <w:tc>
          <w:tcPr>
            <w:tcW w:w="9520" w:type="dxa"/>
            <w:vAlign w:val="bottom"/>
            <w:gridSpan w:val="16"/>
          </w:tcPr>
          <w:p>
            <w:pPr>
              <w:spacing w:after="0" w:line="180" w:lineRule="exact"/>
              <w:rPr>
                <w:sz w:val="20"/>
                <w:szCs w:val="20"/>
                <w:color w:val="auto"/>
              </w:rPr>
            </w:pPr>
            <w:r>
              <w:rPr>
                <w:rFonts w:ascii="Arial" w:cs="Arial" w:eastAsia="Arial" w:hAnsi="Arial"/>
                <w:sz w:val="17"/>
                <w:szCs w:val="17"/>
                <w:color w:val="0000FF"/>
              </w:rPr>
              <w:t>Condensed Consolidated Statements of Comprehensive Income for the three and six months ended June 30, 2023 and 2022</w:t>
            </w:r>
          </w:p>
        </w:tc>
        <w:tc>
          <w:tcPr>
            <w:tcW w:w="620" w:type="dxa"/>
            <w:vAlign w:val="bottom"/>
          </w:tcPr>
          <w:p>
            <w:pPr>
              <w:jc w:val="right"/>
              <w:spacing w:after="0" w:line="180" w:lineRule="exact"/>
              <w:rPr>
                <w:sz w:val="20"/>
                <w:szCs w:val="20"/>
                <w:color w:val="auto"/>
              </w:rPr>
            </w:pPr>
            <w:r>
              <w:rPr>
                <w:rFonts w:ascii="Arial" w:cs="Arial" w:eastAsia="Arial" w:hAnsi="Arial"/>
                <w:sz w:val="17"/>
                <w:szCs w:val="17"/>
                <w:color w:val="0000FF"/>
              </w:rPr>
              <w:t>5</w:t>
            </w:r>
          </w:p>
        </w:tc>
        <w:tc>
          <w:tcPr>
            <w:tcW w:w="0" w:type="dxa"/>
            <w:vAlign w:val="bottom"/>
          </w:tcPr>
          <w:p>
            <w:pPr>
              <w:spacing w:after="0"/>
              <w:rPr>
                <w:sz w:val="1"/>
                <w:szCs w:val="1"/>
                <w:color w:val="auto"/>
              </w:rPr>
            </w:pPr>
          </w:p>
        </w:tc>
      </w:tr>
      <w:tr>
        <w:trPr>
          <w:trHeight w:val="208"/>
        </w:trPr>
        <w:tc>
          <w:tcPr>
            <w:tcW w:w="1020" w:type="dxa"/>
            <w:vAlign w:val="bottom"/>
            <w:tcBorders>
              <w:bottom w:val="single" w:sz="8" w:color="CCEEFF"/>
            </w:tcBorders>
            <w:shd w:val="clear" w:color="auto" w:fill="CCEEFF"/>
          </w:tcPr>
          <w:p>
            <w:pPr>
              <w:spacing w:after="0"/>
              <w:rPr>
                <w:sz w:val="18"/>
                <w:szCs w:val="18"/>
                <w:color w:val="auto"/>
              </w:rPr>
            </w:pPr>
          </w:p>
        </w:tc>
        <w:tc>
          <w:tcPr>
            <w:tcW w:w="6960" w:type="dxa"/>
            <w:vAlign w:val="bottom"/>
            <w:tcBorders>
              <w:top w:val="single" w:sz="8" w:color="0000FF"/>
              <w:bottom w:val="single" w:sz="8" w:color="0000FF"/>
            </w:tcBorders>
            <w:gridSpan w:val="12"/>
            <w:shd w:val="clear" w:color="auto" w:fill="CCEEFF"/>
          </w:tcPr>
          <w:p>
            <w:pPr>
              <w:spacing w:after="0" w:line="190" w:lineRule="exact"/>
              <w:rPr>
                <w:sz w:val="20"/>
                <w:szCs w:val="20"/>
                <w:color w:val="auto"/>
              </w:rPr>
            </w:pPr>
            <w:r>
              <w:rPr>
                <w:rFonts w:ascii="Arial" w:cs="Arial" w:eastAsia="Arial" w:hAnsi="Arial"/>
                <w:sz w:val="17"/>
                <w:szCs w:val="17"/>
                <w:color w:val="0000FF"/>
                <w:w w:val="89"/>
              </w:rPr>
              <w:t>Condensed Consolidated Statements of Cash Flows for the six months ended June 30, 2023 and 2022</w:t>
            </w:r>
          </w:p>
        </w:tc>
        <w:tc>
          <w:tcPr>
            <w:tcW w:w="1500" w:type="dxa"/>
            <w:vAlign w:val="bottom"/>
            <w:tcBorders>
              <w:top w:val="single" w:sz="8" w:color="0000FF"/>
              <w:bottom w:val="single" w:sz="8" w:color="CCEEFF"/>
            </w:tcBorders>
            <w:gridSpan w:val="3"/>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7"/>
                <w:szCs w:val="17"/>
                <w:color w:val="0000FF"/>
              </w:rPr>
              <w:t>6</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9520" w:type="dxa"/>
            <w:vAlign w:val="bottom"/>
            <w:gridSpan w:val="16"/>
          </w:tcPr>
          <w:p>
            <w:pPr>
              <w:spacing w:after="0" w:line="180" w:lineRule="exact"/>
              <w:rPr>
                <w:sz w:val="20"/>
                <w:szCs w:val="20"/>
                <w:color w:val="auto"/>
              </w:rPr>
            </w:pPr>
            <w:r>
              <w:rPr>
                <w:rFonts w:ascii="Arial" w:cs="Arial" w:eastAsia="Arial" w:hAnsi="Arial"/>
                <w:sz w:val="17"/>
                <w:szCs w:val="17"/>
                <w:color w:val="0000FF"/>
              </w:rPr>
              <w:t>Condensed Consolidated Statements of Shareholders' Equity for the three and six months ended June 30, 2023 and 2022</w:t>
            </w:r>
          </w:p>
        </w:tc>
        <w:tc>
          <w:tcPr>
            <w:tcW w:w="620" w:type="dxa"/>
            <w:vAlign w:val="bottom"/>
          </w:tcPr>
          <w:p>
            <w:pPr>
              <w:jc w:val="right"/>
              <w:spacing w:after="0" w:line="180" w:lineRule="exact"/>
              <w:rPr>
                <w:sz w:val="20"/>
                <w:szCs w:val="20"/>
                <w:color w:val="auto"/>
              </w:rPr>
            </w:pPr>
            <w:r>
              <w:rPr>
                <w:rFonts w:ascii="Arial" w:cs="Arial" w:eastAsia="Arial" w:hAnsi="Arial"/>
                <w:sz w:val="17"/>
                <w:szCs w:val="17"/>
                <w:color w:val="0000FF"/>
              </w:rPr>
              <w:t>7</w:t>
            </w:r>
          </w:p>
        </w:tc>
        <w:tc>
          <w:tcPr>
            <w:tcW w:w="0" w:type="dxa"/>
            <w:vAlign w:val="bottom"/>
          </w:tcPr>
          <w:p>
            <w:pPr>
              <w:spacing w:after="0"/>
              <w:rPr>
                <w:sz w:val="1"/>
                <w:szCs w:val="1"/>
                <w:color w:val="auto"/>
              </w:rPr>
            </w:pPr>
          </w:p>
        </w:tc>
      </w:tr>
      <w:tr>
        <w:trPr>
          <w:trHeight w:val="32"/>
        </w:trPr>
        <w:tc>
          <w:tcPr>
            <w:tcW w:w="10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7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92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020" w:type="dxa"/>
            <w:vAlign w:val="bottom"/>
            <w:shd w:val="clear" w:color="auto" w:fill="CCEEFF"/>
          </w:tcPr>
          <w:p>
            <w:pPr>
              <w:spacing w:after="0"/>
              <w:rPr>
                <w:sz w:val="15"/>
                <w:szCs w:val="15"/>
                <w:color w:val="auto"/>
              </w:rPr>
            </w:pPr>
          </w:p>
        </w:tc>
        <w:tc>
          <w:tcPr>
            <w:tcW w:w="9520" w:type="dxa"/>
            <w:vAlign w:val="bottom"/>
            <w:gridSpan w:val="16"/>
            <w:shd w:val="clear" w:color="auto" w:fill="CCEEFF"/>
          </w:tcPr>
          <w:p>
            <w:pPr>
              <w:spacing w:after="0" w:line="180" w:lineRule="exact"/>
              <w:rPr>
                <w:sz w:val="20"/>
                <w:szCs w:val="20"/>
                <w:color w:val="auto"/>
              </w:rPr>
            </w:pPr>
            <w:r>
              <w:rPr>
                <w:rFonts w:ascii="Arial" w:cs="Arial" w:eastAsia="Arial" w:hAnsi="Arial"/>
                <w:sz w:val="17"/>
                <w:szCs w:val="17"/>
                <w:color w:val="0000FF"/>
              </w:rPr>
              <w:t>Notes to Condensed Consolidated Financial Statements</w:t>
            </w:r>
          </w:p>
        </w:tc>
        <w:tc>
          <w:tcPr>
            <w:tcW w:w="62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0000FF"/>
              </w:rPr>
              <w:t>8</w:t>
            </w:r>
          </w:p>
        </w:tc>
        <w:tc>
          <w:tcPr>
            <w:tcW w:w="0" w:type="dxa"/>
            <w:vAlign w:val="bottom"/>
          </w:tcPr>
          <w:p>
            <w:pPr>
              <w:spacing w:after="0"/>
              <w:rPr>
                <w:sz w:val="1"/>
                <w:szCs w:val="1"/>
                <w:color w:val="auto"/>
              </w:rPr>
            </w:pPr>
          </w:p>
        </w:tc>
      </w:tr>
      <w:tr>
        <w:trPr>
          <w:trHeight w:val="39"/>
        </w:trPr>
        <w:tc>
          <w:tcPr>
            <w:tcW w:w="102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1400" w:type="dxa"/>
            <w:vAlign w:val="bottom"/>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1020" w:type="dxa"/>
            <w:vAlign w:val="bottom"/>
          </w:tcPr>
          <w:p>
            <w:pPr>
              <w:ind w:left="60"/>
              <w:spacing w:after="0" w:line="180" w:lineRule="exact"/>
              <w:rPr>
                <w:sz w:val="20"/>
                <w:szCs w:val="20"/>
                <w:color w:val="auto"/>
              </w:rPr>
            </w:pPr>
            <w:r>
              <w:rPr>
                <w:rFonts w:ascii="Arial" w:cs="Arial" w:eastAsia="Arial" w:hAnsi="Arial"/>
                <w:sz w:val="17"/>
                <w:szCs w:val="17"/>
                <w:color w:val="auto"/>
              </w:rPr>
              <w:t>Item 2.</w:t>
            </w:r>
          </w:p>
        </w:tc>
        <w:tc>
          <w:tcPr>
            <w:tcW w:w="9520" w:type="dxa"/>
            <w:vAlign w:val="bottom"/>
            <w:gridSpan w:val="16"/>
          </w:tcPr>
          <w:p>
            <w:pPr>
              <w:spacing w:after="0" w:line="180" w:lineRule="exact"/>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620" w:type="dxa"/>
            <w:vAlign w:val="bottom"/>
          </w:tcPr>
          <w:p>
            <w:pPr>
              <w:jc w:val="right"/>
              <w:spacing w:after="0" w:line="180" w:lineRule="exact"/>
              <w:rPr>
                <w:sz w:val="20"/>
                <w:szCs w:val="20"/>
                <w:color w:val="auto"/>
              </w:rPr>
            </w:pPr>
            <w:r>
              <w:rPr>
                <w:rFonts w:ascii="Arial" w:cs="Arial" w:eastAsia="Arial" w:hAnsi="Arial"/>
                <w:sz w:val="17"/>
                <w:szCs w:val="17"/>
                <w:color w:val="0000FF"/>
              </w:rPr>
              <w:t>24</w:t>
            </w:r>
          </w:p>
        </w:tc>
        <w:tc>
          <w:tcPr>
            <w:tcW w:w="0" w:type="dxa"/>
            <w:vAlign w:val="bottom"/>
          </w:tcPr>
          <w:p>
            <w:pPr>
              <w:spacing w:after="0"/>
              <w:rPr>
                <w:sz w:val="1"/>
                <w:szCs w:val="1"/>
                <w:color w:val="auto"/>
              </w:rPr>
            </w:pPr>
          </w:p>
        </w:tc>
      </w:tr>
      <w:tr>
        <w:trPr>
          <w:trHeight w:val="221"/>
        </w:trPr>
        <w:tc>
          <w:tcPr>
            <w:tcW w:w="1020" w:type="dxa"/>
            <w:vAlign w:val="bottom"/>
            <w:shd w:val="clear" w:color="auto" w:fill="CCEEFF"/>
          </w:tcPr>
          <w:p>
            <w:pPr>
              <w:ind w:left="60"/>
              <w:spacing w:after="0" w:line="190" w:lineRule="exact"/>
              <w:rPr>
                <w:sz w:val="20"/>
                <w:szCs w:val="20"/>
                <w:color w:val="auto"/>
              </w:rPr>
            </w:pPr>
            <w:r>
              <w:rPr>
                <w:rFonts w:ascii="Arial" w:cs="Arial" w:eastAsia="Arial" w:hAnsi="Arial"/>
                <w:sz w:val="17"/>
                <w:szCs w:val="17"/>
                <w:color w:val="auto"/>
              </w:rPr>
              <w:t>Item 3.</w:t>
            </w:r>
          </w:p>
        </w:tc>
        <w:tc>
          <w:tcPr>
            <w:tcW w:w="6140" w:type="dxa"/>
            <w:vAlign w:val="bottom"/>
            <w:tcBorders>
              <w:top w:val="single" w:sz="8" w:color="0000FF"/>
            </w:tcBorders>
            <w:gridSpan w:val="11"/>
            <w:shd w:val="clear" w:color="auto" w:fill="CCEEFF"/>
          </w:tcPr>
          <w:p>
            <w:pPr>
              <w:spacing w:after="0" w:line="190" w:lineRule="exact"/>
              <w:rPr>
                <w:sz w:val="20"/>
                <w:szCs w:val="20"/>
                <w:color w:val="auto"/>
              </w:rPr>
            </w:pPr>
            <w:r>
              <w:rPr>
                <w:rFonts w:ascii="Arial" w:cs="Arial" w:eastAsia="Arial" w:hAnsi="Arial"/>
                <w:sz w:val="17"/>
                <w:szCs w:val="17"/>
                <w:color w:val="0000FF"/>
              </w:rPr>
              <w:t>Quantitative and Qualitative Disclosures about Market Risk</w:t>
            </w:r>
          </w:p>
        </w:tc>
        <w:tc>
          <w:tcPr>
            <w:tcW w:w="3380" w:type="dxa"/>
            <w:vAlign w:val="bottom"/>
            <w:gridSpan w:val="5"/>
            <w:shd w:val="clear" w:color="auto" w:fill="CCEEFF"/>
          </w:tcPr>
          <w:p>
            <w:pPr>
              <w:spacing w:after="0"/>
              <w:rPr>
                <w:sz w:val="19"/>
                <w:szCs w:val="19"/>
                <w:color w:val="auto"/>
              </w:rPr>
            </w:pPr>
          </w:p>
        </w:tc>
        <w:tc>
          <w:tcPr>
            <w:tcW w:w="62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0000FF"/>
              </w:rPr>
              <w:t>43</w:t>
            </w:r>
          </w:p>
        </w:tc>
        <w:tc>
          <w:tcPr>
            <w:tcW w:w="0" w:type="dxa"/>
            <w:vAlign w:val="bottom"/>
          </w:tcPr>
          <w:p>
            <w:pPr>
              <w:spacing w:after="0"/>
              <w:rPr>
                <w:sz w:val="1"/>
                <w:szCs w:val="1"/>
                <w:color w:val="auto"/>
              </w:rPr>
            </w:pPr>
          </w:p>
        </w:tc>
      </w:tr>
      <w:tr>
        <w:trPr>
          <w:trHeight w:val="190"/>
        </w:trPr>
        <w:tc>
          <w:tcPr>
            <w:tcW w:w="1020" w:type="dxa"/>
            <w:vAlign w:val="bottom"/>
            <w:tcBorders>
              <w:top w:val="single" w:sz="8" w:color="CCEEFF"/>
            </w:tcBorders>
          </w:tcPr>
          <w:p>
            <w:pPr>
              <w:ind w:left="60"/>
              <w:spacing w:after="0" w:line="180" w:lineRule="exact"/>
              <w:rPr>
                <w:sz w:val="20"/>
                <w:szCs w:val="20"/>
                <w:color w:val="auto"/>
              </w:rPr>
            </w:pPr>
            <w:r>
              <w:rPr>
                <w:rFonts w:ascii="Arial" w:cs="Arial" w:eastAsia="Arial" w:hAnsi="Arial"/>
                <w:sz w:val="17"/>
                <w:szCs w:val="17"/>
                <w:color w:val="auto"/>
              </w:rPr>
              <w:t>Item 4.</w:t>
            </w:r>
          </w:p>
        </w:tc>
        <w:tc>
          <w:tcPr>
            <w:tcW w:w="1680" w:type="dxa"/>
            <w:vAlign w:val="bottom"/>
            <w:tcBorders>
              <w:top w:val="single" w:sz="8" w:color="0000FF"/>
              <w:bottom w:val="single" w:sz="8" w:color="0000FF"/>
            </w:tcBorders>
            <w:gridSpan w:val="5"/>
          </w:tcPr>
          <w:p>
            <w:pPr>
              <w:spacing w:after="0" w:line="180" w:lineRule="exact"/>
              <w:rPr>
                <w:sz w:val="20"/>
                <w:szCs w:val="20"/>
                <w:color w:val="auto"/>
              </w:rPr>
            </w:pPr>
            <w:r>
              <w:rPr>
                <w:rFonts w:ascii="Arial" w:cs="Arial" w:eastAsia="Arial" w:hAnsi="Arial"/>
                <w:sz w:val="17"/>
                <w:szCs w:val="17"/>
                <w:color w:val="0000FF"/>
                <w:w w:val="88"/>
              </w:rPr>
              <w:t>Controls and Procedures</w:t>
            </w:r>
          </w:p>
        </w:tc>
        <w:tc>
          <w:tcPr>
            <w:tcW w:w="2420" w:type="dxa"/>
            <w:vAlign w:val="bottom"/>
            <w:tcBorders>
              <w:top w:val="single" w:sz="8" w:color="0000FF"/>
            </w:tcBorders>
            <w:gridSpan w:val="3"/>
          </w:tcPr>
          <w:p>
            <w:pPr>
              <w:spacing w:after="0"/>
              <w:rPr>
                <w:sz w:val="16"/>
                <w:szCs w:val="16"/>
                <w:color w:val="auto"/>
              </w:rPr>
            </w:pPr>
          </w:p>
        </w:tc>
        <w:tc>
          <w:tcPr>
            <w:tcW w:w="5420" w:type="dxa"/>
            <w:vAlign w:val="bottom"/>
            <w:tcBorders>
              <w:top w:val="single" w:sz="8" w:color="CCEEFF"/>
            </w:tcBorders>
            <w:gridSpan w:val="8"/>
          </w:tcPr>
          <w:p>
            <w:pPr>
              <w:spacing w:after="0"/>
              <w:rPr>
                <w:sz w:val="16"/>
                <w:szCs w:val="16"/>
                <w:color w:val="auto"/>
              </w:rPr>
            </w:pPr>
          </w:p>
        </w:tc>
        <w:tc>
          <w:tcPr>
            <w:tcW w:w="620" w:type="dxa"/>
            <w:vAlign w:val="bottom"/>
            <w:tcBorders>
              <w:top w:val="single" w:sz="8" w:color="CCEEFF"/>
            </w:tcBorders>
          </w:tcPr>
          <w:p>
            <w:pPr>
              <w:jc w:val="right"/>
              <w:spacing w:after="0" w:line="180" w:lineRule="exact"/>
              <w:rPr>
                <w:sz w:val="20"/>
                <w:szCs w:val="20"/>
                <w:color w:val="auto"/>
              </w:rPr>
            </w:pPr>
            <w:r>
              <w:rPr>
                <w:rFonts w:ascii="Arial" w:cs="Arial" w:eastAsia="Arial" w:hAnsi="Arial"/>
                <w:sz w:val="17"/>
                <w:szCs w:val="17"/>
                <w:color w:val="0000FF"/>
              </w:rPr>
              <w:t>43</w:t>
            </w:r>
          </w:p>
        </w:tc>
        <w:tc>
          <w:tcPr>
            <w:tcW w:w="0" w:type="dxa"/>
            <w:vAlign w:val="bottom"/>
          </w:tcPr>
          <w:p>
            <w:pPr>
              <w:spacing w:after="0"/>
              <w:rPr>
                <w:sz w:val="1"/>
                <w:szCs w:val="1"/>
                <w:color w:val="auto"/>
              </w:rPr>
            </w:pPr>
          </w:p>
        </w:tc>
      </w:tr>
      <w:tr>
        <w:trPr>
          <w:trHeight w:val="229"/>
        </w:trPr>
        <w:tc>
          <w:tcPr>
            <w:tcW w:w="1020" w:type="dxa"/>
            <w:vAlign w:val="bottom"/>
            <w:shd w:val="clear" w:color="auto" w:fill="CCEEFF"/>
          </w:tcPr>
          <w:p>
            <w:pPr>
              <w:spacing w:after="0"/>
              <w:rPr>
                <w:sz w:val="19"/>
                <w:szCs w:val="19"/>
                <w:color w:val="auto"/>
              </w:rPr>
            </w:pPr>
          </w:p>
        </w:tc>
        <w:tc>
          <w:tcPr>
            <w:tcW w:w="9520" w:type="dxa"/>
            <w:vAlign w:val="bottom"/>
            <w:gridSpan w:val="16"/>
            <w:shd w:val="clear" w:color="auto" w:fill="CCEEFF"/>
          </w:tcPr>
          <w:p>
            <w:pPr>
              <w:spacing w:after="0"/>
              <w:rPr>
                <w:sz w:val="20"/>
                <w:szCs w:val="20"/>
                <w:color w:val="auto"/>
              </w:rPr>
            </w:pPr>
            <w:r>
              <w:rPr>
                <w:rFonts w:ascii="Arial" w:cs="Arial" w:eastAsia="Arial" w:hAnsi="Arial"/>
                <w:sz w:val="17"/>
                <w:szCs w:val="17"/>
                <w:b w:val="1"/>
                <w:bCs w:val="1"/>
                <w:color w:val="auto"/>
              </w:rPr>
              <w:t>PART II—OTHER INFORMATION</w:t>
            </w: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020" w:type="dxa"/>
            <w:vAlign w:val="bottom"/>
          </w:tcPr>
          <w:p>
            <w:pPr>
              <w:ind w:left="60"/>
              <w:spacing w:after="0" w:line="180" w:lineRule="exact"/>
              <w:rPr>
                <w:sz w:val="20"/>
                <w:szCs w:val="20"/>
                <w:color w:val="auto"/>
              </w:rPr>
            </w:pPr>
            <w:r>
              <w:rPr>
                <w:rFonts w:ascii="Arial" w:cs="Arial" w:eastAsia="Arial" w:hAnsi="Arial"/>
                <w:sz w:val="17"/>
                <w:szCs w:val="17"/>
                <w:color w:val="auto"/>
              </w:rPr>
              <w:t>Item 1.</w:t>
            </w:r>
          </w:p>
        </w:tc>
        <w:tc>
          <w:tcPr>
            <w:tcW w:w="9520" w:type="dxa"/>
            <w:vAlign w:val="bottom"/>
            <w:gridSpan w:val="16"/>
          </w:tcPr>
          <w:p>
            <w:pPr>
              <w:spacing w:after="0" w:line="180" w:lineRule="exact"/>
              <w:rPr>
                <w:sz w:val="20"/>
                <w:szCs w:val="20"/>
                <w:color w:val="auto"/>
              </w:rPr>
            </w:pPr>
            <w:r>
              <w:rPr>
                <w:rFonts w:ascii="Arial" w:cs="Arial" w:eastAsia="Arial" w:hAnsi="Arial"/>
                <w:sz w:val="17"/>
                <w:szCs w:val="17"/>
                <w:color w:val="0000FF"/>
              </w:rPr>
              <w:t>Legal Proceedings</w:t>
            </w:r>
          </w:p>
        </w:tc>
        <w:tc>
          <w:tcPr>
            <w:tcW w:w="620" w:type="dxa"/>
            <w:vAlign w:val="bottom"/>
          </w:tcPr>
          <w:p>
            <w:pPr>
              <w:jc w:val="right"/>
              <w:spacing w:after="0" w:line="180" w:lineRule="exact"/>
              <w:rPr>
                <w:sz w:val="20"/>
                <w:szCs w:val="20"/>
                <w:color w:val="auto"/>
              </w:rPr>
            </w:pPr>
            <w:r>
              <w:rPr>
                <w:rFonts w:ascii="Arial" w:cs="Arial" w:eastAsia="Arial" w:hAnsi="Arial"/>
                <w:sz w:val="17"/>
                <w:szCs w:val="17"/>
                <w:color w:val="0000FF"/>
              </w:rPr>
              <w:t>44</w:t>
            </w:r>
          </w:p>
        </w:tc>
        <w:tc>
          <w:tcPr>
            <w:tcW w:w="0" w:type="dxa"/>
            <w:vAlign w:val="bottom"/>
          </w:tcPr>
          <w:p>
            <w:pPr>
              <w:spacing w:after="0"/>
              <w:rPr>
                <w:sz w:val="1"/>
                <w:szCs w:val="1"/>
                <w:color w:val="auto"/>
              </w:rPr>
            </w:pPr>
          </w:p>
        </w:tc>
      </w:tr>
      <w:tr>
        <w:trPr>
          <w:trHeight w:val="32"/>
        </w:trPr>
        <w:tc>
          <w:tcPr>
            <w:tcW w:w="10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1020" w:type="dxa"/>
            <w:vAlign w:val="bottom"/>
            <w:tcBorders>
              <w:bottom w:val="single" w:sz="8" w:color="CCEEFF"/>
            </w:tcBorders>
            <w:shd w:val="clear" w:color="auto" w:fill="CCEEFF"/>
          </w:tcPr>
          <w:p>
            <w:pPr>
              <w:ind w:left="60"/>
              <w:spacing w:after="0" w:line="180" w:lineRule="exact"/>
              <w:rPr>
                <w:sz w:val="20"/>
                <w:szCs w:val="20"/>
                <w:color w:val="auto"/>
              </w:rPr>
            </w:pPr>
            <w:r>
              <w:rPr>
                <w:rFonts w:ascii="Arial" w:cs="Arial" w:eastAsia="Arial" w:hAnsi="Arial"/>
                <w:sz w:val="17"/>
                <w:szCs w:val="17"/>
                <w:color w:val="auto"/>
              </w:rPr>
              <w:t>Item 1A.</w:t>
            </w:r>
          </w:p>
        </w:tc>
        <w:tc>
          <w:tcPr>
            <w:tcW w:w="860" w:type="dxa"/>
            <w:vAlign w:val="bottom"/>
            <w:tcBorders>
              <w:bottom w:val="single" w:sz="8" w:color="0000FF"/>
            </w:tcBorders>
            <w:gridSpan w:val="3"/>
            <w:shd w:val="clear" w:color="auto" w:fill="CCEEFF"/>
          </w:tcPr>
          <w:p>
            <w:pPr>
              <w:spacing w:after="0" w:line="180" w:lineRule="exact"/>
              <w:rPr>
                <w:sz w:val="20"/>
                <w:szCs w:val="20"/>
                <w:color w:val="auto"/>
              </w:rPr>
            </w:pPr>
            <w:r>
              <w:rPr>
                <w:rFonts w:ascii="Arial" w:cs="Arial" w:eastAsia="Arial" w:hAnsi="Arial"/>
                <w:sz w:val="17"/>
                <w:szCs w:val="17"/>
                <w:color w:val="0000FF"/>
                <w:w w:val="88"/>
              </w:rPr>
              <w:t>Risk Factors</w:t>
            </w:r>
          </w:p>
        </w:tc>
        <w:tc>
          <w:tcPr>
            <w:tcW w:w="8660" w:type="dxa"/>
            <w:vAlign w:val="bottom"/>
            <w:tcBorders>
              <w:bottom w:val="single" w:sz="8" w:color="CCEEFF"/>
            </w:tcBorders>
            <w:gridSpan w:val="13"/>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line="180" w:lineRule="exact"/>
              <w:rPr>
                <w:sz w:val="20"/>
                <w:szCs w:val="20"/>
                <w:color w:val="auto"/>
              </w:rPr>
            </w:pPr>
            <w:r>
              <w:rPr>
                <w:rFonts w:ascii="Arial" w:cs="Arial" w:eastAsia="Arial" w:hAnsi="Arial"/>
                <w:sz w:val="17"/>
                <w:szCs w:val="17"/>
                <w:color w:val="0000FF"/>
              </w:rPr>
              <w:t>44</w:t>
            </w:r>
          </w:p>
        </w:tc>
        <w:tc>
          <w:tcPr>
            <w:tcW w:w="0" w:type="dxa"/>
            <w:vAlign w:val="bottom"/>
          </w:tcPr>
          <w:p>
            <w:pPr>
              <w:spacing w:after="0"/>
              <w:rPr>
                <w:sz w:val="1"/>
                <w:szCs w:val="1"/>
                <w:color w:val="auto"/>
              </w:rPr>
            </w:pPr>
          </w:p>
        </w:tc>
      </w:tr>
      <w:tr>
        <w:trPr>
          <w:trHeight w:val="190"/>
        </w:trPr>
        <w:tc>
          <w:tcPr>
            <w:tcW w:w="1020" w:type="dxa"/>
            <w:vAlign w:val="bottom"/>
          </w:tcPr>
          <w:p>
            <w:pPr>
              <w:ind w:left="60"/>
              <w:spacing w:after="0" w:line="180" w:lineRule="exact"/>
              <w:rPr>
                <w:sz w:val="20"/>
                <w:szCs w:val="20"/>
                <w:color w:val="auto"/>
              </w:rPr>
            </w:pPr>
            <w:r>
              <w:rPr>
                <w:rFonts w:ascii="Arial" w:cs="Arial" w:eastAsia="Arial" w:hAnsi="Arial"/>
                <w:sz w:val="17"/>
                <w:szCs w:val="17"/>
                <w:color w:val="auto"/>
              </w:rPr>
              <w:t>Item 2.</w:t>
            </w:r>
          </w:p>
        </w:tc>
        <w:tc>
          <w:tcPr>
            <w:tcW w:w="9520" w:type="dxa"/>
            <w:vAlign w:val="bottom"/>
            <w:gridSpan w:val="16"/>
          </w:tcPr>
          <w:p>
            <w:pPr>
              <w:spacing w:after="0" w:line="180" w:lineRule="exact"/>
              <w:rPr>
                <w:sz w:val="20"/>
                <w:szCs w:val="20"/>
                <w:color w:val="auto"/>
              </w:rPr>
            </w:pPr>
            <w:r>
              <w:rPr>
                <w:rFonts w:ascii="Arial" w:cs="Arial" w:eastAsia="Arial" w:hAnsi="Arial"/>
                <w:sz w:val="17"/>
                <w:szCs w:val="17"/>
                <w:color w:val="0000FF"/>
              </w:rPr>
              <w:t>Unregistered Sales of Equity Securities and Use of Proceeds</w:t>
            </w:r>
          </w:p>
        </w:tc>
        <w:tc>
          <w:tcPr>
            <w:tcW w:w="620" w:type="dxa"/>
            <w:vAlign w:val="bottom"/>
          </w:tcPr>
          <w:p>
            <w:pPr>
              <w:jc w:val="right"/>
              <w:spacing w:after="0" w:line="180" w:lineRule="exact"/>
              <w:rPr>
                <w:sz w:val="20"/>
                <w:szCs w:val="20"/>
                <w:color w:val="auto"/>
              </w:rPr>
            </w:pPr>
            <w:r>
              <w:rPr>
                <w:rFonts w:ascii="Arial" w:cs="Arial" w:eastAsia="Arial" w:hAnsi="Arial"/>
                <w:sz w:val="17"/>
                <w:szCs w:val="17"/>
                <w:color w:val="0000FF"/>
              </w:rPr>
              <w:t>44</w:t>
            </w:r>
          </w:p>
        </w:tc>
        <w:tc>
          <w:tcPr>
            <w:tcW w:w="0" w:type="dxa"/>
            <w:vAlign w:val="bottom"/>
          </w:tcPr>
          <w:p>
            <w:pPr>
              <w:spacing w:after="0"/>
              <w:rPr>
                <w:sz w:val="1"/>
                <w:szCs w:val="1"/>
                <w:color w:val="auto"/>
              </w:rPr>
            </w:pPr>
          </w:p>
        </w:tc>
      </w:tr>
      <w:tr>
        <w:trPr>
          <w:trHeight w:val="221"/>
        </w:trPr>
        <w:tc>
          <w:tcPr>
            <w:tcW w:w="1020" w:type="dxa"/>
            <w:vAlign w:val="bottom"/>
            <w:tcBorders>
              <w:bottom w:val="single" w:sz="8" w:color="CCEEFF"/>
            </w:tcBorders>
            <w:shd w:val="clear" w:color="auto" w:fill="CCEEFF"/>
          </w:tcPr>
          <w:p>
            <w:pPr>
              <w:ind w:left="60"/>
              <w:spacing w:after="0" w:line="190" w:lineRule="exact"/>
              <w:rPr>
                <w:sz w:val="20"/>
                <w:szCs w:val="20"/>
                <w:color w:val="auto"/>
              </w:rPr>
            </w:pPr>
            <w:r>
              <w:rPr>
                <w:rFonts w:ascii="Arial" w:cs="Arial" w:eastAsia="Arial" w:hAnsi="Arial"/>
                <w:sz w:val="17"/>
                <w:szCs w:val="17"/>
                <w:color w:val="auto"/>
              </w:rPr>
              <w:t>Item 4.</w:t>
            </w:r>
          </w:p>
        </w:tc>
        <w:tc>
          <w:tcPr>
            <w:tcW w:w="1680" w:type="dxa"/>
            <w:vAlign w:val="bottom"/>
            <w:tcBorders>
              <w:top w:val="single" w:sz="8" w:color="0000FF"/>
              <w:bottom w:val="single" w:sz="8" w:color="0000FF"/>
            </w:tcBorders>
            <w:gridSpan w:val="5"/>
            <w:shd w:val="clear" w:color="auto" w:fill="CCEEFF"/>
          </w:tcPr>
          <w:p>
            <w:pPr>
              <w:spacing w:after="0" w:line="190" w:lineRule="exact"/>
              <w:rPr>
                <w:sz w:val="20"/>
                <w:szCs w:val="20"/>
                <w:color w:val="auto"/>
              </w:rPr>
            </w:pPr>
            <w:r>
              <w:rPr>
                <w:rFonts w:ascii="Arial" w:cs="Arial" w:eastAsia="Arial" w:hAnsi="Arial"/>
                <w:sz w:val="17"/>
                <w:szCs w:val="17"/>
                <w:color w:val="0000FF"/>
                <w:w w:val="91"/>
              </w:rPr>
              <w:t>Mine Safety Disclosures</w:t>
            </w:r>
          </w:p>
        </w:tc>
        <w:tc>
          <w:tcPr>
            <w:tcW w:w="2460" w:type="dxa"/>
            <w:vAlign w:val="bottom"/>
            <w:tcBorders>
              <w:top w:val="single" w:sz="8" w:color="0000FF"/>
              <w:bottom w:val="single" w:sz="8" w:color="CCEEFF"/>
            </w:tcBorders>
            <w:gridSpan w:val="4"/>
            <w:shd w:val="clear" w:color="auto" w:fill="CCEEFF"/>
          </w:tcPr>
          <w:p>
            <w:pPr>
              <w:spacing w:after="0"/>
              <w:rPr>
                <w:sz w:val="19"/>
                <w:szCs w:val="19"/>
                <w:color w:val="auto"/>
              </w:rPr>
            </w:pPr>
          </w:p>
        </w:tc>
        <w:tc>
          <w:tcPr>
            <w:tcW w:w="5380" w:type="dxa"/>
            <w:vAlign w:val="bottom"/>
            <w:tcBorders>
              <w:bottom w:val="single" w:sz="8" w:color="CCEEFF"/>
            </w:tcBorders>
            <w:gridSpan w:val="7"/>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7"/>
                <w:szCs w:val="17"/>
                <w:color w:val="0000FF"/>
              </w:rPr>
              <w:t>44</w:t>
            </w:r>
          </w:p>
        </w:tc>
        <w:tc>
          <w:tcPr>
            <w:tcW w:w="0" w:type="dxa"/>
            <w:vAlign w:val="bottom"/>
          </w:tcPr>
          <w:p>
            <w:pPr>
              <w:spacing w:after="0"/>
              <w:rPr>
                <w:sz w:val="1"/>
                <w:szCs w:val="1"/>
                <w:color w:val="auto"/>
              </w:rPr>
            </w:pPr>
          </w:p>
        </w:tc>
      </w:tr>
      <w:tr>
        <w:trPr>
          <w:trHeight w:val="180"/>
        </w:trPr>
        <w:tc>
          <w:tcPr>
            <w:tcW w:w="1020" w:type="dxa"/>
            <w:vAlign w:val="bottom"/>
          </w:tcPr>
          <w:p>
            <w:pPr>
              <w:ind w:left="60"/>
              <w:spacing w:after="0" w:line="180" w:lineRule="exact"/>
              <w:rPr>
                <w:sz w:val="20"/>
                <w:szCs w:val="20"/>
                <w:color w:val="auto"/>
              </w:rPr>
            </w:pPr>
            <w:r>
              <w:rPr>
                <w:rFonts w:ascii="Arial" w:cs="Arial" w:eastAsia="Arial" w:hAnsi="Arial"/>
                <w:sz w:val="17"/>
                <w:szCs w:val="17"/>
                <w:color w:val="auto"/>
              </w:rPr>
              <w:t>Item 6.</w:t>
            </w:r>
          </w:p>
        </w:tc>
        <w:tc>
          <w:tcPr>
            <w:tcW w:w="9520" w:type="dxa"/>
            <w:vAlign w:val="bottom"/>
            <w:gridSpan w:val="16"/>
          </w:tcPr>
          <w:p>
            <w:pPr>
              <w:spacing w:after="0" w:line="180" w:lineRule="exact"/>
              <w:rPr>
                <w:sz w:val="20"/>
                <w:szCs w:val="20"/>
                <w:color w:val="auto"/>
              </w:rPr>
            </w:pPr>
            <w:r>
              <w:rPr>
                <w:rFonts w:ascii="Arial" w:cs="Arial" w:eastAsia="Arial" w:hAnsi="Arial"/>
                <w:sz w:val="17"/>
                <w:szCs w:val="17"/>
                <w:color w:val="0000FF"/>
              </w:rPr>
              <w:t>Exhibits</w:t>
            </w:r>
          </w:p>
        </w:tc>
        <w:tc>
          <w:tcPr>
            <w:tcW w:w="620" w:type="dxa"/>
            <w:vAlign w:val="bottom"/>
          </w:tcPr>
          <w:p>
            <w:pPr>
              <w:jc w:val="right"/>
              <w:spacing w:after="0" w:line="180" w:lineRule="exact"/>
              <w:rPr>
                <w:sz w:val="20"/>
                <w:szCs w:val="20"/>
                <w:color w:val="auto"/>
              </w:rPr>
            </w:pPr>
            <w:r>
              <w:rPr>
                <w:rFonts w:ascii="Arial" w:cs="Arial" w:eastAsia="Arial" w:hAnsi="Arial"/>
                <w:sz w:val="17"/>
                <w:szCs w:val="17"/>
                <w:color w:val="0000FF"/>
              </w:rPr>
              <w:t>45</w:t>
            </w:r>
          </w:p>
        </w:tc>
        <w:tc>
          <w:tcPr>
            <w:tcW w:w="0" w:type="dxa"/>
            <w:vAlign w:val="bottom"/>
          </w:tcPr>
          <w:p>
            <w:pPr>
              <w:spacing w:after="0"/>
              <w:rPr>
                <w:sz w:val="1"/>
                <w:szCs w:val="1"/>
                <w:color w:val="auto"/>
              </w:rPr>
            </w:pPr>
          </w:p>
        </w:tc>
      </w:tr>
      <w:tr>
        <w:trPr>
          <w:trHeight w:val="29"/>
        </w:trPr>
        <w:tc>
          <w:tcPr>
            <w:tcW w:w="102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0000FF"/>
            </w:tcBorders>
            <w:gridSpan w:val="2"/>
            <w:shd w:val="clear" w:color="auto" w:fill="CCEEFF"/>
          </w:tcPr>
          <w:p>
            <w:pPr>
              <w:spacing w:after="0" w:line="190" w:lineRule="exact"/>
              <w:rPr>
                <w:sz w:val="20"/>
                <w:szCs w:val="20"/>
                <w:color w:val="auto"/>
              </w:rPr>
            </w:pPr>
            <w:r>
              <w:rPr>
                <w:rFonts w:ascii="Arial" w:cs="Arial" w:eastAsia="Arial" w:hAnsi="Arial"/>
                <w:sz w:val="17"/>
                <w:szCs w:val="17"/>
                <w:color w:val="0000FF"/>
                <w:w w:val="86"/>
              </w:rPr>
              <w:t>Signatures</w:t>
            </w:r>
          </w:p>
        </w:tc>
        <w:tc>
          <w:tcPr>
            <w:tcW w:w="8800" w:type="dxa"/>
            <w:vAlign w:val="bottom"/>
            <w:tcBorders>
              <w:bottom w:val="single" w:sz="8" w:color="CCEEFF"/>
            </w:tcBorders>
            <w:gridSpan w:val="14"/>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7"/>
                <w:szCs w:val="17"/>
                <w:color w:val="0000FF"/>
              </w:rPr>
              <w:t>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67310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60" w:top="895"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7"/>
          <w:szCs w:val="17"/>
          <w:b w:val="1"/>
          <w:bCs w:val="1"/>
          <w:color w:val="auto"/>
        </w:rPr>
        <w:t>PART I—FINANCIAL INFORMATION</w:t>
      </w:r>
    </w:p>
    <w:p>
      <w:pPr>
        <w:spacing w:after="0" w:line="217"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1.</w:t>
        <w:tab/>
        <w:t>FINANCIAL STATEMENTS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WESTINGHOUSE AIR BRAKE TECHNOLOGIES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center"/>
              <w:ind w:right="183"/>
              <w:spacing w:after="0"/>
              <w:rPr>
                <w:sz w:val="20"/>
                <w:szCs w:val="20"/>
                <w:color w:val="auto"/>
              </w:rPr>
            </w:pPr>
            <w:r>
              <w:rPr>
                <w:rFonts w:ascii="Arial" w:cs="Arial" w:eastAsia="Arial" w:hAnsi="Arial"/>
                <w:sz w:val="14"/>
                <w:szCs w:val="14"/>
                <w:b w:val="1"/>
                <w:bCs w:val="1"/>
                <w:color w:val="auto"/>
                <w:w w:val="90"/>
              </w:rPr>
              <w:t>Unaudited</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tcPr>
          <w:p>
            <w:pPr>
              <w:jc w:val="center"/>
              <w:ind w:right="203"/>
              <w:spacing w:after="0" w:line="122" w:lineRule="exact"/>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tcPr>
          <w:p>
            <w:pPr>
              <w:jc w:val="right"/>
              <w:ind w:right="283"/>
              <w:spacing w:after="0" w:line="122"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8020" w:type="dxa"/>
            <w:vAlign w:val="bottom"/>
            <w:gridSpan w:val="3"/>
          </w:tcPr>
          <w:p>
            <w:pPr>
              <w:ind w:left="20"/>
              <w:spacing w:after="0" w:line="155" w:lineRule="exact"/>
              <w:rPr>
                <w:sz w:val="20"/>
                <w:szCs w:val="20"/>
                <w:color w:val="auto"/>
              </w:rPr>
            </w:pPr>
            <w:r>
              <w:rPr>
                <w:rFonts w:ascii="Arial" w:cs="Arial" w:eastAsia="Arial" w:hAnsi="Arial"/>
                <w:sz w:val="14"/>
                <w:szCs w:val="14"/>
                <w:b w:val="1"/>
                <w:bCs w:val="1"/>
                <w:i w:val="1"/>
                <w:iCs w:val="1"/>
                <w:color w:val="auto"/>
              </w:rPr>
              <w:t>In millions, except par value</w:t>
            </w:r>
          </w:p>
        </w:tc>
        <w:tc>
          <w:tcPr>
            <w:tcW w:w="280" w:type="dxa"/>
            <w:vAlign w:val="bottom"/>
          </w:tcPr>
          <w:p>
            <w:pPr>
              <w:spacing w:after="0"/>
              <w:rPr>
                <w:sz w:val="13"/>
                <w:szCs w:val="13"/>
                <w:color w:val="auto"/>
              </w:rPr>
            </w:pPr>
          </w:p>
        </w:tc>
        <w:tc>
          <w:tcPr>
            <w:tcW w:w="1240" w:type="dxa"/>
            <w:vAlign w:val="bottom"/>
          </w:tcPr>
          <w:p>
            <w:pPr>
              <w:jc w:val="center"/>
              <w:ind w:right="203"/>
              <w:spacing w:after="0" w:line="155" w:lineRule="exact"/>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right"/>
              <w:ind w:right="563"/>
              <w:spacing w:after="0" w:line="155"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20" w:type="dxa"/>
            <w:vAlign w:val="bottom"/>
            <w:tcBorders>
              <w:top w:val="single" w:sz="8" w:color="auto"/>
              <w:bottom w:val="single" w:sz="8" w:color="CCEEFF"/>
            </w:tcBorders>
          </w:tcPr>
          <w:p>
            <w:pPr>
              <w:spacing w:after="0" w:line="20" w:lineRule="exact"/>
              <w:rPr>
                <w:sz w:val="1"/>
                <w:szCs w:val="1"/>
                <w:color w:val="auto"/>
              </w:rPr>
            </w:pPr>
          </w:p>
        </w:tc>
        <w:tc>
          <w:tcPr>
            <w:tcW w:w="6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6380" w:type="dxa"/>
            <w:vAlign w:val="bottom"/>
            <w:shd w:val="clear" w:color="auto" w:fill="CCEEFF"/>
          </w:tcPr>
          <w:p>
            <w:pPr>
              <w:jc w:val="center"/>
              <w:ind w:right="1571"/>
              <w:spacing w:after="0" w:line="159" w:lineRule="exact"/>
              <w:rPr>
                <w:sz w:val="20"/>
                <w:szCs w:val="20"/>
                <w:color w:val="auto"/>
              </w:rPr>
            </w:pPr>
            <w:r>
              <w:rPr>
                <w:rFonts w:ascii="Arial" w:cs="Arial" w:eastAsia="Arial" w:hAnsi="Arial"/>
                <w:sz w:val="14"/>
                <w:szCs w:val="14"/>
                <w:b w:val="1"/>
                <w:bCs w:val="1"/>
                <w:color w:val="auto"/>
                <w:w w:val="82"/>
              </w:rPr>
              <w:t>Assets</w:t>
            </w: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020" w:type="dxa"/>
            <w:vAlign w:val="bottom"/>
            <w:gridSpan w:val="3"/>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02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541</w:t>
            </w:r>
          </w:p>
        </w:tc>
        <w:tc>
          <w:tcPr>
            <w:tcW w:w="0" w:type="dxa"/>
            <w:vAlign w:val="bottom"/>
          </w:tcPr>
          <w:p>
            <w:pPr>
              <w:spacing w:after="0"/>
              <w:rPr>
                <w:sz w:val="1"/>
                <w:szCs w:val="1"/>
                <w:color w:val="auto"/>
              </w:rPr>
            </w:pPr>
          </w:p>
        </w:tc>
      </w:tr>
      <w:tr>
        <w:trPr>
          <w:trHeight w:val="203"/>
        </w:trPr>
        <w:tc>
          <w:tcPr>
            <w:tcW w:w="8020" w:type="dxa"/>
            <w:vAlign w:val="bottom"/>
            <w:gridSpan w:val="3"/>
          </w:tcPr>
          <w:p>
            <w:pPr>
              <w:ind w:left="20"/>
              <w:spacing w:after="0"/>
              <w:rPr>
                <w:sz w:val="20"/>
                <w:szCs w:val="20"/>
                <w:color w:val="auto"/>
              </w:rPr>
            </w:pPr>
            <w:r>
              <w:rPr>
                <w:rFonts w:ascii="Arial" w:cs="Arial" w:eastAsia="Arial" w:hAnsi="Arial"/>
                <w:sz w:val="15"/>
                <w:szCs w:val="15"/>
                <w:color w:val="auto"/>
              </w:rPr>
              <w:t>Accounts receivable</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1,015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975</w:t>
            </w:r>
          </w:p>
        </w:tc>
        <w:tc>
          <w:tcPr>
            <w:tcW w:w="0" w:type="dxa"/>
            <w:vAlign w:val="bottom"/>
          </w:tcPr>
          <w:p>
            <w:pPr>
              <w:spacing w:after="0"/>
              <w:rPr>
                <w:sz w:val="1"/>
                <w:szCs w:val="1"/>
                <w:color w:val="auto"/>
              </w:rPr>
            </w:pPr>
          </w:p>
        </w:tc>
      </w:tr>
      <w:tr>
        <w:trPr>
          <w:trHeight w:val="209"/>
        </w:trPr>
        <w:tc>
          <w:tcPr>
            <w:tcW w:w="802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Unbilled accounts receivable</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544</w:t>
            </w:r>
          </w:p>
        </w:tc>
        <w:tc>
          <w:tcPr>
            <w:tcW w:w="0" w:type="dxa"/>
            <w:vAlign w:val="bottom"/>
          </w:tcPr>
          <w:p>
            <w:pPr>
              <w:spacing w:after="0"/>
              <w:rPr>
                <w:sz w:val="1"/>
                <w:szCs w:val="1"/>
                <w:color w:val="auto"/>
              </w:rPr>
            </w:pPr>
          </w:p>
        </w:tc>
      </w:tr>
      <w:tr>
        <w:trPr>
          <w:trHeight w:val="203"/>
        </w:trPr>
        <w:tc>
          <w:tcPr>
            <w:tcW w:w="8020" w:type="dxa"/>
            <w:vAlign w:val="bottom"/>
            <w:gridSpan w:val="3"/>
          </w:tcPr>
          <w:p>
            <w:pPr>
              <w:ind w:left="20"/>
              <w:spacing w:after="0"/>
              <w:rPr>
                <w:sz w:val="20"/>
                <w:szCs w:val="20"/>
                <w:color w:val="auto"/>
              </w:rPr>
            </w:pPr>
            <w:r>
              <w:rPr>
                <w:rFonts w:ascii="Arial" w:cs="Arial" w:eastAsia="Arial" w:hAnsi="Arial"/>
                <w:sz w:val="15"/>
                <w:szCs w:val="15"/>
                <w:color w:val="auto"/>
              </w:rPr>
              <w:t>Inventories, net</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2,317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2,034</w:t>
            </w:r>
          </w:p>
        </w:tc>
        <w:tc>
          <w:tcPr>
            <w:tcW w:w="0" w:type="dxa"/>
            <w:vAlign w:val="bottom"/>
          </w:tcPr>
          <w:p>
            <w:pPr>
              <w:spacing w:after="0"/>
              <w:rPr>
                <w:sz w:val="1"/>
                <w:szCs w:val="1"/>
                <w:color w:val="auto"/>
              </w:rPr>
            </w:pPr>
          </w:p>
        </w:tc>
      </w:tr>
      <w:tr>
        <w:trPr>
          <w:trHeight w:val="209"/>
        </w:trPr>
        <w:tc>
          <w:tcPr>
            <w:tcW w:w="802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Other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gridSpan w:val="2"/>
          </w:tcPr>
          <w:p>
            <w:pPr>
              <w:ind w:left="220"/>
              <w:spacing w:after="0"/>
              <w:rPr>
                <w:sz w:val="20"/>
                <w:szCs w:val="20"/>
                <w:color w:val="auto"/>
              </w:rPr>
            </w:pPr>
            <w:r>
              <w:rPr>
                <w:rFonts w:ascii="Arial" w:cs="Arial" w:eastAsia="Arial" w:hAnsi="Arial"/>
                <w:sz w:val="15"/>
                <w:szCs w:val="15"/>
                <w:color w:val="auto"/>
              </w:rPr>
              <w:t>Total current assets</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4,663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4,327</w:t>
            </w:r>
          </w:p>
        </w:tc>
        <w:tc>
          <w:tcPr>
            <w:tcW w:w="0" w:type="dxa"/>
            <w:vAlign w:val="bottom"/>
          </w:tcPr>
          <w:p>
            <w:pPr>
              <w:spacing w:after="0"/>
              <w:rPr>
                <w:sz w:val="1"/>
                <w:szCs w:val="1"/>
                <w:color w:val="auto"/>
              </w:rPr>
            </w:pPr>
          </w:p>
        </w:tc>
      </w:tr>
      <w:tr>
        <w:trPr>
          <w:trHeight w:val="209"/>
        </w:trPr>
        <w:tc>
          <w:tcPr>
            <w:tcW w:w="802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Property, plant and equipment, net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1,429</w:t>
            </w:r>
          </w:p>
        </w:tc>
        <w:tc>
          <w:tcPr>
            <w:tcW w:w="0" w:type="dxa"/>
            <w:vAlign w:val="bottom"/>
          </w:tcPr>
          <w:p>
            <w:pPr>
              <w:spacing w:after="0"/>
              <w:rPr>
                <w:sz w:val="1"/>
                <w:szCs w:val="1"/>
                <w:color w:val="auto"/>
              </w:rPr>
            </w:pPr>
          </w:p>
        </w:tc>
      </w:tr>
      <w:tr>
        <w:trPr>
          <w:trHeight w:val="203"/>
        </w:trPr>
        <w:tc>
          <w:tcPr>
            <w:tcW w:w="8020" w:type="dxa"/>
            <w:vAlign w:val="bottom"/>
            <w:gridSpan w:val="3"/>
          </w:tcPr>
          <w:p>
            <w:pPr>
              <w:ind w:left="20"/>
              <w:spacing w:after="0"/>
              <w:rPr>
                <w:sz w:val="20"/>
                <w:szCs w:val="20"/>
                <w:color w:val="auto"/>
              </w:rPr>
            </w:pPr>
            <w:r>
              <w:rPr>
                <w:rFonts w:ascii="Arial" w:cs="Arial" w:eastAsia="Arial" w:hAnsi="Arial"/>
                <w:sz w:val="15"/>
                <w:szCs w:val="15"/>
                <w:color w:val="auto"/>
              </w:rPr>
              <w:t>Goodwill</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8,657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8,508</w:t>
            </w:r>
          </w:p>
        </w:tc>
        <w:tc>
          <w:tcPr>
            <w:tcW w:w="0" w:type="dxa"/>
            <w:vAlign w:val="bottom"/>
          </w:tcPr>
          <w:p>
            <w:pPr>
              <w:spacing w:after="0"/>
              <w:rPr>
                <w:sz w:val="1"/>
                <w:szCs w:val="1"/>
                <w:color w:val="auto"/>
              </w:rPr>
            </w:pPr>
          </w:p>
        </w:tc>
      </w:tr>
      <w:tr>
        <w:trPr>
          <w:trHeight w:val="209"/>
        </w:trPr>
        <w:tc>
          <w:tcPr>
            <w:tcW w:w="802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Other intangible assets, net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3,359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3,402</w:t>
            </w:r>
          </w:p>
        </w:tc>
        <w:tc>
          <w:tcPr>
            <w:tcW w:w="0" w:type="dxa"/>
            <w:vAlign w:val="bottom"/>
          </w:tcPr>
          <w:p>
            <w:pPr>
              <w:spacing w:after="0"/>
              <w:rPr>
                <w:sz w:val="1"/>
                <w:szCs w:val="1"/>
                <w:color w:val="auto"/>
              </w:rPr>
            </w:pPr>
          </w:p>
        </w:tc>
      </w:tr>
      <w:tr>
        <w:trPr>
          <w:trHeight w:val="203"/>
        </w:trPr>
        <w:tc>
          <w:tcPr>
            <w:tcW w:w="802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color w:val="auto"/>
              </w:rPr>
              <w:t>Other noncurrent assets</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850</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Total noncurrent assets</w:t>
            </w: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14,322</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gridSpan w:val="2"/>
          </w:tcPr>
          <w:p>
            <w:pPr>
              <w:ind w:left="340"/>
              <w:spacing w:after="0"/>
              <w:rPr>
                <w:sz w:val="20"/>
                <w:szCs w:val="20"/>
                <w:color w:val="auto"/>
              </w:rPr>
            </w:pPr>
            <w:r>
              <w:rPr>
                <w:rFonts w:ascii="Arial" w:cs="Arial" w:eastAsia="Arial" w:hAnsi="Arial"/>
                <w:sz w:val="15"/>
                <w:szCs w:val="15"/>
                <w:color w:val="auto"/>
              </w:rPr>
              <w:t>Total Assets</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18,985</w:t>
            </w:r>
          </w:p>
        </w:tc>
        <w:tc>
          <w:tcPr>
            <w:tcW w:w="3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18,516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63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6380" w:type="dxa"/>
            <w:vAlign w:val="bottom"/>
            <w:shd w:val="clear" w:color="auto" w:fill="CCEEFF"/>
          </w:tcPr>
          <w:p>
            <w:pPr>
              <w:jc w:val="center"/>
              <w:ind w:right="1551"/>
              <w:spacing w:after="0" w:line="147" w:lineRule="exact"/>
              <w:rPr>
                <w:sz w:val="20"/>
                <w:szCs w:val="20"/>
                <w:color w:val="auto"/>
              </w:rPr>
            </w:pPr>
            <w:r>
              <w:rPr>
                <w:rFonts w:ascii="Arial" w:cs="Arial" w:eastAsia="Arial" w:hAnsi="Arial"/>
                <w:sz w:val="14"/>
                <w:szCs w:val="14"/>
                <w:b w:val="1"/>
                <w:bCs w:val="1"/>
                <w:color w:val="auto"/>
                <w:w w:val="89"/>
              </w:rPr>
              <w:t>Liabilities and Shareholders’ Equity</w:t>
            </w:r>
          </w:p>
        </w:tc>
        <w:tc>
          <w:tcPr>
            <w:tcW w:w="2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8020" w:type="dxa"/>
            <w:vAlign w:val="bottom"/>
            <w:gridSpan w:val="3"/>
          </w:tcPr>
          <w:p>
            <w:pPr>
              <w:ind w:left="20"/>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02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Accounts payable</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1,307</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1,301</w:t>
            </w:r>
          </w:p>
        </w:tc>
        <w:tc>
          <w:tcPr>
            <w:tcW w:w="0" w:type="dxa"/>
            <w:vAlign w:val="bottom"/>
          </w:tcPr>
          <w:p>
            <w:pPr>
              <w:spacing w:after="0"/>
              <w:rPr>
                <w:sz w:val="1"/>
                <w:szCs w:val="1"/>
                <w:color w:val="auto"/>
              </w:rPr>
            </w:pPr>
          </w:p>
        </w:tc>
      </w:tr>
      <w:tr>
        <w:trPr>
          <w:trHeight w:val="203"/>
        </w:trPr>
        <w:tc>
          <w:tcPr>
            <w:tcW w:w="8020" w:type="dxa"/>
            <w:vAlign w:val="bottom"/>
            <w:gridSpan w:val="3"/>
          </w:tcPr>
          <w:p>
            <w:pPr>
              <w:ind w:left="20"/>
              <w:spacing w:after="0"/>
              <w:rPr>
                <w:sz w:val="20"/>
                <w:szCs w:val="20"/>
                <w:color w:val="auto"/>
              </w:rPr>
            </w:pPr>
            <w:r>
              <w:rPr>
                <w:rFonts w:ascii="Arial" w:cs="Arial" w:eastAsia="Arial" w:hAnsi="Arial"/>
                <w:sz w:val="15"/>
                <w:szCs w:val="15"/>
                <w:color w:val="auto"/>
              </w:rPr>
              <w:t>Customer deposits</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731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772</w:t>
            </w:r>
          </w:p>
        </w:tc>
        <w:tc>
          <w:tcPr>
            <w:tcW w:w="0" w:type="dxa"/>
            <w:vAlign w:val="bottom"/>
          </w:tcPr>
          <w:p>
            <w:pPr>
              <w:spacing w:after="0"/>
              <w:rPr>
                <w:sz w:val="1"/>
                <w:szCs w:val="1"/>
                <w:color w:val="auto"/>
              </w:rPr>
            </w:pPr>
          </w:p>
        </w:tc>
      </w:tr>
      <w:tr>
        <w:trPr>
          <w:trHeight w:val="209"/>
        </w:trPr>
        <w:tc>
          <w:tcPr>
            <w:tcW w:w="802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Accrued compensation</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w:t>
            </w:r>
          </w:p>
        </w:tc>
        <w:tc>
          <w:tcPr>
            <w:tcW w:w="0" w:type="dxa"/>
            <w:vAlign w:val="bottom"/>
          </w:tcPr>
          <w:p>
            <w:pPr>
              <w:spacing w:after="0"/>
              <w:rPr>
                <w:sz w:val="1"/>
                <w:szCs w:val="1"/>
                <w:color w:val="auto"/>
              </w:rPr>
            </w:pPr>
          </w:p>
        </w:tc>
      </w:tr>
      <w:tr>
        <w:trPr>
          <w:trHeight w:val="203"/>
        </w:trPr>
        <w:tc>
          <w:tcPr>
            <w:tcW w:w="8020" w:type="dxa"/>
            <w:vAlign w:val="bottom"/>
            <w:gridSpan w:val="3"/>
          </w:tcPr>
          <w:p>
            <w:pPr>
              <w:ind w:left="20"/>
              <w:spacing w:after="0"/>
              <w:rPr>
                <w:sz w:val="20"/>
                <w:szCs w:val="20"/>
                <w:color w:val="auto"/>
              </w:rPr>
            </w:pPr>
            <w:r>
              <w:rPr>
                <w:rFonts w:ascii="Arial" w:cs="Arial" w:eastAsia="Arial" w:hAnsi="Arial"/>
                <w:sz w:val="15"/>
                <w:szCs w:val="15"/>
                <w:color w:val="auto"/>
              </w:rPr>
              <w:t>Accrued warranty</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223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215</w:t>
            </w:r>
          </w:p>
        </w:tc>
        <w:tc>
          <w:tcPr>
            <w:tcW w:w="0" w:type="dxa"/>
            <w:vAlign w:val="bottom"/>
          </w:tcPr>
          <w:p>
            <w:pPr>
              <w:spacing w:after="0"/>
              <w:rPr>
                <w:sz w:val="1"/>
                <w:szCs w:val="1"/>
                <w:color w:val="auto"/>
              </w:rPr>
            </w:pPr>
          </w:p>
        </w:tc>
      </w:tr>
      <w:tr>
        <w:trPr>
          <w:trHeight w:val="209"/>
        </w:trPr>
        <w:tc>
          <w:tcPr>
            <w:tcW w:w="802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Current portion of long-term debt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w:t>
            </w:r>
          </w:p>
        </w:tc>
        <w:tc>
          <w:tcPr>
            <w:tcW w:w="0" w:type="dxa"/>
            <w:vAlign w:val="bottom"/>
          </w:tcPr>
          <w:p>
            <w:pPr>
              <w:spacing w:after="0"/>
              <w:rPr>
                <w:sz w:val="1"/>
                <w:szCs w:val="1"/>
                <w:color w:val="auto"/>
              </w:rPr>
            </w:pPr>
          </w:p>
        </w:tc>
      </w:tr>
      <w:tr>
        <w:trPr>
          <w:trHeight w:val="206"/>
        </w:trPr>
        <w:tc>
          <w:tcPr>
            <w:tcW w:w="8020" w:type="dxa"/>
            <w:vAlign w:val="bottom"/>
            <w:gridSpan w:val="3"/>
          </w:tcPr>
          <w:p>
            <w:pPr>
              <w:ind w:left="20"/>
              <w:spacing w:after="0"/>
              <w:rPr>
                <w:sz w:val="20"/>
                <w:szCs w:val="20"/>
                <w:color w:val="auto"/>
              </w:rPr>
            </w:pPr>
            <w:r>
              <w:rPr>
                <w:rFonts w:ascii="Arial" w:cs="Arial" w:eastAsia="Arial" w:hAnsi="Arial"/>
                <w:sz w:val="15"/>
                <w:szCs w:val="15"/>
                <w:color w:val="auto"/>
              </w:rPr>
              <w:t>Other accrued liabilities</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674</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628</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Total current liabilities</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4,173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0" w:type="dxa"/>
            <w:vAlign w:val="bottom"/>
            <w:gridSpan w:val="2"/>
          </w:tcPr>
          <w:p>
            <w:pPr>
              <w:ind w:left="40"/>
              <w:spacing w:after="0"/>
              <w:rPr>
                <w:sz w:val="20"/>
                <w:szCs w:val="20"/>
                <w:color w:val="auto"/>
              </w:rPr>
            </w:pPr>
            <w:r>
              <w:rPr>
                <w:rFonts w:ascii="Arial" w:cs="Arial" w:eastAsia="Arial" w:hAnsi="Arial"/>
                <w:sz w:val="15"/>
                <w:szCs w:val="15"/>
                <w:color w:val="auto"/>
              </w:rPr>
              <w:t>Long-term debt</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3,401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3,751</w:t>
            </w:r>
          </w:p>
        </w:tc>
        <w:tc>
          <w:tcPr>
            <w:tcW w:w="0" w:type="dxa"/>
            <w:vAlign w:val="bottom"/>
          </w:tcPr>
          <w:p>
            <w:pPr>
              <w:spacing w:after="0"/>
              <w:rPr>
                <w:sz w:val="1"/>
                <w:szCs w:val="1"/>
                <w:color w:val="auto"/>
              </w:rPr>
            </w:pPr>
          </w:p>
        </w:tc>
      </w:tr>
      <w:tr>
        <w:trPr>
          <w:trHeight w:val="209"/>
        </w:trPr>
        <w:tc>
          <w:tcPr>
            <w:tcW w:w="802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Accrued postretirement and pension benefits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203"/>
        </w:trPr>
        <w:tc>
          <w:tcPr>
            <w:tcW w:w="8020" w:type="dxa"/>
            <w:vAlign w:val="bottom"/>
            <w:gridSpan w:val="3"/>
          </w:tcPr>
          <w:p>
            <w:pPr>
              <w:ind w:left="20"/>
              <w:spacing w:after="0"/>
              <w:rPr>
                <w:sz w:val="20"/>
                <w:szCs w:val="20"/>
                <w:color w:val="auto"/>
              </w:rPr>
            </w:pPr>
            <w:r>
              <w:rPr>
                <w:rFonts w:ascii="Arial" w:cs="Arial" w:eastAsia="Arial" w:hAnsi="Arial"/>
                <w:sz w:val="15"/>
                <w:szCs w:val="15"/>
                <w:color w:val="auto"/>
              </w:rPr>
              <w:t>Deferred income taxes</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359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326</w:t>
            </w:r>
          </w:p>
        </w:tc>
        <w:tc>
          <w:tcPr>
            <w:tcW w:w="0" w:type="dxa"/>
            <w:vAlign w:val="bottom"/>
          </w:tcPr>
          <w:p>
            <w:pPr>
              <w:spacing w:after="0"/>
              <w:rPr>
                <w:sz w:val="1"/>
                <w:szCs w:val="1"/>
                <w:color w:val="auto"/>
              </w:rPr>
            </w:pPr>
          </w:p>
        </w:tc>
      </w:tr>
      <w:tr>
        <w:trPr>
          <w:trHeight w:val="209"/>
        </w:trPr>
        <w:tc>
          <w:tcPr>
            <w:tcW w:w="802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Contingent consideration</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206"/>
        </w:trPr>
        <w:tc>
          <w:tcPr>
            <w:tcW w:w="8020" w:type="dxa"/>
            <w:vAlign w:val="bottom"/>
            <w:gridSpan w:val="3"/>
          </w:tcPr>
          <w:p>
            <w:pPr>
              <w:ind w:left="20"/>
              <w:spacing w:after="0"/>
              <w:rPr>
                <w:sz w:val="20"/>
                <w:szCs w:val="20"/>
                <w:color w:val="auto"/>
              </w:rPr>
            </w:pPr>
            <w:r>
              <w:rPr>
                <w:rFonts w:ascii="Arial" w:cs="Arial" w:eastAsia="Arial" w:hAnsi="Arial"/>
                <w:sz w:val="15"/>
                <w:szCs w:val="15"/>
                <w:color w:val="auto"/>
              </w:rPr>
              <w:t>Other long-term liabilities</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713</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721</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80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Total Liabilities</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8,758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8,369</w:t>
            </w:r>
          </w:p>
        </w:tc>
        <w:tc>
          <w:tcPr>
            <w:tcW w:w="0" w:type="dxa"/>
            <w:vAlign w:val="bottom"/>
          </w:tcPr>
          <w:p>
            <w:pPr>
              <w:spacing w:after="0"/>
              <w:rPr>
                <w:sz w:val="1"/>
                <w:szCs w:val="1"/>
                <w:color w:val="auto"/>
              </w:rPr>
            </w:pPr>
          </w:p>
        </w:tc>
      </w:tr>
      <w:tr>
        <w:trPr>
          <w:trHeight w:val="203"/>
        </w:trPr>
        <w:tc>
          <w:tcPr>
            <w:tcW w:w="8020" w:type="dxa"/>
            <w:vAlign w:val="bottom"/>
            <w:gridSpan w:val="3"/>
          </w:tcPr>
          <w:p>
            <w:pPr>
              <w:ind w:left="20"/>
              <w:spacing w:after="0"/>
              <w:rPr>
                <w:sz w:val="20"/>
                <w:szCs w:val="20"/>
                <w:color w:val="auto"/>
              </w:rPr>
            </w:pPr>
            <w:r>
              <w:rPr>
                <w:rFonts w:ascii="Arial" w:cs="Arial" w:eastAsia="Arial" w:hAnsi="Arial"/>
                <w:sz w:val="15"/>
                <w:szCs w:val="15"/>
                <w:color w:val="auto"/>
              </w:rPr>
              <w:t>Commitments and contingencies (Note 14)</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2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Equity</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8020" w:type="dxa"/>
            <w:vAlign w:val="bottom"/>
            <w:gridSpan w:val="3"/>
          </w:tcPr>
          <w:p>
            <w:pPr>
              <w:ind w:left="20"/>
              <w:spacing w:after="0" w:line="160" w:lineRule="exact"/>
              <w:rPr>
                <w:sz w:val="20"/>
                <w:szCs w:val="20"/>
                <w:color w:val="auto"/>
              </w:rPr>
            </w:pPr>
            <w:r>
              <w:rPr>
                <w:rFonts w:ascii="Arial" w:cs="Arial" w:eastAsia="Arial" w:hAnsi="Arial"/>
                <w:sz w:val="15"/>
                <w:szCs w:val="15"/>
                <w:color w:val="auto"/>
                <w:w w:val="93"/>
              </w:rPr>
              <w:t>Common stock, $.01 par value; 500.0 shares authorized and 226.9 shares issued: 179.1 and 181.2 outstanding at June 30, 2023</w:t>
            </w:r>
          </w:p>
        </w:tc>
        <w:tc>
          <w:tcPr>
            <w:tcW w:w="28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9"/>
        </w:trPr>
        <w:tc>
          <w:tcPr>
            <w:tcW w:w="8020" w:type="dxa"/>
            <w:vAlign w:val="bottom"/>
            <w:gridSpan w:val="3"/>
          </w:tcPr>
          <w:p>
            <w:pPr>
              <w:ind w:left="20"/>
              <w:spacing w:after="0"/>
              <w:rPr>
                <w:sz w:val="20"/>
                <w:szCs w:val="20"/>
                <w:color w:val="auto"/>
              </w:rPr>
            </w:pPr>
            <w:r>
              <w:rPr>
                <w:rFonts w:ascii="Arial" w:cs="Arial" w:eastAsia="Arial" w:hAnsi="Arial"/>
                <w:sz w:val="15"/>
                <w:szCs w:val="15"/>
                <w:color w:val="auto"/>
              </w:rPr>
              <w:t>and December 31, 2022, respectively</w:t>
            </w:r>
          </w:p>
        </w:tc>
        <w:tc>
          <w:tcPr>
            <w:tcW w:w="28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2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Additional paid-in capital</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7,949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7,953</w:t>
            </w:r>
          </w:p>
        </w:tc>
        <w:tc>
          <w:tcPr>
            <w:tcW w:w="0" w:type="dxa"/>
            <w:vAlign w:val="bottom"/>
          </w:tcPr>
          <w:p>
            <w:pPr>
              <w:spacing w:after="0"/>
              <w:rPr>
                <w:sz w:val="1"/>
                <w:szCs w:val="1"/>
                <w:color w:val="auto"/>
              </w:rPr>
            </w:pPr>
          </w:p>
        </w:tc>
      </w:tr>
      <w:tr>
        <w:trPr>
          <w:trHeight w:val="203"/>
        </w:trPr>
        <w:tc>
          <w:tcPr>
            <w:tcW w:w="8020" w:type="dxa"/>
            <w:vAlign w:val="bottom"/>
            <w:gridSpan w:val="3"/>
          </w:tcPr>
          <w:p>
            <w:pPr>
              <w:ind w:left="20"/>
              <w:spacing w:after="0"/>
              <w:rPr>
                <w:sz w:val="20"/>
                <w:szCs w:val="20"/>
                <w:color w:val="auto"/>
              </w:rPr>
            </w:pPr>
            <w:r>
              <w:rPr>
                <w:rFonts w:ascii="Arial" w:cs="Arial" w:eastAsia="Arial" w:hAnsi="Arial"/>
                <w:sz w:val="15"/>
                <w:szCs w:val="15"/>
                <w:color w:val="auto"/>
              </w:rPr>
              <w:t>Treasury stock, at cost, 47.8 and 45.7 shares, at June 30, 2023 and December 31, 2022, respectively</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(2,014)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(1,769)</w:t>
            </w:r>
          </w:p>
        </w:tc>
        <w:tc>
          <w:tcPr>
            <w:tcW w:w="0" w:type="dxa"/>
            <w:vAlign w:val="bottom"/>
          </w:tcPr>
          <w:p>
            <w:pPr>
              <w:spacing w:after="0"/>
              <w:rPr>
                <w:sz w:val="1"/>
                <w:szCs w:val="1"/>
                <w:color w:val="auto"/>
              </w:rPr>
            </w:pPr>
          </w:p>
        </w:tc>
      </w:tr>
      <w:tr>
        <w:trPr>
          <w:trHeight w:val="209"/>
        </w:trPr>
        <w:tc>
          <w:tcPr>
            <w:tcW w:w="802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Retained earnings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4,875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4,577</w:t>
            </w:r>
          </w:p>
        </w:tc>
        <w:tc>
          <w:tcPr>
            <w:tcW w:w="0" w:type="dxa"/>
            <w:vAlign w:val="bottom"/>
          </w:tcPr>
          <w:p>
            <w:pPr>
              <w:spacing w:after="0"/>
              <w:rPr>
                <w:sz w:val="1"/>
                <w:szCs w:val="1"/>
                <w:color w:val="auto"/>
              </w:rPr>
            </w:pPr>
          </w:p>
        </w:tc>
      </w:tr>
      <w:tr>
        <w:trPr>
          <w:trHeight w:val="203"/>
        </w:trPr>
        <w:tc>
          <w:tcPr>
            <w:tcW w:w="802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color w:val="auto"/>
              </w:rPr>
              <w:t>Accumulated other comprehensive loss</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(661)</w:t>
            </w:r>
          </w:p>
        </w:tc>
        <w:tc>
          <w:tcPr>
            <w:tcW w:w="0" w:type="dxa"/>
            <w:vAlign w:val="bottom"/>
          </w:tcPr>
          <w:p>
            <w:pPr>
              <w:spacing w:after="0"/>
              <w:rPr>
                <w:sz w:val="1"/>
                <w:szCs w:val="1"/>
                <w:color w:val="auto"/>
              </w:rPr>
            </w:pPr>
          </w:p>
        </w:tc>
      </w:tr>
      <w:tr>
        <w:trPr>
          <w:trHeight w:val="202"/>
        </w:trPr>
        <w:tc>
          <w:tcPr>
            <w:tcW w:w="802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Total Westinghouse Air Brake Technologies Corporation shareholders’ equity</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10,188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10,102</w:t>
            </w: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8000" w:type="dxa"/>
            <w:vAlign w:val="bottom"/>
            <w:tcBorders>
              <w:bottom w:val="single" w:sz="8" w:color="CCEEFF"/>
            </w:tcBorders>
            <w:gridSpan w:val="2"/>
          </w:tcPr>
          <w:p>
            <w:pPr>
              <w:ind w:left="340"/>
              <w:spacing w:after="0"/>
              <w:rPr>
                <w:sz w:val="20"/>
                <w:szCs w:val="20"/>
                <w:color w:val="auto"/>
              </w:rPr>
            </w:pPr>
            <w:r>
              <w:rPr>
                <w:rFonts w:ascii="Arial" w:cs="Arial" w:eastAsia="Arial" w:hAnsi="Arial"/>
                <w:sz w:val="15"/>
                <w:szCs w:val="15"/>
                <w:color w:val="auto"/>
              </w:rPr>
              <w:t>Noncontrolling interest</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199"/>
        </w:trPr>
        <w:tc>
          <w:tcPr>
            <w:tcW w:w="802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Total Equity</w:t>
            </w: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10,227</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gridSpan w:val="2"/>
          </w:tcPr>
          <w:p>
            <w:pPr>
              <w:ind w:left="340"/>
              <w:spacing w:after="0"/>
              <w:rPr>
                <w:sz w:val="20"/>
                <w:szCs w:val="20"/>
                <w:color w:val="auto"/>
              </w:rPr>
            </w:pPr>
            <w:r>
              <w:rPr>
                <w:rFonts w:ascii="Arial" w:cs="Arial" w:eastAsia="Arial" w:hAnsi="Arial"/>
                <w:sz w:val="15"/>
                <w:szCs w:val="15"/>
                <w:color w:val="auto"/>
              </w:rPr>
              <w:t>Total Liabilities and Equity</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18,985</w:t>
            </w:r>
          </w:p>
        </w:tc>
        <w:tc>
          <w:tcPr>
            <w:tcW w:w="3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18,516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The accompanying notes are an integral part of these statements.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WESTINGHOUSE AIR BRAKE TECHNOLOGIES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INCOME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gridSpan w:val="3"/>
          </w:tcPr>
          <w:p>
            <w:pPr>
              <w:jc w:val="center"/>
              <w:ind w:left="497"/>
              <w:spacing w:after="0"/>
              <w:rPr>
                <w:sz w:val="20"/>
                <w:szCs w:val="20"/>
                <w:color w:val="auto"/>
              </w:rPr>
            </w:pPr>
            <w:r>
              <w:rPr>
                <w:rFonts w:ascii="Arial" w:cs="Arial" w:eastAsia="Arial" w:hAnsi="Arial"/>
                <w:sz w:val="14"/>
                <w:szCs w:val="14"/>
                <w:b w:val="1"/>
                <w:bCs w:val="1"/>
                <w:color w:val="auto"/>
                <w:w w:val="90"/>
              </w:rPr>
              <w:t>Unaudited</w:t>
            </w: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gridSpan w:val="3"/>
          </w:tcPr>
          <w:p>
            <w:pPr>
              <w:jc w:val="center"/>
              <w:ind w:left="357"/>
              <w:spacing w:after="0"/>
              <w:rPr>
                <w:sz w:val="20"/>
                <w:szCs w:val="20"/>
                <w:color w:val="auto"/>
              </w:rPr>
            </w:pPr>
            <w:r>
              <w:rPr>
                <w:rFonts w:ascii="Arial" w:cs="Arial" w:eastAsia="Arial" w:hAnsi="Arial"/>
                <w:sz w:val="14"/>
                <w:szCs w:val="14"/>
                <w:b w:val="1"/>
                <w:bCs w:val="1"/>
                <w:color w:val="auto"/>
                <w:w w:val="90"/>
              </w:rPr>
              <w:t>Unaudited</w:t>
            </w:r>
          </w:p>
        </w:tc>
        <w:tc>
          <w:tcPr>
            <w:tcW w:w="760" w:type="dxa"/>
            <w:vAlign w:val="bottom"/>
          </w:tcPr>
          <w:p>
            <w:pPr>
              <w:spacing w:after="0"/>
              <w:rPr>
                <w:sz w:val="15"/>
                <w:szCs w:val="15"/>
                <w:color w:val="auto"/>
              </w:rPr>
            </w:pPr>
          </w:p>
        </w:tc>
      </w:tr>
      <w:tr>
        <w:trPr>
          <w:trHeight w:val="153"/>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20" w:type="dxa"/>
            <w:vAlign w:val="bottom"/>
            <w:gridSpan w:val="4"/>
          </w:tcPr>
          <w:p>
            <w:pPr>
              <w:jc w:val="center"/>
              <w:ind w:right="195"/>
              <w:spacing w:after="0" w:line="153" w:lineRule="exact"/>
              <w:rPr>
                <w:sz w:val="20"/>
                <w:szCs w:val="20"/>
                <w:color w:val="auto"/>
              </w:rPr>
            </w:pPr>
            <w:r>
              <w:rPr>
                <w:rFonts w:ascii="Arial" w:cs="Arial" w:eastAsia="Arial" w:hAnsi="Arial"/>
                <w:sz w:val="14"/>
                <w:szCs w:val="14"/>
                <w:b w:val="1"/>
                <w:bCs w:val="1"/>
                <w:color w:val="auto"/>
                <w:w w:val="89"/>
              </w:rPr>
              <w:t>Three Months Ended</w:t>
            </w:r>
          </w:p>
        </w:tc>
        <w:tc>
          <w:tcPr>
            <w:tcW w:w="320" w:type="dxa"/>
            <w:vAlign w:val="bottom"/>
          </w:tcPr>
          <w:p>
            <w:pPr>
              <w:spacing w:after="0"/>
              <w:rPr>
                <w:sz w:val="13"/>
                <w:szCs w:val="13"/>
                <w:color w:val="auto"/>
              </w:rPr>
            </w:pPr>
          </w:p>
        </w:tc>
        <w:tc>
          <w:tcPr>
            <w:tcW w:w="1540" w:type="dxa"/>
            <w:vAlign w:val="bottom"/>
            <w:gridSpan w:val="3"/>
          </w:tcPr>
          <w:p>
            <w:pPr>
              <w:jc w:val="center"/>
              <w:ind w:left="377"/>
              <w:spacing w:after="0" w:line="153" w:lineRule="exact"/>
              <w:rPr>
                <w:sz w:val="20"/>
                <w:szCs w:val="20"/>
                <w:color w:val="auto"/>
              </w:rPr>
            </w:pPr>
            <w:r>
              <w:rPr>
                <w:rFonts w:ascii="Arial" w:cs="Arial" w:eastAsia="Arial" w:hAnsi="Arial"/>
                <w:sz w:val="14"/>
                <w:szCs w:val="14"/>
                <w:b w:val="1"/>
                <w:bCs w:val="1"/>
                <w:color w:val="auto"/>
                <w:w w:val="88"/>
              </w:rPr>
              <w:t>Six Months Ended</w:t>
            </w:r>
          </w:p>
        </w:tc>
        <w:tc>
          <w:tcPr>
            <w:tcW w:w="760" w:type="dxa"/>
            <w:vAlign w:val="bottom"/>
          </w:tcPr>
          <w:p>
            <w:pPr>
              <w:spacing w:after="0"/>
              <w:rPr>
                <w:sz w:val="13"/>
                <w:szCs w:val="13"/>
                <w:color w:val="auto"/>
              </w:rPr>
            </w:pPr>
          </w:p>
        </w:tc>
      </w:tr>
      <w:tr>
        <w:trPr>
          <w:trHeight w:val="178"/>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gridSpan w:val="3"/>
          </w:tcPr>
          <w:p>
            <w:pPr>
              <w:jc w:val="center"/>
              <w:ind w:left="517"/>
              <w:spacing w:after="0"/>
              <w:rPr>
                <w:sz w:val="20"/>
                <w:szCs w:val="20"/>
                <w:color w:val="auto"/>
              </w:rPr>
            </w:pPr>
            <w:r>
              <w:rPr>
                <w:rFonts w:ascii="Arial" w:cs="Arial" w:eastAsia="Arial" w:hAnsi="Arial"/>
                <w:sz w:val="14"/>
                <w:szCs w:val="14"/>
                <w:b w:val="1"/>
                <w:bCs w:val="1"/>
                <w:color w:val="auto"/>
                <w:w w:val="85"/>
              </w:rPr>
              <w:t>June 30,</w:t>
            </w: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gridSpan w:val="3"/>
          </w:tcPr>
          <w:p>
            <w:pPr>
              <w:jc w:val="center"/>
              <w:ind w:left="377"/>
              <w:spacing w:after="0"/>
              <w:rPr>
                <w:sz w:val="20"/>
                <w:szCs w:val="20"/>
                <w:color w:val="auto"/>
              </w:rPr>
            </w:pPr>
            <w:r>
              <w:rPr>
                <w:rFonts w:ascii="Arial" w:cs="Arial" w:eastAsia="Arial" w:hAnsi="Arial"/>
                <w:sz w:val="14"/>
                <w:szCs w:val="14"/>
                <w:b w:val="1"/>
                <w:bCs w:val="1"/>
                <w:color w:val="auto"/>
                <w:w w:val="85"/>
              </w:rPr>
              <w:t>June 30,</w:t>
            </w:r>
          </w:p>
        </w:tc>
        <w:tc>
          <w:tcPr>
            <w:tcW w:w="760" w:type="dxa"/>
            <w:vAlign w:val="bottom"/>
          </w:tcPr>
          <w:p>
            <w:pPr>
              <w:spacing w:after="0"/>
              <w:rPr>
                <w:sz w:val="15"/>
                <w:szCs w:val="15"/>
                <w:color w:val="auto"/>
              </w:rPr>
            </w:pPr>
          </w:p>
        </w:tc>
      </w:tr>
      <w:tr>
        <w:trPr>
          <w:trHeight w:val="157"/>
        </w:trPr>
        <w:tc>
          <w:tcPr>
            <w:tcW w:w="6000" w:type="dxa"/>
            <w:vAlign w:val="bottom"/>
            <w:gridSpan w:val="3"/>
          </w:tcPr>
          <w:p>
            <w:pPr>
              <w:ind w:left="20"/>
              <w:spacing w:after="0" w:line="157" w:lineRule="exact"/>
              <w:rPr>
                <w:sz w:val="20"/>
                <w:szCs w:val="20"/>
                <w:color w:val="auto"/>
              </w:rPr>
            </w:pPr>
            <w:r>
              <w:rPr>
                <w:rFonts w:ascii="Arial" w:cs="Arial" w:eastAsia="Arial" w:hAnsi="Arial"/>
                <w:sz w:val="14"/>
                <w:szCs w:val="14"/>
                <w:b w:val="1"/>
                <w:bCs w:val="1"/>
                <w:i w:val="1"/>
                <w:iCs w:val="1"/>
                <w:color w:val="auto"/>
              </w:rPr>
              <w:t>In millions, except per share data</w:t>
            </w:r>
          </w:p>
        </w:tc>
        <w:tc>
          <w:tcPr>
            <w:tcW w:w="300" w:type="dxa"/>
            <w:vAlign w:val="bottom"/>
          </w:tcPr>
          <w:p>
            <w:pPr>
              <w:spacing w:after="0"/>
              <w:rPr>
                <w:sz w:val="13"/>
                <w:szCs w:val="13"/>
                <w:color w:val="auto"/>
              </w:rPr>
            </w:pPr>
          </w:p>
        </w:tc>
        <w:tc>
          <w:tcPr>
            <w:tcW w:w="980" w:type="dxa"/>
            <w:vAlign w:val="bottom"/>
          </w:tcPr>
          <w:p>
            <w:pPr>
              <w:jc w:val="right"/>
              <w:ind w:right="417"/>
              <w:spacing w:after="0" w:line="157" w:lineRule="exact"/>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jc w:val="right"/>
              <w:ind w:right="395"/>
              <w:spacing w:after="0" w:line="157" w:lineRule="exact"/>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3"/>
                <w:szCs w:val="13"/>
                <w:color w:val="auto"/>
              </w:rPr>
            </w:pPr>
          </w:p>
        </w:tc>
        <w:tc>
          <w:tcPr>
            <w:tcW w:w="960" w:type="dxa"/>
            <w:vAlign w:val="bottom"/>
          </w:tcPr>
          <w:p>
            <w:pPr>
              <w:jc w:val="right"/>
              <w:ind w:right="417"/>
              <w:spacing w:after="0" w:line="157"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jc w:val="right"/>
              <w:ind w:right="395"/>
              <w:spacing w:after="0" w:line="157" w:lineRule="exact"/>
              <w:rPr>
                <w:sz w:val="20"/>
                <w:szCs w:val="20"/>
                <w:color w:val="auto"/>
              </w:rPr>
            </w:pPr>
            <w:r>
              <w:rPr>
                <w:rFonts w:ascii="Arial" w:cs="Arial" w:eastAsia="Arial" w:hAnsi="Arial"/>
                <w:sz w:val="14"/>
                <w:szCs w:val="14"/>
                <w:b w:val="1"/>
                <w:bCs w:val="1"/>
                <w:color w:val="auto"/>
                <w:w w:val="83"/>
              </w:rPr>
              <w:t>2022</w:t>
            </w:r>
          </w:p>
        </w:tc>
      </w:tr>
      <w:tr>
        <w:trPr>
          <w:trHeight w:val="32"/>
        </w:trPr>
        <w:tc>
          <w:tcPr>
            <w:tcW w:w="20" w:type="dxa"/>
            <w:vAlign w:val="bottom"/>
            <w:tcBorders>
              <w:bottom w:val="single" w:sz="8" w:color="CCEEFF"/>
            </w:tcBorders>
          </w:tcPr>
          <w:p>
            <w:pPr>
              <w:spacing w:after="0"/>
              <w:rPr>
                <w:sz w:val="2"/>
                <w:szCs w:val="2"/>
                <w:color w:val="auto"/>
              </w:rPr>
            </w:pPr>
          </w:p>
        </w:tc>
        <w:tc>
          <w:tcPr>
            <w:tcW w:w="1900" w:type="dxa"/>
            <w:vAlign w:val="bottom"/>
            <w:tcBorders>
              <w:top w:val="single" w:sz="8" w:color="auto"/>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8"/>
        </w:trPr>
        <w:tc>
          <w:tcPr>
            <w:tcW w:w="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40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218"/>
        </w:trPr>
        <w:tc>
          <w:tcPr>
            <w:tcW w:w="6000" w:type="dxa"/>
            <w:vAlign w:val="bottom"/>
            <w:gridSpan w:val="3"/>
          </w:tcPr>
          <w:p>
            <w:pPr>
              <w:ind w:left="20"/>
              <w:spacing w:after="0"/>
              <w:rPr>
                <w:sz w:val="20"/>
                <w:szCs w:val="20"/>
                <w:color w:val="auto"/>
              </w:rPr>
            </w:pPr>
            <w:r>
              <w:rPr>
                <w:rFonts w:ascii="Arial" w:cs="Arial" w:eastAsia="Arial" w:hAnsi="Arial"/>
                <w:sz w:val="17"/>
                <w:szCs w:val="17"/>
                <w:color w:val="auto"/>
              </w:rPr>
              <w:t>Net sales: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3"/>
        </w:trPr>
        <w:tc>
          <w:tcPr>
            <w:tcW w:w="20" w:type="dxa"/>
            <w:vAlign w:val="bottom"/>
            <w:shd w:val="clear" w:color="auto" w:fill="CCEEFF"/>
          </w:tcPr>
          <w:p>
            <w:pPr>
              <w:spacing w:after="0"/>
              <w:rPr>
                <w:sz w:val="20"/>
                <w:szCs w:val="20"/>
                <w:color w:val="auto"/>
              </w:rPr>
            </w:pPr>
          </w:p>
        </w:tc>
        <w:tc>
          <w:tcPr>
            <w:tcW w:w="59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Sales of goods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1,899</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1,584</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3,583</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3,089</w:t>
            </w:r>
          </w:p>
        </w:tc>
      </w:tr>
      <w:tr>
        <w:trPr>
          <w:trHeight w:val="218"/>
        </w:trPr>
        <w:tc>
          <w:tcPr>
            <w:tcW w:w="20" w:type="dxa"/>
            <w:vAlign w:val="bottom"/>
          </w:tcPr>
          <w:p>
            <w:pPr>
              <w:spacing w:after="0"/>
              <w:rPr>
                <w:sz w:val="18"/>
                <w:szCs w:val="18"/>
                <w:color w:val="auto"/>
              </w:rPr>
            </w:pPr>
          </w:p>
        </w:tc>
        <w:tc>
          <w:tcPr>
            <w:tcW w:w="5980" w:type="dxa"/>
            <w:vAlign w:val="bottom"/>
            <w:gridSpan w:val="2"/>
          </w:tcPr>
          <w:p>
            <w:pPr>
              <w:ind w:left="300"/>
              <w:spacing w:after="0"/>
              <w:rPr>
                <w:sz w:val="20"/>
                <w:szCs w:val="20"/>
                <w:color w:val="auto"/>
              </w:rPr>
            </w:pPr>
            <w:r>
              <w:rPr>
                <w:rFonts w:ascii="Arial" w:cs="Arial" w:eastAsia="Arial" w:hAnsi="Arial"/>
                <w:sz w:val="17"/>
                <w:szCs w:val="17"/>
                <w:color w:val="auto"/>
              </w:rPr>
              <w:t>Sales of services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508</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464</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1,018</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886</w:t>
            </w:r>
          </w:p>
        </w:tc>
      </w:tr>
      <w:tr>
        <w:trPr>
          <w:trHeight w:val="213"/>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 net sales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2,048</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3,975</w:t>
            </w:r>
          </w:p>
        </w:tc>
      </w:tr>
      <w:tr>
        <w:trPr>
          <w:trHeight w:val="225"/>
        </w:trPr>
        <w:tc>
          <w:tcPr>
            <w:tcW w:w="6000" w:type="dxa"/>
            <w:vAlign w:val="bottom"/>
            <w:gridSpan w:val="3"/>
          </w:tcPr>
          <w:p>
            <w:pPr>
              <w:ind w:left="20"/>
              <w:spacing w:after="0"/>
              <w:rPr>
                <w:sz w:val="20"/>
                <w:szCs w:val="20"/>
                <w:color w:val="auto"/>
              </w:rPr>
            </w:pPr>
            <w:r>
              <w:rPr>
                <w:rFonts w:ascii="Arial" w:cs="Arial" w:eastAsia="Arial" w:hAnsi="Arial"/>
                <w:sz w:val="17"/>
                <w:szCs w:val="17"/>
                <w:color w:val="auto"/>
              </w:rPr>
              <w:t>Cost of sales: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6"/>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Cost of goods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(1,147)</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(2,231)</w:t>
            </w:r>
          </w:p>
        </w:tc>
      </w:tr>
      <w:tr>
        <w:trPr>
          <w:trHeight w:val="219"/>
        </w:trPr>
        <w:tc>
          <w:tcPr>
            <w:tcW w:w="20" w:type="dxa"/>
            <w:vAlign w:val="bottom"/>
          </w:tcPr>
          <w:p>
            <w:pPr>
              <w:spacing w:after="0"/>
              <w:rPr>
                <w:sz w:val="19"/>
                <w:szCs w:val="19"/>
                <w:color w:val="auto"/>
              </w:rPr>
            </w:pPr>
          </w:p>
        </w:tc>
        <w:tc>
          <w:tcPr>
            <w:tcW w:w="5980" w:type="dxa"/>
            <w:vAlign w:val="bottom"/>
            <w:gridSpan w:val="2"/>
          </w:tcPr>
          <w:p>
            <w:pPr>
              <w:ind w:left="300"/>
              <w:spacing w:after="0"/>
              <w:rPr>
                <w:sz w:val="20"/>
                <w:szCs w:val="20"/>
                <w:color w:val="auto"/>
              </w:rPr>
            </w:pPr>
            <w:r>
              <w:rPr>
                <w:rFonts w:ascii="Arial" w:cs="Arial" w:eastAsia="Arial" w:hAnsi="Arial"/>
                <w:sz w:val="17"/>
                <w:szCs w:val="17"/>
                <w:color w:val="auto"/>
              </w:rPr>
              <w:t>Cost of services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(556)</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(504)</w:t>
            </w:r>
          </w:p>
        </w:tc>
      </w:tr>
      <w:tr>
        <w:trPr>
          <w:trHeight w:val="225"/>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 cost of sales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(1,403)</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(2,735)</w:t>
            </w:r>
          </w:p>
        </w:tc>
      </w:tr>
      <w:tr>
        <w:trPr>
          <w:trHeight w:val="211"/>
        </w:trPr>
        <w:tc>
          <w:tcPr>
            <w:tcW w:w="20" w:type="dxa"/>
            <w:vAlign w:val="bottom"/>
          </w:tcPr>
          <w:p>
            <w:pPr>
              <w:spacing w:after="0"/>
              <w:rPr>
                <w:sz w:val="18"/>
                <w:szCs w:val="18"/>
                <w:color w:val="auto"/>
              </w:rPr>
            </w:pPr>
          </w:p>
        </w:tc>
        <w:tc>
          <w:tcPr>
            <w:tcW w:w="5980" w:type="dxa"/>
            <w:vAlign w:val="bottom"/>
            <w:gridSpan w:val="2"/>
          </w:tcPr>
          <w:p>
            <w:pPr>
              <w:ind w:left="120"/>
              <w:spacing w:after="0"/>
              <w:rPr>
                <w:sz w:val="20"/>
                <w:szCs w:val="20"/>
                <w:color w:val="auto"/>
              </w:rPr>
            </w:pPr>
            <w:r>
              <w:rPr>
                <w:rFonts w:ascii="Arial" w:cs="Arial" w:eastAsia="Arial" w:hAnsi="Arial"/>
                <w:sz w:val="17"/>
                <w:szCs w:val="17"/>
                <w:color w:val="auto"/>
              </w:rPr>
              <w:t>Gross profit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723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645</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1,388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1,240</w:t>
            </w:r>
          </w:p>
        </w:tc>
      </w:tr>
      <w:tr>
        <w:trPr>
          <w:trHeight w:val="220"/>
        </w:trPr>
        <w:tc>
          <w:tcPr>
            <w:tcW w:w="60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5980" w:type="dxa"/>
            <w:vAlign w:val="bottom"/>
            <w:gridSpan w:val="2"/>
          </w:tcPr>
          <w:p>
            <w:pPr>
              <w:ind w:left="300"/>
              <w:spacing w:after="0"/>
              <w:rPr>
                <w:sz w:val="20"/>
                <w:szCs w:val="20"/>
                <w:color w:val="auto"/>
              </w:rPr>
            </w:pPr>
            <w:r>
              <w:rPr>
                <w:rFonts w:ascii="Arial" w:cs="Arial" w:eastAsia="Arial" w:hAnsi="Arial"/>
                <w:sz w:val="17"/>
                <w:szCs w:val="17"/>
                <w:color w:val="auto"/>
              </w:rPr>
              <w:t>Selling, general and administrative expenses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(285)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(259)</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(548)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(497)</w:t>
            </w:r>
          </w:p>
        </w:tc>
      </w:tr>
      <w:tr>
        <w:trPr>
          <w:trHeight w:val="226"/>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Engineering expenses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r>
      <w:tr>
        <w:trPr>
          <w:trHeight w:val="219"/>
        </w:trPr>
        <w:tc>
          <w:tcPr>
            <w:tcW w:w="20" w:type="dxa"/>
            <w:vAlign w:val="bottom"/>
          </w:tcPr>
          <w:p>
            <w:pPr>
              <w:spacing w:after="0"/>
              <w:rPr>
                <w:sz w:val="19"/>
                <w:szCs w:val="19"/>
                <w:color w:val="auto"/>
              </w:rPr>
            </w:pPr>
          </w:p>
        </w:tc>
        <w:tc>
          <w:tcPr>
            <w:tcW w:w="5980" w:type="dxa"/>
            <w:vAlign w:val="bottom"/>
            <w:gridSpan w:val="2"/>
          </w:tcPr>
          <w:p>
            <w:pPr>
              <w:ind w:left="300"/>
              <w:spacing w:after="0"/>
              <w:rPr>
                <w:sz w:val="20"/>
                <w:szCs w:val="20"/>
                <w:color w:val="auto"/>
              </w:rPr>
            </w:pPr>
            <w:r>
              <w:rPr>
                <w:rFonts w:ascii="Arial" w:cs="Arial" w:eastAsia="Arial" w:hAnsi="Arial"/>
                <w:sz w:val="17"/>
                <w:szCs w:val="17"/>
                <w:color w:val="auto"/>
              </w:rPr>
              <w:t>Amortization expense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w:t>
            </w:r>
          </w:p>
        </w:tc>
      </w:tr>
      <w:tr>
        <w:trPr>
          <w:trHeight w:val="225"/>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(737)</w:t>
            </w:r>
          </w:p>
        </w:tc>
      </w:tr>
      <w:tr>
        <w:trPr>
          <w:trHeight w:val="211"/>
        </w:trPr>
        <w:tc>
          <w:tcPr>
            <w:tcW w:w="20" w:type="dxa"/>
            <w:vAlign w:val="bottom"/>
          </w:tcPr>
          <w:p>
            <w:pPr>
              <w:spacing w:after="0"/>
              <w:rPr>
                <w:sz w:val="18"/>
                <w:szCs w:val="18"/>
                <w:color w:val="auto"/>
              </w:rPr>
            </w:pPr>
          </w:p>
        </w:tc>
        <w:tc>
          <w:tcPr>
            <w:tcW w:w="5980" w:type="dxa"/>
            <w:vAlign w:val="bottom"/>
            <w:gridSpan w:val="2"/>
          </w:tcPr>
          <w:p>
            <w:pPr>
              <w:ind w:left="120"/>
              <w:spacing w:after="0"/>
              <w:rPr>
                <w:sz w:val="20"/>
                <w:szCs w:val="20"/>
                <w:color w:val="auto"/>
              </w:rPr>
            </w:pPr>
            <w:r>
              <w:rPr>
                <w:rFonts w:ascii="Arial" w:cs="Arial" w:eastAsia="Arial" w:hAnsi="Arial"/>
                <w:sz w:val="17"/>
                <w:szCs w:val="17"/>
                <w:color w:val="auto"/>
              </w:rPr>
              <w:t>Income from operations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312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264</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588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503</w:t>
            </w:r>
          </w:p>
        </w:tc>
      </w:tr>
      <w:tr>
        <w:trPr>
          <w:trHeight w:val="220"/>
        </w:trPr>
        <w:tc>
          <w:tcPr>
            <w:tcW w:w="60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Other income and expenses: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5980" w:type="dxa"/>
            <w:vAlign w:val="bottom"/>
            <w:gridSpan w:val="2"/>
          </w:tcPr>
          <w:p>
            <w:pPr>
              <w:ind w:left="300"/>
              <w:spacing w:after="0"/>
              <w:rPr>
                <w:sz w:val="20"/>
                <w:szCs w:val="20"/>
                <w:color w:val="auto"/>
              </w:rPr>
            </w:pPr>
            <w:r>
              <w:rPr>
                <w:rFonts w:ascii="Arial" w:cs="Arial" w:eastAsia="Arial" w:hAnsi="Arial"/>
                <w:sz w:val="17"/>
                <w:szCs w:val="17"/>
                <w:color w:val="auto"/>
              </w:rPr>
              <w:t>Interest expense, net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(44)</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(87)</w:t>
            </w:r>
          </w:p>
        </w:tc>
      </w:tr>
      <w:tr>
        <w:trPr>
          <w:trHeight w:val="226"/>
        </w:trPr>
        <w:tc>
          <w:tcPr>
            <w:tcW w:w="20" w:type="dxa"/>
            <w:vAlign w:val="bottom"/>
            <w:tcBorders>
              <w:bottom w:val="single" w:sz="8" w:color="CCEEFF"/>
            </w:tcBorders>
            <w:shd w:val="clear" w:color="auto" w:fill="CCEEFF"/>
          </w:tcPr>
          <w:p>
            <w:pPr>
              <w:spacing w:after="0"/>
              <w:rPr>
                <w:sz w:val="19"/>
                <w:szCs w:val="19"/>
                <w:color w:val="auto"/>
              </w:rPr>
            </w:pPr>
          </w:p>
        </w:tc>
        <w:tc>
          <w:tcPr>
            <w:tcW w:w="59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7"/>
                <w:szCs w:val="17"/>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12"/>
        </w:trPr>
        <w:tc>
          <w:tcPr>
            <w:tcW w:w="20" w:type="dxa"/>
            <w:vAlign w:val="bottom"/>
          </w:tcPr>
          <w:p>
            <w:pPr>
              <w:spacing w:after="0"/>
              <w:rPr>
                <w:sz w:val="18"/>
                <w:szCs w:val="18"/>
                <w:color w:val="auto"/>
              </w:rPr>
            </w:pPr>
          </w:p>
        </w:tc>
        <w:tc>
          <w:tcPr>
            <w:tcW w:w="5980" w:type="dxa"/>
            <w:vAlign w:val="bottom"/>
            <w:gridSpan w:val="2"/>
          </w:tcPr>
          <w:p>
            <w:pPr>
              <w:ind w:left="120"/>
              <w:spacing w:after="0"/>
              <w:rPr>
                <w:sz w:val="20"/>
                <w:szCs w:val="20"/>
                <w:color w:val="auto"/>
              </w:rPr>
            </w:pPr>
            <w:r>
              <w:rPr>
                <w:rFonts w:ascii="Arial" w:cs="Arial" w:eastAsia="Arial" w:hAnsi="Arial"/>
                <w:sz w:val="17"/>
                <w:szCs w:val="17"/>
                <w:color w:val="auto"/>
              </w:rPr>
              <w:t>Income before income taxes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227</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492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427</w:t>
            </w:r>
          </w:p>
        </w:tc>
      </w:tr>
      <w:tr>
        <w:trPr>
          <w:trHeight w:val="233"/>
        </w:trPr>
        <w:tc>
          <w:tcPr>
            <w:tcW w:w="20" w:type="dxa"/>
            <w:vAlign w:val="bottom"/>
            <w:shd w:val="clear" w:color="auto" w:fill="CCEEFF"/>
          </w:tcPr>
          <w:p>
            <w:pPr>
              <w:spacing w:after="0"/>
              <w:rPr>
                <w:sz w:val="20"/>
                <w:szCs w:val="20"/>
                <w:color w:val="auto"/>
              </w:rPr>
            </w:pPr>
          </w:p>
        </w:tc>
        <w:tc>
          <w:tcPr>
            <w:tcW w:w="59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Income tax expense</w:t>
            </w: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3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w:t>
            </w:r>
          </w:p>
        </w:tc>
      </w:tr>
      <w:tr>
        <w:trPr>
          <w:trHeight w:val="211"/>
        </w:trPr>
        <w:tc>
          <w:tcPr>
            <w:tcW w:w="20" w:type="dxa"/>
            <w:vAlign w:val="bottom"/>
          </w:tcPr>
          <w:p>
            <w:pPr>
              <w:spacing w:after="0"/>
              <w:rPr>
                <w:sz w:val="18"/>
                <w:szCs w:val="18"/>
                <w:color w:val="auto"/>
              </w:rPr>
            </w:pPr>
          </w:p>
        </w:tc>
        <w:tc>
          <w:tcPr>
            <w:tcW w:w="5980" w:type="dxa"/>
            <w:vAlign w:val="bottom"/>
            <w:gridSpan w:val="2"/>
          </w:tcPr>
          <w:p>
            <w:pPr>
              <w:ind w:left="120"/>
              <w:spacing w:after="0"/>
              <w:rPr>
                <w:sz w:val="20"/>
                <w:szCs w:val="20"/>
                <w:color w:val="auto"/>
              </w:rPr>
            </w:pPr>
            <w:r>
              <w:rPr>
                <w:rFonts w:ascii="Arial" w:cs="Arial" w:eastAsia="Arial" w:hAnsi="Arial"/>
                <w:sz w:val="17"/>
                <w:szCs w:val="17"/>
                <w:color w:val="auto"/>
              </w:rPr>
              <w:t>Net income</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169</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366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319</w:t>
            </w:r>
          </w:p>
        </w:tc>
      </w:tr>
      <w:tr>
        <w:trPr>
          <w:trHeight w:val="220"/>
        </w:trPr>
        <w:tc>
          <w:tcPr>
            <w:tcW w:w="20" w:type="dxa"/>
            <w:vAlign w:val="bottom"/>
            <w:tcBorders>
              <w:bottom w:val="single" w:sz="8" w:color="CCEEFF"/>
            </w:tcBorders>
            <w:shd w:val="clear" w:color="auto" w:fill="CCEEFF"/>
          </w:tcPr>
          <w:p>
            <w:pPr>
              <w:spacing w:after="0"/>
              <w:rPr>
                <w:sz w:val="19"/>
                <w:szCs w:val="19"/>
                <w:color w:val="auto"/>
              </w:rPr>
            </w:pPr>
          </w:p>
        </w:tc>
        <w:tc>
          <w:tcPr>
            <w:tcW w:w="59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7"/>
                <w:szCs w:val="17"/>
                <w:color w:val="auto"/>
              </w:rPr>
              <w:t>Less: Net income attributable to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25"/>
        </w:trPr>
        <w:tc>
          <w:tcPr>
            <w:tcW w:w="20" w:type="dxa"/>
            <w:vAlign w:val="bottom"/>
          </w:tcPr>
          <w:p>
            <w:pPr>
              <w:spacing w:after="0"/>
              <w:rPr>
                <w:sz w:val="19"/>
                <w:szCs w:val="19"/>
                <w:color w:val="auto"/>
              </w:rPr>
            </w:pPr>
          </w:p>
        </w:tc>
        <w:tc>
          <w:tcPr>
            <w:tcW w:w="5980" w:type="dxa"/>
            <w:vAlign w:val="bottom"/>
            <w:gridSpan w:val="2"/>
          </w:tcPr>
          <w:p>
            <w:pPr>
              <w:ind w:left="120"/>
              <w:spacing w:after="0"/>
              <w:rPr>
                <w:sz w:val="20"/>
                <w:szCs w:val="20"/>
                <w:color w:val="auto"/>
              </w:rPr>
            </w:pPr>
            <w:r>
              <w:rPr>
                <w:rFonts w:ascii="Arial" w:cs="Arial" w:eastAsia="Arial" w:hAnsi="Arial"/>
                <w:sz w:val="17"/>
                <w:szCs w:val="17"/>
                <w:color w:val="auto"/>
              </w:rPr>
              <w:t>Net income attributable to Wabtec shareholders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191</w:t>
            </w:r>
          </w:p>
        </w:tc>
        <w:tc>
          <w:tcPr>
            <w:tcW w:w="4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166</w:t>
            </w: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360</w:t>
            </w:r>
          </w:p>
        </w:tc>
        <w:tc>
          <w:tcPr>
            <w:tcW w:w="58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315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4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9"/>
        </w:trPr>
        <w:tc>
          <w:tcPr>
            <w:tcW w:w="6000" w:type="dxa"/>
            <w:vAlign w:val="bottom"/>
            <w:gridSpan w:val="3"/>
          </w:tcPr>
          <w:p>
            <w:pPr>
              <w:ind w:left="20"/>
              <w:spacing w:after="0"/>
              <w:rPr>
                <w:sz w:val="20"/>
                <w:szCs w:val="20"/>
                <w:color w:val="auto"/>
              </w:rPr>
            </w:pPr>
            <w:r>
              <w:rPr>
                <w:rFonts w:ascii="Arial" w:cs="Arial" w:eastAsia="Arial" w:hAnsi="Arial"/>
                <w:sz w:val="17"/>
                <w:szCs w:val="17"/>
                <w:b w:val="1"/>
                <w:bCs w:val="1"/>
                <w:color w:val="auto"/>
              </w:rPr>
              <w:t>Earnings Per Common Share</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19"/>
        </w:trPr>
        <w:tc>
          <w:tcPr>
            <w:tcW w:w="60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Basic</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2"/>
        </w:trPr>
        <w:tc>
          <w:tcPr>
            <w:tcW w:w="20" w:type="dxa"/>
            <w:vAlign w:val="bottom"/>
          </w:tcPr>
          <w:p>
            <w:pPr>
              <w:spacing w:after="0"/>
              <w:rPr>
                <w:sz w:val="20"/>
                <w:szCs w:val="20"/>
                <w:color w:val="auto"/>
              </w:rPr>
            </w:pPr>
          </w:p>
        </w:tc>
        <w:tc>
          <w:tcPr>
            <w:tcW w:w="5980" w:type="dxa"/>
            <w:vAlign w:val="bottom"/>
            <w:gridSpan w:val="2"/>
          </w:tcPr>
          <w:p>
            <w:pPr>
              <w:ind w:left="120"/>
              <w:spacing w:after="0"/>
              <w:rPr>
                <w:sz w:val="20"/>
                <w:szCs w:val="20"/>
                <w:color w:val="auto"/>
              </w:rPr>
            </w:pPr>
            <w:r>
              <w:rPr>
                <w:rFonts w:ascii="Arial" w:cs="Arial" w:eastAsia="Arial" w:hAnsi="Arial"/>
                <w:sz w:val="17"/>
                <w:szCs w:val="17"/>
                <w:color w:val="auto"/>
              </w:rPr>
              <w:t>Net income attributable to Wabtec shareholders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1.06</w:t>
            </w:r>
          </w:p>
        </w:tc>
        <w:tc>
          <w:tcPr>
            <w:tcW w:w="4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0.91</w:t>
            </w: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2.00</w:t>
            </w:r>
          </w:p>
        </w:tc>
        <w:tc>
          <w:tcPr>
            <w:tcW w:w="58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1.71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185"/>
        </w:trPr>
        <w:tc>
          <w:tcPr>
            <w:tcW w:w="6000" w:type="dxa"/>
            <w:vAlign w:val="bottom"/>
            <w:gridSpan w:val="3"/>
            <w:shd w:val="clear" w:color="auto" w:fill="CCEEFF"/>
          </w:tcPr>
          <w:p>
            <w:pPr>
              <w:ind w:left="20"/>
              <w:spacing w:after="0" w:line="185" w:lineRule="exact"/>
              <w:rPr>
                <w:sz w:val="20"/>
                <w:szCs w:val="20"/>
                <w:color w:val="auto"/>
              </w:rPr>
            </w:pPr>
            <w:r>
              <w:rPr>
                <w:rFonts w:ascii="Arial" w:cs="Arial" w:eastAsia="Arial" w:hAnsi="Arial"/>
                <w:sz w:val="17"/>
                <w:szCs w:val="17"/>
                <w:color w:val="auto"/>
              </w:rPr>
              <w:t>Diluted</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5980" w:type="dxa"/>
            <w:vAlign w:val="bottom"/>
            <w:gridSpan w:val="2"/>
          </w:tcPr>
          <w:p>
            <w:pPr>
              <w:ind w:left="120"/>
              <w:spacing w:after="0"/>
              <w:rPr>
                <w:sz w:val="20"/>
                <w:szCs w:val="20"/>
                <w:color w:val="auto"/>
              </w:rPr>
            </w:pPr>
            <w:r>
              <w:rPr>
                <w:rFonts w:ascii="Arial" w:cs="Arial" w:eastAsia="Arial" w:hAnsi="Arial"/>
                <w:sz w:val="17"/>
                <w:szCs w:val="17"/>
                <w:color w:val="auto"/>
              </w:rPr>
              <w:t>Net income attributable to Wabtec shareholders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1.06</w:t>
            </w:r>
          </w:p>
        </w:tc>
        <w:tc>
          <w:tcPr>
            <w:tcW w:w="4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0.91</w:t>
            </w: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2.00</w:t>
            </w:r>
          </w:p>
        </w:tc>
        <w:tc>
          <w:tcPr>
            <w:tcW w:w="58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1.71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4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5"/>
        </w:trPr>
        <w:tc>
          <w:tcPr>
            <w:tcW w:w="6000" w:type="dxa"/>
            <w:vAlign w:val="bottom"/>
            <w:gridSpan w:val="3"/>
          </w:tcPr>
          <w:p>
            <w:pPr>
              <w:ind w:left="20"/>
              <w:spacing w:after="0"/>
              <w:rPr>
                <w:sz w:val="20"/>
                <w:szCs w:val="20"/>
                <w:color w:val="auto"/>
              </w:rPr>
            </w:pPr>
            <w:r>
              <w:rPr>
                <w:rFonts w:ascii="Arial" w:cs="Arial" w:eastAsia="Arial" w:hAnsi="Arial"/>
                <w:sz w:val="17"/>
                <w:szCs w:val="17"/>
                <w:color w:val="auto"/>
              </w:rPr>
              <w:t>Weighted average shares outstanding</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6"/>
        </w:trPr>
        <w:tc>
          <w:tcPr>
            <w:tcW w:w="60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Basic</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181.9</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183.2</w:t>
            </w:r>
          </w:p>
        </w:tc>
      </w:tr>
      <w:tr>
        <w:trPr>
          <w:trHeight w:val="218"/>
        </w:trPr>
        <w:tc>
          <w:tcPr>
            <w:tcW w:w="6000" w:type="dxa"/>
            <w:vAlign w:val="bottom"/>
            <w:gridSpan w:val="3"/>
          </w:tcPr>
          <w:p>
            <w:pPr>
              <w:ind w:left="20"/>
              <w:spacing w:after="0"/>
              <w:rPr>
                <w:sz w:val="20"/>
                <w:szCs w:val="20"/>
                <w:color w:val="auto"/>
              </w:rPr>
            </w:pPr>
            <w:r>
              <w:rPr>
                <w:rFonts w:ascii="Arial" w:cs="Arial" w:eastAsia="Arial" w:hAnsi="Arial"/>
                <w:sz w:val="17"/>
                <w:szCs w:val="17"/>
                <w:color w:val="auto"/>
              </w:rPr>
              <w:t>Diluted</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179.4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182.4</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180.0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183.7</w:t>
            </w:r>
          </w:p>
        </w:tc>
      </w:tr>
    </w:tbl>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WESTINGHOUSE AIR BRAKE TECHNOLOGIES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gridSpan w:val="3"/>
          </w:tcPr>
          <w:p>
            <w:pPr>
              <w:jc w:val="center"/>
              <w:ind w:right="460"/>
              <w:spacing w:after="0"/>
              <w:rPr>
                <w:sz w:val="20"/>
                <w:szCs w:val="20"/>
                <w:color w:val="auto"/>
              </w:rPr>
            </w:pPr>
            <w:r>
              <w:rPr>
                <w:rFonts w:ascii="Arial" w:cs="Arial" w:eastAsia="Arial" w:hAnsi="Arial"/>
                <w:sz w:val="15"/>
                <w:szCs w:val="15"/>
                <w:b w:val="1"/>
                <w:bCs w:val="1"/>
                <w:color w:val="auto"/>
                <w:w w:val="95"/>
              </w:rPr>
              <w:t>Unaudited</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ind w:left="740"/>
              <w:spacing w:after="0"/>
              <w:rPr>
                <w:sz w:val="20"/>
                <w:szCs w:val="20"/>
                <w:color w:val="auto"/>
              </w:rPr>
            </w:pPr>
            <w:r>
              <w:rPr>
                <w:rFonts w:ascii="Arial" w:cs="Arial" w:eastAsia="Arial" w:hAnsi="Arial"/>
                <w:sz w:val="15"/>
                <w:szCs w:val="15"/>
                <w:b w:val="1"/>
                <w:bCs w:val="1"/>
                <w:color w:val="auto"/>
              </w:rPr>
              <w:t>Unaudited</w:t>
            </w:r>
          </w:p>
        </w:tc>
        <w:tc>
          <w:tcPr>
            <w:tcW w:w="940" w:type="dxa"/>
            <w:vAlign w:val="bottom"/>
          </w:tcPr>
          <w:p>
            <w:pPr>
              <w:spacing w:after="0"/>
              <w:rPr>
                <w:sz w:val="17"/>
                <w:szCs w:val="17"/>
                <w:color w:val="auto"/>
              </w:rPr>
            </w:pPr>
          </w:p>
        </w:tc>
      </w:tr>
      <w:tr>
        <w:trPr>
          <w:trHeight w:val="160"/>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380" w:type="dxa"/>
            <w:vAlign w:val="bottom"/>
            <w:gridSpan w:val="4"/>
          </w:tcPr>
          <w:p>
            <w:pPr>
              <w:jc w:val="center"/>
              <w:ind w:left="378"/>
              <w:spacing w:after="0" w:line="161" w:lineRule="exact"/>
              <w:rPr>
                <w:sz w:val="20"/>
                <w:szCs w:val="20"/>
                <w:color w:val="auto"/>
              </w:rPr>
            </w:pPr>
            <w:r>
              <w:rPr>
                <w:rFonts w:ascii="Arial" w:cs="Arial" w:eastAsia="Arial" w:hAnsi="Arial"/>
                <w:sz w:val="15"/>
                <w:szCs w:val="15"/>
                <w:b w:val="1"/>
                <w:bCs w:val="1"/>
                <w:color w:val="auto"/>
                <w:w w:val="94"/>
              </w:rPr>
              <w:t>Three Months Ended</w:t>
            </w: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00" w:type="dxa"/>
            <w:vAlign w:val="bottom"/>
            <w:gridSpan w:val="4"/>
          </w:tcPr>
          <w:p>
            <w:pPr>
              <w:jc w:val="right"/>
              <w:ind w:right="715"/>
              <w:spacing w:after="0" w:line="161" w:lineRule="exact"/>
              <w:rPr>
                <w:sz w:val="20"/>
                <w:szCs w:val="20"/>
                <w:color w:val="auto"/>
              </w:rPr>
            </w:pPr>
            <w:r>
              <w:rPr>
                <w:rFonts w:ascii="Arial" w:cs="Arial" w:eastAsia="Arial" w:hAnsi="Arial"/>
                <w:sz w:val="15"/>
                <w:szCs w:val="15"/>
                <w:b w:val="1"/>
                <w:bCs w:val="1"/>
                <w:color w:val="auto"/>
              </w:rPr>
              <w:t>Six Months Ended</w:t>
            </w:r>
          </w:p>
        </w:tc>
      </w:t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gridSpan w:val="3"/>
          </w:tcPr>
          <w:p>
            <w:pPr>
              <w:ind w:left="200"/>
              <w:spacing w:after="0"/>
              <w:rPr>
                <w:sz w:val="20"/>
                <w:szCs w:val="20"/>
                <w:color w:val="auto"/>
              </w:rPr>
            </w:pPr>
            <w:r>
              <w:rPr>
                <w:rFonts w:ascii="Arial" w:cs="Arial" w:eastAsia="Arial" w:hAnsi="Arial"/>
                <w:sz w:val="15"/>
                <w:szCs w:val="15"/>
                <w:b w:val="1"/>
                <w:bCs w:val="1"/>
                <w:color w:val="auto"/>
              </w:rPr>
              <w:t>June 30,</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ind w:left="820"/>
              <w:spacing w:after="0"/>
              <w:rPr>
                <w:sz w:val="20"/>
                <w:szCs w:val="20"/>
                <w:color w:val="auto"/>
              </w:rPr>
            </w:pPr>
            <w:r>
              <w:rPr>
                <w:rFonts w:ascii="Arial" w:cs="Arial" w:eastAsia="Arial" w:hAnsi="Arial"/>
                <w:sz w:val="15"/>
                <w:szCs w:val="15"/>
                <w:b w:val="1"/>
                <w:bCs w:val="1"/>
                <w:color w:val="auto"/>
              </w:rPr>
              <w:t>June 30,</w:t>
            </w:r>
          </w:p>
        </w:tc>
        <w:tc>
          <w:tcPr>
            <w:tcW w:w="940" w:type="dxa"/>
            <w:vAlign w:val="bottom"/>
          </w:tcPr>
          <w:p>
            <w:pPr>
              <w:spacing w:after="0"/>
              <w:rPr>
                <w:sz w:val="17"/>
                <w:szCs w:val="17"/>
                <w:color w:val="auto"/>
              </w:rPr>
            </w:pPr>
          </w:p>
        </w:tc>
      </w:tr>
      <w:tr>
        <w:trPr>
          <w:trHeight w:val="172"/>
        </w:trPr>
        <w:tc>
          <w:tcPr>
            <w:tcW w:w="55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940" w:type="dxa"/>
            <w:vAlign w:val="bottom"/>
          </w:tcPr>
          <w:p>
            <w:pPr>
              <w:jc w:val="right"/>
              <w:ind w:right="18"/>
              <w:spacing w:after="0"/>
              <w:rPr>
                <w:sz w:val="20"/>
                <w:szCs w:val="20"/>
                <w:color w:val="auto"/>
              </w:rPr>
            </w:pPr>
            <w:r>
              <w:rPr>
                <w:rFonts w:ascii="Arial" w:cs="Arial" w:eastAsia="Arial" w:hAnsi="Arial"/>
                <w:sz w:val="15"/>
                <w:szCs w:val="15"/>
                <w:b w:val="1"/>
                <w:bCs w:val="1"/>
                <w:color w:val="auto"/>
              </w:rPr>
              <w:t>2023</w:t>
            </w:r>
          </w:p>
        </w:tc>
        <w:tc>
          <w:tcPr>
            <w:tcW w:w="4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2022</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37"/>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jc w:val="right"/>
              <w:ind w:right="435"/>
              <w:spacing w:after="0"/>
              <w:rPr>
                <w:sz w:val="20"/>
                <w:szCs w:val="20"/>
                <w:color w:val="auto"/>
              </w:rPr>
            </w:pPr>
            <w:r>
              <w:rPr>
                <w:rFonts w:ascii="Arial" w:cs="Arial" w:eastAsia="Arial" w:hAnsi="Arial"/>
                <w:sz w:val="15"/>
                <w:szCs w:val="15"/>
                <w:b w:val="1"/>
                <w:bCs w:val="1"/>
                <w:color w:val="auto"/>
              </w:rPr>
              <w:t>2022</w:t>
            </w: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9"/>
        </w:trPr>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9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18"/>
        </w:trPr>
        <w:tc>
          <w:tcPr>
            <w:tcW w:w="5580" w:type="dxa"/>
            <w:vAlign w:val="bottom"/>
            <w:gridSpan w:val="3"/>
          </w:tcPr>
          <w:p>
            <w:pPr>
              <w:ind w:left="20"/>
              <w:spacing w:after="0"/>
              <w:rPr>
                <w:sz w:val="20"/>
                <w:szCs w:val="20"/>
                <w:color w:val="auto"/>
              </w:rPr>
            </w:pPr>
            <w:r>
              <w:rPr>
                <w:rFonts w:ascii="Arial" w:cs="Arial" w:eastAsia="Arial" w:hAnsi="Arial"/>
                <w:sz w:val="17"/>
                <w:szCs w:val="17"/>
                <w:color w:val="auto"/>
              </w:rPr>
              <w:t>Net income attributable to Wabtec shareholders</w:t>
            </w:r>
          </w:p>
        </w:tc>
        <w:tc>
          <w:tcPr>
            <w:tcW w:w="940" w:type="dxa"/>
            <w:vAlign w:val="bottom"/>
          </w:tcPr>
          <w:p>
            <w:pPr>
              <w:jc w:val="right"/>
              <w:ind w:right="758"/>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191</w:t>
            </w:r>
          </w:p>
        </w:tc>
        <w:tc>
          <w:tcPr>
            <w:tcW w:w="1000" w:type="dxa"/>
            <w:vAlign w:val="bottom"/>
            <w:gridSpan w:val="2"/>
          </w:tcPr>
          <w:p>
            <w:pPr>
              <w:jc w:val="right"/>
              <w:ind w:right="80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166</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360</w:t>
            </w:r>
          </w:p>
        </w:tc>
        <w:tc>
          <w:tcPr>
            <w:tcW w:w="5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315</w:t>
            </w:r>
          </w:p>
        </w:tc>
      </w:tr>
      <w:tr>
        <w:trPr>
          <w:trHeight w:val="213"/>
        </w:trPr>
        <w:tc>
          <w:tcPr>
            <w:tcW w:w="55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Foreign currency translation (loss) gain</w:t>
            </w: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w:t>
            </w:r>
          </w:p>
        </w:tc>
      </w:tr>
      <w:tr>
        <w:trPr>
          <w:trHeight w:val="218"/>
        </w:trPr>
        <w:tc>
          <w:tcPr>
            <w:tcW w:w="5580" w:type="dxa"/>
            <w:vAlign w:val="bottom"/>
            <w:gridSpan w:val="3"/>
          </w:tcPr>
          <w:p>
            <w:pPr>
              <w:ind w:left="20"/>
              <w:spacing w:after="0"/>
              <w:rPr>
                <w:sz w:val="20"/>
                <w:szCs w:val="20"/>
                <w:color w:val="auto"/>
              </w:rPr>
            </w:pPr>
            <w:r>
              <w:rPr>
                <w:rFonts w:ascii="Arial" w:cs="Arial" w:eastAsia="Arial" w:hAnsi="Arial"/>
                <w:sz w:val="17"/>
                <w:szCs w:val="17"/>
                <w:color w:val="auto"/>
              </w:rPr>
              <w:t>Unrealized gain on derivative contracts</w:t>
            </w: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33"/>
        </w:trPr>
        <w:tc>
          <w:tcPr>
            <w:tcW w:w="55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w w:val="91"/>
              </w:rPr>
              <w:t>Unrealized (loss) gain on pension benefit plans and post-retirement benefit plans</w:t>
            </w:r>
          </w:p>
        </w:tc>
        <w:tc>
          <w:tcPr>
            <w:tcW w:w="94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7"/>
                <w:szCs w:val="17"/>
                <w:color w:val="auto"/>
                <w:w w:val="96"/>
              </w:rPr>
              <w:t>(2)</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11"/>
        </w:trPr>
        <w:tc>
          <w:tcPr>
            <w:tcW w:w="20" w:type="dxa"/>
            <w:vAlign w:val="bottom"/>
          </w:tcPr>
          <w:p>
            <w:pPr>
              <w:spacing w:after="0"/>
              <w:rPr>
                <w:sz w:val="18"/>
                <w:szCs w:val="18"/>
                <w:color w:val="auto"/>
              </w:rPr>
            </w:pPr>
          </w:p>
        </w:tc>
        <w:tc>
          <w:tcPr>
            <w:tcW w:w="5560" w:type="dxa"/>
            <w:vAlign w:val="bottom"/>
            <w:gridSpan w:val="2"/>
          </w:tcPr>
          <w:p>
            <w:pPr>
              <w:ind w:left="200"/>
              <w:spacing w:after="0"/>
              <w:rPr>
                <w:sz w:val="20"/>
                <w:szCs w:val="20"/>
                <w:color w:val="auto"/>
              </w:rPr>
            </w:pPr>
            <w:r>
              <w:rPr>
                <w:rFonts w:ascii="Arial" w:cs="Arial" w:eastAsia="Arial" w:hAnsi="Arial"/>
                <w:sz w:val="17"/>
                <w:szCs w:val="17"/>
                <w:color w:val="auto"/>
              </w:rPr>
              <w:t>Other comprehensive income (loss) before tax</w:t>
            </w: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(191)</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(174)</w:t>
            </w:r>
          </w:p>
        </w:tc>
      </w:tr>
      <w:tr>
        <w:trPr>
          <w:trHeight w:val="220"/>
        </w:trPr>
        <w:tc>
          <w:tcPr>
            <w:tcW w:w="20" w:type="dxa"/>
            <w:vAlign w:val="bottom"/>
            <w:tcBorders>
              <w:bottom w:val="single" w:sz="8" w:color="CCEEFF"/>
            </w:tcBorders>
            <w:shd w:val="clear" w:color="auto" w:fill="CCEEFF"/>
          </w:tcPr>
          <w:p>
            <w:pPr>
              <w:spacing w:after="0"/>
              <w:rPr>
                <w:sz w:val="19"/>
                <w:szCs w:val="19"/>
                <w:color w:val="auto"/>
              </w:rPr>
            </w:pPr>
          </w:p>
        </w:tc>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w w:val="97"/>
              </w:rPr>
              <w:t>Income tax expense related to components of other comprehensive income</w:t>
            </w:r>
          </w:p>
        </w:tc>
        <w:tc>
          <w:tcPr>
            <w:tcW w:w="9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7"/>
                <w:szCs w:val="17"/>
                <w:color w:val="auto"/>
                <w:w w:val="96"/>
              </w:rPr>
              <w:t>(3)</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4"/>
        </w:trPr>
        <w:tc>
          <w:tcPr>
            <w:tcW w:w="20" w:type="dxa"/>
            <w:vAlign w:val="bottom"/>
            <w:tcBorders>
              <w:bottom w:val="single" w:sz="8" w:color="CCEEFF"/>
            </w:tcBorders>
          </w:tcPr>
          <w:p>
            <w:pPr>
              <w:spacing w:after="0"/>
              <w:rPr>
                <w:sz w:val="19"/>
                <w:szCs w:val="19"/>
                <w:color w:val="auto"/>
              </w:rPr>
            </w:pPr>
          </w:p>
        </w:tc>
        <w:tc>
          <w:tcPr>
            <w:tcW w:w="556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Other comprehensive income (loss), net of tax</w:t>
            </w:r>
          </w:p>
        </w:tc>
        <w:tc>
          <w:tcPr>
            <w:tcW w:w="9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w:t>
            </w:r>
          </w:p>
        </w:tc>
      </w:tr>
      <w:tr>
        <w:trPr>
          <w:trHeight w:val="233"/>
        </w:trPr>
        <w:tc>
          <w:tcPr>
            <w:tcW w:w="55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Comprehensive income (loss) attributable to Wabtec shareholders</w:t>
            </w:r>
          </w:p>
        </w:tc>
        <w:tc>
          <w:tcPr>
            <w:tcW w:w="940" w:type="dxa"/>
            <w:vAlign w:val="bottom"/>
            <w:shd w:val="clear" w:color="auto" w:fill="CCEEFF"/>
          </w:tcPr>
          <w:p>
            <w:pPr>
              <w:jc w:val="right"/>
              <w:ind w:right="758"/>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100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 w:name="page6"/>
    <w:bookmarkEnd w:id="5"/>
    <w:p>
      <w:pPr>
        <w:ind w:left="3320"/>
        <w:spacing w:after="0"/>
        <w:rPr>
          <w:sz w:val="20"/>
          <w:szCs w:val="20"/>
          <w:color w:val="auto"/>
        </w:rPr>
      </w:pPr>
      <w:r>
        <w:rPr>
          <w:rFonts w:ascii="Arial" w:cs="Arial" w:eastAsia="Arial" w:hAnsi="Arial"/>
          <w:sz w:val="17"/>
          <w:szCs w:val="17"/>
          <w:b w:val="1"/>
          <w:bCs w:val="1"/>
          <w:color w:val="auto"/>
        </w:rPr>
        <w:t>WESTINGHOUSE AIR BRAKE TECHNOLOGIES CORPORATION</w:t>
      </w:r>
    </w:p>
    <w:p>
      <w:pPr>
        <w:spacing w:after="0" w:line="28" w:lineRule="exact"/>
        <w:rPr>
          <w:sz w:val="20"/>
          <w:szCs w:val="20"/>
          <w:color w:val="auto"/>
        </w:rPr>
      </w:pPr>
    </w:p>
    <w:p>
      <w:pPr>
        <w:ind w:left="3040"/>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80" w:type="dxa"/>
            <w:vAlign w:val="bottom"/>
            <w:gridSpan w:val="3"/>
          </w:tcPr>
          <w:p>
            <w:pPr>
              <w:jc w:val="center"/>
              <w:ind w:left="495"/>
              <w:spacing w:after="0"/>
              <w:rPr>
                <w:sz w:val="20"/>
                <w:szCs w:val="20"/>
                <w:color w:val="auto"/>
              </w:rPr>
            </w:pPr>
            <w:r>
              <w:rPr>
                <w:rFonts w:ascii="Arial" w:cs="Arial" w:eastAsia="Arial" w:hAnsi="Arial"/>
                <w:sz w:val="15"/>
                <w:szCs w:val="15"/>
                <w:b w:val="1"/>
                <w:bCs w:val="1"/>
                <w:color w:val="auto"/>
                <w:w w:val="95"/>
              </w:rPr>
              <w:t>Unaudited</w:t>
            </w:r>
          </w:p>
        </w:tc>
        <w:tc>
          <w:tcPr>
            <w:tcW w:w="940" w:type="dxa"/>
            <w:vAlign w:val="bottom"/>
          </w:tcPr>
          <w:p>
            <w:pPr>
              <w:spacing w:after="0"/>
              <w:rPr>
                <w:sz w:val="17"/>
                <w:szCs w:val="17"/>
                <w:color w:val="auto"/>
              </w:rPr>
            </w:pPr>
          </w:p>
        </w:tc>
      </w:tr>
      <w:tr>
        <w:trPr>
          <w:trHeight w:val="160"/>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gridSpan w:val="3"/>
          </w:tcPr>
          <w:p>
            <w:pPr>
              <w:jc w:val="center"/>
              <w:ind w:left="495"/>
              <w:spacing w:after="0" w:line="161" w:lineRule="exact"/>
              <w:rPr>
                <w:sz w:val="20"/>
                <w:szCs w:val="20"/>
                <w:color w:val="auto"/>
              </w:rPr>
            </w:pPr>
            <w:r>
              <w:rPr>
                <w:rFonts w:ascii="Arial" w:cs="Arial" w:eastAsia="Arial" w:hAnsi="Arial"/>
                <w:sz w:val="15"/>
                <w:szCs w:val="15"/>
                <w:b w:val="1"/>
                <w:bCs w:val="1"/>
                <w:color w:val="auto"/>
                <w:w w:val="93"/>
              </w:rPr>
              <w:t>Six Months Ended</w:t>
            </w:r>
          </w:p>
        </w:tc>
        <w:tc>
          <w:tcPr>
            <w:tcW w:w="940" w:type="dxa"/>
            <w:vAlign w:val="bottom"/>
          </w:tcPr>
          <w:p>
            <w:pPr>
              <w:spacing w:after="0"/>
              <w:rPr>
                <w:sz w:val="13"/>
                <w:szCs w:val="13"/>
                <w:color w:val="auto"/>
              </w:rPr>
            </w:pPr>
          </w:p>
        </w:tc>
      </w:tr>
      <w:tr>
        <w:trPr>
          <w:trHeight w:val="204"/>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center"/>
              <w:ind w:left="495"/>
              <w:spacing w:after="0"/>
              <w:rPr>
                <w:sz w:val="20"/>
                <w:szCs w:val="20"/>
                <w:color w:val="auto"/>
              </w:rPr>
            </w:pPr>
            <w:r>
              <w:rPr>
                <w:rFonts w:ascii="Arial" w:cs="Arial" w:eastAsia="Arial" w:hAnsi="Arial"/>
                <w:sz w:val="15"/>
                <w:szCs w:val="15"/>
                <w:b w:val="1"/>
                <w:bCs w:val="1"/>
                <w:color w:val="auto"/>
                <w:w w:val="89"/>
              </w:rPr>
              <w:t>June 30,</w:t>
            </w:r>
          </w:p>
        </w:tc>
        <w:tc>
          <w:tcPr>
            <w:tcW w:w="940" w:type="dxa"/>
            <w:vAlign w:val="bottom"/>
            <w:tcBorders>
              <w:bottom w:val="single" w:sz="8" w:color="auto"/>
            </w:tcBorders>
          </w:tcPr>
          <w:p>
            <w:pPr>
              <w:spacing w:after="0"/>
              <w:rPr>
                <w:sz w:val="17"/>
                <w:szCs w:val="17"/>
                <w:color w:val="auto"/>
              </w:rPr>
            </w:pPr>
          </w:p>
        </w:tc>
      </w:tr>
      <w:tr>
        <w:trPr>
          <w:trHeight w:val="163"/>
        </w:trPr>
        <w:tc>
          <w:tcPr>
            <w:tcW w:w="80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4"/>
                <w:szCs w:val="14"/>
                <w:color w:val="auto"/>
              </w:rPr>
            </w:pPr>
          </w:p>
        </w:tc>
        <w:tc>
          <w:tcPr>
            <w:tcW w:w="1180" w:type="dxa"/>
            <w:vAlign w:val="bottom"/>
          </w:tcPr>
          <w:p>
            <w:pPr>
              <w:jc w:val="right"/>
              <w:ind w:right="535"/>
              <w:spacing w:after="0" w:line="163" w:lineRule="exact"/>
              <w:rPr>
                <w:sz w:val="20"/>
                <w:szCs w:val="20"/>
                <w:color w:val="auto"/>
              </w:rPr>
            </w:pPr>
            <w:r>
              <w:rPr>
                <w:rFonts w:ascii="Arial" w:cs="Arial" w:eastAsia="Arial" w:hAnsi="Arial"/>
                <w:sz w:val="15"/>
                <w:szCs w:val="15"/>
                <w:b w:val="1"/>
                <w:bCs w:val="1"/>
                <w:color w:val="auto"/>
              </w:rPr>
              <w:t>2023</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jc w:val="right"/>
              <w:ind w:right="514"/>
              <w:spacing w:after="0" w:line="163" w:lineRule="exact"/>
              <w:rPr>
                <w:sz w:val="20"/>
                <w:szCs w:val="20"/>
                <w:color w:val="auto"/>
              </w:rPr>
            </w:pPr>
            <w:r>
              <w:rPr>
                <w:rFonts w:ascii="Arial" w:cs="Arial" w:eastAsia="Arial" w:hAnsi="Arial"/>
                <w:sz w:val="15"/>
                <w:szCs w:val="15"/>
                <w:b w:val="1"/>
                <w:bCs w:val="1"/>
                <w:color w:val="auto"/>
                <w:w w:val="95"/>
              </w:rPr>
              <w:t>2022</w:t>
            </w: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8060" w:type="dxa"/>
            <w:vAlign w:val="bottom"/>
            <w:gridSpan w:val="3"/>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2"/>
        </w:trPr>
        <w:tc>
          <w:tcPr>
            <w:tcW w:w="80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w:t>
            </w:r>
          </w:p>
        </w:tc>
        <w:tc>
          <w:tcPr>
            <w:tcW w:w="7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w:t>
            </w:r>
          </w:p>
        </w:tc>
      </w:tr>
      <w:tr>
        <w:trPr>
          <w:trHeight w:val="218"/>
        </w:trPr>
        <w:tc>
          <w:tcPr>
            <w:tcW w:w="20" w:type="dxa"/>
            <w:vAlign w:val="bottom"/>
          </w:tcPr>
          <w:p>
            <w:pPr>
              <w:spacing w:after="0"/>
              <w:rPr>
                <w:sz w:val="18"/>
                <w:szCs w:val="18"/>
                <w:color w:val="auto"/>
              </w:rPr>
            </w:pPr>
          </w:p>
        </w:tc>
        <w:tc>
          <w:tcPr>
            <w:tcW w:w="8040" w:type="dxa"/>
            <w:vAlign w:val="bottom"/>
            <w:gridSpan w:val="2"/>
          </w:tcPr>
          <w:p>
            <w:pPr>
              <w:ind w:left="10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0"/>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w:t>
            </w:r>
          </w:p>
        </w:tc>
      </w:tr>
      <w:tr>
        <w:trPr>
          <w:trHeight w:val="225"/>
        </w:trPr>
        <w:tc>
          <w:tcPr>
            <w:tcW w:w="20" w:type="dxa"/>
            <w:vAlign w:val="bottom"/>
          </w:tcPr>
          <w:p>
            <w:pPr>
              <w:spacing w:after="0"/>
              <w:rPr>
                <w:sz w:val="19"/>
                <w:szCs w:val="19"/>
                <w:color w:val="auto"/>
              </w:rPr>
            </w:pPr>
          </w:p>
        </w:tc>
        <w:tc>
          <w:tcPr>
            <w:tcW w:w="8040" w:type="dxa"/>
            <w:vAlign w:val="bottom"/>
            <w:gridSpan w:val="2"/>
          </w:tcPr>
          <w:p>
            <w:pPr>
              <w:ind w:left="340"/>
              <w:spacing w:after="0"/>
              <w:rPr>
                <w:sz w:val="20"/>
                <w:szCs w:val="20"/>
                <w:color w:val="auto"/>
              </w:rPr>
            </w:pPr>
            <w:r>
              <w:rPr>
                <w:rFonts w:ascii="Arial" w:cs="Arial" w:eastAsia="Arial" w:hAnsi="Arial"/>
                <w:sz w:val="17"/>
                <w:szCs w:val="17"/>
                <w:color w:val="auto"/>
              </w:rPr>
              <w:t>Stock-based compensation expense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26"/>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Below market intangible amortization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18"/>
        </w:trPr>
        <w:tc>
          <w:tcPr>
            <w:tcW w:w="20" w:type="dxa"/>
            <w:vAlign w:val="bottom"/>
          </w:tcPr>
          <w:p>
            <w:pPr>
              <w:spacing w:after="0"/>
              <w:rPr>
                <w:sz w:val="18"/>
                <w:szCs w:val="18"/>
                <w:color w:val="auto"/>
              </w:rPr>
            </w:pPr>
          </w:p>
        </w:tc>
        <w:tc>
          <w:tcPr>
            <w:tcW w:w="8040" w:type="dxa"/>
            <w:vAlign w:val="bottom"/>
            <w:gridSpan w:val="2"/>
          </w:tcPr>
          <w:p>
            <w:pPr>
              <w:ind w:left="340"/>
              <w:spacing w:after="0"/>
              <w:rPr>
                <w:sz w:val="20"/>
                <w:szCs w:val="20"/>
                <w:color w:val="auto"/>
              </w:rPr>
            </w:pPr>
            <w:r>
              <w:rPr>
                <w:rFonts w:ascii="Arial" w:cs="Arial" w:eastAsia="Arial" w:hAnsi="Arial"/>
                <w:sz w:val="17"/>
                <w:szCs w:val="17"/>
                <w:color w:val="auto"/>
              </w:rPr>
              <w:t>Net loss on disposal of property, plant and equipment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33"/>
        </w:trPr>
        <w:tc>
          <w:tcPr>
            <w:tcW w:w="20" w:type="dxa"/>
            <w:vAlign w:val="bottom"/>
            <w:shd w:val="clear" w:color="auto" w:fill="CCEEFF"/>
          </w:tcPr>
          <w:p>
            <w:pPr>
              <w:spacing w:after="0"/>
              <w:rPr>
                <w:sz w:val="20"/>
                <w:szCs w:val="20"/>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Changes in operating assets and liabilities, net of acquisitions:</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18"/>
        </w:trPr>
        <w:tc>
          <w:tcPr>
            <w:tcW w:w="20" w:type="dxa"/>
            <w:vAlign w:val="bottom"/>
          </w:tcPr>
          <w:p>
            <w:pPr>
              <w:spacing w:after="0"/>
              <w:rPr>
                <w:sz w:val="18"/>
                <w:szCs w:val="18"/>
                <w:color w:val="auto"/>
              </w:rPr>
            </w:pPr>
          </w:p>
        </w:tc>
        <w:tc>
          <w:tcPr>
            <w:tcW w:w="8040" w:type="dxa"/>
            <w:vAlign w:val="bottom"/>
            <w:gridSpan w:val="2"/>
          </w:tcPr>
          <w:p>
            <w:pPr>
              <w:ind w:left="560"/>
              <w:spacing w:after="0"/>
              <w:rPr>
                <w:sz w:val="20"/>
                <w:szCs w:val="20"/>
                <w:color w:val="auto"/>
              </w:rPr>
            </w:pPr>
            <w:r>
              <w:rPr>
                <w:rFonts w:ascii="Arial" w:cs="Arial" w:eastAsia="Arial" w:hAnsi="Arial"/>
                <w:sz w:val="17"/>
                <w:szCs w:val="17"/>
                <w:color w:val="auto"/>
              </w:rPr>
              <w:t>Accounts receivable and unbilled accounts receivable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20"/>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Inventories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w:t>
            </w:r>
          </w:p>
        </w:tc>
      </w:tr>
      <w:tr>
        <w:trPr>
          <w:trHeight w:val="225"/>
        </w:trPr>
        <w:tc>
          <w:tcPr>
            <w:tcW w:w="20" w:type="dxa"/>
            <w:vAlign w:val="bottom"/>
          </w:tcPr>
          <w:p>
            <w:pPr>
              <w:spacing w:after="0"/>
              <w:rPr>
                <w:sz w:val="19"/>
                <w:szCs w:val="19"/>
                <w:color w:val="auto"/>
              </w:rPr>
            </w:pPr>
          </w:p>
        </w:tc>
        <w:tc>
          <w:tcPr>
            <w:tcW w:w="8040" w:type="dxa"/>
            <w:vAlign w:val="bottom"/>
            <w:gridSpan w:val="2"/>
          </w:tcPr>
          <w:p>
            <w:pPr>
              <w:ind w:left="560"/>
              <w:spacing w:after="0"/>
              <w:rPr>
                <w:sz w:val="20"/>
                <w:szCs w:val="20"/>
                <w:color w:val="auto"/>
              </w:rPr>
            </w:pPr>
            <w:r>
              <w:rPr>
                <w:rFonts w:ascii="Arial" w:cs="Arial" w:eastAsia="Arial" w:hAnsi="Arial"/>
                <w:sz w:val="17"/>
                <w:szCs w:val="17"/>
                <w:color w:val="auto"/>
              </w:rPr>
              <w:t>Accounts payable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185</w:t>
            </w:r>
          </w:p>
        </w:tc>
      </w:tr>
      <w:tr>
        <w:trPr>
          <w:trHeight w:val="226"/>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Accrued income taxes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18"/>
        </w:trPr>
        <w:tc>
          <w:tcPr>
            <w:tcW w:w="20" w:type="dxa"/>
            <w:vAlign w:val="bottom"/>
          </w:tcPr>
          <w:p>
            <w:pPr>
              <w:spacing w:after="0"/>
              <w:rPr>
                <w:sz w:val="18"/>
                <w:szCs w:val="18"/>
                <w:color w:val="auto"/>
              </w:rPr>
            </w:pPr>
          </w:p>
        </w:tc>
        <w:tc>
          <w:tcPr>
            <w:tcW w:w="8040" w:type="dxa"/>
            <w:vAlign w:val="bottom"/>
            <w:gridSpan w:val="2"/>
          </w:tcPr>
          <w:p>
            <w:pPr>
              <w:ind w:left="560"/>
              <w:spacing w:after="0"/>
              <w:rPr>
                <w:sz w:val="20"/>
                <w:szCs w:val="20"/>
                <w:color w:val="auto"/>
              </w:rPr>
            </w:pPr>
            <w:r>
              <w:rPr>
                <w:rFonts w:ascii="Arial" w:cs="Arial" w:eastAsia="Arial" w:hAnsi="Arial"/>
                <w:sz w:val="17"/>
                <w:szCs w:val="17"/>
                <w:color w:val="auto"/>
              </w:rPr>
              <w:t>Accrued liabilities and customer deposits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(73)</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(93)</w:t>
            </w:r>
          </w:p>
        </w:tc>
      </w:tr>
      <w:tr>
        <w:trPr>
          <w:trHeight w:val="233"/>
        </w:trPr>
        <w:tc>
          <w:tcPr>
            <w:tcW w:w="20" w:type="dxa"/>
            <w:vAlign w:val="bottom"/>
            <w:shd w:val="clear" w:color="auto" w:fill="CCEEFF"/>
          </w:tcPr>
          <w:p>
            <w:pPr>
              <w:spacing w:after="0"/>
              <w:rPr>
                <w:sz w:val="20"/>
                <w:szCs w:val="20"/>
                <w:color w:val="auto"/>
              </w:rPr>
            </w:pPr>
          </w:p>
        </w:tc>
        <w:tc>
          <w:tcPr>
            <w:tcW w:w="804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Other assets and liabilities</w:t>
            </w: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r>
      <w:tr>
        <w:trPr>
          <w:trHeight w:val="211"/>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20" w:type="dxa"/>
            <w:vAlign w:val="bottom"/>
          </w:tcPr>
          <w:p>
            <w:pPr>
              <w:ind w:left="80"/>
              <w:spacing w:after="0"/>
              <w:rPr>
                <w:sz w:val="20"/>
                <w:szCs w:val="20"/>
                <w:color w:val="auto"/>
              </w:rPr>
            </w:pPr>
            <w:r>
              <w:rPr>
                <w:rFonts w:ascii="Arial" w:cs="Arial" w:eastAsia="Arial" w:hAnsi="Arial"/>
                <w:sz w:val="17"/>
                <w:szCs w:val="17"/>
                <w:color w:val="auto"/>
              </w:rPr>
              <w:t>Net cash provided by operating activities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424</w:t>
            </w:r>
          </w:p>
        </w:tc>
      </w:tr>
      <w:tr>
        <w:trPr>
          <w:trHeight w:val="220"/>
        </w:trPr>
        <w:tc>
          <w:tcPr>
            <w:tcW w:w="806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8040" w:type="dxa"/>
            <w:vAlign w:val="bottom"/>
            <w:gridSpan w:val="2"/>
          </w:tcPr>
          <w:p>
            <w:pPr>
              <w:ind w:left="240"/>
              <w:spacing w:after="0"/>
              <w:rPr>
                <w:sz w:val="20"/>
                <w:szCs w:val="20"/>
                <w:color w:val="auto"/>
              </w:rPr>
            </w:pPr>
            <w:r>
              <w:rPr>
                <w:rFonts w:ascii="Arial" w:cs="Arial" w:eastAsia="Arial" w:hAnsi="Arial"/>
                <w:sz w:val="17"/>
                <w:szCs w:val="17"/>
                <w:color w:val="auto"/>
              </w:rPr>
              <w:t>Acquisitions of businesses, net of cash acquired</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(223)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26"/>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Purchase of property, plant and equipment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19"/>
        </w:trPr>
        <w:tc>
          <w:tcPr>
            <w:tcW w:w="20" w:type="dxa"/>
            <w:vAlign w:val="bottom"/>
          </w:tcPr>
          <w:p>
            <w:pPr>
              <w:spacing w:after="0"/>
              <w:rPr>
                <w:sz w:val="19"/>
                <w:szCs w:val="19"/>
                <w:color w:val="auto"/>
              </w:rPr>
            </w:pPr>
          </w:p>
        </w:tc>
        <w:tc>
          <w:tcPr>
            <w:tcW w:w="8040" w:type="dxa"/>
            <w:vAlign w:val="bottom"/>
            <w:gridSpan w:val="2"/>
          </w:tcPr>
          <w:p>
            <w:pPr>
              <w:ind w:left="240"/>
              <w:spacing w:after="0"/>
              <w:rPr>
                <w:sz w:val="20"/>
                <w:szCs w:val="20"/>
                <w:color w:val="auto"/>
              </w:rPr>
            </w:pPr>
            <w:r>
              <w:rPr>
                <w:rFonts w:ascii="Arial" w:cs="Arial" w:eastAsia="Arial" w:hAnsi="Arial"/>
                <w:sz w:val="17"/>
                <w:szCs w:val="17"/>
                <w:color w:val="auto"/>
              </w:rPr>
              <w:t>Proceeds from disposal of property, plant and equipment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r>
      <w:tr>
        <w:trPr>
          <w:trHeight w:val="225"/>
        </w:trPr>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420" w:type="dxa"/>
            <w:vAlign w:val="bottom"/>
            <w:shd w:val="clear" w:color="auto" w:fill="CCEEFF"/>
          </w:tcPr>
          <w:p>
            <w:pPr>
              <w:ind w:left="80"/>
              <w:spacing w:after="0"/>
              <w:rPr>
                <w:sz w:val="20"/>
                <w:szCs w:val="20"/>
                <w:color w:val="auto"/>
              </w:rPr>
            </w:pPr>
            <w:r>
              <w:rPr>
                <w:rFonts w:ascii="Arial" w:cs="Arial" w:eastAsia="Arial" w:hAnsi="Arial"/>
                <w:sz w:val="17"/>
                <w:szCs w:val="17"/>
                <w:color w:val="auto"/>
              </w:rPr>
              <w:t>Net cash used for investing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r>
      <w:tr>
        <w:trPr>
          <w:trHeight w:val="219"/>
        </w:trPr>
        <w:tc>
          <w:tcPr>
            <w:tcW w:w="8060" w:type="dxa"/>
            <w:vAlign w:val="bottom"/>
            <w:gridSpan w:val="3"/>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Proceeds from debt, net of issuance costs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3,416</w:t>
            </w:r>
          </w:p>
        </w:tc>
      </w:tr>
      <w:tr>
        <w:trPr>
          <w:trHeight w:val="225"/>
        </w:trPr>
        <w:tc>
          <w:tcPr>
            <w:tcW w:w="20" w:type="dxa"/>
            <w:vAlign w:val="bottom"/>
          </w:tcPr>
          <w:p>
            <w:pPr>
              <w:spacing w:after="0"/>
              <w:rPr>
                <w:sz w:val="19"/>
                <w:szCs w:val="19"/>
                <w:color w:val="auto"/>
              </w:rPr>
            </w:pPr>
          </w:p>
        </w:tc>
        <w:tc>
          <w:tcPr>
            <w:tcW w:w="8040" w:type="dxa"/>
            <w:vAlign w:val="bottom"/>
            <w:gridSpan w:val="2"/>
          </w:tcPr>
          <w:p>
            <w:pPr>
              <w:ind w:left="240"/>
              <w:spacing w:after="0"/>
              <w:rPr>
                <w:sz w:val="20"/>
                <w:szCs w:val="20"/>
                <w:color w:val="auto"/>
              </w:rPr>
            </w:pPr>
            <w:r>
              <w:rPr>
                <w:rFonts w:ascii="Arial" w:cs="Arial" w:eastAsia="Arial" w:hAnsi="Arial"/>
                <w:sz w:val="17"/>
                <w:szCs w:val="17"/>
                <w:color w:val="auto"/>
              </w:rPr>
              <w:t>Payments of debt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(2,590)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(3,216)</w:t>
            </w:r>
          </w:p>
        </w:tc>
      </w:tr>
      <w:tr>
        <w:trPr>
          <w:trHeight w:val="226"/>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Repurchase of stock</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w:t>
            </w:r>
          </w:p>
        </w:tc>
      </w:tr>
      <w:tr>
        <w:trPr>
          <w:trHeight w:val="218"/>
        </w:trPr>
        <w:tc>
          <w:tcPr>
            <w:tcW w:w="20" w:type="dxa"/>
            <w:vAlign w:val="bottom"/>
          </w:tcPr>
          <w:p>
            <w:pPr>
              <w:spacing w:after="0"/>
              <w:rPr>
                <w:sz w:val="18"/>
                <w:szCs w:val="18"/>
                <w:color w:val="auto"/>
              </w:rPr>
            </w:pPr>
          </w:p>
        </w:tc>
        <w:tc>
          <w:tcPr>
            <w:tcW w:w="8040" w:type="dxa"/>
            <w:vAlign w:val="bottom"/>
            <w:gridSpan w:val="2"/>
          </w:tcPr>
          <w:p>
            <w:pPr>
              <w:ind w:left="240"/>
              <w:spacing w:after="0"/>
              <w:rPr>
                <w:sz w:val="20"/>
                <w:szCs w:val="20"/>
                <w:color w:val="auto"/>
              </w:rPr>
            </w:pPr>
            <w:r>
              <w:rPr>
                <w:rFonts w:ascii="Arial" w:cs="Arial" w:eastAsia="Arial" w:hAnsi="Arial"/>
                <w:sz w:val="17"/>
                <w:szCs w:val="17"/>
                <w:color w:val="auto"/>
              </w:rPr>
              <w:t>Cash dividends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(62)</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33"/>
        </w:trPr>
        <w:tc>
          <w:tcPr>
            <w:tcW w:w="20" w:type="dxa"/>
            <w:vAlign w:val="bottom"/>
            <w:shd w:val="clear" w:color="auto" w:fill="CCEEFF"/>
          </w:tcPr>
          <w:p>
            <w:pPr>
              <w:spacing w:after="0"/>
              <w:rPr>
                <w:sz w:val="20"/>
                <w:szCs w:val="20"/>
                <w:color w:val="auto"/>
              </w:rPr>
            </w:pPr>
          </w:p>
        </w:tc>
        <w:tc>
          <w:tcPr>
            <w:tcW w:w="80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Payment of income tax withholding on share-based compensation</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8"/>
        </w:trPr>
        <w:tc>
          <w:tcPr>
            <w:tcW w:w="20" w:type="dxa"/>
            <w:vAlign w:val="bottom"/>
          </w:tcPr>
          <w:p>
            <w:pPr>
              <w:spacing w:after="0"/>
              <w:rPr>
                <w:sz w:val="18"/>
                <w:szCs w:val="18"/>
                <w:color w:val="auto"/>
              </w:rPr>
            </w:pPr>
          </w:p>
        </w:tc>
        <w:tc>
          <w:tcPr>
            <w:tcW w:w="8040" w:type="dxa"/>
            <w:vAlign w:val="bottom"/>
            <w:gridSpan w:val="2"/>
          </w:tcPr>
          <w:p>
            <w:pPr>
              <w:ind w:left="240"/>
              <w:spacing w:after="0"/>
              <w:rPr>
                <w:sz w:val="20"/>
                <w:szCs w:val="20"/>
                <w:color w:val="auto"/>
              </w:rPr>
            </w:pPr>
            <w:r>
              <w:rPr>
                <w:rFonts w:ascii="Arial" w:cs="Arial" w:eastAsia="Arial" w:hAnsi="Arial"/>
                <w:sz w:val="17"/>
                <w:szCs w:val="17"/>
                <w:color w:val="auto"/>
              </w:rPr>
              <w:t>Distribution to noncontrolling interest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20" w:type="dxa"/>
            <w:vAlign w:val="bottom"/>
            <w:tcBorders>
              <w:bottom w:val="single" w:sz="8" w:color="CCEEFF"/>
            </w:tcBorders>
            <w:shd w:val="clear" w:color="auto" w:fill="CCEEFF"/>
          </w:tcPr>
          <w:p>
            <w:pPr>
              <w:spacing w:after="0"/>
              <w:rPr>
                <w:sz w:val="19"/>
                <w:szCs w:val="19"/>
                <w:color w:val="auto"/>
              </w:rPr>
            </w:pPr>
          </w:p>
        </w:tc>
        <w:tc>
          <w:tcPr>
            <w:tcW w:w="8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Other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8"/>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20" w:type="dxa"/>
            <w:vAlign w:val="bottom"/>
          </w:tcPr>
          <w:p>
            <w:pPr>
              <w:ind w:left="80"/>
              <w:spacing w:after="0"/>
              <w:rPr>
                <w:sz w:val="20"/>
                <w:szCs w:val="20"/>
                <w:color w:val="auto"/>
              </w:rPr>
            </w:pPr>
            <w:r>
              <w:rPr>
                <w:rFonts w:ascii="Arial" w:cs="Arial" w:eastAsia="Arial" w:hAnsi="Arial"/>
                <w:sz w:val="17"/>
                <w:szCs w:val="17"/>
                <w:color w:val="auto"/>
              </w:rPr>
              <w:t>Net cash provided by (used for) financing activities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(256)</w:t>
            </w:r>
          </w:p>
        </w:tc>
      </w:tr>
      <w:tr>
        <w:trPr>
          <w:trHeight w:val="226"/>
        </w:trPr>
        <w:tc>
          <w:tcPr>
            <w:tcW w:w="8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Effect of changes in currency exchange rates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12"/>
        </w:trPr>
        <w:tc>
          <w:tcPr>
            <w:tcW w:w="20" w:type="dxa"/>
            <w:vAlign w:val="bottom"/>
          </w:tcPr>
          <w:p>
            <w:pPr>
              <w:spacing w:after="0"/>
              <w:rPr>
                <w:sz w:val="18"/>
                <w:szCs w:val="18"/>
                <w:color w:val="auto"/>
              </w:rPr>
            </w:pPr>
          </w:p>
        </w:tc>
        <w:tc>
          <w:tcPr>
            <w:tcW w:w="8040" w:type="dxa"/>
            <w:vAlign w:val="bottom"/>
            <w:gridSpan w:val="2"/>
          </w:tcPr>
          <w:p>
            <w:pPr>
              <w:ind w:left="240"/>
              <w:spacing w:after="0"/>
              <w:rPr>
                <w:sz w:val="20"/>
                <w:szCs w:val="20"/>
                <w:color w:val="auto"/>
              </w:rPr>
            </w:pPr>
            <w:r>
              <w:rPr>
                <w:rFonts w:ascii="Arial" w:cs="Arial" w:eastAsia="Arial" w:hAnsi="Arial"/>
                <w:sz w:val="17"/>
                <w:szCs w:val="17"/>
                <w:color w:val="auto"/>
              </w:rPr>
              <w:t>(Decrease) increase in cash</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(170)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32"/>
        </w:trPr>
        <w:tc>
          <w:tcPr>
            <w:tcW w:w="20" w:type="dxa"/>
            <w:vAlign w:val="bottom"/>
            <w:shd w:val="clear" w:color="auto" w:fill="CCEEFF"/>
          </w:tcPr>
          <w:p>
            <w:pPr>
              <w:spacing w:after="0"/>
              <w:rPr>
                <w:sz w:val="20"/>
                <w:szCs w:val="20"/>
                <w:color w:val="auto"/>
              </w:rPr>
            </w:pPr>
          </w:p>
        </w:tc>
        <w:tc>
          <w:tcPr>
            <w:tcW w:w="804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Cash, cash equivalents and restricted cash, beginning of period</w:t>
            </w: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12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473</w:t>
            </w:r>
          </w:p>
        </w:tc>
      </w:tr>
      <w:tr>
        <w:trPr>
          <w:trHeight w:val="213"/>
        </w:trPr>
        <w:tc>
          <w:tcPr>
            <w:tcW w:w="20" w:type="dxa"/>
            <w:vAlign w:val="bottom"/>
          </w:tcPr>
          <w:p>
            <w:pPr>
              <w:spacing w:after="0"/>
              <w:rPr>
                <w:sz w:val="18"/>
                <w:szCs w:val="18"/>
                <w:color w:val="auto"/>
              </w:rPr>
            </w:pPr>
          </w:p>
        </w:tc>
        <w:tc>
          <w:tcPr>
            <w:tcW w:w="8040" w:type="dxa"/>
            <w:vAlign w:val="bottom"/>
            <w:gridSpan w:val="2"/>
          </w:tcPr>
          <w:p>
            <w:pPr>
              <w:ind w:left="460"/>
              <w:spacing w:after="0"/>
              <w:rPr>
                <w:sz w:val="20"/>
                <w:szCs w:val="20"/>
                <w:color w:val="auto"/>
              </w:rPr>
            </w:pPr>
            <w:r>
              <w:rPr>
                <w:rFonts w:ascii="Arial" w:cs="Arial" w:eastAsia="Arial" w:hAnsi="Arial"/>
                <w:sz w:val="17"/>
                <w:szCs w:val="17"/>
                <w:color w:val="auto"/>
              </w:rPr>
              <w:t>Cash, cash equivalents and restricted cash, end of period</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371</w:t>
            </w:r>
          </w:p>
        </w:tc>
        <w:tc>
          <w:tcPr>
            <w:tcW w:w="70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501</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WESTINGHOUSE AIR BRAKE TECHNOLOGIES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SHAREHOLDERS’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w w:val="95"/>
              </w:rPr>
              <w:t>Common Stock</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00"/>
              <w:spacing w:after="0"/>
              <w:rPr>
                <w:sz w:val="20"/>
                <w:szCs w:val="20"/>
                <w:color w:val="auto"/>
              </w:rPr>
            </w:pPr>
            <w:r>
              <w:rPr>
                <w:rFonts w:ascii="Arial" w:cs="Arial" w:eastAsia="Arial" w:hAnsi="Arial"/>
                <w:sz w:val="12"/>
                <w:szCs w:val="12"/>
                <w:b w:val="1"/>
                <w:bCs w:val="1"/>
                <w:color w:val="auto"/>
                <w:w w:val="96"/>
              </w:rPr>
              <w:t>Common</w:t>
            </w:r>
          </w:p>
        </w:tc>
        <w:tc>
          <w:tcPr>
            <w:tcW w:w="100" w:type="dxa"/>
            <w:vAlign w:val="bottom"/>
          </w:tcPr>
          <w:p>
            <w:pPr>
              <w:spacing w:after="0"/>
              <w:rPr>
                <w:sz w:val="12"/>
                <w:szCs w:val="12"/>
                <w:color w:val="auto"/>
              </w:rPr>
            </w:pP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Additional Paid-</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w w:val="89"/>
              </w:rPr>
              <w:t>Treasury Stock</w:t>
            </w:r>
          </w:p>
        </w:tc>
        <w:tc>
          <w:tcPr>
            <w:tcW w:w="10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Arial" w:cs="Arial" w:eastAsia="Arial" w:hAnsi="Arial"/>
                <w:sz w:val="12"/>
                <w:szCs w:val="12"/>
                <w:b w:val="1"/>
                <w:bCs w:val="1"/>
                <w:color w:val="auto"/>
                <w:w w:val="92"/>
              </w:rPr>
              <w:t>Treasury Stock</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40"/>
              <w:spacing w:after="0"/>
              <w:rPr>
                <w:sz w:val="20"/>
                <w:szCs w:val="20"/>
                <w:color w:val="auto"/>
              </w:rPr>
            </w:pPr>
            <w:r>
              <w:rPr>
                <w:rFonts w:ascii="Arial" w:cs="Arial" w:eastAsia="Arial" w:hAnsi="Arial"/>
                <w:sz w:val="12"/>
                <w:szCs w:val="12"/>
                <w:b w:val="1"/>
                <w:bCs w:val="1"/>
                <w:color w:val="auto"/>
                <w:w w:val="94"/>
              </w:rPr>
              <w:t>Retained</w:t>
            </w:r>
          </w:p>
        </w:tc>
        <w:tc>
          <w:tcPr>
            <w:tcW w:w="100" w:type="dxa"/>
            <w:vAlign w:val="bottom"/>
          </w:tcPr>
          <w:p>
            <w:pPr>
              <w:spacing w:after="0"/>
              <w:rPr>
                <w:sz w:val="12"/>
                <w:szCs w:val="12"/>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w w:val="97"/>
              </w:rPr>
              <w:t>Accumulated Other</w:t>
            </w:r>
          </w:p>
        </w:tc>
        <w:tc>
          <w:tcPr>
            <w:tcW w:w="100" w:type="dxa"/>
            <w:vAlign w:val="bottom"/>
          </w:tcPr>
          <w:p>
            <w:pPr>
              <w:spacing w:after="0"/>
              <w:rPr>
                <w:sz w:val="12"/>
                <w:szCs w:val="12"/>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1"/>
              </w:rPr>
              <w:t>Non-controlling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restart"/>
          </w:tcPr>
          <w:p>
            <w:pPr>
              <w:jc w:val="right"/>
              <w:ind w:right="18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88"/>
        </w:trPr>
        <w:tc>
          <w:tcPr>
            <w:tcW w:w="246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In millions</w:t>
            </w:r>
          </w:p>
        </w:tc>
        <w:tc>
          <w:tcPr>
            <w:tcW w:w="900" w:type="dxa"/>
            <w:vAlign w:val="bottom"/>
            <w:vMerge w:val="restart"/>
          </w:tcPr>
          <w:p>
            <w:pPr>
              <w:jc w:val="right"/>
              <w:ind w:right="2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7"/>
                <w:szCs w:val="7"/>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3"/>
              </w:rPr>
              <w:t>Stock Amount</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vMerge w:val="restart"/>
          </w:tcPr>
          <w:p>
            <w:pPr>
              <w:jc w:val="right"/>
              <w:ind w:right="140"/>
              <w:spacing w:after="0"/>
              <w:rPr>
                <w:sz w:val="20"/>
                <w:szCs w:val="20"/>
                <w:color w:val="auto"/>
              </w:rPr>
            </w:pPr>
            <w:r>
              <w:rPr>
                <w:rFonts w:ascii="Arial" w:cs="Arial" w:eastAsia="Arial" w:hAnsi="Arial"/>
                <w:sz w:val="12"/>
                <w:szCs w:val="12"/>
                <w:b w:val="1"/>
                <w:bCs w:val="1"/>
                <w:color w:val="auto"/>
                <w:w w:val="99"/>
              </w:rPr>
              <w:t>in Capital</w:t>
            </w:r>
          </w:p>
        </w:tc>
        <w:tc>
          <w:tcPr>
            <w:tcW w:w="100" w:type="dxa"/>
            <w:vAlign w:val="bottom"/>
          </w:tcPr>
          <w:p>
            <w:pPr>
              <w:spacing w:after="0"/>
              <w:rPr>
                <w:sz w:val="7"/>
                <w:szCs w:val="7"/>
                <w:color w:val="auto"/>
              </w:rPr>
            </w:pPr>
          </w:p>
        </w:tc>
        <w:tc>
          <w:tcPr>
            <w:tcW w:w="840" w:type="dxa"/>
            <w:vAlign w:val="bottom"/>
            <w:vMerge w:val="restart"/>
          </w:tcPr>
          <w:p>
            <w:pPr>
              <w:jc w:val="right"/>
              <w:ind w:right="20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vMerge w:val="restart"/>
          </w:tcPr>
          <w:p>
            <w:pPr>
              <w:jc w:val="right"/>
              <w:ind w:right="1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vMerge w:val="restart"/>
          </w:tcPr>
          <w:p>
            <w:pPr>
              <w:jc w:val="right"/>
              <w:ind w:right="120"/>
              <w:spacing w:after="0"/>
              <w:rPr>
                <w:sz w:val="20"/>
                <w:szCs w:val="20"/>
                <w:color w:val="auto"/>
              </w:rPr>
            </w:pPr>
            <w:r>
              <w:rPr>
                <w:rFonts w:ascii="Arial" w:cs="Arial" w:eastAsia="Arial" w:hAnsi="Arial"/>
                <w:sz w:val="12"/>
                <w:szCs w:val="12"/>
                <w:b w:val="1"/>
                <w:bCs w:val="1"/>
                <w:color w:val="auto"/>
                <w:w w:val="97"/>
              </w:rPr>
              <w:t>Earnings</w:t>
            </w:r>
          </w:p>
        </w:tc>
        <w:tc>
          <w:tcPr>
            <w:tcW w:w="100" w:type="dxa"/>
            <w:vAlign w:val="bottom"/>
          </w:tcPr>
          <w:p>
            <w:pPr>
              <w:spacing w:after="0"/>
              <w:rPr>
                <w:sz w:val="7"/>
                <w:szCs w:val="7"/>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0"/>
              </w:rPr>
              <w:t>Comprehensive Loss</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vMerge w:val="restart"/>
          </w:tcPr>
          <w:p>
            <w:pPr>
              <w:jc w:val="right"/>
              <w:ind w:right="180"/>
              <w:spacing w:after="0"/>
              <w:rPr>
                <w:sz w:val="20"/>
                <w:szCs w:val="20"/>
                <w:color w:val="auto"/>
              </w:rPr>
            </w:pPr>
            <w:r>
              <w:rPr>
                <w:rFonts w:ascii="Arial" w:cs="Arial" w:eastAsia="Arial" w:hAnsi="Arial"/>
                <w:sz w:val="12"/>
                <w:szCs w:val="12"/>
                <w:b w:val="1"/>
                <w:bCs w:val="1"/>
                <w:color w:val="auto"/>
              </w:rPr>
              <w:t>Interest</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460" w:type="dxa"/>
            <w:vAlign w:val="bottom"/>
            <w:gridSpan w:val="3"/>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460" w:type="dxa"/>
            <w:vAlign w:val="bottom"/>
            <w:tcBorders>
              <w:bottom w:val="single" w:sz="8" w:color="CCEEFF"/>
            </w:tcBorders>
            <w:gridSpan w:val="3"/>
            <w:shd w:val="clear" w:color="auto" w:fill="CCEEFF"/>
          </w:tcPr>
          <w:p>
            <w:pPr>
              <w:ind w:left="20"/>
              <w:spacing w:after="0" w:line="136" w:lineRule="exact"/>
              <w:rPr>
                <w:sz w:val="20"/>
                <w:szCs w:val="20"/>
                <w:color w:val="auto"/>
              </w:rPr>
            </w:pPr>
            <w:r>
              <w:rPr>
                <w:rFonts w:ascii="Arial" w:cs="Arial" w:eastAsia="Arial" w:hAnsi="Arial"/>
                <w:sz w:val="12"/>
                <w:szCs w:val="12"/>
                <w:b w:val="1"/>
                <w:bCs w:val="1"/>
                <w:color w:val="auto"/>
              </w:rPr>
              <w:t>Balance, December 31, 2022</w:t>
            </w:r>
          </w:p>
        </w:tc>
        <w:tc>
          <w:tcPr>
            <w:tcW w:w="900" w:type="dxa"/>
            <w:vAlign w:val="bottom"/>
            <w:tcBorders>
              <w:bottom w:val="single" w:sz="8" w:color="CCEEFF"/>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226.9</w:t>
            </w:r>
          </w:p>
        </w:tc>
        <w:tc>
          <w:tcPr>
            <w:tcW w:w="240" w:type="dxa"/>
            <w:vAlign w:val="bottom"/>
            <w:tcBorders>
              <w:bottom w:val="single" w:sz="8" w:color="CCEEFF"/>
            </w:tcBorders>
            <w:gridSpan w:val="2"/>
            <w:shd w:val="clear" w:color="auto" w:fill="CCEEFF"/>
          </w:tcPr>
          <w:p>
            <w:pPr>
              <w:ind w:left="140"/>
              <w:spacing w:after="0" w:line="136" w:lineRule="exact"/>
              <w:rPr>
                <w:sz w:val="20"/>
                <w:szCs w:val="20"/>
                <w:color w:val="auto"/>
              </w:rPr>
            </w:pPr>
            <w:r>
              <w:rPr>
                <w:rFonts w:ascii="Arial" w:cs="Arial" w:eastAsia="Arial" w:hAnsi="Arial"/>
                <w:sz w:val="12"/>
                <w:szCs w:val="12"/>
                <w:color w:val="auto"/>
              </w:rPr>
              <w:t>$</w:t>
            </w:r>
          </w:p>
        </w:tc>
        <w:tc>
          <w:tcPr>
            <w:tcW w:w="680" w:type="dxa"/>
            <w:vAlign w:val="bottom"/>
            <w:tcBorders>
              <w:bottom w:val="single" w:sz="8" w:color="CCEEFF"/>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2</w:t>
            </w:r>
          </w:p>
        </w:tc>
        <w:tc>
          <w:tcPr>
            <w:tcW w:w="240" w:type="dxa"/>
            <w:vAlign w:val="bottom"/>
            <w:tcBorders>
              <w:bottom w:val="single" w:sz="8" w:color="CCEEFF"/>
            </w:tcBorders>
            <w:gridSpan w:val="2"/>
            <w:shd w:val="clear" w:color="auto" w:fill="CCEEFF"/>
          </w:tcPr>
          <w:p>
            <w:pPr>
              <w:ind w:left="120"/>
              <w:spacing w:after="0" w:line="136" w:lineRule="exact"/>
              <w:rPr>
                <w:sz w:val="20"/>
                <w:szCs w:val="20"/>
                <w:color w:val="auto"/>
              </w:rPr>
            </w:pPr>
            <w:r>
              <w:rPr>
                <w:rFonts w:ascii="Arial" w:cs="Arial" w:eastAsia="Arial" w:hAnsi="Arial"/>
                <w:sz w:val="12"/>
                <w:szCs w:val="12"/>
                <w:color w:val="auto"/>
              </w:rPr>
              <w:t>$</w:t>
            </w:r>
          </w:p>
        </w:tc>
        <w:tc>
          <w:tcPr>
            <w:tcW w:w="760" w:type="dxa"/>
            <w:vAlign w:val="bottom"/>
            <w:tcBorders>
              <w:bottom w:val="single" w:sz="8" w:color="CCEEFF"/>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7,953</w:t>
            </w:r>
          </w:p>
        </w:tc>
        <w:tc>
          <w:tcPr>
            <w:tcW w:w="940" w:type="dxa"/>
            <w:vAlign w:val="bottom"/>
            <w:tcBorders>
              <w:bottom w:val="single" w:sz="8" w:color="CCEEFF"/>
            </w:tcBorders>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(45.7)</w:t>
            </w:r>
          </w:p>
        </w:tc>
        <w:tc>
          <w:tcPr>
            <w:tcW w:w="260" w:type="dxa"/>
            <w:vAlign w:val="bottom"/>
            <w:tcBorders>
              <w:bottom w:val="single" w:sz="8" w:color="CCEEFF"/>
            </w:tcBorders>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w:t>
            </w:r>
          </w:p>
        </w:tc>
        <w:tc>
          <w:tcPr>
            <w:tcW w:w="720" w:type="dxa"/>
            <w:vAlign w:val="bottom"/>
            <w:tcBorders>
              <w:bottom w:val="single" w:sz="8" w:color="CCEEFF"/>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(1,769)</w:t>
            </w:r>
          </w:p>
        </w:tc>
        <w:tc>
          <w:tcPr>
            <w:tcW w:w="240" w:type="dxa"/>
            <w:vAlign w:val="bottom"/>
            <w:tcBorders>
              <w:bottom w:val="single" w:sz="8" w:color="CCEEFF"/>
            </w:tcBorders>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700" w:type="dxa"/>
            <w:vAlign w:val="bottom"/>
            <w:tcBorders>
              <w:bottom w:val="single" w:sz="8" w:color="CCEEFF"/>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4,577</w:t>
            </w:r>
          </w:p>
        </w:tc>
        <w:tc>
          <w:tcPr>
            <w:tcW w:w="580" w:type="dxa"/>
            <w:vAlign w:val="bottom"/>
            <w:tcBorders>
              <w:bottom w:val="single" w:sz="8" w:color="CCEEFF"/>
            </w:tcBorders>
            <w:gridSpan w:val="2"/>
            <w:shd w:val="clear" w:color="auto" w:fill="CCEEFF"/>
          </w:tcPr>
          <w:p>
            <w:pPr>
              <w:jc w:val="right"/>
              <w:ind w:right="340"/>
              <w:spacing w:after="0" w:line="136" w:lineRule="exact"/>
              <w:rPr>
                <w:sz w:val="20"/>
                <w:szCs w:val="20"/>
                <w:color w:val="auto"/>
              </w:rPr>
            </w:pPr>
            <w:r>
              <w:rPr>
                <w:rFonts w:ascii="Arial" w:cs="Arial" w:eastAsia="Arial" w:hAnsi="Arial"/>
                <w:sz w:val="12"/>
                <w:szCs w:val="12"/>
                <w:color w:val="auto"/>
              </w:rPr>
              <w:t>$</w:t>
            </w:r>
          </w:p>
        </w:tc>
        <w:tc>
          <w:tcPr>
            <w:tcW w:w="700" w:type="dxa"/>
            <w:vAlign w:val="bottom"/>
            <w:tcBorders>
              <w:bottom w:val="single" w:sz="8" w:color="CCEEFF"/>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(661)</w:t>
            </w:r>
          </w:p>
        </w:tc>
        <w:tc>
          <w:tcPr>
            <w:tcW w:w="260" w:type="dxa"/>
            <w:vAlign w:val="bottom"/>
            <w:tcBorders>
              <w:bottom w:val="single" w:sz="8" w:color="CCEEFF"/>
            </w:tcBorders>
            <w:gridSpan w:val="2"/>
            <w:shd w:val="clear" w:color="auto" w:fill="CCEEFF"/>
          </w:tcPr>
          <w:p>
            <w:pPr>
              <w:ind w:left="120"/>
              <w:spacing w:after="0" w:line="136" w:lineRule="exact"/>
              <w:rPr>
                <w:sz w:val="20"/>
                <w:szCs w:val="20"/>
                <w:color w:val="auto"/>
              </w:rPr>
            </w:pPr>
            <w:r>
              <w:rPr>
                <w:rFonts w:ascii="Arial" w:cs="Arial" w:eastAsia="Arial" w:hAnsi="Arial"/>
                <w:sz w:val="12"/>
                <w:szCs w:val="12"/>
                <w:color w:val="auto"/>
              </w:rPr>
              <w:t>$</w:t>
            </w:r>
          </w:p>
        </w:tc>
        <w:tc>
          <w:tcPr>
            <w:tcW w:w="700" w:type="dxa"/>
            <w:vAlign w:val="bottom"/>
            <w:tcBorders>
              <w:bottom w:val="single" w:sz="8" w:color="CCEEFF"/>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45</w:t>
            </w:r>
          </w:p>
        </w:tc>
        <w:tc>
          <w:tcPr>
            <w:tcW w:w="260" w:type="dxa"/>
            <w:vAlign w:val="bottom"/>
            <w:tcBorders>
              <w:bottom w:val="single" w:sz="8" w:color="CCEEFF"/>
            </w:tcBorders>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w:t>
            </w:r>
          </w:p>
        </w:tc>
        <w:tc>
          <w:tcPr>
            <w:tcW w:w="600" w:type="dxa"/>
            <w:vAlign w:val="bottom"/>
            <w:tcBorders>
              <w:bottom w:val="single" w:sz="8" w:color="CCEEFF"/>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10,147</w:t>
            </w:r>
          </w:p>
        </w:tc>
        <w:tc>
          <w:tcPr>
            <w:tcW w:w="0" w:type="dxa"/>
            <w:vAlign w:val="bottom"/>
          </w:tcPr>
          <w:p>
            <w:pPr>
              <w:spacing w:after="0"/>
              <w:rPr>
                <w:sz w:val="1"/>
                <w:szCs w:val="1"/>
                <w:color w:val="auto"/>
              </w:rPr>
            </w:pPr>
          </w:p>
        </w:tc>
      </w:tr>
      <w:tr>
        <w:trPr>
          <w:trHeight w:val="160"/>
        </w:trPr>
        <w:tc>
          <w:tcPr>
            <w:tcW w:w="2460" w:type="dxa"/>
            <w:vAlign w:val="bottom"/>
            <w:gridSpan w:val="3"/>
          </w:tcPr>
          <w:p>
            <w:pPr>
              <w:ind w:left="20"/>
              <w:spacing w:after="0"/>
              <w:rPr>
                <w:sz w:val="20"/>
                <w:szCs w:val="20"/>
                <w:color w:val="auto"/>
              </w:rPr>
            </w:pPr>
            <w:r>
              <w:rPr>
                <w:rFonts w:ascii="Arial" w:cs="Arial" w:eastAsia="Arial" w:hAnsi="Arial"/>
                <w:sz w:val="12"/>
                <w:szCs w:val="12"/>
                <w:color w:val="auto"/>
              </w:rPr>
              <w:t>Cash dividends ($0.17 dividend per share)</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(31)</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23"/>
        </w:trPr>
        <w:tc>
          <w:tcPr>
            <w:tcW w:w="2460" w:type="dxa"/>
            <w:vAlign w:val="bottom"/>
            <w:gridSpan w:val="3"/>
            <w:shd w:val="clear" w:color="auto" w:fill="CCEEFF"/>
          </w:tcPr>
          <w:p>
            <w:pPr>
              <w:ind w:left="20"/>
              <w:spacing w:after="0" w:line="124" w:lineRule="exact"/>
              <w:rPr>
                <w:sz w:val="20"/>
                <w:szCs w:val="20"/>
                <w:color w:val="auto"/>
              </w:rPr>
            </w:pPr>
            <w:r>
              <w:rPr>
                <w:rFonts w:ascii="Arial" w:cs="Arial" w:eastAsia="Arial" w:hAnsi="Arial"/>
                <w:sz w:val="12"/>
                <w:szCs w:val="12"/>
                <w:color w:val="auto"/>
              </w:rPr>
              <w:t>Proceeds from treasury stock issued from the</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460" w:type="dxa"/>
            <w:vAlign w:val="bottom"/>
            <w:gridSpan w:val="3"/>
            <w:shd w:val="clear" w:color="auto" w:fill="CCEEFF"/>
          </w:tcPr>
          <w:p>
            <w:pPr>
              <w:ind w:left="20"/>
              <w:spacing w:after="0" w:line="128" w:lineRule="exact"/>
              <w:rPr>
                <w:sz w:val="20"/>
                <w:szCs w:val="20"/>
                <w:color w:val="auto"/>
              </w:rPr>
            </w:pPr>
            <w:r>
              <w:rPr>
                <w:rFonts w:ascii="Arial" w:cs="Arial" w:eastAsia="Arial" w:hAnsi="Arial"/>
                <w:sz w:val="12"/>
                <w:szCs w:val="12"/>
                <w:color w:val="auto"/>
              </w:rPr>
              <w:t>exercise of stock options and other benefit</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plans, net of tax</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60"/>
        </w:trPr>
        <w:tc>
          <w:tcPr>
            <w:tcW w:w="2460" w:type="dxa"/>
            <w:vAlign w:val="bottom"/>
            <w:gridSpan w:val="3"/>
          </w:tcPr>
          <w:p>
            <w:pPr>
              <w:ind w:left="20"/>
              <w:spacing w:after="0"/>
              <w:rPr>
                <w:sz w:val="20"/>
                <w:szCs w:val="20"/>
                <w:color w:val="auto"/>
              </w:rPr>
            </w:pPr>
            <w:r>
              <w:rPr>
                <w:rFonts w:ascii="Arial" w:cs="Arial" w:eastAsia="Arial" w:hAnsi="Arial"/>
                <w:sz w:val="12"/>
                <w:szCs w:val="12"/>
                <w:color w:val="auto"/>
              </w:rPr>
              <w:t>Stock based compensation</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68"/>
        </w:trPr>
        <w:tc>
          <w:tcPr>
            <w:tcW w:w="2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169</w:t>
            </w: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173</w:t>
            </w:r>
          </w:p>
        </w:tc>
        <w:tc>
          <w:tcPr>
            <w:tcW w:w="0" w:type="dxa"/>
            <w:vAlign w:val="bottom"/>
          </w:tcPr>
          <w:p>
            <w:pPr>
              <w:spacing w:after="0"/>
              <w:rPr>
                <w:sz w:val="1"/>
                <w:szCs w:val="1"/>
                <w:color w:val="auto"/>
              </w:rPr>
            </w:pPr>
          </w:p>
        </w:tc>
      </w:tr>
      <w:tr>
        <w:trPr>
          <w:trHeight w:val="160"/>
        </w:trPr>
        <w:tc>
          <w:tcPr>
            <w:tcW w:w="2460" w:type="dxa"/>
            <w:vAlign w:val="bottom"/>
            <w:gridSpan w:val="3"/>
          </w:tcPr>
          <w:p>
            <w:pPr>
              <w:ind w:left="20"/>
              <w:spacing w:after="0"/>
              <w:rPr>
                <w:sz w:val="20"/>
                <w:szCs w:val="20"/>
                <w:color w:val="auto"/>
              </w:rPr>
            </w:pPr>
            <w:r>
              <w:rPr>
                <w:rFonts w:ascii="Arial" w:cs="Arial" w:eastAsia="Arial" w:hAnsi="Arial"/>
                <w:sz w:val="12"/>
                <w:szCs w:val="12"/>
                <w:color w:val="auto"/>
              </w:rPr>
              <w:t>Other comprehensive income, net of tax</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jc w:val="right"/>
              <w:ind w:right="20"/>
              <w:spacing w:after="0"/>
              <w:rPr>
                <w:sz w:val="20"/>
                <w:szCs w:val="20"/>
                <w:color w:val="auto"/>
              </w:rPr>
            </w:pPr>
            <w:r>
              <w:rPr>
                <w:rFonts w:ascii="Arial" w:cs="Arial" w:eastAsia="Arial" w:hAnsi="Arial"/>
                <w:sz w:val="12"/>
                <w:szCs w:val="12"/>
                <w:color w:val="auto"/>
              </w:rPr>
              <w:t>30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73"/>
        </w:trPr>
        <w:tc>
          <w:tcPr>
            <w:tcW w:w="2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Stock repurchase</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(178)</w:t>
            </w:r>
          </w:p>
        </w:tc>
        <w:tc>
          <w:tcPr>
            <w:tcW w:w="0" w:type="dxa"/>
            <w:vAlign w:val="bottom"/>
          </w:tcPr>
          <w:p>
            <w:pPr>
              <w:spacing w:after="0"/>
              <w:rPr>
                <w:sz w:val="1"/>
                <w:szCs w:val="1"/>
                <w:color w:val="auto"/>
              </w:rPr>
            </w:pPr>
          </w:p>
        </w:tc>
      </w:tr>
      <w:tr>
        <w:trPr>
          <w:trHeight w:val="168"/>
        </w:trPr>
        <w:tc>
          <w:tcPr>
            <w:tcW w:w="2460" w:type="dxa"/>
            <w:vAlign w:val="bottom"/>
            <w:gridSpan w:val="3"/>
          </w:tcPr>
          <w:p>
            <w:pPr>
              <w:ind w:left="20"/>
              <w:spacing w:after="0"/>
              <w:rPr>
                <w:sz w:val="20"/>
                <w:szCs w:val="20"/>
                <w:color w:val="auto"/>
              </w:rPr>
            </w:pPr>
            <w:r>
              <w:rPr>
                <w:rFonts w:ascii="Arial" w:cs="Arial" w:eastAsia="Arial" w:hAnsi="Arial"/>
                <w:sz w:val="12"/>
                <w:szCs w:val="12"/>
                <w:b w:val="1"/>
                <w:bCs w:val="1"/>
                <w:color w:val="auto"/>
              </w:rPr>
              <w:t>Balance, March 31, 2023</w:t>
            </w:r>
          </w:p>
        </w:tc>
        <w:tc>
          <w:tcPr>
            <w:tcW w:w="900" w:type="dxa"/>
            <w:vAlign w:val="bottom"/>
          </w:tcPr>
          <w:p>
            <w:pPr>
              <w:jc w:val="right"/>
              <w:spacing w:after="0"/>
              <w:rPr>
                <w:sz w:val="20"/>
                <w:szCs w:val="20"/>
                <w:color w:val="auto"/>
              </w:rPr>
            </w:pPr>
            <w:r>
              <w:rPr>
                <w:rFonts w:ascii="Arial" w:cs="Arial" w:eastAsia="Arial" w:hAnsi="Arial"/>
                <w:sz w:val="12"/>
                <w:szCs w:val="12"/>
                <w:color w:val="auto"/>
              </w:rPr>
              <w:t>226.9</w:t>
            </w:r>
          </w:p>
        </w:tc>
        <w:tc>
          <w:tcPr>
            <w:tcW w:w="24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w:t>
            </w:r>
          </w:p>
        </w:tc>
        <w:tc>
          <w:tcPr>
            <w:tcW w:w="24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7,940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(47.1)</w:t>
            </w:r>
          </w:p>
        </w:tc>
        <w:tc>
          <w:tcPr>
            <w:tcW w:w="2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(1,941)</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4,715</w:t>
            </w:r>
          </w:p>
        </w:tc>
        <w:tc>
          <w:tcPr>
            <w:tcW w:w="5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(631)</w:t>
            </w:r>
          </w:p>
        </w:tc>
        <w:tc>
          <w:tcPr>
            <w:tcW w:w="2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49</w:t>
            </w:r>
          </w:p>
        </w:tc>
        <w:tc>
          <w:tcPr>
            <w:tcW w:w="2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10,134</w:t>
            </w:r>
          </w:p>
        </w:tc>
        <w:tc>
          <w:tcPr>
            <w:tcW w:w="0" w:type="dxa"/>
            <w:vAlign w:val="bottom"/>
          </w:tcPr>
          <w:p>
            <w:pPr>
              <w:spacing w:after="0"/>
              <w:rPr>
                <w:sz w:val="1"/>
                <w:szCs w:val="1"/>
                <w:color w:val="auto"/>
              </w:rPr>
            </w:pPr>
          </w:p>
        </w:tc>
      </w:tr>
      <w:tr>
        <w:trPr>
          <w:trHeight w:val="168"/>
        </w:trPr>
        <w:tc>
          <w:tcPr>
            <w:tcW w:w="24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Cash dividends ($0.17 dividend per share)</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16"/>
        </w:trPr>
        <w:tc>
          <w:tcPr>
            <w:tcW w:w="2460" w:type="dxa"/>
            <w:vAlign w:val="bottom"/>
            <w:gridSpan w:val="3"/>
          </w:tcPr>
          <w:p>
            <w:pPr>
              <w:ind w:left="20"/>
              <w:spacing w:after="0" w:line="116" w:lineRule="exact"/>
              <w:rPr>
                <w:sz w:val="20"/>
                <w:szCs w:val="20"/>
                <w:color w:val="auto"/>
              </w:rPr>
            </w:pPr>
            <w:r>
              <w:rPr>
                <w:rFonts w:ascii="Arial" w:cs="Arial" w:eastAsia="Arial" w:hAnsi="Arial"/>
                <w:sz w:val="12"/>
                <w:szCs w:val="12"/>
                <w:color w:val="auto"/>
              </w:rPr>
              <w:t>Proceeds from treasury stock issued from the</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460" w:type="dxa"/>
            <w:vAlign w:val="bottom"/>
            <w:gridSpan w:val="3"/>
          </w:tcPr>
          <w:p>
            <w:pPr>
              <w:ind w:left="20"/>
              <w:spacing w:after="0" w:line="128" w:lineRule="exact"/>
              <w:rPr>
                <w:sz w:val="20"/>
                <w:szCs w:val="20"/>
                <w:color w:val="auto"/>
              </w:rPr>
            </w:pPr>
            <w:r>
              <w:rPr>
                <w:rFonts w:ascii="Arial" w:cs="Arial" w:eastAsia="Arial" w:hAnsi="Arial"/>
                <w:sz w:val="12"/>
                <w:szCs w:val="12"/>
                <w:color w:val="auto"/>
              </w:rPr>
              <w:t>exercise of stock options and other benefit</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460" w:type="dxa"/>
            <w:vAlign w:val="bottom"/>
            <w:gridSpan w:val="3"/>
          </w:tcPr>
          <w:p>
            <w:pPr>
              <w:ind w:left="20"/>
              <w:spacing w:after="0"/>
              <w:rPr>
                <w:sz w:val="20"/>
                <w:szCs w:val="20"/>
                <w:color w:val="auto"/>
              </w:rPr>
            </w:pPr>
            <w:r>
              <w:rPr>
                <w:rFonts w:ascii="Arial" w:cs="Arial" w:eastAsia="Arial" w:hAnsi="Arial"/>
                <w:sz w:val="12"/>
                <w:szCs w:val="12"/>
                <w:color w:val="auto"/>
              </w:rPr>
              <w:t>plans, net of tax</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0.1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Stock based compensation</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53"/>
        </w:trPr>
        <w:tc>
          <w:tcPr>
            <w:tcW w:w="2460" w:type="dxa"/>
            <w:vAlign w:val="bottom"/>
            <w:gridSpan w:val="3"/>
          </w:tcPr>
          <w:p>
            <w:pPr>
              <w:ind w:left="20"/>
              <w:spacing w:after="0"/>
              <w:rPr>
                <w:sz w:val="20"/>
                <w:szCs w:val="20"/>
                <w:color w:val="auto"/>
              </w:rPr>
            </w:pPr>
            <w:r>
              <w:rPr>
                <w:rFonts w:ascii="Arial" w:cs="Arial" w:eastAsia="Arial" w:hAnsi="Arial"/>
                <w:sz w:val="12"/>
                <w:szCs w:val="12"/>
                <w:color w:val="auto"/>
              </w:rPr>
              <w:t>Net income</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191</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Other comprehensive income, net of tax</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60"/>
        </w:trPr>
        <w:tc>
          <w:tcPr>
            <w:tcW w:w="2460" w:type="dxa"/>
            <w:vAlign w:val="bottom"/>
            <w:gridSpan w:val="3"/>
          </w:tcPr>
          <w:p>
            <w:pPr>
              <w:ind w:left="20"/>
              <w:spacing w:after="0"/>
              <w:rPr>
                <w:sz w:val="20"/>
                <w:szCs w:val="20"/>
                <w:color w:val="auto"/>
              </w:rPr>
            </w:pPr>
            <w:r>
              <w:rPr>
                <w:rFonts w:ascii="Arial" w:cs="Arial" w:eastAsia="Arial" w:hAnsi="Arial"/>
                <w:sz w:val="12"/>
                <w:szCs w:val="12"/>
                <w:color w:val="auto"/>
              </w:rPr>
              <w:t>Stock repurchase</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(0.8)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(76)</w:t>
            </w:r>
          </w:p>
        </w:tc>
        <w:tc>
          <w:tcPr>
            <w:tcW w:w="0" w:type="dxa"/>
            <w:vAlign w:val="bottom"/>
          </w:tcPr>
          <w:p>
            <w:pPr>
              <w:spacing w:after="0"/>
              <w:rPr>
                <w:sz w:val="1"/>
                <w:szCs w:val="1"/>
                <w:color w:val="auto"/>
              </w:rPr>
            </w:pPr>
          </w:p>
        </w:tc>
      </w:tr>
      <w:tr>
        <w:trPr>
          <w:trHeight w:val="188"/>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Distribution to noncontrolling interest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53"/>
        </w:trPr>
        <w:tc>
          <w:tcPr>
            <w:tcW w:w="2460" w:type="dxa"/>
            <w:vAlign w:val="bottom"/>
            <w:gridSpan w:val="3"/>
          </w:tcPr>
          <w:p>
            <w:pPr>
              <w:ind w:left="20"/>
              <w:spacing w:after="0"/>
              <w:rPr>
                <w:sz w:val="20"/>
                <w:szCs w:val="20"/>
                <w:color w:val="auto"/>
              </w:rPr>
            </w:pPr>
            <w:r>
              <w:rPr>
                <w:rFonts w:ascii="Arial" w:cs="Arial" w:eastAsia="Arial" w:hAnsi="Arial"/>
                <w:sz w:val="12"/>
                <w:szCs w:val="12"/>
                <w:b w:val="1"/>
                <w:bCs w:val="1"/>
                <w:color w:val="auto"/>
              </w:rPr>
              <w:t>Balance, June 30, 2023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226.9</w:t>
            </w:r>
          </w:p>
        </w:tc>
        <w:tc>
          <w:tcPr>
            <w:tcW w:w="120" w:type="dxa"/>
            <w:vAlign w:val="bottom"/>
          </w:tcPr>
          <w:p>
            <w:pPr>
              <w:spacing w:after="0"/>
              <w:rPr>
                <w:sz w:val="13"/>
                <w:szCs w:val="13"/>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7,949</w:t>
            </w:r>
          </w:p>
        </w:tc>
        <w:tc>
          <w:tcPr>
            <w:tcW w:w="10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(47.8)</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(2,014)</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4,875</w:t>
            </w:r>
          </w:p>
        </w:tc>
        <w:tc>
          <w:tcPr>
            <w:tcW w:w="100" w:type="dxa"/>
            <w:vAlign w:val="bottom"/>
          </w:tcPr>
          <w:p>
            <w:pPr>
              <w:spacing w:after="0"/>
              <w:rPr>
                <w:sz w:val="13"/>
                <w:szCs w:val="13"/>
                <w:color w:val="auto"/>
              </w:rPr>
            </w:pPr>
          </w:p>
        </w:tc>
        <w:tc>
          <w:tcPr>
            <w:tcW w:w="4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(624)</w:t>
            </w:r>
          </w:p>
        </w:tc>
        <w:tc>
          <w:tcPr>
            <w:tcW w:w="100" w:type="dxa"/>
            <w:vAlign w:val="bottom"/>
          </w:tcPr>
          <w:p>
            <w:pPr>
              <w:spacing w:after="0"/>
              <w:rPr>
                <w:sz w:val="13"/>
                <w:szCs w:val="13"/>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95"/>
              </w:rPr>
              <w:t>Common Stock</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00"/>
              <w:spacing w:after="0"/>
              <w:rPr>
                <w:sz w:val="20"/>
                <w:szCs w:val="20"/>
                <w:color w:val="auto"/>
              </w:rPr>
            </w:pPr>
            <w:r>
              <w:rPr>
                <w:rFonts w:ascii="Arial" w:cs="Arial" w:eastAsia="Arial" w:hAnsi="Arial"/>
                <w:sz w:val="12"/>
                <w:szCs w:val="12"/>
                <w:b w:val="1"/>
                <w:bCs w:val="1"/>
                <w:color w:val="auto"/>
                <w:w w:val="96"/>
              </w:rPr>
              <w:t>Common</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w w:val="94"/>
              </w:rPr>
              <w:t>Additional Paid-</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Treasury Stock</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w w:val="92"/>
              </w:rPr>
              <w:t>Treasury Stock</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40"/>
              <w:spacing w:after="0"/>
              <w:rPr>
                <w:sz w:val="20"/>
                <w:szCs w:val="20"/>
                <w:color w:val="auto"/>
              </w:rPr>
            </w:pPr>
            <w:r>
              <w:rPr>
                <w:rFonts w:ascii="Arial" w:cs="Arial" w:eastAsia="Arial" w:hAnsi="Arial"/>
                <w:sz w:val="12"/>
                <w:szCs w:val="12"/>
                <w:b w:val="1"/>
                <w:bCs w:val="1"/>
                <w:color w:val="auto"/>
                <w:w w:val="94"/>
              </w:rPr>
              <w:t>Retained</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2"/>
                <w:szCs w:val="12"/>
                <w:b w:val="1"/>
                <w:bCs w:val="1"/>
                <w:color w:val="auto"/>
                <w:w w:val="92"/>
              </w:rPr>
              <w:t>Accumulated Other</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w w:val="91"/>
              </w:rPr>
              <w:t>Non-controlling</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93"/>
        </w:trPr>
        <w:tc>
          <w:tcPr>
            <w:tcW w:w="20" w:type="dxa"/>
            <w:vAlign w:val="bottom"/>
            <w:vMerge w:val="restart"/>
            <w:shd w:val="clear" w:color="auto" w:fill="CCEEFF"/>
          </w:tcPr>
          <w:p>
            <w:pPr>
              <w:spacing w:after="0"/>
              <w:rPr>
                <w:sz w:val="8"/>
                <w:szCs w:val="8"/>
                <w:color w:val="auto"/>
              </w:rPr>
            </w:pPr>
          </w:p>
        </w:tc>
        <w:tc>
          <w:tcPr>
            <w:tcW w:w="480" w:type="dxa"/>
            <w:vAlign w:val="bottom"/>
            <w:vMerge w:val="restart"/>
            <w:shd w:val="clear" w:color="auto" w:fill="CCEEFF"/>
          </w:tcPr>
          <w:p>
            <w:pPr>
              <w:spacing w:after="0"/>
              <w:rPr>
                <w:sz w:val="20"/>
                <w:szCs w:val="20"/>
                <w:color w:val="auto"/>
              </w:rPr>
            </w:pPr>
            <w:r>
              <w:rPr>
                <w:rFonts w:ascii="Arial" w:cs="Arial" w:eastAsia="Arial" w:hAnsi="Arial"/>
                <w:sz w:val="10"/>
                <w:szCs w:val="10"/>
                <w:b w:val="1"/>
                <w:bCs w:val="1"/>
                <w:color w:val="auto"/>
                <w:w w:val="92"/>
              </w:rPr>
              <w:t>In millions</w:t>
            </w:r>
          </w:p>
        </w:tc>
        <w:tc>
          <w:tcPr>
            <w:tcW w:w="1960" w:type="dxa"/>
            <w:vAlign w:val="bottom"/>
            <w:vMerge w:val="restart"/>
            <w:shd w:val="clear" w:color="auto" w:fill="CCEEFF"/>
          </w:tcPr>
          <w:p>
            <w:pPr>
              <w:spacing w:after="0"/>
              <w:rPr>
                <w:sz w:val="8"/>
                <w:szCs w:val="8"/>
                <w:color w:val="auto"/>
              </w:rPr>
            </w:pPr>
          </w:p>
        </w:tc>
        <w:tc>
          <w:tcPr>
            <w:tcW w:w="900" w:type="dxa"/>
            <w:vAlign w:val="bottom"/>
            <w:vMerge w:val="restart"/>
            <w:shd w:val="clear" w:color="auto" w:fill="CCEEFF"/>
          </w:tcPr>
          <w:p>
            <w:pPr>
              <w:jc w:val="right"/>
              <w:ind w:right="220"/>
              <w:spacing w:after="0" w:line="134" w:lineRule="exact"/>
              <w:rPr>
                <w:sz w:val="20"/>
                <w:szCs w:val="20"/>
                <w:color w:val="auto"/>
              </w:rPr>
            </w:pPr>
            <w:r>
              <w:rPr>
                <w:rFonts w:ascii="Arial" w:cs="Arial" w:eastAsia="Arial" w:hAnsi="Arial"/>
                <w:sz w:val="12"/>
                <w:szCs w:val="12"/>
                <w:b w:val="1"/>
                <w:bCs w:val="1"/>
                <w:color w:val="auto"/>
              </w:rPr>
              <w:t>Shares</w:t>
            </w:r>
          </w:p>
        </w:tc>
        <w:tc>
          <w:tcPr>
            <w:tcW w:w="120" w:type="dxa"/>
            <w:vAlign w:val="bottom"/>
            <w:shd w:val="clear" w:color="auto" w:fill="CCEEFF"/>
          </w:tcPr>
          <w:p>
            <w:pPr>
              <w:spacing w:after="0"/>
              <w:rPr>
                <w:sz w:val="8"/>
                <w:szCs w:val="8"/>
                <w:color w:val="auto"/>
              </w:rPr>
            </w:pPr>
          </w:p>
        </w:tc>
        <w:tc>
          <w:tcPr>
            <w:tcW w:w="800" w:type="dxa"/>
            <w:vAlign w:val="bottom"/>
            <w:gridSpan w:val="2"/>
            <w:vMerge w:val="restart"/>
            <w:shd w:val="clear" w:color="auto" w:fill="CCEEFF"/>
          </w:tcPr>
          <w:p>
            <w:pPr>
              <w:ind w:left="20"/>
              <w:spacing w:after="0" w:line="134" w:lineRule="exact"/>
              <w:rPr>
                <w:sz w:val="20"/>
                <w:szCs w:val="20"/>
                <w:color w:val="auto"/>
              </w:rPr>
            </w:pPr>
            <w:r>
              <w:rPr>
                <w:rFonts w:ascii="Arial" w:cs="Arial" w:eastAsia="Arial" w:hAnsi="Arial"/>
                <w:sz w:val="12"/>
                <w:szCs w:val="12"/>
                <w:b w:val="1"/>
                <w:bCs w:val="1"/>
                <w:color w:val="auto"/>
                <w:w w:val="93"/>
              </w:rPr>
              <w:t>Stock Amount</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vMerge w:val="restart"/>
            <w:shd w:val="clear" w:color="auto" w:fill="CCEEFF"/>
          </w:tcPr>
          <w:p>
            <w:pPr>
              <w:jc w:val="right"/>
              <w:ind w:right="140"/>
              <w:spacing w:after="0" w:line="134" w:lineRule="exact"/>
              <w:rPr>
                <w:sz w:val="20"/>
                <w:szCs w:val="20"/>
                <w:color w:val="auto"/>
              </w:rPr>
            </w:pPr>
            <w:r>
              <w:rPr>
                <w:rFonts w:ascii="Arial" w:cs="Arial" w:eastAsia="Arial" w:hAnsi="Arial"/>
                <w:sz w:val="12"/>
                <w:szCs w:val="12"/>
                <w:b w:val="1"/>
                <w:bCs w:val="1"/>
                <w:color w:val="auto"/>
                <w:w w:val="99"/>
              </w:rPr>
              <w:t>in Capital</w:t>
            </w:r>
          </w:p>
        </w:tc>
        <w:tc>
          <w:tcPr>
            <w:tcW w:w="10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right"/>
              <w:ind w:right="200"/>
              <w:spacing w:after="0" w:line="134" w:lineRule="exact"/>
              <w:rPr>
                <w:sz w:val="20"/>
                <w:szCs w:val="20"/>
                <w:color w:val="auto"/>
              </w:rPr>
            </w:pPr>
            <w:r>
              <w:rPr>
                <w:rFonts w:ascii="Arial" w:cs="Arial" w:eastAsia="Arial" w:hAnsi="Arial"/>
                <w:sz w:val="12"/>
                <w:szCs w:val="12"/>
                <w:b w:val="1"/>
                <w:bCs w:val="1"/>
                <w:color w:val="auto"/>
              </w:rPr>
              <w:t>Shares</w:t>
            </w: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20" w:type="dxa"/>
            <w:vAlign w:val="bottom"/>
            <w:vMerge w:val="restart"/>
            <w:shd w:val="clear" w:color="auto" w:fill="CCEEFF"/>
          </w:tcPr>
          <w:p>
            <w:pPr>
              <w:jc w:val="right"/>
              <w:ind w:right="180"/>
              <w:spacing w:after="0" w:line="134" w:lineRule="exact"/>
              <w:rPr>
                <w:sz w:val="20"/>
                <w:szCs w:val="20"/>
                <w:color w:val="auto"/>
              </w:rPr>
            </w:pPr>
            <w:r>
              <w:rPr>
                <w:rFonts w:ascii="Arial" w:cs="Arial" w:eastAsia="Arial" w:hAnsi="Arial"/>
                <w:sz w:val="12"/>
                <w:szCs w:val="12"/>
                <w:b w:val="1"/>
                <w:bCs w:val="1"/>
                <w:color w:val="auto"/>
              </w:rPr>
              <w:t>Amount</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ind w:right="120"/>
              <w:spacing w:after="0" w:line="134" w:lineRule="exact"/>
              <w:rPr>
                <w:sz w:val="20"/>
                <w:szCs w:val="20"/>
                <w:color w:val="auto"/>
              </w:rPr>
            </w:pPr>
            <w:r>
              <w:rPr>
                <w:rFonts w:ascii="Arial" w:cs="Arial" w:eastAsia="Arial" w:hAnsi="Arial"/>
                <w:sz w:val="12"/>
                <w:szCs w:val="12"/>
                <w:b w:val="1"/>
                <w:bCs w:val="1"/>
                <w:color w:val="auto"/>
                <w:w w:val="97"/>
              </w:rPr>
              <w:t>Earnings</w:t>
            </w:r>
          </w:p>
        </w:tc>
        <w:tc>
          <w:tcPr>
            <w:tcW w:w="100" w:type="dxa"/>
            <w:vAlign w:val="bottom"/>
            <w:shd w:val="clear" w:color="auto" w:fill="CCEEFF"/>
          </w:tcPr>
          <w:p>
            <w:pPr>
              <w:spacing w:after="0"/>
              <w:rPr>
                <w:sz w:val="8"/>
                <w:szCs w:val="8"/>
                <w:color w:val="auto"/>
              </w:rPr>
            </w:pPr>
          </w:p>
        </w:tc>
        <w:tc>
          <w:tcPr>
            <w:tcW w:w="1180" w:type="dxa"/>
            <w:vAlign w:val="bottom"/>
            <w:gridSpan w:val="2"/>
            <w:vMerge w:val="restart"/>
            <w:shd w:val="clear" w:color="auto" w:fill="CCEEFF"/>
          </w:tcPr>
          <w:p>
            <w:pPr>
              <w:jc w:val="center"/>
              <w:spacing w:after="0" w:line="134" w:lineRule="exact"/>
              <w:rPr>
                <w:sz w:val="20"/>
                <w:szCs w:val="20"/>
                <w:color w:val="auto"/>
              </w:rPr>
            </w:pPr>
            <w:r>
              <w:rPr>
                <w:rFonts w:ascii="Arial" w:cs="Arial" w:eastAsia="Arial" w:hAnsi="Arial"/>
                <w:sz w:val="12"/>
                <w:szCs w:val="12"/>
                <w:b w:val="1"/>
                <w:bCs w:val="1"/>
                <w:color w:val="auto"/>
                <w:w w:val="87"/>
              </w:rPr>
              <w:t>Comprehensive Loss</w:t>
            </w: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ind w:right="180"/>
              <w:spacing w:after="0" w:line="134" w:lineRule="exact"/>
              <w:rPr>
                <w:sz w:val="20"/>
                <w:szCs w:val="20"/>
                <w:color w:val="auto"/>
              </w:rPr>
            </w:pPr>
            <w:r>
              <w:rPr>
                <w:rFonts w:ascii="Arial" w:cs="Arial" w:eastAsia="Arial" w:hAnsi="Arial"/>
                <w:sz w:val="12"/>
                <w:szCs w:val="12"/>
                <w:b w:val="1"/>
                <w:bCs w:val="1"/>
                <w:color w:val="auto"/>
              </w:rPr>
              <w:t>Interest</w:t>
            </w: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CCEEFF"/>
            </w:tcBorders>
            <w:vMerge w:val="continue"/>
            <w:shd w:val="clear" w:color="auto" w:fill="CCEEFF"/>
          </w:tcPr>
          <w:p>
            <w:pPr>
              <w:spacing w:after="0"/>
              <w:rPr>
                <w:sz w:val="7"/>
                <w:szCs w:val="7"/>
                <w:color w:val="auto"/>
              </w:rPr>
            </w:pPr>
          </w:p>
        </w:tc>
        <w:tc>
          <w:tcPr>
            <w:tcW w:w="480" w:type="dxa"/>
            <w:vAlign w:val="bottom"/>
            <w:tcBorders>
              <w:bottom w:val="single" w:sz="8" w:color="auto"/>
            </w:tcBorders>
            <w:vMerge w:val="continue"/>
            <w:shd w:val="clear" w:color="auto" w:fill="CCEEFF"/>
          </w:tcPr>
          <w:p>
            <w:pPr>
              <w:spacing w:after="0"/>
              <w:rPr>
                <w:sz w:val="7"/>
                <w:szCs w:val="7"/>
                <w:color w:val="auto"/>
              </w:rPr>
            </w:pPr>
          </w:p>
        </w:tc>
        <w:tc>
          <w:tcPr>
            <w:tcW w:w="1960" w:type="dxa"/>
            <w:vAlign w:val="bottom"/>
            <w:tcBorders>
              <w:bottom w:val="single" w:sz="8" w:color="CCEEFF"/>
            </w:tcBorders>
            <w:vMerge w:val="continue"/>
            <w:shd w:val="clear" w:color="auto" w:fill="CCEEFF"/>
          </w:tcPr>
          <w:p>
            <w:pPr>
              <w:spacing w:after="0"/>
              <w:rPr>
                <w:sz w:val="7"/>
                <w:szCs w:val="7"/>
                <w:color w:val="auto"/>
              </w:rPr>
            </w:pPr>
          </w:p>
        </w:tc>
        <w:tc>
          <w:tcPr>
            <w:tcW w:w="90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800" w:type="dxa"/>
            <w:vAlign w:val="bottom"/>
            <w:tcBorders>
              <w:bottom w:val="single" w:sz="8" w:color="CCEEFF"/>
            </w:tcBorders>
            <w:gridSpan w:val="2"/>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7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84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72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70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180" w:type="dxa"/>
            <w:vAlign w:val="bottom"/>
            <w:tcBorders>
              <w:bottom w:val="single" w:sz="8" w:color="CCEEFF"/>
            </w:tcBorders>
            <w:gridSpan w:val="2"/>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70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60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2460" w:type="dxa"/>
            <w:vAlign w:val="bottom"/>
            <w:gridSpan w:val="3"/>
          </w:tcPr>
          <w:p>
            <w:pPr>
              <w:ind w:left="20"/>
              <w:spacing w:after="0"/>
              <w:rPr>
                <w:sz w:val="20"/>
                <w:szCs w:val="20"/>
                <w:color w:val="auto"/>
              </w:rPr>
            </w:pPr>
            <w:r>
              <w:rPr>
                <w:rFonts w:ascii="Arial" w:cs="Arial" w:eastAsia="Arial" w:hAnsi="Arial"/>
                <w:sz w:val="12"/>
                <w:szCs w:val="12"/>
                <w:b w:val="1"/>
                <w:bCs w:val="1"/>
                <w:color w:val="auto"/>
              </w:rPr>
              <w:t>Balance, December 31, 2021</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226.9</w:t>
            </w:r>
          </w:p>
        </w:tc>
        <w:tc>
          <w:tcPr>
            <w:tcW w:w="120" w:type="dxa"/>
            <w:vAlign w:val="bottom"/>
          </w:tcPr>
          <w:p>
            <w:pPr>
              <w:spacing w:after="0"/>
              <w:rPr>
                <w:sz w:val="13"/>
                <w:szCs w:val="13"/>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7,916</w:t>
            </w:r>
          </w:p>
        </w:tc>
        <w:tc>
          <w:tcPr>
            <w:tcW w:w="100" w:type="dxa"/>
            <w:vAlign w:val="bottom"/>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(41.1)</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(1,306)</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4,055</w:t>
            </w:r>
          </w:p>
        </w:tc>
        <w:tc>
          <w:tcPr>
            <w:tcW w:w="100" w:type="dxa"/>
            <w:vAlign w:val="bottom"/>
          </w:tcPr>
          <w:p>
            <w:pPr>
              <w:spacing w:after="0"/>
              <w:rPr>
                <w:sz w:val="13"/>
                <w:szCs w:val="13"/>
                <w:color w:val="auto"/>
              </w:rPr>
            </w:pPr>
          </w:p>
        </w:tc>
        <w:tc>
          <w:tcPr>
            <w:tcW w:w="480" w:type="dxa"/>
            <w:vAlign w:val="bottom"/>
            <w:tcBorders>
              <w:top w:val="single" w:sz="8" w:color="auto"/>
            </w:tcBorders>
          </w:tcPr>
          <w:p>
            <w:pPr>
              <w:jc w:val="right"/>
              <w:ind w:right="340"/>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tcPr>
          <w:p>
            <w:pPr>
              <w:ind w:left="400"/>
              <w:spacing w:after="0"/>
              <w:rPr>
                <w:sz w:val="20"/>
                <w:szCs w:val="20"/>
                <w:color w:val="auto"/>
              </w:rPr>
            </w:pPr>
            <w:r>
              <w:rPr>
                <w:rFonts w:ascii="Arial" w:cs="Arial" w:eastAsia="Arial" w:hAnsi="Arial"/>
                <w:sz w:val="12"/>
                <w:szCs w:val="12"/>
                <w:color w:val="auto"/>
                <w:w w:val="99"/>
              </w:rPr>
              <w:t>(466)</w:t>
            </w:r>
          </w:p>
        </w:tc>
        <w:tc>
          <w:tcPr>
            <w:tcW w:w="100" w:type="dxa"/>
            <w:vAlign w:val="bottom"/>
          </w:tcPr>
          <w:p>
            <w:pPr>
              <w:spacing w:after="0"/>
              <w:rPr>
                <w:sz w:val="13"/>
                <w:szCs w:val="13"/>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38</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10,239</w:t>
            </w:r>
          </w:p>
        </w:tc>
        <w:tc>
          <w:tcPr>
            <w:tcW w:w="0" w:type="dxa"/>
            <w:vAlign w:val="bottom"/>
          </w:tcPr>
          <w:p>
            <w:pPr>
              <w:spacing w:after="0"/>
              <w:rPr>
                <w:sz w:val="1"/>
                <w:szCs w:val="1"/>
                <w:color w:val="auto"/>
              </w:rPr>
            </w:pPr>
          </w:p>
        </w:tc>
      </w:tr>
      <w:tr>
        <w:trPr>
          <w:trHeight w:val="175"/>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Cash dividends ($0.15 dividend per share)</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28"/>
        </w:trPr>
        <w:tc>
          <w:tcPr>
            <w:tcW w:w="2460" w:type="dxa"/>
            <w:vAlign w:val="bottom"/>
            <w:gridSpan w:val="3"/>
          </w:tcPr>
          <w:p>
            <w:pPr>
              <w:ind w:left="20"/>
              <w:spacing w:after="0" w:line="128" w:lineRule="exact"/>
              <w:rPr>
                <w:sz w:val="20"/>
                <w:szCs w:val="20"/>
                <w:color w:val="auto"/>
              </w:rPr>
            </w:pPr>
            <w:r>
              <w:rPr>
                <w:rFonts w:ascii="Arial" w:cs="Arial" w:eastAsia="Arial" w:hAnsi="Arial"/>
                <w:sz w:val="12"/>
                <w:szCs w:val="12"/>
                <w:color w:val="auto"/>
              </w:rPr>
              <w:t>Proceeds from treasury stock issued from the</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460" w:type="dxa"/>
            <w:vAlign w:val="bottom"/>
            <w:gridSpan w:val="3"/>
          </w:tcPr>
          <w:p>
            <w:pPr>
              <w:ind w:left="20"/>
              <w:spacing w:after="0" w:line="117" w:lineRule="exact"/>
              <w:rPr>
                <w:sz w:val="20"/>
                <w:szCs w:val="20"/>
                <w:color w:val="auto"/>
              </w:rPr>
            </w:pPr>
            <w:r>
              <w:rPr>
                <w:rFonts w:ascii="Arial" w:cs="Arial" w:eastAsia="Arial" w:hAnsi="Arial"/>
                <w:sz w:val="12"/>
                <w:szCs w:val="12"/>
                <w:color w:val="auto"/>
              </w:rPr>
              <w:t>exercise of stock options and other benefit</w:t>
            </w:r>
          </w:p>
        </w:tc>
        <w:tc>
          <w:tcPr>
            <w:tcW w:w="9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(9)</w:t>
            </w:r>
          </w:p>
        </w:tc>
        <w:tc>
          <w:tcPr>
            <w:tcW w:w="940" w:type="dxa"/>
            <w:vAlign w:val="bottom"/>
            <w:gridSpan w:val="2"/>
            <w:vMerge w:val="restart"/>
          </w:tcPr>
          <w:p>
            <w:pPr>
              <w:jc w:val="right"/>
              <w:spacing w:after="0"/>
              <w:rPr>
                <w:sz w:val="20"/>
                <w:szCs w:val="20"/>
                <w:color w:val="auto"/>
              </w:rPr>
            </w:pPr>
            <w:r>
              <w:rPr>
                <w:rFonts w:ascii="Arial" w:cs="Arial" w:eastAsia="Arial" w:hAnsi="Arial"/>
                <w:sz w:val="12"/>
                <w:szCs w:val="12"/>
                <w:color w:val="auto"/>
              </w:rPr>
              <w:t>0.2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vMerge w:val="restart"/>
          </w:tcPr>
          <w:p>
            <w:pPr>
              <w:ind w:left="5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60"/>
        </w:trPr>
        <w:tc>
          <w:tcPr>
            <w:tcW w:w="2460" w:type="dxa"/>
            <w:vAlign w:val="bottom"/>
            <w:gridSpan w:val="3"/>
          </w:tcPr>
          <w:p>
            <w:pPr>
              <w:ind w:left="20"/>
              <w:spacing w:after="0"/>
              <w:rPr>
                <w:sz w:val="20"/>
                <w:szCs w:val="20"/>
                <w:color w:val="auto"/>
              </w:rPr>
            </w:pPr>
            <w:r>
              <w:rPr>
                <w:rFonts w:ascii="Arial" w:cs="Arial" w:eastAsia="Arial" w:hAnsi="Arial"/>
                <w:sz w:val="12"/>
                <w:szCs w:val="12"/>
                <w:color w:val="auto"/>
              </w:rPr>
              <w:t>plans, net of tax</w:t>
            </w:r>
          </w:p>
        </w:tc>
        <w:tc>
          <w:tcPr>
            <w:tcW w:w="9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Stock based compensation</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60"/>
        </w:trPr>
        <w:tc>
          <w:tcPr>
            <w:tcW w:w="2460" w:type="dxa"/>
            <w:vAlign w:val="bottom"/>
            <w:gridSpan w:val="3"/>
          </w:tcPr>
          <w:p>
            <w:pPr>
              <w:ind w:left="20"/>
              <w:spacing w:after="0"/>
              <w:rPr>
                <w:sz w:val="20"/>
                <w:szCs w:val="20"/>
                <w:color w:val="auto"/>
              </w:rPr>
            </w:pPr>
            <w:r>
              <w:rPr>
                <w:rFonts w:ascii="Arial" w:cs="Arial" w:eastAsia="Arial" w:hAnsi="Arial"/>
                <w:sz w:val="12"/>
                <w:szCs w:val="12"/>
                <w:color w:val="auto"/>
              </w:rPr>
              <w:t>Net income</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149</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ind w:left="5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150</w:t>
            </w:r>
          </w:p>
        </w:tc>
        <w:tc>
          <w:tcPr>
            <w:tcW w:w="0" w:type="dxa"/>
            <w:vAlign w:val="bottom"/>
          </w:tcPr>
          <w:p>
            <w:pPr>
              <w:spacing w:after="0"/>
              <w:rPr>
                <w:sz w:val="1"/>
                <w:szCs w:val="1"/>
                <w:color w:val="auto"/>
              </w:rPr>
            </w:pPr>
          </w:p>
        </w:tc>
      </w:tr>
      <w:tr>
        <w:trPr>
          <w:trHeight w:val="175"/>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Other comprehensive income, net of tax</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ind w:left="500"/>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73"/>
        </w:trPr>
        <w:tc>
          <w:tcPr>
            <w:tcW w:w="2460" w:type="dxa"/>
            <w:vAlign w:val="bottom"/>
            <w:gridSpan w:val="3"/>
          </w:tcPr>
          <w:p>
            <w:pPr>
              <w:ind w:left="20"/>
              <w:spacing w:after="0"/>
              <w:rPr>
                <w:sz w:val="20"/>
                <w:szCs w:val="20"/>
                <w:color w:val="auto"/>
              </w:rPr>
            </w:pPr>
            <w:r>
              <w:rPr>
                <w:rFonts w:ascii="Arial" w:cs="Arial" w:eastAsia="Arial" w:hAnsi="Arial"/>
                <w:sz w:val="12"/>
                <w:szCs w:val="12"/>
                <w:color w:val="auto"/>
              </w:rPr>
              <w:t>Stock repurchase</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(296)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ind w:left="5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(296)</w:t>
            </w:r>
          </w:p>
        </w:tc>
        <w:tc>
          <w:tcPr>
            <w:tcW w:w="0" w:type="dxa"/>
            <w:vAlign w:val="bottom"/>
          </w:tcPr>
          <w:p>
            <w:pPr>
              <w:spacing w:after="0"/>
              <w:rPr>
                <w:sz w:val="1"/>
                <w:szCs w:val="1"/>
                <w:color w:val="auto"/>
              </w:rPr>
            </w:pPr>
          </w:p>
        </w:tc>
      </w:tr>
      <w:tr>
        <w:trPr>
          <w:trHeight w:val="160"/>
        </w:trPr>
        <w:tc>
          <w:tcPr>
            <w:tcW w:w="24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b w:val="1"/>
                <w:bCs w:val="1"/>
                <w:color w:val="auto"/>
              </w:rPr>
              <w:t>Balance, March 31, 2022</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226.9</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7,917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(1,597)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4,176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2"/>
                <w:szCs w:val="12"/>
                <w:color w:val="auto"/>
                <w:w w:val="99"/>
              </w:rPr>
              <w:t>(449)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10,088</w:t>
            </w:r>
          </w:p>
        </w:tc>
        <w:tc>
          <w:tcPr>
            <w:tcW w:w="0" w:type="dxa"/>
            <w:vAlign w:val="bottom"/>
          </w:tcPr>
          <w:p>
            <w:pPr>
              <w:spacing w:after="0"/>
              <w:rPr>
                <w:sz w:val="1"/>
                <w:szCs w:val="1"/>
                <w:color w:val="auto"/>
              </w:rPr>
            </w:pPr>
          </w:p>
        </w:tc>
      </w:tr>
      <w:tr>
        <w:trPr>
          <w:trHeight w:val="153"/>
        </w:trPr>
        <w:tc>
          <w:tcPr>
            <w:tcW w:w="2460" w:type="dxa"/>
            <w:vAlign w:val="bottom"/>
            <w:gridSpan w:val="3"/>
          </w:tcPr>
          <w:p>
            <w:pPr>
              <w:ind w:left="20"/>
              <w:spacing w:after="0"/>
              <w:rPr>
                <w:sz w:val="20"/>
                <w:szCs w:val="20"/>
                <w:color w:val="auto"/>
              </w:rPr>
            </w:pPr>
            <w:r>
              <w:rPr>
                <w:rFonts w:ascii="Arial" w:cs="Arial" w:eastAsia="Arial" w:hAnsi="Arial"/>
                <w:sz w:val="12"/>
                <w:szCs w:val="12"/>
                <w:color w:val="auto"/>
              </w:rPr>
              <w:t>Cash dividends ($0.15 dividend per share)</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ind w:left="5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42"/>
        </w:trPr>
        <w:tc>
          <w:tcPr>
            <w:tcW w:w="2460" w:type="dxa"/>
            <w:vAlign w:val="bottom"/>
            <w:gridSpan w:val="3"/>
          </w:tcPr>
          <w:p>
            <w:pPr>
              <w:ind w:left="20"/>
              <w:spacing w:after="0"/>
              <w:rPr>
                <w:sz w:val="20"/>
                <w:szCs w:val="20"/>
                <w:color w:val="auto"/>
              </w:rPr>
            </w:pPr>
            <w:r>
              <w:rPr>
                <w:rFonts w:ascii="Arial" w:cs="Arial" w:eastAsia="Arial" w:hAnsi="Arial"/>
                <w:sz w:val="12"/>
                <w:szCs w:val="12"/>
                <w:color w:val="auto"/>
              </w:rPr>
              <w:t>Proceeds from treasury stock issued from the</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460" w:type="dxa"/>
            <w:vAlign w:val="bottom"/>
            <w:gridSpan w:val="3"/>
          </w:tcPr>
          <w:p>
            <w:pPr>
              <w:ind w:left="20"/>
              <w:spacing w:after="0" w:line="117" w:lineRule="exact"/>
              <w:rPr>
                <w:sz w:val="20"/>
                <w:szCs w:val="20"/>
                <w:color w:val="auto"/>
              </w:rPr>
            </w:pPr>
            <w:r>
              <w:rPr>
                <w:rFonts w:ascii="Arial" w:cs="Arial" w:eastAsia="Arial" w:hAnsi="Arial"/>
                <w:sz w:val="12"/>
                <w:szCs w:val="12"/>
                <w:color w:val="auto"/>
              </w:rPr>
              <w:t>exercise of stock options and other benefit</w:t>
            </w:r>
          </w:p>
        </w:tc>
        <w:tc>
          <w:tcPr>
            <w:tcW w:w="9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940" w:type="dxa"/>
            <w:vAlign w:val="bottom"/>
            <w:gridSpan w:val="2"/>
            <w:vMerge w:val="restart"/>
          </w:tcPr>
          <w:p>
            <w:pPr>
              <w:jc w:val="right"/>
              <w:spacing w:after="0"/>
              <w:rPr>
                <w:sz w:val="20"/>
                <w:szCs w:val="20"/>
                <w:color w:val="auto"/>
              </w:rPr>
            </w:pPr>
            <w:r>
              <w:rPr>
                <w:rFonts w:ascii="Arial" w:cs="Arial" w:eastAsia="Arial" w:hAnsi="Arial"/>
                <w:sz w:val="12"/>
                <w:szCs w:val="12"/>
                <w:color w:val="auto"/>
              </w:rPr>
              <w:t>0.1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vMerge w:val="restart"/>
          </w:tcPr>
          <w:p>
            <w:pPr>
              <w:ind w:left="5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60"/>
        </w:trPr>
        <w:tc>
          <w:tcPr>
            <w:tcW w:w="2460" w:type="dxa"/>
            <w:vAlign w:val="bottom"/>
            <w:gridSpan w:val="3"/>
          </w:tcPr>
          <w:p>
            <w:pPr>
              <w:ind w:left="20"/>
              <w:spacing w:after="0"/>
              <w:rPr>
                <w:sz w:val="20"/>
                <w:szCs w:val="20"/>
                <w:color w:val="auto"/>
              </w:rPr>
            </w:pPr>
            <w:r>
              <w:rPr>
                <w:rFonts w:ascii="Arial" w:cs="Arial" w:eastAsia="Arial" w:hAnsi="Arial"/>
                <w:sz w:val="12"/>
                <w:szCs w:val="12"/>
                <w:color w:val="auto"/>
              </w:rPr>
              <w:t>plans, net of tax</w:t>
            </w:r>
          </w:p>
        </w:tc>
        <w:tc>
          <w:tcPr>
            <w:tcW w:w="9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Stock based compensation</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60"/>
        </w:trPr>
        <w:tc>
          <w:tcPr>
            <w:tcW w:w="2460" w:type="dxa"/>
            <w:vAlign w:val="bottom"/>
            <w:gridSpan w:val="3"/>
          </w:tcPr>
          <w:p>
            <w:pPr>
              <w:ind w:left="20"/>
              <w:spacing w:after="0"/>
              <w:rPr>
                <w:sz w:val="20"/>
                <w:szCs w:val="20"/>
                <w:color w:val="auto"/>
              </w:rPr>
            </w:pPr>
            <w:r>
              <w:rPr>
                <w:rFonts w:ascii="Arial" w:cs="Arial" w:eastAsia="Arial" w:hAnsi="Arial"/>
                <w:sz w:val="12"/>
                <w:szCs w:val="12"/>
                <w:color w:val="auto"/>
              </w:rPr>
              <w:t>Net income</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166</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ind w:left="5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169</w:t>
            </w:r>
          </w:p>
        </w:tc>
        <w:tc>
          <w:tcPr>
            <w:tcW w:w="0" w:type="dxa"/>
            <w:vAlign w:val="bottom"/>
          </w:tcPr>
          <w:p>
            <w:pPr>
              <w:spacing w:after="0"/>
              <w:rPr>
                <w:sz w:val="1"/>
                <w:szCs w:val="1"/>
                <w:color w:val="auto"/>
              </w:rPr>
            </w:pPr>
          </w:p>
        </w:tc>
      </w:tr>
      <w:tr>
        <w:trPr>
          <w:trHeight w:val="175"/>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Other comprehensive loss, net of tax</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9"/>
              </w:rPr>
              <w:t>(192)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w:t>
            </w:r>
          </w:p>
        </w:tc>
        <w:tc>
          <w:tcPr>
            <w:tcW w:w="0" w:type="dxa"/>
            <w:vAlign w:val="bottom"/>
          </w:tcPr>
          <w:p>
            <w:pPr>
              <w:spacing w:after="0"/>
              <w:rPr>
                <w:sz w:val="1"/>
                <w:szCs w:val="1"/>
                <w:color w:val="auto"/>
              </w:rPr>
            </w:pPr>
          </w:p>
        </w:tc>
      </w:tr>
      <w:tr>
        <w:trPr>
          <w:trHeight w:val="160"/>
        </w:trPr>
        <w:tc>
          <w:tcPr>
            <w:tcW w:w="2460" w:type="dxa"/>
            <w:vAlign w:val="bottom"/>
            <w:gridSpan w:val="3"/>
          </w:tcPr>
          <w:p>
            <w:pPr>
              <w:ind w:left="20"/>
              <w:spacing w:after="0"/>
              <w:rPr>
                <w:sz w:val="20"/>
                <w:szCs w:val="20"/>
                <w:color w:val="auto"/>
              </w:rPr>
            </w:pPr>
            <w:r>
              <w:rPr>
                <w:rFonts w:ascii="Arial" w:cs="Arial" w:eastAsia="Arial" w:hAnsi="Arial"/>
                <w:sz w:val="12"/>
                <w:szCs w:val="12"/>
                <w:color w:val="auto"/>
              </w:rPr>
              <w:t>Stock repurchase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(103)</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5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(103)</w:t>
            </w:r>
          </w:p>
        </w:tc>
        <w:tc>
          <w:tcPr>
            <w:tcW w:w="0" w:type="dxa"/>
            <w:vAlign w:val="bottom"/>
          </w:tcPr>
          <w:p>
            <w:pPr>
              <w:spacing w:after="0"/>
              <w:rPr>
                <w:sz w:val="1"/>
                <w:szCs w:val="1"/>
                <w:color w:val="auto"/>
              </w:rPr>
            </w:pPr>
          </w:p>
        </w:tc>
      </w:tr>
      <w:tr>
        <w:trPr>
          <w:trHeight w:val="173"/>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2"/>
                <w:szCs w:val="12"/>
                <w:b w:val="1"/>
                <w:bCs w:val="1"/>
                <w:color w:val="auto"/>
              </w:rPr>
              <w:t>Balance, June 30, 2022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226.9</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7,926</w:t>
            </w:r>
          </w:p>
        </w:tc>
        <w:tc>
          <w:tcPr>
            <w:tcW w:w="10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(45.0)</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(1,696)</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4,314</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2"/>
                <w:szCs w:val="12"/>
                <w:color w:val="auto"/>
                <w:w w:val="99"/>
              </w:rPr>
              <w:t>(641)</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9,947</w:t>
            </w: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WESTINGHOUSE AIR BRAKE TECHNOLOGIES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JUNE 30, 2023 (UNAUDITED)</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BUSINESS</w:t>
      </w:r>
    </w:p>
    <w:p>
      <w:pPr>
        <w:spacing w:after="0" w:line="120" w:lineRule="exact"/>
        <w:rPr>
          <w:sz w:val="20"/>
          <w:szCs w:val="20"/>
          <w:color w:val="auto"/>
        </w:rPr>
      </w:pPr>
    </w:p>
    <w:p>
      <w:pPr>
        <w:ind w:firstLine="464"/>
        <w:spacing w:after="0" w:line="275" w:lineRule="auto"/>
        <w:rPr>
          <w:sz w:val="20"/>
          <w:szCs w:val="20"/>
          <w:color w:val="auto"/>
        </w:rPr>
      </w:pPr>
      <w:r>
        <w:rPr>
          <w:rFonts w:ascii="Arial" w:cs="Arial" w:eastAsia="Arial" w:hAnsi="Arial"/>
          <w:sz w:val="16"/>
          <w:szCs w:val="16"/>
          <w:color w:val="auto"/>
        </w:rPr>
        <w:t>Except as the context otherwise requires, all references to “we”, “our”, “us”, the “Company” and “Wabtec” refer to Westinghouse Air Brake Technologies Corporation and its consolidated subsidiaries. References to the “Parent Company” refer to Westinghouse Air Brake Technologies Corporation alone. Wabtec is one of the world’s largest providers of value-added, technology-based locomotives, equipment, systems, and services for the global freight rail and passenger transit industries, as well as the mining, marine and industrial markets. Our highly engineered products, which are intended to enhance safety, improve productivity and reduce maintenance costs for customers, can be found on most locomotives, freight cars, passenger transit cars, and buses around the world. Our core products and services are essential in the safe and efficient operation of freight rail and passenger transit vehicles. Wabtec is a global company with operations in over 50 countries and our products can be found in more than 100 countries throughout the world. In the first six months of 2023, approximately 55% of the Company’s Net sales came from customers outside the United States.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ACCOUNTING POLICIES</w:t>
      </w:r>
    </w:p>
    <w:p>
      <w:pPr>
        <w:spacing w:after="0" w:line="107" w:lineRule="exact"/>
        <w:rPr>
          <w:sz w:val="20"/>
          <w:szCs w:val="20"/>
          <w:color w:val="auto"/>
        </w:rPr>
      </w:pPr>
    </w:p>
    <w:p>
      <w:pPr>
        <w:ind w:right="80" w:firstLine="464"/>
        <w:spacing w:after="0" w:line="242" w:lineRule="auto"/>
        <w:rPr>
          <w:sz w:val="20"/>
          <w:szCs w:val="20"/>
          <w:color w:val="auto"/>
        </w:rPr>
      </w:pPr>
      <w:r>
        <w:rPr>
          <w:rFonts w:ascii="Arial" w:cs="Arial" w:eastAsia="Arial" w:hAnsi="Arial"/>
          <w:sz w:val="17"/>
          <w:szCs w:val="17"/>
          <w:b w:val="1"/>
          <w:bCs w:val="1"/>
          <w:i w:val="1"/>
          <w:iCs w:val="1"/>
          <w:color w:val="auto"/>
        </w:rPr>
        <w:t xml:space="preserve">Basis of Presentation </w:t>
      </w:r>
      <w:r>
        <w:rPr>
          <w:rFonts w:ascii="Arial" w:cs="Arial" w:eastAsia="Arial" w:hAnsi="Arial"/>
          <w:sz w:val="17"/>
          <w:szCs w:val="17"/>
          <w:color w:val="auto"/>
        </w:rPr>
        <w:t>The unaudited condensed consolidated interim financial statements have been prepared in accordance with generally accepted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principles ("GAAP") in the United States of America and the rules and regulations of the Securities and Exchange Commission and include the accounts of Wabtec and its subsidiaries in which Wabtec has a controlling interest. These condensed consolidated interim financial statements do not include all of the information and footnotes required for complete financial statements. In management’s opinion, these financial statements reflect all adjustments of a normal, recurring nature necessary for a fair presentation of the results for the interim periods presented. Certain prior year amounts have been reclassified, where necessary, to conform to the current year presentation.</w:t>
      </w:r>
    </w:p>
    <w:p>
      <w:pPr>
        <w:spacing w:after="0" w:line="81" w:lineRule="exact"/>
        <w:rPr>
          <w:sz w:val="20"/>
          <w:szCs w:val="20"/>
          <w:color w:val="auto"/>
        </w:rPr>
      </w:pPr>
    </w:p>
    <w:p>
      <w:pPr>
        <w:ind w:right="140" w:firstLine="464"/>
        <w:spacing w:after="0" w:line="239" w:lineRule="auto"/>
        <w:rPr>
          <w:sz w:val="20"/>
          <w:szCs w:val="20"/>
          <w:color w:val="auto"/>
        </w:rPr>
      </w:pPr>
      <w:r>
        <w:rPr>
          <w:rFonts w:ascii="Arial" w:cs="Arial" w:eastAsia="Arial" w:hAnsi="Arial"/>
          <w:sz w:val="17"/>
          <w:szCs w:val="17"/>
          <w:color w:val="auto"/>
        </w:rPr>
        <w:t>Results for these interim periods are not necessarily indicative of results to be expected for the full year particularly in light of ongoing volatility in the macroeconomic environment caused by supply chain disruptions, labor availability, broad-based inflation, and the impacts resulting from Russia's invasion of Ukraine. These factors continue to impact our sales channels, supply chain, manufacturing operations, workforce, and other key aspects of our operations. We are unable to reasonably predict the full impact of these factors due to the high degree of uncertainty regarding their duration and severity, their potential impact on global economic activity, and the impact that current and new sanctions may have on our business, global supply chain operations and our customers, suppliers, and end-markets.</w:t>
      </w:r>
    </w:p>
    <w:p>
      <w:pPr>
        <w:spacing w:after="0" w:line="83" w:lineRule="exact"/>
        <w:rPr>
          <w:sz w:val="20"/>
          <w:szCs w:val="20"/>
          <w:color w:val="auto"/>
        </w:rPr>
      </w:pPr>
    </w:p>
    <w:p>
      <w:pPr>
        <w:ind w:right="320" w:firstLine="464"/>
        <w:spacing w:after="0" w:line="246" w:lineRule="auto"/>
        <w:rPr>
          <w:sz w:val="20"/>
          <w:szCs w:val="20"/>
          <w:color w:val="auto"/>
        </w:rPr>
      </w:pPr>
      <w:r>
        <w:rPr>
          <w:rFonts w:ascii="Arial" w:cs="Arial" w:eastAsia="Arial" w:hAnsi="Arial"/>
          <w:sz w:val="17"/>
          <w:szCs w:val="17"/>
          <w:color w:val="auto"/>
        </w:rPr>
        <w:t>As of June 30, 2023, Wabtec had approximately $8 million of cash related to Russian operations which will be utilized to settle remaining obligations in Russia. During the second quarter of 2023, based on changes in facts and circumstances, management determined that assets related to Russian operations, excluding cash, were not expected to be recoverable and, as a result, a charge of approximately $3 million was recorded. Assets related to Ukraine and Belarus operations are not significant.</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operates on a four-four-five week accounting quarter, and the quarters end on or about March 31, June 30, September 30, and December 31.</w:t>
      </w:r>
    </w:p>
    <w:p>
      <w:pPr>
        <w:spacing w:after="0" w:line="137" w:lineRule="exact"/>
        <w:rPr>
          <w:sz w:val="20"/>
          <w:szCs w:val="20"/>
          <w:color w:val="auto"/>
        </w:rPr>
      </w:pPr>
    </w:p>
    <w:p>
      <w:pPr>
        <w:ind w:right="20" w:firstLine="464"/>
        <w:spacing w:after="0" w:line="266" w:lineRule="auto"/>
        <w:rPr>
          <w:sz w:val="20"/>
          <w:szCs w:val="20"/>
          <w:color w:val="auto"/>
        </w:rPr>
      </w:pPr>
      <w:r>
        <w:rPr>
          <w:rFonts w:ascii="Arial" w:cs="Arial" w:eastAsia="Arial" w:hAnsi="Arial"/>
          <w:sz w:val="17"/>
          <w:szCs w:val="17"/>
          <w:color w:val="auto"/>
        </w:rPr>
        <w:t>The notes included herein should be read in conjunction with the audited consolidated financial statements included in Wabtec’s Annual Report on Form 10-K for the year ended December 31, 2022. The December 31, 2022 information has been derived from the Company’s Annual Report on Form 10-K for the year ended December 31, 2022.</w:t>
      </w:r>
    </w:p>
    <w:p>
      <w:pPr>
        <w:spacing w:after="0" w:line="72" w:lineRule="exact"/>
        <w:rPr>
          <w:sz w:val="20"/>
          <w:szCs w:val="20"/>
          <w:color w:val="auto"/>
        </w:rPr>
      </w:pPr>
    </w:p>
    <w:p>
      <w:pPr>
        <w:ind w:right="140" w:firstLine="464"/>
        <w:spacing w:after="0" w:line="262" w:lineRule="auto"/>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The preparation of financial statements in conformity with GAAP in the United States requires the Company to make estimates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assumptions that affect the reported amounts of assets and liabilities at the date of the financial statements and reported amounts of revenues and expenses during the reporting period. Actual amounts could differ from the estimates. On an ongoing basis, management reviews its estimates based on currently available information. Changes in facts and circumstances may result in revised estimates.</w:t>
      </w:r>
    </w:p>
    <w:p>
      <w:pPr>
        <w:spacing w:after="0" w:line="75" w:lineRule="exact"/>
        <w:rPr>
          <w:sz w:val="20"/>
          <w:szCs w:val="20"/>
          <w:color w:val="auto"/>
        </w:rPr>
      </w:pPr>
    </w:p>
    <w:p>
      <w:pPr>
        <w:ind w:right="160" w:firstLine="464"/>
        <w:spacing w:after="0" w:line="266"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A majority of the Company’s revenues are derived from performance obligations that are satisfied at a point in time when control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passes to the customer. The remaining revenues are earned over time. Generally, for performance obligations satisfied at a point in time control passes at the time of shipment in accordance with agreed upon delivery terms.</w:t>
      </w:r>
    </w:p>
    <w:p>
      <w:pPr>
        <w:spacing w:after="0" w:line="72" w:lineRule="exact"/>
        <w:rPr>
          <w:sz w:val="20"/>
          <w:szCs w:val="20"/>
          <w:color w:val="auto"/>
        </w:rPr>
      </w:pPr>
    </w:p>
    <w:p>
      <w:pPr>
        <w:ind w:right="40" w:firstLine="464"/>
        <w:spacing w:after="0" w:line="279" w:lineRule="auto"/>
        <w:rPr>
          <w:sz w:val="20"/>
          <w:szCs w:val="20"/>
          <w:color w:val="auto"/>
        </w:rPr>
      </w:pPr>
      <w:r>
        <w:rPr>
          <w:rFonts w:ascii="Arial" w:cs="Arial" w:eastAsia="Arial" w:hAnsi="Arial"/>
          <w:sz w:val="16"/>
          <w:szCs w:val="16"/>
          <w:color w:val="auto"/>
        </w:rPr>
        <w:t>The Company also has long-term customer agreements involving the design and production of highly engineered products that require revenue to be recognized over time because these products have no alternative use without significant economic loss and the agreements contain an enforceable right to payment including a reasonable profit margin from the customer in the event of contract termination. Additionally, the Company has customer agreements involving the creation or enhancement of an asset that the customer controls which also require revenue to be recognized over time. Generally, the Company uses an input method for determining the amount of revenue, cost and gross margin to recognize over time for these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 w:name="page9"/>
    <w:bookmarkEnd w:id="8"/>
    <w:p>
      <w:pPr>
        <w:ind w:right="60"/>
        <w:spacing w:after="0" w:line="262" w:lineRule="auto"/>
        <w:rPr>
          <w:sz w:val="20"/>
          <w:szCs w:val="20"/>
          <w:color w:val="auto"/>
        </w:rPr>
      </w:pPr>
      <w:r>
        <w:rPr>
          <w:rFonts w:ascii="Arial" w:cs="Arial" w:eastAsia="Arial" w:hAnsi="Arial"/>
          <w:sz w:val="17"/>
          <w:szCs w:val="17"/>
          <w:color w:val="auto"/>
        </w:rPr>
        <w:t>customer agreements. The input methods used for these agreements include costs of material and labor, both of which give an accurate representation of the progress made toward complete satisfaction of a particular performance obligation. The company may also use the output method which recognizes revenue based on direct measurements of the value transferred to the customer. Contract revenues and cost estimates are reviewed and revised periodically throughout the year and adjustments are reflected in the accounting period as such amounts are determined.</w:t>
      </w:r>
    </w:p>
    <w:p>
      <w:pPr>
        <w:spacing w:after="0" w:line="75" w:lineRule="exact"/>
        <w:rPr>
          <w:sz w:val="20"/>
          <w:szCs w:val="20"/>
          <w:color w:val="auto"/>
        </w:rPr>
      </w:pPr>
    </w:p>
    <w:p>
      <w:pPr>
        <w:ind w:right="20" w:firstLine="464"/>
        <w:spacing w:after="0" w:line="257" w:lineRule="auto"/>
        <w:rPr>
          <w:sz w:val="20"/>
          <w:szCs w:val="20"/>
          <w:color w:val="auto"/>
        </w:rPr>
      </w:pPr>
      <w:r>
        <w:rPr>
          <w:rFonts w:ascii="Arial" w:cs="Arial" w:eastAsia="Arial" w:hAnsi="Arial"/>
          <w:sz w:val="17"/>
          <w:szCs w:val="17"/>
          <w:color w:val="auto"/>
        </w:rPr>
        <w:t>Due to the nature of work required to be performed on the Company’s long-term projects, the estimation of total revenue and cost at completion is subject to many variables and requires significant judgment. Contract estimates related to long-term projects are based on various assumptions to project the outcome of future events that could span several years. These assumptions include cost of materials; labor availability and productivity; complexity of the work to be performed; and the performance of suppliers, customers and subcontractors that may be associated with the contract. We have a disciplined process where management reviews the progress of long term-projects periodically throughout the year. As part of this process, management reviews information including key contract matters, progress towards completion, identified risks and opportunities and any other information that could impact the Company’s estimates of revenue and costs. After completing this analysis, any adjustments to net sales, cost of goods sold, and the related impact to operating income are recognized as necessary in the period they become known.</w:t>
      </w:r>
    </w:p>
    <w:p>
      <w:pPr>
        <w:spacing w:after="0" w:line="79" w:lineRule="exact"/>
        <w:rPr>
          <w:sz w:val="20"/>
          <w:szCs w:val="20"/>
          <w:color w:val="auto"/>
        </w:rPr>
      </w:pPr>
    </w:p>
    <w:p>
      <w:pPr>
        <w:ind w:right="20" w:firstLine="464"/>
        <w:spacing w:after="0" w:line="277" w:lineRule="auto"/>
        <w:rPr>
          <w:sz w:val="20"/>
          <w:szCs w:val="20"/>
          <w:color w:val="auto"/>
        </w:rPr>
      </w:pPr>
      <w:r>
        <w:rPr>
          <w:rFonts w:ascii="Arial" w:cs="Arial" w:eastAsia="Arial" w:hAnsi="Arial"/>
          <w:sz w:val="16"/>
          <w:szCs w:val="16"/>
          <w:color w:val="auto"/>
        </w:rPr>
        <w:t>Generally, the Company’s revenue contains a single performance obligation for each distinct good or service; however, a single contract may have multiple performance obligations comprising multiple promises to customers. When there are multiple performance obligations, revenue is allocated based on the relative stand-alone selling price. Pricing is defined in our contracts on a line item basis and includes an estimate of variable consideration when required by the terms of the individual customer contract. Types of variable consideration the Company typically has include volume discounts, prompt payment discounts, price escalation clauses, liquidating damages and performance bonuses. Sales returns and allowances are also estimated and recognized in the same period the related revenue is recognized, based upon the Company’s experience and future expectations.</w:t>
      </w:r>
    </w:p>
    <w:p>
      <w:pPr>
        <w:spacing w:after="0" w:line="67" w:lineRule="exact"/>
        <w:rPr>
          <w:sz w:val="20"/>
          <w:szCs w:val="20"/>
          <w:color w:val="auto"/>
        </w:rPr>
      </w:pPr>
    </w:p>
    <w:p>
      <w:pPr>
        <w:jc w:val="both"/>
        <w:ind w:right="140" w:firstLine="464"/>
        <w:spacing w:after="0" w:line="266" w:lineRule="auto"/>
        <w:rPr>
          <w:sz w:val="20"/>
          <w:szCs w:val="20"/>
          <w:color w:val="auto"/>
        </w:rPr>
      </w:pPr>
      <w:r>
        <w:rPr>
          <w:rFonts w:ascii="Arial" w:cs="Arial" w:eastAsia="Arial" w:hAnsi="Arial"/>
          <w:sz w:val="17"/>
          <w:szCs w:val="17"/>
          <w:color w:val="auto"/>
        </w:rPr>
        <w:t>Remaining performance obligations represent the allocated transaction price of unsatisfied or partially unsatisfied performance obligations. As of June 30, 2023, the Company's remaining performance obligations were approximately $22.3 billion. The Company expects to recognize revenue of approximately 30% of the remaining performance obligations over the next 12 months, with the remainder recognized thereafter.</w:t>
      </w:r>
    </w:p>
    <w:p>
      <w:pPr>
        <w:spacing w:after="0" w:line="72" w:lineRule="exact"/>
        <w:rPr>
          <w:sz w:val="20"/>
          <w:szCs w:val="20"/>
          <w:color w:val="auto"/>
        </w:rPr>
      </w:pPr>
    </w:p>
    <w:p>
      <w:pPr>
        <w:ind w:right="20" w:firstLine="464"/>
        <w:spacing w:after="0" w:line="295" w:lineRule="auto"/>
        <w:rPr>
          <w:sz w:val="20"/>
          <w:szCs w:val="20"/>
          <w:color w:val="auto"/>
        </w:rPr>
      </w:pPr>
      <w:r>
        <w:rPr>
          <w:rFonts w:ascii="Arial" w:cs="Arial" w:eastAsia="Arial" w:hAnsi="Arial"/>
          <w:sz w:val="15"/>
          <w:szCs w:val="15"/>
          <w:b w:val="1"/>
          <w:bCs w:val="1"/>
          <w:i w:val="1"/>
          <w:iCs w:val="1"/>
          <w:color w:val="auto"/>
        </w:rPr>
        <w:t xml:space="preserve">Revolving Receivables Program </w:t>
      </w:r>
      <w:r>
        <w:rPr>
          <w:rFonts w:ascii="Arial" w:cs="Arial" w:eastAsia="Arial" w:hAnsi="Arial"/>
          <w:sz w:val="15"/>
          <w:szCs w:val="15"/>
          <w:color w:val="auto"/>
        </w:rPr>
        <w:t>The Company utilizes a revolving facility to sell up to $350 million of certain receivables of the Company and certain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its subsidiaries (the "Originators"). The Originators contribute receivables to our bankruptcy-remote subsidiary, which sells the receivables to a financial institution on a recurring basis in exchange for cash equal to the gross receivables sold. The bankruptcy remote subsidiary is a separate legal entity with its own creditors, and its assets are not available to pay creditors of the Company or any other affiliates of the Company. As customers pay their balances, we transfer additional receivables into the program, which could result in our gross receivables sold being higher or lower than collections reinvested for any applicable period. The sold receivables are fully guaranteed by our bankruptcy-remote subsidiary, which holds additional receivables that are pledged as collateral under this facility. The Company has agreed to guarantee the performance of the Originators respective obligations under the revolving agreement. Neither the Company (except for the bankruptcy-remote consolidated subsidiary referenced above) nor the Originators guarantees the collectability of the receivables under the revolving agreements.</w:t>
      </w:r>
    </w:p>
    <w:p>
      <w:pPr>
        <w:spacing w:after="0" w:line="57" w:lineRule="exact"/>
        <w:rPr>
          <w:sz w:val="20"/>
          <w:szCs w:val="20"/>
          <w:color w:val="auto"/>
        </w:rPr>
      </w:pPr>
    </w:p>
    <w:p>
      <w:pPr>
        <w:ind w:firstLine="464"/>
        <w:spacing w:after="0" w:line="304" w:lineRule="auto"/>
        <w:rPr>
          <w:sz w:val="20"/>
          <w:szCs w:val="20"/>
          <w:color w:val="auto"/>
        </w:rPr>
      </w:pPr>
      <w:r>
        <w:rPr>
          <w:rFonts w:ascii="Arial" w:cs="Arial" w:eastAsia="Arial" w:hAnsi="Arial"/>
          <w:sz w:val="15"/>
          <w:szCs w:val="15"/>
          <w:color w:val="auto"/>
        </w:rPr>
        <w:t>At June 30, 2023 and December 31, 2022, the bankruptcy-remote subsidiary held receivables of $599 million and $458 million, respectively, which are included in the Company's Condensed Consolidated Balance Sheets. The receivables held by the bankruptcy-remote subsidiary collateralize the outstanding receivables sold, which were $235 million and $80 million at June 30, 2023 and December 31, 2022, respectively. The transfers are recorded at the fair value of the</w:t>
      </w:r>
    </w:p>
    <w:p>
      <w:pPr>
        <w:spacing w:after="0" w:line="2" w:lineRule="exact"/>
        <w:rPr>
          <w:sz w:val="20"/>
          <w:szCs w:val="20"/>
          <w:color w:val="auto"/>
        </w:rPr>
      </w:pPr>
    </w:p>
    <w:p>
      <w:pPr>
        <w:ind w:right="300"/>
        <w:spacing w:after="0" w:line="266" w:lineRule="auto"/>
        <w:rPr>
          <w:sz w:val="20"/>
          <w:szCs w:val="20"/>
          <w:color w:val="auto"/>
        </w:rPr>
      </w:pPr>
      <w:r>
        <w:rPr>
          <w:rFonts w:ascii="Arial" w:cs="Arial" w:eastAsia="Arial" w:hAnsi="Arial"/>
          <w:sz w:val="17"/>
          <w:szCs w:val="17"/>
          <w:color w:val="auto"/>
        </w:rPr>
        <w:t>proceeds received and obligations assumed less derecognized receivables. No obligation was recorded at June 30, 2023 or December 31, 2022 as the estimated expected credit losses on receivables sold is insignificant. Our maximum exposure to losses related to these receivables transferred is limited to the amount outstanding.</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a summary of receivables sold: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right"/>
              <w:ind w:right="161"/>
              <w:spacing w:after="0"/>
              <w:rPr>
                <w:sz w:val="20"/>
                <w:szCs w:val="20"/>
                <w:color w:val="auto"/>
              </w:rPr>
            </w:pPr>
            <w:r>
              <w:rPr>
                <w:rFonts w:ascii="Arial" w:cs="Arial" w:eastAsia="Arial" w:hAnsi="Arial"/>
                <w:sz w:val="14"/>
                <w:szCs w:val="14"/>
                <w:b w:val="1"/>
                <w:bCs w:val="1"/>
                <w:color w:val="auto"/>
                <w:w w:val="92"/>
              </w:rPr>
              <w:t>Six Months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81"/>
              <w:spacing w:after="0"/>
              <w:rPr>
                <w:sz w:val="20"/>
                <w:szCs w:val="20"/>
                <w:color w:val="auto"/>
              </w:rPr>
            </w:pPr>
            <w:r>
              <w:rPr>
                <w:rFonts w:ascii="Arial" w:cs="Arial" w:eastAsia="Arial" w:hAnsi="Arial"/>
                <w:sz w:val="14"/>
                <w:szCs w:val="14"/>
                <w:b w:val="1"/>
                <w:bCs w:val="1"/>
                <w:color w:val="auto"/>
                <w:w w:val="88"/>
              </w:rPr>
              <w:t>Six Months Ended</w:t>
            </w:r>
          </w:p>
        </w:tc>
      </w:tr>
      <w:tr>
        <w:trPr>
          <w:trHeight w:val="151"/>
        </w:trPr>
        <w:tc>
          <w:tcPr>
            <w:tcW w:w="8080" w:type="dxa"/>
            <w:vAlign w:val="bottom"/>
            <w:gridSpan w:val="3"/>
          </w:tcPr>
          <w:p>
            <w:pPr>
              <w:ind w:left="20"/>
              <w:spacing w:after="0" w:line="151" w:lineRule="exact"/>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3"/>
                <w:szCs w:val="13"/>
                <w:color w:val="auto"/>
              </w:rPr>
            </w:pPr>
          </w:p>
        </w:tc>
        <w:tc>
          <w:tcPr>
            <w:tcW w:w="1380" w:type="dxa"/>
            <w:vAlign w:val="bottom"/>
          </w:tcPr>
          <w:p>
            <w:pPr>
              <w:jc w:val="right"/>
              <w:ind w:right="301"/>
              <w:spacing w:after="0" w:line="151" w:lineRule="exact"/>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center"/>
              <w:ind w:right="81"/>
              <w:spacing w:after="0" w:line="151" w:lineRule="exact"/>
              <w:rPr>
                <w:sz w:val="20"/>
                <w:szCs w:val="20"/>
                <w:color w:val="auto"/>
              </w:rPr>
            </w:pPr>
            <w:r>
              <w:rPr>
                <w:rFonts w:ascii="Arial" w:cs="Arial" w:eastAsia="Arial" w:hAnsi="Arial"/>
                <w:sz w:val="14"/>
                <w:szCs w:val="14"/>
                <w:b w:val="1"/>
                <w:bCs w:val="1"/>
                <w:color w:val="auto"/>
                <w:w w:val="87"/>
              </w:rPr>
              <w:t>June 30, 2022</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2"/>
        </w:trPr>
        <w:tc>
          <w:tcPr>
            <w:tcW w:w="80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Gross receivables sold/cash proceeds received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1,216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center"/>
              <w:ind w:left="901"/>
              <w:spacing w:after="0"/>
              <w:rPr>
                <w:sz w:val="20"/>
                <w:szCs w:val="20"/>
                <w:color w:val="auto"/>
              </w:rPr>
            </w:pPr>
            <w:r>
              <w:rPr>
                <w:rFonts w:ascii="Arial" w:cs="Arial" w:eastAsia="Arial" w:hAnsi="Arial"/>
                <w:sz w:val="17"/>
                <w:szCs w:val="17"/>
                <w:color w:val="auto"/>
                <w:w w:val="91"/>
              </w:rPr>
              <w:t>864</w:t>
            </w:r>
          </w:p>
        </w:tc>
      </w:tr>
      <w:tr>
        <w:trPr>
          <w:trHeight w:val="218"/>
        </w:trPr>
        <w:tc>
          <w:tcPr>
            <w:tcW w:w="8080" w:type="dxa"/>
            <w:vAlign w:val="bottom"/>
            <w:gridSpan w:val="3"/>
          </w:tcPr>
          <w:p>
            <w:pPr>
              <w:ind w:left="20"/>
              <w:spacing w:after="0"/>
              <w:rPr>
                <w:sz w:val="20"/>
                <w:szCs w:val="20"/>
                <w:color w:val="auto"/>
              </w:rPr>
            </w:pPr>
            <w:r>
              <w:rPr>
                <w:rFonts w:ascii="Arial" w:cs="Arial" w:eastAsia="Arial" w:hAnsi="Arial"/>
                <w:sz w:val="17"/>
                <w:szCs w:val="17"/>
                <w:color w:val="auto"/>
              </w:rPr>
              <w:t>Collections reinvested under revolving receivables agreement</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left="861"/>
              <w:spacing w:after="0"/>
              <w:rPr>
                <w:sz w:val="20"/>
                <w:szCs w:val="20"/>
                <w:color w:val="auto"/>
              </w:rPr>
            </w:pPr>
            <w:r>
              <w:rPr>
                <w:rFonts w:ascii="Arial" w:cs="Arial" w:eastAsia="Arial" w:hAnsi="Arial"/>
                <w:sz w:val="17"/>
                <w:szCs w:val="17"/>
                <w:color w:val="auto"/>
                <w:w w:val="95"/>
              </w:rPr>
              <w:t>(684)</w:t>
            </w:r>
          </w:p>
        </w:tc>
      </w:tr>
      <w:tr>
        <w:trPr>
          <w:trHeight w:val="233"/>
        </w:trPr>
        <w:tc>
          <w:tcPr>
            <w:tcW w:w="80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cash proceeds received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155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center"/>
              <w:ind w:left="901"/>
              <w:spacing w:after="0"/>
              <w:rPr>
                <w:sz w:val="20"/>
                <w:szCs w:val="20"/>
                <w:color w:val="auto"/>
              </w:rPr>
            </w:pPr>
            <w:r>
              <w:rPr>
                <w:rFonts w:ascii="Arial" w:cs="Arial" w:eastAsia="Arial" w:hAnsi="Arial"/>
                <w:sz w:val="17"/>
                <w:szCs w:val="17"/>
                <w:color w:val="auto"/>
                <w:w w:val="91"/>
              </w:rPr>
              <w:t>180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7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80" w:firstLine="464"/>
        <w:spacing w:after="0" w:line="279" w:lineRule="auto"/>
        <w:rPr>
          <w:sz w:val="20"/>
          <w:szCs w:val="20"/>
          <w:color w:val="auto"/>
        </w:rPr>
      </w:pPr>
      <w:r>
        <w:rPr>
          <w:rFonts w:ascii="Arial" w:cs="Arial" w:eastAsia="Arial" w:hAnsi="Arial"/>
          <w:sz w:val="17"/>
          <w:szCs w:val="17"/>
          <w:b w:val="1"/>
          <w:bCs w:val="1"/>
          <w:i w:val="1"/>
          <w:iCs w:val="1"/>
          <w:color w:val="auto"/>
        </w:rPr>
        <w:t xml:space="preserve">Restricted Cash </w:t>
      </w:r>
      <w:r>
        <w:rPr>
          <w:rFonts w:ascii="Arial" w:cs="Arial" w:eastAsia="Arial" w:hAnsi="Arial"/>
          <w:sz w:val="17"/>
          <w:szCs w:val="17"/>
          <w:color w:val="auto"/>
        </w:rPr>
        <w:t>At June 30, 2023 and December 31, 2022, the Company classified cash of $7 million as restricted for cash held in escrow related to a 2022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acquisition.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9" w:name="page10"/>
    <w:bookmarkEnd w:id="9"/>
    <w:p>
      <w:pPr>
        <w:ind w:right="240" w:firstLine="464"/>
        <w:spacing w:after="0" w:line="262" w:lineRule="auto"/>
        <w:rPr>
          <w:sz w:val="20"/>
          <w:szCs w:val="20"/>
          <w:color w:val="auto"/>
        </w:rPr>
      </w:pPr>
      <w:r>
        <w:rPr>
          <w:rFonts w:ascii="Arial" w:cs="Arial" w:eastAsia="Arial" w:hAnsi="Arial"/>
          <w:sz w:val="17"/>
          <w:szCs w:val="17"/>
          <w:b w:val="1"/>
          <w:bCs w:val="1"/>
          <w:i w:val="1"/>
          <w:iCs w:val="1"/>
          <w:color w:val="auto"/>
        </w:rPr>
        <w:t xml:space="preserve">Depreciation Expense </w:t>
      </w:r>
      <w:r>
        <w:rPr>
          <w:rFonts w:ascii="Arial" w:cs="Arial" w:eastAsia="Arial" w:hAnsi="Arial"/>
          <w:sz w:val="17"/>
          <w:szCs w:val="17"/>
          <w:color w:val="auto"/>
        </w:rPr>
        <w:t>Depreciation of property, plant and equipment related to the manufacturing of products or services provided is included in Cost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goods or Cost of services. Depreciation of other property, plant and equipment that is not attributable to the manufacturing of products or services provided is included in Selling, general and administrative expenses or Engineering expenses to the extent the property, plant, and equipment is used for research and development purposes.</w:t>
      </w:r>
    </w:p>
    <w:p>
      <w:pPr>
        <w:spacing w:after="0" w:line="75" w:lineRule="exact"/>
        <w:rPr>
          <w:sz w:val="20"/>
          <w:szCs w:val="20"/>
          <w:color w:val="auto"/>
        </w:rPr>
      </w:pPr>
    </w:p>
    <w:p>
      <w:pPr>
        <w:ind w:right="140" w:firstLine="464"/>
        <w:spacing w:after="0" w:line="277" w:lineRule="auto"/>
        <w:rPr>
          <w:sz w:val="20"/>
          <w:szCs w:val="20"/>
          <w:color w:val="auto"/>
        </w:rPr>
      </w:pPr>
      <w:r>
        <w:rPr>
          <w:rFonts w:ascii="Arial" w:cs="Arial" w:eastAsia="Arial" w:hAnsi="Arial"/>
          <w:sz w:val="16"/>
          <w:szCs w:val="16"/>
          <w:b w:val="1"/>
          <w:bCs w:val="1"/>
          <w:i w:val="1"/>
          <w:iCs w:val="1"/>
          <w:color w:val="auto"/>
        </w:rPr>
        <w:t xml:space="preserve">Goodwill and Intangible Assets </w:t>
      </w:r>
      <w:r>
        <w:rPr>
          <w:rFonts w:ascii="Arial" w:cs="Arial" w:eastAsia="Arial" w:hAnsi="Arial"/>
          <w:sz w:val="16"/>
          <w:szCs w:val="16"/>
          <w:color w:val="auto"/>
        </w:rPr>
        <w:t>Goodwill and other intangible assets with indefinite lives are not amortized. Other intangibles (with definite lives)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amortized on a straight-line basis over their estimated economic lives. Amortizable intangible assets are reviewed for impairment when indicators of impairment are present. The Company tests goodwill and indefinite-lived intangible assets for impairment at the reporting unit level and at least annually. The Company performs its annual impairment test during the fourth quarter after the annual forecasting process is completed, and also tests for impairment whenever events or changes in circumstances indicate that the carrying value may not be recoverable. Periodically, management of the Company assesses whether or not an indicator of impairment is present that would necessitate an impairment analysis to be performed.</w:t>
      </w:r>
    </w:p>
    <w:p>
      <w:pPr>
        <w:spacing w:after="0" w:line="67" w:lineRule="exact"/>
        <w:rPr>
          <w:sz w:val="20"/>
          <w:szCs w:val="20"/>
          <w:color w:val="auto"/>
        </w:rPr>
      </w:pPr>
    </w:p>
    <w:p>
      <w:pPr>
        <w:ind w:right="40" w:firstLine="464"/>
        <w:spacing w:after="0" w:line="276" w:lineRule="auto"/>
        <w:rPr>
          <w:sz w:val="20"/>
          <w:szCs w:val="20"/>
          <w:color w:val="auto"/>
        </w:rPr>
      </w:pPr>
      <w:r>
        <w:rPr>
          <w:rFonts w:ascii="Arial" w:cs="Arial" w:eastAsia="Arial" w:hAnsi="Arial"/>
          <w:sz w:val="16"/>
          <w:szCs w:val="16"/>
          <w:b w:val="1"/>
          <w:bCs w:val="1"/>
          <w:i w:val="1"/>
          <w:iCs w:val="1"/>
          <w:color w:val="auto"/>
        </w:rPr>
        <w:t xml:space="preserve">Accounting Standards Recently Adopted </w:t>
      </w:r>
      <w:r>
        <w:rPr>
          <w:rFonts w:ascii="Arial" w:cs="Arial" w:eastAsia="Arial" w:hAnsi="Arial"/>
          <w:sz w:val="16"/>
          <w:szCs w:val="16"/>
          <w:color w:val="auto"/>
        </w:rPr>
        <w:t>In September 2022, the Financial Accounting Standards Board ("FASB") issued Accounting Standards Update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("ASU") 2022-04, </w:t>
      </w:r>
      <w:r>
        <w:rPr>
          <w:rFonts w:ascii="Arial" w:cs="Arial" w:eastAsia="Arial" w:hAnsi="Arial"/>
          <w:sz w:val="16"/>
          <w:szCs w:val="16"/>
          <w:i w:val="1"/>
          <w:iCs w:val="1"/>
          <w:color w:val="auto"/>
        </w:rPr>
        <w:t>Liabilities - Supplier Finance Programs (Subtopic 405-50): Disclosure of Supplier Finance Obligations.</w:t>
      </w:r>
      <w:r>
        <w:rPr>
          <w:rFonts w:ascii="Arial" w:cs="Arial" w:eastAsia="Arial" w:hAnsi="Arial"/>
          <w:sz w:val="16"/>
          <w:szCs w:val="16"/>
          <w:color w:val="auto"/>
        </w:rPr>
        <w:t xml:space="preserve"> The amendments in this update outline specific quantitative and qualitative disclosure requirements for entities that use supplier finance programs in connection with the purchase of goods or services. The amendments in this update do not affect the recognition, measurement, or financial statement presentation of obligations covered by supplier finance programs. The amendments in this update were effective for Wabtec's reporting periods beginning January 1, 2023, except for the amendments on roll forward information which will be effective for reporting periods beginning January 1, 2024. The amendments will require increased interim and annual disclosures be provided on current and comparable reporting periods presented in annual and interim company filings.</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Supply Chain Financing Program</w:t>
      </w:r>
    </w:p>
    <w:p>
      <w:pPr>
        <w:spacing w:after="0" w:line="114" w:lineRule="exact"/>
        <w:rPr>
          <w:sz w:val="20"/>
          <w:szCs w:val="20"/>
          <w:color w:val="auto"/>
        </w:rPr>
      </w:pPr>
    </w:p>
    <w:p>
      <w:pPr>
        <w:ind w:right="20" w:firstLine="464"/>
        <w:spacing w:after="0" w:line="275" w:lineRule="auto"/>
        <w:rPr>
          <w:sz w:val="20"/>
          <w:szCs w:val="20"/>
          <w:color w:val="auto"/>
        </w:rPr>
      </w:pPr>
      <w:r>
        <w:rPr>
          <w:rFonts w:ascii="Arial" w:cs="Arial" w:eastAsia="Arial" w:hAnsi="Arial"/>
          <w:sz w:val="16"/>
          <w:szCs w:val="16"/>
          <w:color w:val="auto"/>
        </w:rPr>
        <w:t>The Company has entered into supply chain financing arrangements with third-party financial institutions to provide our vendors with enhanced payment options while providing the Company with added working capital flexibility. The Company does not provide any guarantees under these arrangements, does not have an economic interest in our supplier's voluntary participation, does not receive an economic benefit from the financial institutions, and no assets are pledged under the arrangements. The arrangements do not change the payable terms negotiated by the Company and our vendors, which range between net 45 and net 180 days, and does not result in a change in the classification of amounts due as Accounts payable in the Condensed Consolidated Balance Sheets. Suppliers utilized the program to accelerate receipt of payment from these financial institutions for $341 million and $296 million of the Company's outstanding Accounts payable as of June 30, 2023 and December 31, 2022, respectively. The supplier invoices included under the program require payment in full to the financial institutions consistent with the Company’s normal terms and conditions as agreed upon with the vendor.</w:t>
      </w:r>
    </w:p>
    <w:p>
      <w:pPr>
        <w:spacing w:after="0" w:line="67" w:lineRule="exact"/>
        <w:rPr>
          <w:sz w:val="20"/>
          <w:szCs w:val="20"/>
          <w:color w:val="auto"/>
        </w:rPr>
      </w:pPr>
    </w:p>
    <w:p>
      <w:pPr>
        <w:ind w:right="40" w:firstLine="464"/>
        <w:spacing w:after="0" w:line="279" w:lineRule="auto"/>
        <w:rPr>
          <w:sz w:val="20"/>
          <w:szCs w:val="20"/>
          <w:color w:val="auto"/>
        </w:rPr>
      </w:pPr>
      <w:r>
        <w:rPr>
          <w:rFonts w:ascii="Arial" w:cs="Arial" w:eastAsia="Arial" w:hAnsi="Arial"/>
          <w:sz w:val="17"/>
          <w:szCs w:val="17"/>
          <w:b w:val="1"/>
          <w:bCs w:val="1"/>
          <w:i w:val="1"/>
          <w:iCs w:val="1"/>
          <w:color w:val="auto"/>
        </w:rPr>
        <w:t xml:space="preserve">Accumulated Other Comprehensive Loss </w:t>
      </w:r>
      <w:r>
        <w:rPr>
          <w:rFonts w:ascii="Arial" w:cs="Arial" w:eastAsia="Arial" w:hAnsi="Arial"/>
          <w:sz w:val="17"/>
          <w:szCs w:val="17"/>
          <w:color w:val="auto"/>
        </w:rPr>
        <w:t>Comprehensive income (loss) comprises both Net income and Other comprehensive (loss) income resulting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change in equity from transactions and other events and circumstances from non-owner sources.</w:t>
      </w:r>
    </w:p>
    <w:p>
      <w:pPr>
        <w:spacing w:after="0" w:line="61" w:lineRule="exact"/>
        <w:rPr>
          <w:sz w:val="20"/>
          <w:szCs w:val="20"/>
          <w:color w:val="auto"/>
        </w:rPr>
      </w:pPr>
    </w:p>
    <w:p>
      <w:pPr>
        <w:ind w:right="60" w:firstLine="464"/>
        <w:spacing w:after="0" w:line="270" w:lineRule="auto"/>
        <w:rPr>
          <w:sz w:val="20"/>
          <w:szCs w:val="20"/>
          <w:color w:val="auto"/>
        </w:rPr>
      </w:pPr>
      <w:r>
        <w:rPr>
          <w:rFonts w:ascii="Arial" w:cs="Arial" w:eastAsia="Arial" w:hAnsi="Arial"/>
          <w:sz w:val="17"/>
          <w:szCs w:val="17"/>
          <w:color w:val="auto"/>
        </w:rPr>
        <w:t>The changes in Accumulated other comprehensive loss by component, including any tax impacts, for the three months ended June 30, 2023 and 2022 are as follows:</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3"/>
            <w:vMerge w:val="restart"/>
          </w:tcPr>
          <w:p>
            <w:pPr>
              <w:jc w:val="center"/>
              <w:ind w:right="117"/>
              <w:spacing w:after="0"/>
              <w:rPr>
                <w:sz w:val="20"/>
                <w:szCs w:val="20"/>
                <w:color w:val="auto"/>
              </w:rPr>
            </w:pPr>
            <w:r>
              <w:rPr>
                <w:rFonts w:ascii="Arial" w:cs="Arial" w:eastAsia="Arial" w:hAnsi="Arial"/>
                <w:sz w:val="14"/>
                <w:szCs w:val="14"/>
                <w:b w:val="1"/>
                <w:bCs w:val="1"/>
                <w:color w:val="auto"/>
                <w:w w:val="89"/>
              </w:rPr>
              <w:t>Foreign currency</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3"/>
          </w:tcPr>
          <w:p>
            <w:pPr>
              <w:jc w:val="center"/>
              <w:ind w:right="57"/>
              <w:spacing w:after="0" w:line="143" w:lineRule="exact"/>
              <w:rPr>
                <w:sz w:val="20"/>
                <w:szCs w:val="20"/>
                <w:color w:val="auto"/>
              </w:rPr>
            </w:pPr>
            <w:r>
              <w:rPr>
                <w:rFonts w:ascii="Arial" w:cs="Arial" w:eastAsia="Arial" w:hAnsi="Arial"/>
                <w:sz w:val="14"/>
                <w:szCs w:val="14"/>
                <w:b w:val="1"/>
                <w:bCs w:val="1"/>
                <w:color w:val="auto"/>
                <w:w w:val="84"/>
              </w:rPr>
              <w:t>Pension and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 contracts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3"/>
          </w:tcPr>
          <w:p>
            <w:pPr>
              <w:jc w:val="center"/>
              <w:ind w:right="57"/>
              <w:spacing w:after="0" w:line="139" w:lineRule="exact"/>
              <w:rPr>
                <w:sz w:val="20"/>
                <w:szCs w:val="20"/>
                <w:color w:val="auto"/>
              </w:rPr>
            </w:pPr>
            <w:r>
              <w:rPr>
                <w:rFonts w:ascii="Arial" w:cs="Arial" w:eastAsia="Arial" w:hAnsi="Arial"/>
                <w:sz w:val="14"/>
                <w:szCs w:val="14"/>
                <w:b w:val="1"/>
                <w:bCs w:val="1"/>
                <w:color w:val="auto"/>
                <w:w w:val="87"/>
              </w:rPr>
              <w:t>postretirement benefit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97"/>
              <w:spacing w:after="0"/>
              <w:rPr>
                <w:sz w:val="20"/>
                <w:szCs w:val="20"/>
                <w:color w:val="auto"/>
              </w:rPr>
            </w:pPr>
            <w:r>
              <w:rPr>
                <w:rFonts w:ascii="Arial" w:cs="Arial" w:eastAsia="Arial" w:hAnsi="Arial"/>
                <w:sz w:val="14"/>
                <w:szCs w:val="14"/>
                <w:b w:val="1"/>
                <w:bCs w:val="1"/>
                <w:color w:val="auto"/>
                <w:w w:val="89"/>
              </w:rPr>
              <w:t>translation</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left="402"/>
              <w:spacing w:after="0"/>
              <w:rPr>
                <w:sz w:val="20"/>
                <w:szCs w:val="20"/>
                <w:color w:val="auto"/>
              </w:rPr>
            </w:pPr>
            <w:r>
              <w:rPr>
                <w:rFonts w:ascii="Arial" w:cs="Arial" w:eastAsia="Arial" w:hAnsi="Arial"/>
                <w:sz w:val="14"/>
                <w:szCs w:val="14"/>
                <w:b w:val="1"/>
                <w:bCs w:val="1"/>
                <w:color w:val="auto"/>
                <w:w w:val="81"/>
              </w:rPr>
              <w:t>plans</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300" w:type="dxa"/>
            <w:vAlign w:val="bottom"/>
            <w:gridSpan w:val="3"/>
          </w:tcPr>
          <w:p>
            <w:pPr>
              <w:ind w:left="20"/>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2"/>
                <w:szCs w:val="12"/>
                <w:color w:val="auto"/>
              </w:rPr>
            </w:pPr>
          </w:p>
        </w:tc>
        <w:tc>
          <w:tcPr>
            <w:tcW w:w="620" w:type="dxa"/>
            <w:vAlign w:val="bottom"/>
          </w:tcPr>
          <w:p>
            <w:pPr>
              <w:jc w:val="right"/>
              <w:ind w:right="181"/>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2"/>
                <w:szCs w:val="12"/>
                <w:color w:val="auto"/>
              </w:rPr>
            </w:pPr>
          </w:p>
        </w:tc>
        <w:tc>
          <w:tcPr>
            <w:tcW w:w="64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82"/>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2"/>
                <w:szCs w:val="12"/>
                <w:color w:val="auto"/>
              </w:rPr>
            </w:pPr>
          </w:p>
        </w:tc>
        <w:tc>
          <w:tcPr>
            <w:tcW w:w="620" w:type="dxa"/>
            <w:vAlign w:val="bottom"/>
          </w:tcPr>
          <w:p>
            <w:pPr>
              <w:jc w:val="right"/>
              <w:ind w:right="197"/>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ind w:right="179"/>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2"/>
                <w:szCs w:val="12"/>
                <w:color w:val="auto"/>
              </w:rPr>
            </w:pPr>
          </w:p>
        </w:tc>
        <w:tc>
          <w:tcPr>
            <w:tcW w:w="600" w:type="dxa"/>
            <w:vAlign w:val="bottom"/>
          </w:tcPr>
          <w:p>
            <w:pPr>
              <w:jc w:val="right"/>
              <w:ind w:right="197"/>
              <w:spacing w:after="0" w:line="142" w:lineRule="exact"/>
              <w:rPr>
                <w:sz w:val="20"/>
                <w:szCs w:val="20"/>
                <w:color w:val="auto"/>
              </w:rPr>
            </w:pPr>
            <w:r>
              <w:rPr>
                <w:rFonts w:ascii="Arial" w:cs="Arial" w:eastAsia="Arial" w:hAnsi="Arial"/>
                <w:sz w:val="14"/>
                <w:szCs w:val="14"/>
                <w:b w:val="1"/>
                <w:bCs w:val="1"/>
                <w:color w:val="auto"/>
                <w:w w:val="96"/>
              </w:rPr>
              <w:t>2022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3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Balance at March 31</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ind w:left="240"/>
              <w:spacing w:after="0"/>
              <w:rPr>
                <w:sz w:val="20"/>
                <w:szCs w:val="20"/>
                <w:color w:val="auto"/>
              </w:rPr>
            </w:pPr>
            <w:r>
              <w:rPr>
                <w:rFonts w:ascii="Arial" w:cs="Arial" w:eastAsia="Arial" w:hAnsi="Arial"/>
                <w:sz w:val="17"/>
                <w:szCs w:val="17"/>
                <w:color w:val="auto"/>
                <w:w w:val="95"/>
              </w:rPr>
              <w:t>(383)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6"/>
              </w:rPr>
              <w:t>(2)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(631)</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00" w:type="dxa"/>
            <w:vAlign w:val="bottom"/>
            <w:gridSpan w:val="3"/>
          </w:tcPr>
          <w:p>
            <w:pPr>
              <w:ind w:left="20"/>
              <w:spacing w:after="0"/>
              <w:rPr>
                <w:sz w:val="20"/>
                <w:szCs w:val="20"/>
                <w:color w:val="auto"/>
              </w:rPr>
            </w:pPr>
            <w:r>
              <w:rPr>
                <w:rFonts w:ascii="Arial" w:cs="Arial" w:eastAsia="Arial" w:hAnsi="Arial"/>
                <w:sz w:val="17"/>
                <w:szCs w:val="17"/>
                <w:color w:val="auto"/>
                <w:w w:val="95"/>
              </w:rPr>
              <w:t>Other comprehensive (loss) income before reclassifications</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ind w:left="240"/>
              <w:spacing w:after="0"/>
              <w:rPr>
                <w:sz w:val="20"/>
                <w:szCs w:val="20"/>
                <w:color w:val="auto"/>
              </w:rPr>
            </w:pPr>
            <w:r>
              <w:rPr>
                <w:rFonts w:ascii="Arial" w:cs="Arial" w:eastAsia="Arial" w:hAnsi="Arial"/>
                <w:sz w:val="17"/>
                <w:szCs w:val="17"/>
                <w:color w:val="auto"/>
                <w:w w:val="95"/>
              </w:rPr>
              <w:t>(195)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ind w:left="4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300" w:type="dxa"/>
            <w:vAlign w:val="bottom"/>
            <w:gridSpan w:val="3"/>
            <w:shd w:val="clear" w:color="auto" w:fill="CCEEFF"/>
          </w:tcPr>
          <w:p>
            <w:pPr>
              <w:ind w:left="20"/>
              <w:spacing w:after="0" w:line="182" w:lineRule="exact"/>
              <w:rPr>
                <w:sz w:val="20"/>
                <w:szCs w:val="20"/>
                <w:color w:val="auto"/>
              </w:rPr>
            </w:pPr>
            <w:r>
              <w:rPr>
                <w:rFonts w:ascii="Arial" w:cs="Arial" w:eastAsia="Arial" w:hAnsi="Arial"/>
                <w:sz w:val="17"/>
                <w:szCs w:val="17"/>
                <w:color w:val="auto"/>
              </w:rPr>
              <w:t>Amounts reclassified from Accumulated other</w:t>
            </w:r>
          </w:p>
        </w:tc>
        <w:tc>
          <w:tcPr>
            <w:tcW w:w="18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3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comprehensive loss</w:t>
            </w: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30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Other comprehensive (loss) income, net</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w w:val="95"/>
              </w:rPr>
              <w:t>(195)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3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Balance at June 30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ind w:left="240"/>
              <w:spacing w:after="0"/>
              <w:rPr>
                <w:sz w:val="20"/>
                <w:szCs w:val="20"/>
                <w:color w:val="auto"/>
              </w:rPr>
            </w:pPr>
            <w:r>
              <w:rPr>
                <w:rFonts w:ascii="Arial" w:cs="Arial" w:eastAsia="Arial" w:hAnsi="Arial"/>
                <w:sz w:val="17"/>
                <w:szCs w:val="17"/>
                <w:color w:val="auto"/>
                <w:w w:val="95"/>
              </w:rPr>
              <w:t>(578)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6"/>
              </w:rPr>
              <w:t>(2)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(624)</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4"/>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6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10" w:name="page11"/>
    <w:bookmarkEnd w:id="10"/>
    <w:p>
      <w:pPr>
        <w:spacing w:after="0" w:line="235" w:lineRule="exact"/>
        <w:rPr>
          <w:sz w:val="20"/>
          <w:szCs w:val="20"/>
          <w:color w:val="auto"/>
        </w:rPr>
      </w:pPr>
    </w:p>
    <w:p>
      <w:pPr>
        <w:ind w:right="220" w:firstLine="464"/>
        <w:spacing w:after="0" w:line="279" w:lineRule="auto"/>
        <w:rPr>
          <w:sz w:val="20"/>
          <w:szCs w:val="20"/>
          <w:color w:val="auto"/>
        </w:rPr>
      </w:pPr>
      <w:r>
        <w:rPr>
          <w:rFonts w:ascii="Arial" w:cs="Arial" w:eastAsia="Arial" w:hAnsi="Arial"/>
          <w:sz w:val="17"/>
          <w:szCs w:val="17"/>
          <w:color w:val="auto"/>
        </w:rPr>
        <w:t>The changes in Accumulated other comprehensive loss by component, including any tax impacts, for the six months ended June 30, 2023 and 2022 are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3"/>
            <w:vMerge w:val="restart"/>
          </w:tcPr>
          <w:p>
            <w:pPr>
              <w:jc w:val="right"/>
              <w:ind w:right="197"/>
              <w:spacing w:after="0"/>
              <w:rPr>
                <w:sz w:val="20"/>
                <w:szCs w:val="20"/>
                <w:color w:val="auto"/>
              </w:rPr>
            </w:pPr>
            <w:r>
              <w:rPr>
                <w:rFonts w:ascii="Arial" w:cs="Arial" w:eastAsia="Arial" w:hAnsi="Arial"/>
                <w:sz w:val="14"/>
                <w:szCs w:val="14"/>
                <w:b w:val="1"/>
                <w:bCs w:val="1"/>
                <w:color w:val="auto"/>
                <w:w w:val="96"/>
              </w:rPr>
              <w:t>Foreign currency</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tcPr>
          <w:p>
            <w:pPr>
              <w:jc w:val="center"/>
              <w:ind w:right="117"/>
              <w:spacing w:after="0"/>
              <w:rPr>
                <w:sz w:val="20"/>
                <w:szCs w:val="20"/>
                <w:color w:val="auto"/>
              </w:rPr>
            </w:pPr>
            <w:r>
              <w:rPr>
                <w:rFonts w:ascii="Arial" w:cs="Arial" w:eastAsia="Arial" w:hAnsi="Arial"/>
                <w:sz w:val="14"/>
                <w:szCs w:val="14"/>
                <w:b w:val="1"/>
                <w:bCs w:val="1"/>
                <w:color w:val="auto"/>
                <w:w w:val="86"/>
              </w:rPr>
              <w:t>Pension and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vMerge w:val="restart"/>
          </w:tcPr>
          <w:p>
            <w:pPr>
              <w:jc w:val="right"/>
              <w:ind w:right="77"/>
              <w:spacing w:after="0"/>
              <w:rPr>
                <w:sz w:val="20"/>
                <w:szCs w:val="20"/>
                <w:color w:val="auto"/>
              </w:rPr>
            </w:pPr>
            <w:r>
              <w:rPr>
                <w:rFonts w:ascii="Arial" w:cs="Arial" w:eastAsia="Arial" w:hAnsi="Arial"/>
                <w:sz w:val="14"/>
                <w:szCs w:val="14"/>
                <w:b w:val="1"/>
                <w:bCs w:val="1"/>
                <w:color w:val="auto"/>
                <w:w w:val="88"/>
              </w:rPr>
              <w:t>Derivative contracts</w:t>
            </w:r>
          </w:p>
        </w:tc>
        <w:tc>
          <w:tcPr>
            <w:tcW w:w="100" w:type="dxa"/>
            <w:vAlign w:val="bottom"/>
          </w:tcPr>
          <w:p>
            <w:pPr>
              <w:spacing w:after="0"/>
              <w:rPr>
                <w:sz w:val="12"/>
                <w:szCs w:val="12"/>
                <w:color w:val="auto"/>
              </w:rPr>
            </w:pPr>
          </w:p>
        </w:tc>
        <w:tc>
          <w:tcPr>
            <w:tcW w:w="1500" w:type="dxa"/>
            <w:vAlign w:val="bottom"/>
            <w:gridSpan w:val="4"/>
          </w:tcPr>
          <w:p>
            <w:pPr>
              <w:jc w:val="center"/>
              <w:spacing w:after="0" w:line="139" w:lineRule="exact"/>
              <w:rPr>
                <w:sz w:val="20"/>
                <w:szCs w:val="20"/>
                <w:color w:val="auto"/>
              </w:rPr>
            </w:pPr>
            <w:r>
              <w:rPr>
                <w:rFonts w:ascii="Arial" w:cs="Arial" w:eastAsia="Arial" w:hAnsi="Arial"/>
                <w:sz w:val="14"/>
                <w:szCs w:val="14"/>
                <w:b w:val="1"/>
                <w:bCs w:val="1"/>
                <w:color w:val="auto"/>
                <w:w w:val="87"/>
              </w:rPr>
              <w:t>postretirement benefit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77"/>
              <w:spacing w:after="0"/>
              <w:rPr>
                <w:sz w:val="20"/>
                <w:szCs w:val="20"/>
                <w:color w:val="auto"/>
              </w:rPr>
            </w:pPr>
            <w:r>
              <w:rPr>
                <w:rFonts w:ascii="Arial" w:cs="Arial" w:eastAsia="Arial" w:hAnsi="Arial"/>
                <w:sz w:val="14"/>
                <w:szCs w:val="14"/>
                <w:b w:val="1"/>
                <w:bCs w:val="1"/>
                <w:color w:val="auto"/>
              </w:rPr>
              <w:t>translation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center"/>
              <w:ind w:left="301"/>
              <w:spacing w:after="0"/>
              <w:rPr>
                <w:sz w:val="20"/>
                <w:szCs w:val="20"/>
                <w:color w:val="auto"/>
              </w:rPr>
            </w:pPr>
            <w:r>
              <w:rPr>
                <w:rFonts w:ascii="Arial" w:cs="Arial" w:eastAsia="Arial" w:hAnsi="Arial"/>
                <w:sz w:val="14"/>
                <w:szCs w:val="14"/>
                <w:b w:val="1"/>
                <w:bCs w:val="1"/>
                <w:color w:val="auto"/>
                <w:w w:val="81"/>
              </w:rPr>
              <w:t>plans</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280" w:type="dxa"/>
            <w:vAlign w:val="bottom"/>
            <w:gridSpan w:val="3"/>
          </w:tcPr>
          <w:p>
            <w:pPr>
              <w:ind w:left="20"/>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2"/>
                <w:szCs w:val="12"/>
                <w:color w:val="auto"/>
              </w:rPr>
            </w:pPr>
          </w:p>
        </w:tc>
        <w:tc>
          <w:tcPr>
            <w:tcW w:w="620" w:type="dxa"/>
            <w:vAlign w:val="bottom"/>
          </w:tcPr>
          <w:p>
            <w:pPr>
              <w:jc w:val="right"/>
              <w:ind w:right="181"/>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2"/>
                <w:szCs w:val="12"/>
                <w:color w:val="auto"/>
              </w:rPr>
            </w:pPr>
          </w:p>
        </w:tc>
        <w:tc>
          <w:tcPr>
            <w:tcW w:w="600" w:type="dxa"/>
            <w:vAlign w:val="bottom"/>
          </w:tcPr>
          <w:p>
            <w:pPr>
              <w:jc w:val="right"/>
              <w:ind w:right="157"/>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2"/>
                <w:szCs w:val="12"/>
                <w:color w:val="auto"/>
              </w:rPr>
            </w:pPr>
          </w:p>
        </w:tc>
        <w:tc>
          <w:tcPr>
            <w:tcW w:w="580" w:type="dxa"/>
            <w:vAlign w:val="bottom"/>
          </w:tcPr>
          <w:p>
            <w:pPr>
              <w:jc w:val="right"/>
              <w:ind w:right="157"/>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ind w:right="141"/>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2"/>
                <w:szCs w:val="12"/>
                <w:color w:val="auto"/>
              </w:rPr>
            </w:pPr>
          </w:p>
        </w:tc>
        <w:tc>
          <w:tcPr>
            <w:tcW w:w="560" w:type="dxa"/>
            <w:vAlign w:val="bottom"/>
          </w:tcPr>
          <w:p>
            <w:pPr>
              <w:jc w:val="right"/>
              <w:ind w:right="157"/>
              <w:spacing w:after="0" w:line="142" w:lineRule="exact"/>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2"/>
                <w:szCs w:val="12"/>
                <w:color w:val="auto"/>
              </w:rPr>
            </w:pPr>
          </w:p>
        </w:tc>
        <w:tc>
          <w:tcPr>
            <w:tcW w:w="560" w:type="dxa"/>
            <w:vAlign w:val="bottom"/>
          </w:tcPr>
          <w:p>
            <w:pPr>
              <w:jc w:val="right"/>
              <w:ind w:right="157"/>
              <w:spacing w:after="0" w:line="142" w:lineRule="exact"/>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2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Balance at beginning of year</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80" w:type="dxa"/>
            <w:vAlign w:val="bottom"/>
            <w:gridSpan w:val="2"/>
            <w:shd w:val="clear" w:color="auto" w:fill="CCEEFF"/>
          </w:tcPr>
          <w:p>
            <w:pPr>
              <w:jc w:val="right"/>
              <w:ind w:right="11"/>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(661)</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w:t>
            </w:r>
          </w:p>
        </w:tc>
        <w:tc>
          <w:tcPr>
            <w:tcW w:w="0" w:type="dxa"/>
            <w:vAlign w:val="bottom"/>
          </w:tcPr>
          <w:p>
            <w:pPr>
              <w:spacing w:after="0"/>
              <w:rPr>
                <w:sz w:val="1"/>
                <w:szCs w:val="1"/>
                <w:color w:val="auto"/>
              </w:rPr>
            </w:pPr>
          </w:p>
        </w:tc>
      </w:tr>
      <w:tr>
        <w:trPr>
          <w:trHeight w:val="211"/>
        </w:trPr>
        <w:tc>
          <w:tcPr>
            <w:tcW w:w="4280" w:type="dxa"/>
            <w:vAlign w:val="bottom"/>
            <w:gridSpan w:val="3"/>
          </w:tcPr>
          <w:p>
            <w:pPr>
              <w:ind w:left="20"/>
              <w:spacing w:after="0"/>
              <w:rPr>
                <w:sz w:val="20"/>
                <w:szCs w:val="20"/>
                <w:color w:val="auto"/>
              </w:rPr>
            </w:pPr>
            <w:r>
              <w:rPr>
                <w:rFonts w:ascii="Arial" w:cs="Arial" w:eastAsia="Arial" w:hAnsi="Arial"/>
                <w:sz w:val="17"/>
                <w:szCs w:val="17"/>
                <w:color w:val="auto"/>
                <w:w w:val="95"/>
              </w:rPr>
              <w:t>Other comprehensive income (loss) before reclassifications</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182"/>
        </w:trPr>
        <w:tc>
          <w:tcPr>
            <w:tcW w:w="4280" w:type="dxa"/>
            <w:vAlign w:val="bottom"/>
            <w:gridSpan w:val="3"/>
            <w:shd w:val="clear" w:color="auto" w:fill="CCEEFF"/>
          </w:tcPr>
          <w:p>
            <w:pPr>
              <w:ind w:left="20"/>
              <w:spacing w:after="0" w:line="182" w:lineRule="exact"/>
              <w:rPr>
                <w:sz w:val="20"/>
                <w:szCs w:val="20"/>
                <w:color w:val="auto"/>
              </w:rPr>
            </w:pPr>
            <w:r>
              <w:rPr>
                <w:rFonts w:ascii="Arial" w:cs="Arial" w:eastAsia="Arial" w:hAnsi="Arial"/>
                <w:sz w:val="17"/>
                <w:szCs w:val="17"/>
                <w:color w:val="auto"/>
              </w:rPr>
              <w:t>Amounts reclassified from Accumulated other</w:t>
            </w:r>
          </w:p>
        </w:tc>
        <w:tc>
          <w:tcPr>
            <w:tcW w:w="18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6"/>
        </w:trPr>
        <w:tc>
          <w:tcPr>
            <w:tcW w:w="4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comprehensive loss</w:t>
            </w: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28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Other comprehensive income (loss), net</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w:t>
            </w:r>
          </w:p>
        </w:tc>
        <w:tc>
          <w:tcPr>
            <w:tcW w:w="0" w:type="dxa"/>
            <w:vAlign w:val="bottom"/>
          </w:tcPr>
          <w:p>
            <w:pPr>
              <w:spacing w:after="0"/>
              <w:rPr>
                <w:sz w:val="1"/>
                <w:szCs w:val="1"/>
                <w:color w:val="auto"/>
              </w:rPr>
            </w:pPr>
          </w:p>
        </w:tc>
      </w:tr>
      <w:tr>
        <w:trPr>
          <w:trHeight w:val="233"/>
        </w:trPr>
        <w:tc>
          <w:tcPr>
            <w:tcW w:w="42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Balance at June 30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80" w:type="dxa"/>
            <w:vAlign w:val="bottom"/>
            <w:gridSpan w:val="2"/>
            <w:shd w:val="clear" w:color="auto" w:fill="CCEEFF"/>
          </w:tcPr>
          <w:p>
            <w:pPr>
              <w:jc w:val="right"/>
              <w:ind w:right="11"/>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(624)</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right="340" w:firstLine="464"/>
        <w:spacing w:after="0" w:line="279" w:lineRule="auto"/>
        <w:rPr>
          <w:sz w:val="20"/>
          <w:szCs w:val="20"/>
          <w:color w:val="auto"/>
        </w:rPr>
      </w:pPr>
      <w:r>
        <w:rPr>
          <w:rFonts w:ascii="Arial" w:cs="Arial" w:eastAsia="Arial" w:hAnsi="Arial"/>
          <w:sz w:val="17"/>
          <w:szCs w:val="17"/>
          <w:color w:val="auto"/>
        </w:rPr>
        <w:t>Amounts reclassified from Accumulated other comprehensive loss are recognized in "Other income, net" with the tax impact recognized in "Income tax expense" on the Condensed Consolidated Statements of Income.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ACQUISITIONS</w:t>
      </w:r>
    </w:p>
    <w:p>
      <w:pPr>
        <w:spacing w:after="0" w:line="120" w:lineRule="exact"/>
        <w:rPr>
          <w:sz w:val="20"/>
          <w:szCs w:val="20"/>
          <w:color w:val="auto"/>
        </w:rPr>
      </w:pPr>
    </w:p>
    <w:p>
      <w:pPr>
        <w:ind w:right="660" w:firstLine="464"/>
        <w:spacing w:after="0" w:line="279" w:lineRule="auto"/>
        <w:rPr>
          <w:sz w:val="20"/>
          <w:szCs w:val="20"/>
          <w:color w:val="auto"/>
        </w:rPr>
      </w:pPr>
      <w:r>
        <w:rPr>
          <w:rFonts w:ascii="Arial" w:cs="Arial" w:eastAsia="Arial" w:hAnsi="Arial"/>
          <w:sz w:val="17"/>
          <w:szCs w:val="17"/>
          <w:color w:val="auto"/>
        </w:rPr>
        <w:t>During the second quarter of 2023, the Company acquired L&amp;M Radiator, Inc., a leading manufacturer of heavy-duty equipment radiators and heat exchangers for the mining sector, for a purchase price of approximately $239 million.</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preliminary fair value of the L&amp;M Radiator, Inc. assets acquired and liabilities assumed: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9"/>
        </w:trPr>
        <w:tc>
          <w:tcPr>
            <w:tcW w:w="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9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1"/>
        </w:trPr>
        <w:tc>
          <w:tcPr>
            <w:tcW w:w="20" w:type="dxa"/>
            <w:vAlign w:val="bottom"/>
            <w:shd w:val="clear" w:color="auto" w:fill="CCEEFF"/>
          </w:tcPr>
          <w:p>
            <w:pPr>
              <w:spacing w:after="0"/>
              <w:rPr>
                <w:sz w:val="20"/>
                <w:szCs w:val="20"/>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Assets acquired</w:t>
            </w:r>
          </w:p>
        </w:tc>
        <w:tc>
          <w:tcPr>
            <w:tcW w:w="6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18"/>
        </w:trPr>
        <w:tc>
          <w:tcPr>
            <w:tcW w:w="20" w:type="dxa"/>
            <w:vAlign w:val="bottom"/>
          </w:tcPr>
          <w:p>
            <w:pPr>
              <w:spacing w:after="0"/>
              <w:rPr>
                <w:sz w:val="18"/>
                <w:szCs w:val="18"/>
                <w:color w:val="auto"/>
              </w:rPr>
            </w:pPr>
          </w:p>
        </w:tc>
        <w:tc>
          <w:tcPr>
            <w:tcW w:w="9780" w:type="dxa"/>
            <w:vAlign w:val="bottom"/>
            <w:gridSpan w:val="2"/>
          </w:tcPr>
          <w:p>
            <w:pPr>
              <w:ind w:left="100"/>
              <w:spacing w:after="0"/>
              <w:rPr>
                <w:sz w:val="20"/>
                <w:szCs w:val="20"/>
                <w:color w:val="auto"/>
              </w:rPr>
            </w:pPr>
            <w:r>
              <w:rPr>
                <w:rFonts w:ascii="Arial" w:cs="Arial" w:eastAsia="Arial" w:hAnsi="Arial"/>
                <w:sz w:val="17"/>
                <w:szCs w:val="17"/>
                <w:color w:val="auto"/>
              </w:rPr>
              <w:t>Cash and cash equivalents</w:t>
            </w:r>
          </w:p>
        </w:tc>
        <w:tc>
          <w:tcPr>
            <w:tcW w:w="620" w:type="dxa"/>
            <w:vAlign w:val="bottom"/>
          </w:tcPr>
          <w:p>
            <w:pPr>
              <w:jc w:val="right"/>
              <w:ind w:right="434"/>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20"/>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Accounts receivable</w:t>
            </w: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25"/>
        </w:trPr>
        <w:tc>
          <w:tcPr>
            <w:tcW w:w="20" w:type="dxa"/>
            <w:vAlign w:val="bottom"/>
          </w:tcPr>
          <w:p>
            <w:pPr>
              <w:spacing w:after="0"/>
              <w:rPr>
                <w:sz w:val="19"/>
                <w:szCs w:val="19"/>
                <w:color w:val="auto"/>
              </w:rPr>
            </w:pPr>
          </w:p>
        </w:tc>
        <w:tc>
          <w:tcPr>
            <w:tcW w:w="9780" w:type="dxa"/>
            <w:vAlign w:val="bottom"/>
            <w:gridSpan w:val="2"/>
          </w:tcPr>
          <w:p>
            <w:pPr>
              <w:ind w:left="100"/>
              <w:spacing w:after="0"/>
              <w:rPr>
                <w:sz w:val="20"/>
                <w:szCs w:val="20"/>
                <w:color w:val="auto"/>
              </w:rPr>
            </w:pPr>
            <w:r>
              <w:rPr>
                <w:rFonts w:ascii="Arial" w:cs="Arial" w:eastAsia="Arial" w:hAnsi="Arial"/>
                <w:sz w:val="17"/>
                <w:szCs w:val="17"/>
                <w:color w:val="auto"/>
              </w:rPr>
              <w:t>Inventory</w:t>
            </w:r>
          </w:p>
        </w:tc>
        <w:tc>
          <w:tcPr>
            <w:tcW w:w="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26"/>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Other current assets</w:t>
            </w: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8"/>
        </w:trPr>
        <w:tc>
          <w:tcPr>
            <w:tcW w:w="20" w:type="dxa"/>
            <w:vAlign w:val="bottom"/>
          </w:tcPr>
          <w:p>
            <w:pPr>
              <w:spacing w:after="0"/>
              <w:rPr>
                <w:sz w:val="18"/>
                <w:szCs w:val="18"/>
                <w:color w:val="auto"/>
              </w:rPr>
            </w:pPr>
          </w:p>
        </w:tc>
        <w:tc>
          <w:tcPr>
            <w:tcW w:w="9780" w:type="dxa"/>
            <w:vAlign w:val="bottom"/>
            <w:gridSpan w:val="2"/>
          </w:tcPr>
          <w:p>
            <w:pPr>
              <w:ind w:left="100"/>
              <w:spacing w:after="0"/>
              <w:rPr>
                <w:sz w:val="20"/>
                <w:szCs w:val="20"/>
                <w:color w:val="auto"/>
              </w:rPr>
            </w:pPr>
            <w:r>
              <w:rPr>
                <w:rFonts w:ascii="Arial" w:cs="Arial" w:eastAsia="Arial" w:hAnsi="Arial"/>
                <w:sz w:val="17"/>
                <w:szCs w:val="17"/>
                <w:color w:val="auto"/>
              </w:rPr>
              <w:t>Property, plant and equipment</w:t>
            </w:r>
          </w:p>
        </w:tc>
        <w:tc>
          <w:tcPr>
            <w:tcW w:w="6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33"/>
        </w:trPr>
        <w:tc>
          <w:tcPr>
            <w:tcW w:w="20" w:type="dxa"/>
            <w:vAlign w:val="bottom"/>
            <w:shd w:val="clear" w:color="auto" w:fill="CCEEFF"/>
          </w:tcPr>
          <w:p>
            <w:pPr>
              <w:spacing w:after="0"/>
              <w:rPr>
                <w:sz w:val="20"/>
                <w:szCs w:val="20"/>
                <w:color w:val="auto"/>
              </w:rPr>
            </w:pPr>
          </w:p>
        </w:tc>
        <w:tc>
          <w:tcPr>
            <w:tcW w:w="97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Goodwill</w:t>
            </w:r>
          </w:p>
        </w:tc>
        <w:tc>
          <w:tcPr>
            <w:tcW w:w="6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r>
      <w:tr>
        <w:trPr>
          <w:trHeight w:val="218"/>
        </w:trPr>
        <w:tc>
          <w:tcPr>
            <w:tcW w:w="20" w:type="dxa"/>
            <w:vAlign w:val="bottom"/>
          </w:tcPr>
          <w:p>
            <w:pPr>
              <w:spacing w:after="0"/>
              <w:rPr>
                <w:sz w:val="18"/>
                <w:szCs w:val="18"/>
                <w:color w:val="auto"/>
              </w:rPr>
            </w:pPr>
          </w:p>
        </w:tc>
        <w:tc>
          <w:tcPr>
            <w:tcW w:w="9780" w:type="dxa"/>
            <w:vAlign w:val="bottom"/>
            <w:gridSpan w:val="2"/>
          </w:tcPr>
          <w:p>
            <w:pPr>
              <w:ind w:left="100"/>
              <w:spacing w:after="0"/>
              <w:rPr>
                <w:sz w:val="20"/>
                <w:szCs w:val="20"/>
                <w:color w:val="auto"/>
              </w:rPr>
            </w:pPr>
            <w:r>
              <w:rPr>
                <w:rFonts w:ascii="Arial" w:cs="Arial" w:eastAsia="Arial" w:hAnsi="Arial"/>
                <w:sz w:val="17"/>
                <w:szCs w:val="17"/>
                <w:color w:val="auto"/>
              </w:rPr>
              <w:t>Other intangible assets</w:t>
            </w:r>
          </w:p>
        </w:tc>
        <w:tc>
          <w:tcPr>
            <w:tcW w:w="6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220"/>
        </w:trPr>
        <w:tc>
          <w:tcPr>
            <w:tcW w:w="20" w:type="dxa"/>
            <w:vAlign w:val="bottom"/>
            <w:tcBorders>
              <w:bottom w:val="single" w:sz="8" w:color="CCEEFF"/>
            </w:tcBorders>
            <w:shd w:val="clear" w:color="auto" w:fill="CCEEFF"/>
          </w:tcPr>
          <w:p>
            <w:pPr>
              <w:spacing w:after="0"/>
              <w:rPr>
                <w:sz w:val="19"/>
                <w:szCs w:val="19"/>
                <w:color w:val="auto"/>
              </w:rPr>
            </w:pPr>
          </w:p>
        </w:tc>
        <w:tc>
          <w:tcPr>
            <w:tcW w:w="97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Other noncurrent assets</w:t>
            </w:r>
          </w:p>
        </w:tc>
        <w:tc>
          <w:tcPr>
            <w:tcW w:w="6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8"/>
        </w:trPr>
        <w:tc>
          <w:tcPr>
            <w:tcW w:w="20" w:type="dxa"/>
            <w:vAlign w:val="bottom"/>
          </w:tcPr>
          <w:p>
            <w:pPr>
              <w:spacing w:after="0"/>
              <w:rPr>
                <w:sz w:val="18"/>
                <w:szCs w:val="18"/>
                <w:color w:val="auto"/>
              </w:rPr>
            </w:pPr>
          </w:p>
        </w:tc>
        <w:tc>
          <w:tcPr>
            <w:tcW w:w="9780" w:type="dxa"/>
            <w:vAlign w:val="bottom"/>
            <w:gridSpan w:val="2"/>
          </w:tcPr>
          <w:p>
            <w:pPr>
              <w:ind w:left="200"/>
              <w:spacing w:after="0"/>
              <w:rPr>
                <w:sz w:val="20"/>
                <w:szCs w:val="20"/>
                <w:color w:val="auto"/>
              </w:rPr>
            </w:pPr>
            <w:r>
              <w:rPr>
                <w:rFonts w:ascii="Arial" w:cs="Arial" w:eastAsia="Arial" w:hAnsi="Arial"/>
                <w:sz w:val="17"/>
                <w:szCs w:val="17"/>
                <w:color w:val="auto"/>
              </w:rPr>
              <w:t>Total assets acquired</w:t>
            </w:r>
          </w:p>
        </w:tc>
        <w:tc>
          <w:tcPr>
            <w:tcW w:w="6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285</w:t>
            </w:r>
          </w:p>
        </w:tc>
      </w:tr>
      <w:tr>
        <w:trPr>
          <w:trHeight w:val="226"/>
        </w:trPr>
        <w:tc>
          <w:tcPr>
            <w:tcW w:w="980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assumed</w:t>
            </w: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780" w:type="dxa"/>
            <w:vAlign w:val="bottom"/>
            <w:gridSpan w:val="2"/>
          </w:tcPr>
          <w:p>
            <w:pPr>
              <w:ind w:left="100"/>
              <w:spacing w:after="0"/>
              <w:rPr>
                <w:sz w:val="20"/>
                <w:szCs w:val="20"/>
                <w:color w:val="auto"/>
              </w:rPr>
            </w:pPr>
            <w:r>
              <w:rPr>
                <w:rFonts w:ascii="Arial" w:cs="Arial" w:eastAsia="Arial" w:hAnsi="Arial"/>
                <w:sz w:val="17"/>
                <w:szCs w:val="17"/>
                <w:color w:val="auto"/>
              </w:rPr>
              <w:t>Current liabilities</w:t>
            </w:r>
          </w:p>
        </w:tc>
        <w:tc>
          <w:tcPr>
            <w:tcW w:w="6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33"/>
        </w:trPr>
        <w:tc>
          <w:tcPr>
            <w:tcW w:w="20" w:type="dxa"/>
            <w:vAlign w:val="bottom"/>
            <w:shd w:val="clear" w:color="auto" w:fill="CCEEFF"/>
          </w:tcPr>
          <w:p>
            <w:pPr>
              <w:spacing w:after="0"/>
              <w:rPr>
                <w:sz w:val="20"/>
                <w:szCs w:val="20"/>
                <w:color w:val="auto"/>
              </w:rPr>
            </w:pPr>
          </w:p>
        </w:tc>
        <w:tc>
          <w:tcPr>
            <w:tcW w:w="97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Noncurrent liabilities</w:t>
            </w:r>
          </w:p>
        </w:tc>
        <w:tc>
          <w:tcPr>
            <w:tcW w:w="6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11"/>
        </w:trPr>
        <w:tc>
          <w:tcPr>
            <w:tcW w:w="20" w:type="dxa"/>
            <w:vAlign w:val="bottom"/>
          </w:tcPr>
          <w:p>
            <w:pPr>
              <w:spacing w:after="0"/>
              <w:rPr>
                <w:sz w:val="18"/>
                <w:szCs w:val="18"/>
                <w:color w:val="auto"/>
              </w:rPr>
            </w:pPr>
          </w:p>
        </w:tc>
        <w:tc>
          <w:tcPr>
            <w:tcW w:w="9780" w:type="dxa"/>
            <w:vAlign w:val="bottom"/>
            <w:gridSpan w:val="2"/>
          </w:tcPr>
          <w:p>
            <w:pPr>
              <w:ind w:left="200"/>
              <w:spacing w:after="0"/>
              <w:rPr>
                <w:sz w:val="20"/>
                <w:szCs w:val="20"/>
                <w:color w:val="auto"/>
              </w:rPr>
            </w:pPr>
            <w:r>
              <w:rPr>
                <w:rFonts w:ascii="Arial" w:cs="Arial" w:eastAsia="Arial" w:hAnsi="Arial"/>
                <w:sz w:val="17"/>
                <w:szCs w:val="17"/>
                <w:color w:val="auto"/>
              </w:rPr>
              <w:t>Total liabilities assumed</w:t>
            </w:r>
          </w:p>
        </w:tc>
        <w:tc>
          <w:tcPr>
            <w:tcW w:w="6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97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7"/>
                <w:szCs w:val="17"/>
                <w:color w:val="auto"/>
              </w:rPr>
              <w:t>Net assets acquired</w:t>
            </w:r>
          </w:p>
        </w:tc>
        <w:tc>
          <w:tcPr>
            <w:tcW w:w="620" w:type="dxa"/>
            <w:vAlign w:val="bottom"/>
            <w:tcBorders>
              <w:bottom w:val="single" w:sz="8" w:color="auto"/>
            </w:tcBorders>
            <w:shd w:val="clear" w:color="auto" w:fill="CCEEFF"/>
          </w:tcPr>
          <w:p>
            <w:pPr>
              <w:jc w:val="right"/>
              <w:ind w:right="43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9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right="60" w:firstLine="464"/>
        <w:spacing w:after="0" w:line="279" w:lineRule="auto"/>
        <w:rPr>
          <w:sz w:val="20"/>
          <w:szCs w:val="20"/>
          <w:color w:val="auto"/>
        </w:rPr>
      </w:pPr>
      <w:r>
        <w:rPr>
          <w:rFonts w:ascii="Arial" w:cs="Arial" w:eastAsia="Arial" w:hAnsi="Arial"/>
          <w:sz w:val="16"/>
          <w:szCs w:val="16"/>
          <w:color w:val="auto"/>
        </w:rPr>
        <w:t>The fair values of the assets acquired and liabilities assumed were determined using the income, cost and market approaches. Discounted cash flow models were used to estimate the fair values of acquired intangibles. The fair value measurements were primarily based on significant inputs that are not observable in the market and are considered Level 3 in the fair value hierarchy. Intangible assets acquired include customer relationships and acquired technology that are subject to amortization, and trade names that were assigned an indefinite life and are not subject to amortization. Contingent liabilities assumed as part of the transaction were not material. These estimates are preliminary in nature and subject to adjustments,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ind w:right="140"/>
        <w:spacing w:after="0" w:line="279" w:lineRule="auto"/>
        <w:rPr>
          <w:sz w:val="20"/>
          <w:szCs w:val="20"/>
          <w:color w:val="auto"/>
        </w:rPr>
      </w:pPr>
      <w:r>
        <w:rPr>
          <w:rFonts w:ascii="Arial" w:cs="Arial" w:eastAsia="Arial" w:hAnsi="Arial"/>
          <w:sz w:val="17"/>
          <w:szCs w:val="17"/>
          <w:color w:val="auto"/>
        </w:rPr>
        <w:t>which could be material as the Company has not completed its valuation of acquired assets and liabilities. Any necessary adjustments will be finalized within one year from the date of acquisition.</w:t>
      </w:r>
    </w:p>
    <w:p>
      <w:pPr>
        <w:spacing w:after="0" w:line="61" w:lineRule="exact"/>
        <w:rPr>
          <w:sz w:val="20"/>
          <w:szCs w:val="20"/>
          <w:color w:val="auto"/>
        </w:rPr>
      </w:pPr>
    </w:p>
    <w:p>
      <w:pPr>
        <w:ind w:right="80" w:firstLine="464"/>
        <w:spacing w:after="0" w:line="262" w:lineRule="auto"/>
        <w:rPr>
          <w:sz w:val="20"/>
          <w:szCs w:val="20"/>
          <w:color w:val="auto"/>
        </w:rPr>
      </w:pPr>
      <w:r>
        <w:rPr>
          <w:rFonts w:ascii="Arial" w:cs="Arial" w:eastAsia="Arial" w:hAnsi="Arial"/>
          <w:sz w:val="17"/>
          <w:szCs w:val="17"/>
          <w:color w:val="auto"/>
        </w:rPr>
        <w:t>Goodwill was calculated as the difference between the acquisition date fair value of the consideration transferred and the fair value of the net assets acquired, and represents the assembled workforce and the future economic benefits, including synergies, that are expected to be achieved as a result of the acquisition. The purchased goodwill is not expected to be deductible for tax purposes. The pro forma impact on Wabtec’s sales and results of operations, including the pro forma effect of events that are directly attributable to the acquisition, was not significant.</w:t>
      </w:r>
    </w:p>
    <w:p>
      <w:pPr>
        <w:spacing w:after="0" w:line="75" w:lineRule="exact"/>
        <w:rPr>
          <w:sz w:val="20"/>
          <w:szCs w:val="20"/>
          <w:color w:val="auto"/>
        </w:rPr>
      </w:pPr>
    </w:p>
    <w:p>
      <w:pPr>
        <w:jc w:val="both"/>
        <w:ind w:right="180" w:firstLine="464"/>
        <w:spacing w:after="0" w:line="266" w:lineRule="auto"/>
        <w:rPr>
          <w:sz w:val="20"/>
          <w:szCs w:val="20"/>
          <w:color w:val="auto"/>
        </w:rPr>
      </w:pPr>
      <w:r>
        <w:rPr>
          <w:rFonts w:ascii="Arial" w:cs="Arial" w:eastAsia="Arial" w:hAnsi="Arial"/>
          <w:sz w:val="17"/>
          <w:szCs w:val="17"/>
          <w:color w:val="auto"/>
        </w:rPr>
        <w:t>During the twelve months ended December 31, 2022, the Freight Segment made three strategic acquisitions for a combined purchase price of $89 million. Two of the acquisitions are reported in the Digital Intelligence product line and one is reported in the Services product line. Each of the acquisitions in 2022 are individually and collectively immaterial.</w:t>
      </w: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INVENTORIES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components of inventory, net of reserves, were: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center"/>
              <w:ind w:right="139"/>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ind w:right="139"/>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51"/>
        </w:trPr>
        <w:tc>
          <w:tcPr>
            <w:tcW w:w="6440" w:type="dxa"/>
            <w:vAlign w:val="bottom"/>
            <w:gridSpan w:val="3"/>
          </w:tcPr>
          <w:p>
            <w:pPr>
              <w:ind w:left="20"/>
              <w:spacing w:after="0" w:line="151" w:lineRule="exact"/>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center"/>
              <w:ind w:right="139"/>
              <w:spacing w:after="0" w:line="151" w:lineRule="exact"/>
              <w:rPr>
                <w:sz w:val="20"/>
                <w:szCs w:val="20"/>
                <w:color w:val="auto"/>
              </w:rPr>
            </w:pPr>
            <w:r>
              <w:rPr>
                <w:rFonts w:ascii="Arial" w:cs="Arial" w:eastAsia="Arial" w:hAnsi="Arial"/>
                <w:sz w:val="14"/>
                <w:szCs w:val="14"/>
                <w:b w:val="1"/>
                <w:bCs w:val="1"/>
                <w:color w:val="auto"/>
                <w:w w:val="83"/>
              </w:rPr>
              <w:t>2023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center"/>
              <w:ind w:right="139"/>
              <w:spacing w:after="0" w:line="151" w:lineRule="exact"/>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Raw materials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878</w:t>
            </w:r>
          </w:p>
        </w:tc>
        <w:tc>
          <w:tcPr>
            <w:tcW w:w="0" w:type="dxa"/>
            <w:vAlign w:val="bottom"/>
          </w:tcPr>
          <w:p>
            <w:pPr>
              <w:spacing w:after="0"/>
              <w:rPr>
                <w:sz w:val="1"/>
                <w:szCs w:val="1"/>
                <w:color w:val="auto"/>
              </w:rPr>
            </w:pPr>
          </w:p>
        </w:tc>
      </w:tr>
      <w:tr>
        <w:trPr>
          <w:trHeight w:val="218"/>
        </w:trPr>
        <w:tc>
          <w:tcPr>
            <w:tcW w:w="6440" w:type="dxa"/>
            <w:vAlign w:val="bottom"/>
            <w:gridSpan w:val="3"/>
          </w:tcPr>
          <w:p>
            <w:pPr>
              <w:ind w:left="20"/>
              <w:spacing w:after="0"/>
              <w:rPr>
                <w:sz w:val="20"/>
                <w:szCs w:val="20"/>
                <w:color w:val="auto"/>
              </w:rPr>
            </w:pPr>
            <w:r>
              <w:rPr>
                <w:rFonts w:ascii="Arial" w:cs="Arial" w:eastAsia="Arial" w:hAnsi="Arial"/>
                <w:sz w:val="17"/>
                <w:szCs w:val="17"/>
                <w:color w:val="auto"/>
              </w:rPr>
              <w:t>Work-in-progress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515</w:t>
            </w:r>
          </w:p>
        </w:tc>
        <w:tc>
          <w:tcPr>
            <w:tcW w:w="0" w:type="dxa"/>
            <w:vAlign w:val="bottom"/>
          </w:tcPr>
          <w:p>
            <w:pPr>
              <w:spacing w:after="0"/>
              <w:rPr>
                <w:sz w:val="1"/>
                <w:szCs w:val="1"/>
                <w:color w:val="auto"/>
              </w:rPr>
            </w:pPr>
          </w:p>
        </w:tc>
      </w:tr>
      <w:tr>
        <w:trPr>
          <w:trHeight w:val="219"/>
        </w:trPr>
        <w:tc>
          <w:tcPr>
            <w:tcW w:w="6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Finished goods</w:t>
            </w:r>
          </w:p>
        </w:tc>
        <w:tc>
          <w:tcPr>
            <w:tcW w:w="1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641</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420" w:type="dxa"/>
            <w:vAlign w:val="bottom"/>
            <w:gridSpan w:val="2"/>
          </w:tcPr>
          <w:p>
            <w:pPr>
              <w:ind w:left="460"/>
              <w:spacing w:after="0"/>
              <w:rPr>
                <w:sz w:val="20"/>
                <w:szCs w:val="20"/>
                <w:color w:val="auto"/>
              </w:rPr>
            </w:pPr>
            <w:r>
              <w:rPr>
                <w:rFonts w:ascii="Arial" w:cs="Arial" w:eastAsia="Arial" w:hAnsi="Arial"/>
                <w:sz w:val="17"/>
                <w:szCs w:val="17"/>
                <w:color w:val="auto"/>
              </w:rPr>
              <w:t>Total inventories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2,317</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2,034</w:t>
            </w:r>
          </w:p>
        </w:tc>
        <w:tc>
          <w:tcPr>
            <w:tcW w:w="0" w:type="dxa"/>
            <w:vAlign w:val="bottom"/>
          </w:tcPr>
          <w:p>
            <w:pPr>
              <w:spacing w:after="0"/>
              <w:rPr>
                <w:sz w:val="1"/>
                <w:szCs w:val="1"/>
                <w:color w:val="auto"/>
              </w:rPr>
            </w:pPr>
          </w:p>
        </w:tc>
      </w:tr>
      <w:tr>
        <w:trPr>
          <w:trHeight w:val="20"/>
        </w:trPr>
        <w:tc>
          <w:tcPr>
            <w:tcW w:w="644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5. GOODWILL AND INTANGIBLE ASSETS</w:t>
            </w: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644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6420" w:type="dxa"/>
            <w:vAlign w:val="bottom"/>
            <w:gridSpan w:val="2"/>
          </w:tcPr>
          <w:p>
            <w:pPr>
              <w:ind w:left="440"/>
              <w:spacing w:after="0"/>
              <w:rPr>
                <w:sz w:val="20"/>
                <w:szCs w:val="20"/>
                <w:color w:val="auto"/>
              </w:rPr>
            </w:pPr>
            <w:r>
              <w:rPr>
                <w:rFonts w:ascii="Arial" w:cs="Arial" w:eastAsia="Arial" w:hAnsi="Arial"/>
                <w:sz w:val="17"/>
                <w:szCs w:val="17"/>
                <w:color w:val="auto"/>
              </w:rPr>
              <w:t>The change in the carrying amount of goodwill by segment is as follows:</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64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5"/>
                <w:szCs w:val="15"/>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Freight Segment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119"/>
              <w:spacing w:after="0"/>
              <w:rPr>
                <w:sz w:val="20"/>
                <w:szCs w:val="20"/>
                <w:color w:val="auto"/>
              </w:rPr>
            </w:pPr>
            <w:r>
              <w:rPr>
                <w:rFonts w:ascii="Arial" w:cs="Arial" w:eastAsia="Arial" w:hAnsi="Arial"/>
                <w:sz w:val="14"/>
                <w:szCs w:val="14"/>
                <w:b w:val="1"/>
                <w:bCs w:val="1"/>
                <w:color w:val="auto"/>
                <w:w w:val="87"/>
              </w:rPr>
              <w:t>Transit Segment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119"/>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Balance at December 31, 2022</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7,085</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8,508</w:t>
            </w:r>
          </w:p>
        </w:tc>
        <w:tc>
          <w:tcPr>
            <w:tcW w:w="0" w:type="dxa"/>
            <w:vAlign w:val="bottom"/>
          </w:tcPr>
          <w:p>
            <w:pPr>
              <w:spacing w:after="0"/>
              <w:rPr>
                <w:sz w:val="1"/>
                <w:szCs w:val="1"/>
                <w:color w:val="auto"/>
              </w:rPr>
            </w:pPr>
          </w:p>
        </w:tc>
      </w:tr>
      <w:tr>
        <w:trPr>
          <w:trHeight w:val="225"/>
        </w:trPr>
        <w:tc>
          <w:tcPr>
            <w:tcW w:w="6440" w:type="dxa"/>
            <w:vAlign w:val="bottom"/>
            <w:gridSpan w:val="3"/>
          </w:tcPr>
          <w:p>
            <w:pPr>
              <w:ind w:left="20"/>
              <w:spacing w:after="0"/>
              <w:rPr>
                <w:sz w:val="20"/>
                <w:szCs w:val="20"/>
                <w:color w:val="auto"/>
              </w:rPr>
            </w:pPr>
            <w:r>
              <w:rPr>
                <w:rFonts w:ascii="Arial" w:cs="Arial" w:eastAsia="Arial" w:hAnsi="Arial"/>
                <w:sz w:val="17"/>
                <w:szCs w:val="17"/>
                <w:color w:val="auto"/>
              </w:rPr>
              <w:t>Additions/adjustments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26"/>
        </w:trPr>
        <w:tc>
          <w:tcPr>
            <w:tcW w:w="64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Foreign currency impact</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13"/>
        </w:trPr>
        <w:tc>
          <w:tcPr>
            <w:tcW w:w="6440" w:type="dxa"/>
            <w:vAlign w:val="bottom"/>
            <w:gridSpan w:val="3"/>
          </w:tcPr>
          <w:p>
            <w:pPr>
              <w:ind w:left="20"/>
              <w:spacing w:after="0"/>
              <w:rPr>
                <w:sz w:val="20"/>
                <w:szCs w:val="20"/>
                <w:color w:val="auto"/>
              </w:rPr>
            </w:pPr>
            <w:r>
              <w:rPr>
                <w:rFonts w:ascii="Arial" w:cs="Arial" w:eastAsia="Arial" w:hAnsi="Arial"/>
                <w:sz w:val="17"/>
                <w:szCs w:val="17"/>
                <w:color w:val="auto"/>
              </w:rPr>
              <w:t>Balance at June 30, 2023</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7,209</w:t>
            </w:r>
          </w:p>
        </w:tc>
        <w:tc>
          <w:tcPr>
            <w:tcW w:w="8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1,448</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8,657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right="300" w:firstLine="464"/>
        <w:spacing w:after="0" w:line="266" w:lineRule="auto"/>
        <w:rPr>
          <w:sz w:val="20"/>
          <w:szCs w:val="20"/>
          <w:color w:val="auto"/>
        </w:rPr>
      </w:pPr>
      <w:r>
        <w:rPr>
          <w:rFonts w:ascii="Arial" w:cs="Arial" w:eastAsia="Arial" w:hAnsi="Arial"/>
          <w:sz w:val="17"/>
          <w:szCs w:val="17"/>
          <w:color w:val="auto"/>
        </w:rPr>
        <w:t>As of June 30, 2023 and December 31, 2022, the Company’s trade names had a net carrying amount of $626 million and $602 million, respectively. The Company believes these intangibles have indefinite lives, with the exception of the right to use the GE Transportation trade name, to which the Company has assigned a useful life of 5 years.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Intangible assets of the Company, other than goodwill and trade names, consist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b w:val="1"/>
                <w:bCs w:val="1"/>
                <w:color w:val="auto"/>
                <w:w w:val="96"/>
              </w:rPr>
              <w:t>June 30, 2023</w:t>
            </w: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5"/>
                <w:szCs w:val="15"/>
                <w:b w:val="1"/>
                <w:bCs w:val="1"/>
                <w:color w:val="auto"/>
                <w:w w:val="96"/>
              </w:rPr>
              <w:t>December 31, 2022</w:t>
            </w: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jc w:val="right"/>
              <w:ind w:right="166"/>
              <w:spacing w:after="0" w:line="128" w:lineRule="exact"/>
              <w:rPr>
                <w:sz w:val="20"/>
                <w:szCs w:val="20"/>
                <w:color w:val="auto"/>
              </w:rPr>
            </w:pPr>
            <w:r>
              <w:rPr>
                <w:rFonts w:ascii="Arial" w:cs="Arial" w:eastAsia="Arial" w:hAnsi="Arial"/>
                <w:sz w:val="14"/>
                <w:szCs w:val="14"/>
                <w:b w:val="1"/>
                <w:bCs w:val="1"/>
                <w:color w:val="auto"/>
                <w:w w:val="94"/>
              </w:rPr>
              <w:t>Gross Carrying</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right"/>
              <w:ind w:right="245"/>
              <w:spacing w:after="0" w:line="128"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Net Carrying Amount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jc w:val="right"/>
              <w:ind w:right="166"/>
              <w:spacing w:after="0" w:line="128" w:lineRule="exact"/>
              <w:rPr>
                <w:sz w:val="20"/>
                <w:szCs w:val="20"/>
                <w:color w:val="auto"/>
              </w:rPr>
            </w:pPr>
            <w:r>
              <w:rPr>
                <w:rFonts w:ascii="Arial" w:cs="Arial" w:eastAsia="Arial" w:hAnsi="Arial"/>
                <w:sz w:val="14"/>
                <w:szCs w:val="14"/>
                <w:b w:val="1"/>
                <w:bCs w:val="1"/>
                <w:color w:val="auto"/>
                <w:w w:val="94"/>
              </w:rPr>
              <w:t>Gross Carrying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jc w:val="right"/>
              <w:ind w:right="226"/>
              <w:spacing w:after="0" w:line="128"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Net Carrying Amount</w:t>
            </w:r>
          </w:p>
        </w:tc>
        <w:tc>
          <w:tcPr>
            <w:tcW w:w="0" w:type="dxa"/>
            <w:vAlign w:val="bottom"/>
          </w:tcPr>
          <w:p>
            <w:pPr>
              <w:spacing w:after="0"/>
              <w:rPr>
                <w:sz w:val="1"/>
                <w:szCs w:val="1"/>
                <w:color w:val="auto"/>
              </w:rPr>
            </w:pPr>
          </w:p>
        </w:tc>
      </w:tr>
      <w:tr>
        <w:trPr>
          <w:trHeight w:val="151"/>
        </w:trPr>
        <w:tc>
          <w:tcPr>
            <w:tcW w:w="2500" w:type="dxa"/>
            <w:vAlign w:val="bottom"/>
            <w:gridSpan w:val="3"/>
          </w:tcPr>
          <w:p>
            <w:pPr>
              <w:ind w:left="20"/>
              <w:spacing w:after="0" w:line="151" w:lineRule="exact"/>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3"/>
                <w:szCs w:val="13"/>
                <w:color w:val="auto"/>
              </w:rPr>
            </w:pPr>
          </w:p>
        </w:tc>
        <w:tc>
          <w:tcPr>
            <w:tcW w:w="1220" w:type="dxa"/>
            <w:vAlign w:val="bottom"/>
          </w:tcPr>
          <w:p>
            <w:pPr>
              <w:jc w:val="right"/>
              <w:ind w:right="386"/>
              <w:spacing w:after="0" w:line="151" w:lineRule="exact"/>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right"/>
              <w:ind w:right="245"/>
              <w:spacing w:after="0" w:line="151" w:lineRule="exact"/>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ind w:right="386"/>
              <w:spacing w:after="0" w:line="151" w:lineRule="exact"/>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ind w:right="226"/>
              <w:spacing w:after="0" w:line="151" w:lineRule="exact"/>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5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Backlog</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1,432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(472)</w:t>
            </w:r>
          </w:p>
        </w:tc>
        <w:tc>
          <w:tcPr>
            <w:tcW w:w="600" w:type="dxa"/>
            <w:vAlign w:val="bottom"/>
            <w:gridSpan w:val="2"/>
            <w:shd w:val="clear" w:color="auto" w:fill="CCEEFF"/>
          </w:tcPr>
          <w:p>
            <w:pPr>
              <w:jc w:val="right"/>
              <w:ind w:right="351"/>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960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1,425</w:t>
            </w:r>
          </w:p>
        </w:tc>
        <w:tc>
          <w:tcPr>
            <w:tcW w:w="280" w:type="dxa"/>
            <w:vAlign w:val="bottom"/>
            <w:gridSpan w:val="2"/>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(415)</w:t>
            </w:r>
          </w:p>
        </w:tc>
        <w:tc>
          <w:tcPr>
            <w:tcW w:w="620" w:type="dxa"/>
            <w:vAlign w:val="bottom"/>
            <w:gridSpan w:val="2"/>
            <w:shd w:val="clear" w:color="auto" w:fill="CCEEFF"/>
          </w:tcPr>
          <w:p>
            <w:pPr>
              <w:jc w:val="right"/>
              <w:ind w:right="371"/>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1,010</w:t>
            </w:r>
          </w:p>
        </w:tc>
        <w:tc>
          <w:tcPr>
            <w:tcW w:w="0" w:type="dxa"/>
            <w:vAlign w:val="bottom"/>
          </w:tcPr>
          <w:p>
            <w:pPr>
              <w:spacing w:after="0"/>
              <w:rPr>
                <w:sz w:val="1"/>
                <w:szCs w:val="1"/>
                <w:color w:val="auto"/>
              </w:rPr>
            </w:pPr>
          </w:p>
        </w:tc>
      </w:tr>
      <w:tr>
        <w:trPr>
          <w:trHeight w:val="203"/>
        </w:trPr>
        <w:tc>
          <w:tcPr>
            <w:tcW w:w="2500" w:type="dxa"/>
            <w:vAlign w:val="bottom"/>
            <w:gridSpan w:val="3"/>
          </w:tcPr>
          <w:p>
            <w:pPr>
              <w:ind w:left="20"/>
              <w:spacing w:after="0"/>
              <w:rPr>
                <w:sz w:val="20"/>
                <w:szCs w:val="20"/>
                <w:color w:val="auto"/>
              </w:rPr>
            </w:pPr>
            <w:r>
              <w:rPr>
                <w:rFonts w:ascii="Arial" w:cs="Arial" w:eastAsia="Arial" w:hAnsi="Arial"/>
                <w:sz w:val="15"/>
                <w:szCs w:val="15"/>
                <w:color w:val="auto"/>
              </w:rPr>
              <w:t>Customer relationships</w:t>
            </w:r>
          </w:p>
        </w:tc>
        <w:tc>
          <w:tcPr>
            <w:tcW w:w="160" w:type="dxa"/>
            <w:vAlign w:val="bottom"/>
          </w:tcPr>
          <w:p>
            <w:pPr>
              <w:spacing w:after="0"/>
              <w:rPr>
                <w:sz w:val="17"/>
                <w:szCs w:val="17"/>
                <w:color w:val="auto"/>
              </w:rPr>
            </w:pPr>
          </w:p>
        </w:tc>
        <w:tc>
          <w:tcPr>
            <w:tcW w:w="1220" w:type="dxa"/>
            <w:vAlign w:val="bottom"/>
          </w:tcPr>
          <w:p>
            <w:pPr>
              <w:jc w:val="right"/>
              <w:ind w:right="6"/>
              <w:spacing w:after="0"/>
              <w:rPr>
                <w:sz w:val="20"/>
                <w:szCs w:val="20"/>
                <w:color w:val="auto"/>
              </w:rPr>
            </w:pPr>
            <w:r>
              <w:rPr>
                <w:rFonts w:ascii="Arial" w:cs="Arial" w:eastAsia="Arial" w:hAnsi="Arial"/>
                <w:sz w:val="15"/>
                <w:szCs w:val="15"/>
                <w:color w:val="auto"/>
              </w:rPr>
              <w:t>1,325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(396)</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929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1,274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(362)</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912</w:t>
            </w:r>
          </w:p>
        </w:tc>
        <w:tc>
          <w:tcPr>
            <w:tcW w:w="0" w:type="dxa"/>
            <w:vAlign w:val="bottom"/>
          </w:tcPr>
          <w:p>
            <w:pPr>
              <w:spacing w:after="0"/>
              <w:rPr>
                <w:sz w:val="1"/>
                <w:szCs w:val="1"/>
                <w:color w:val="auto"/>
              </w:rPr>
            </w:pPr>
          </w:p>
        </w:tc>
      </w:tr>
      <w:tr>
        <w:trPr>
          <w:trHeight w:val="209"/>
        </w:trPr>
        <w:tc>
          <w:tcPr>
            <w:tcW w:w="2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Acquired technology</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1,290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(446)</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844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(395)</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878</w:t>
            </w:r>
          </w:p>
        </w:tc>
        <w:tc>
          <w:tcPr>
            <w:tcW w:w="0" w:type="dxa"/>
            <w:vAlign w:val="bottom"/>
          </w:tcPr>
          <w:p>
            <w:pPr>
              <w:spacing w:after="0"/>
              <w:rPr>
                <w:sz w:val="1"/>
                <w:szCs w:val="1"/>
                <w:color w:val="auto"/>
              </w:rPr>
            </w:pPr>
          </w:p>
        </w:tc>
      </w:tr>
      <w:tr>
        <w:trPr>
          <w:trHeight w:val="199"/>
        </w:trPr>
        <w:tc>
          <w:tcPr>
            <w:tcW w:w="2500" w:type="dxa"/>
            <w:vAlign w:val="bottom"/>
            <w:gridSpan w:val="3"/>
          </w:tcPr>
          <w:p>
            <w:pPr>
              <w:ind w:left="20"/>
              <w:spacing w:after="0"/>
              <w:rPr>
                <w:sz w:val="20"/>
                <w:szCs w:val="20"/>
                <w:color w:val="auto"/>
              </w:rPr>
            </w:pPr>
            <w:r>
              <w:rPr>
                <w:rFonts w:ascii="Arial" w:cs="Arial" w:eastAsia="Arial" w:hAnsi="Arial"/>
                <w:sz w:val="15"/>
                <w:szCs w:val="15"/>
                <w:color w:val="auto"/>
              </w:rPr>
              <w:t>Total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6"/>
              <w:spacing w:after="0"/>
              <w:rPr>
                <w:sz w:val="20"/>
                <w:szCs w:val="20"/>
                <w:color w:val="auto"/>
              </w:rPr>
            </w:pPr>
            <w:r>
              <w:rPr>
                <w:rFonts w:ascii="Arial" w:cs="Arial" w:eastAsia="Arial" w:hAnsi="Arial"/>
                <w:sz w:val="15"/>
                <w:szCs w:val="15"/>
                <w:color w:val="auto"/>
              </w:rPr>
              <w:t>4,047</w:t>
            </w:r>
          </w:p>
        </w:tc>
        <w:tc>
          <w:tcPr>
            <w:tcW w:w="2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(1,314)</w:t>
            </w:r>
          </w:p>
        </w:tc>
        <w:tc>
          <w:tcPr>
            <w:tcW w:w="600" w:type="dxa"/>
            <w:vAlign w:val="bottom"/>
            <w:gridSpan w:val="2"/>
          </w:tcPr>
          <w:p>
            <w:pPr>
              <w:jc w:val="right"/>
              <w:ind w:right="351"/>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2,733</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3,972</w:t>
            </w:r>
          </w:p>
        </w:tc>
        <w:tc>
          <w:tcPr>
            <w:tcW w:w="280" w:type="dxa"/>
            <w:vAlign w:val="bottom"/>
            <w:gridSpan w:val="2"/>
          </w:tcPr>
          <w:p>
            <w:pPr>
              <w:jc w:val="right"/>
              <w:ind w:right="23"/>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(1,172)</w:t>
            </w:r>
          </w:p>
        </w:tc>
        <w:tc>
          <w:tcPr>
            <w:tcW w:w="620" w:type="dxa"/>
            <w:vAlign w:val="bottom"/>
            <w:gridSpan w:val="2"/>
          </w:tcPr>
          <w:p>
            <w:pPr>
              <w:jc w:val="right"/>
              <w:ind w:right="371"/>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right="140" w:firstLine="464"/>
        <w:spacing w:after="0" w:line="283" w:lineRule="auto"/>
        <w:rPr>
          <w:sz w:val="20"/>
          <w:szCs w:val="20"/>
          <w:color w:val="auto"/>
        </w:rPr>
      </w:pPr>
      <w:r>
        <w:rPr>
          <w:rFonts w:ascii="Arial" w:cs="Arial" w:eastAsia="Arial" w:hAnsi="Arial"/>
          <w:sz w:val="16"/>
          <w:szCs w:val="16"/>
          <w:color w:val="auto"/>
        </w:rPr>
        <w:t>At June 30, 2023 the weighted average remaining useful lives of backlog, customer relationships and acquired technology were 9 years, 16 years and 8 years, respectively. The backlog intangible asset primarily consists of in-place long-term service agreements acquired by the Company in conjunction with the acquisition of GE Transportation. Amortization expense for intangible assets was $73 million and $148 million for the three and six months ended June 30, 2023, respectively, and $72 million and $145 million for the three and six months ended June 30, 2022, respectively.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2" w:name="page13"/>
    <w:bookmarkEnd w:id="12"/>
    <w:p>
      <w:pPr>
        <w:ind w:left="460"/>
        <w:spacing w:after="0"/>
        <w:rPr>
          <w:sz w:val="20"/>
          <w:szCs w:val="20"/>
          <w:color w:val="auto"/>
        </w:rPr>
      </w:pPr>
      <w:r>
        <w:rPr>
          <w:rFonts w:ascii="Arial" w:cs="Arial" w:eastAsia="Arial" w:hAnsi="Arial"/>
          <w:sz w:val="17"/>
          <w:szCs w:val="17"/>
          <w:color w:val="auto"/>
        </w:rPr>
        <w:t>Amortization expense for the five succeeding years is estimated to be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8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9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9"/>
        </w:trPr>
        <w:tc>
          <w:tcPr>
            <w:tcW w:w="55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Remainder of 2023</w:t>
            </w:r>
          </w:p>
        </w:tc>
        <w:tc>
          <w:tcPr>
            <w:tcW w:w="482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r>
      <w:tr>
        <w:trPr>
          <w:trHeight w:val="218"/>
        </w:trPr>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2024</w:t>
            </w:r>
          </w:p>
        </w:tc>
        <w:tc>
          <w:tcPr>
            <w:tcW w:w="4900" w:type="dxa"/>
            <w:vAlign w:val="bottom"/>
          </w:tcPr>
          <w:p>
            <w:pPr>
              <w:spacing w:after="0"/>
              <w:rPr>
                <w:sz w:val="18"/>
                <w:szCs w:val="18"/>
                <w:color w:val="auto"/>
              </w:rPr>
            </w:pPr>
          </w:p>
        </w:tc>
        <w:tc>
          <w:tcPr>
            <w:tcW w:w="4820" w:type="dxa"/>
            <w:vAlign w:val="bottom"/>
          </w:tcPr>
          <w:p>
            <w:pPr>
              <w:jc w:val="right"/>
              <w:ind w:right="474"/>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288</w:t>
            </w:r>
          </w:p>
        </w:tc>
      </w:tr>
      <w:tr>
        <w:trPr>
          <w:trHeight w:val="233"/>
        </w:trPr>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2025</w:t>
            </w:r>
          </w:p>
        </w:tc>
        <w:tc>
          <w:tcPr>
            <w:tcW w:w="4900" w:type="dxa"/>
            <w:vAlign w:val="bottom"/>
            <w:shd w:val="clear" w:color="auto" w:fill="CCEEFF"/>
          </w:tcPr>
          <w:p>
            <w:pPr>
              <w:spacing w:after="0"/>
              <w:rPr>
                <w:sz w:val="20"/>
                <w:szCs w:val="20"/>
                <w:color w:val="auto"/>
              </w:rPr>
            </w:pPr>
          </w:p>
        </w:tc>
        <w:tc>
          <w:tcPr>
            <w:tcW w:w="482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w:t>
            </w:r>
          </w:p>
        </w:tc>
      </w:tr>
      <w:tr>
        <w:trPr>
          <w:trHeight w:val="218"/>
        </w:trPr>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2026</w:t>
            </w:r>
          </w:p>
        </w:tc>
        <w:tc>
          <w:tcPr>
            <w:tcW w:w="4900" w:type="dxa"/>
            <w:vAlign w:val="bottom"/>
          </w:tcPr>
          <w:p>
            <w:pPr>
              <w:spacing w:after="0"/>
              <w:rPr>
                <w:sz w:val="18"/>
                <w:szCs w:val="18"/>
                <w:color w:val="auto"/>
              </w:rPr>
            </w:pPr>
          </w:p>
        </w:tc>
        <w:tc>
          <w:tcPr>
            <w:tcW w:w="4820" w:type="dxa"/>
            <w:vAlign w:val="bottom"/>
          </w:tcPr>
          <w:p>
            <w:pPr>
              <w:jc w:val="right"/>
              <w:ind w:right="474"/>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267</w:t>
            </w:r>
          </w:p>
        </w:tc>
      </w:tr>
      <w:tr>
        <w:trPr>
          <w:trHeight w:val="220"/>
        </w:trPr>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2027</w:t>
            </w:r>
          </w:p>
        </w:tc>
        <w:tc>
          <w:tcPr>
            <w:tcW w:w="4900" w:type="dxa"/>
            <w:vAlign w:val="bottom"/>
            <w:shd w:val="clear" w:color="auto" w:fill="CCEEFF"/>
          </w:tcPr>
          <w:p>
            <w:pPr>
              <w:spacing w:after="0"/>
              <w:rPr>
                <w:sz w:val="19"/>
                <w:szCs w:val="19"/>
                <w:color w:val="auto"/>
              </w:rPr>
            </w:pPr>
          </w:p>
        </w:tc>
        <w:tc>
          <w:tcPr>
            <w:tcW w:w="482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w:t>
            </w:r>
          </w:p>
        </w:tc>
      </w:tr>
    </w:tbl>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CONTRACT ASSETS AND CONTRACT LIABILITIES</w:t>
      </w:r>
    </w:p>
    <w:p>
      <w:pPr>
        <w:spacing w:after="0" w:line="120" w:lineRule="exact"/>
        <w:rPr>
          <w:sz w:val="20"/>
          <w:szCs w:val="20"/>
          <w:color w:val="auto"/>
        </w:rPr>
      </w:pPr>
    </w:p>
    <w:p>
      <w:pPr>
        <w:ind w:right="20" w:firstLine="464"/>
        <w:spacing w:after="0" w:line="257" w:lineRule="auto"/>
        <w:rPr>
          <w:sz w:val="20"/>
          <w:szCs w:val="20"/>
          <w:color w:val="auto"/>
        </w:rPr>
      </w:pPr>
      <w:r>
        <w:rPr>
          <w:rFonts w:ascii="Arial" w:cs="Arial" w:eastAsia="Arial" w:hAnsi="Arial"/>
          <w:sz w:val="17"/>
          <w:szCs w:val="17"/>
          <w:color w:val="auto"/>
        </w:rPr>
        <w:t>Contract assets include unbilled amounts resulting from sales under long-term contracts where revenue is recognized over time and revenue exceeds the amount that can be billed to the customer based on the terms of the contract. The current portion of the contract assets are classified as current assets under the caption “Unbilled accounts receivable” while the noncurrent contract assets are classified as other assets under the caption "Other noncurrent assets" on the Condensed Consolidated Balance Sheets. Noncurrent contract assets were $176 million at June 30, 2023 and $162 million at December 31, 2022. Included in noncurrent contract assets are certain costs that are specifically related to a contract but do not directly contribute to the transfer of control of the tangible product being created, such as non-recurring engineering costs. The Company has elected to use the practical expedient and does not consider unbilled amounts anticipated to be paid within one year as significant financing components.</w:t>
      </w:r>
    </w:p>
    <w:p>
      <w:pPr>
        <w:spacing w:after="0" w:line="82" w:lineRule="exact"/>
        <w:rPr>
          <w:sz w:val="20"/>
          <w:szCs w:val="20"/>
          <w:color w:val="auto"/>
        </w:rPr>
      </w:pPr>
    </w:p>
    <w:p>
      <w:pPr>
        <w:ind w:right="60" w:firstLine="464"/>
        <w:spacing w:after="0" w:line="295" w:lineRule="auto"/>
        <w:rPr>
          <w:sz w:val="20"/>
          <w:szCs w:val="20"/>
          <w:color w:val="auto"/>
        </w:rPr>
      </w:pPr>
      <w:r>
        <w:rPr>
          <w:rFonts w:ascii="Arial" w:cs="Arial" w:eastAsia="Arial" w:hAnsi="Arial"/>
          <w:sz w:val="15"/>
          <w:szCs w:val="15"/>
          <w:color w:val="auto"/>
        </w:rPr>
        <w:t>Contract liabilities include customer deposits that are made prior to the incurrence of costs related to a newly agreed upon contract and advanced customer payments that are in excess of revenue recognized. The current portion of contract liabilities are classified as current liabilities under the caption “Customer deposits” while the noncurrent contract liabilities are classified as noncurrent liabilities under the caption "Other long-term liabilities" on the Condensed Consolidated Balance Sheets. Noncurrent contract liabilities were $106 million at June 30, 2023 and $86 million at December 31, 2022. These contract liabilities are not considered a significant financing component because they are used to meet working capital demands that can be higher in the early stages of a contract or revenue associated with the contract liabilities is expected to be recognized within one year. Contract liabilities also include provisions for estimated losses from uncompleted contracts. Provisions for loss contracts were $97 million and $98 million at June 30, 2023 and December 31, 2022, respectively. These provisions for estimated losses are classified as current liabilities and included within the caption “Other accrued liabilities” on the Condensed Consolidated Balance Sheets.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change in the carrying amount of contract assets and contract liabilities for the six months ended June 30, 2023 and 2022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gridSpan w:val="3"/>
          </w:tcPr>
          <w:p>
            <w:pPr>
              <w:jc w:val="right"/>
              <w:ind w:right="74"/>
              <w:spacing w:after="0"/>
              <w:rPr>
                <w:sz w:val="20"/>
                <w:szCs w:val="20"/>
                <w:color w:val="auto"/>
              </w:rPr>
            </w:pPr>
            <w:r>
              <w:rPr>
                <w:rFonts w:ascii="Arial" w:cs="Arial" w:eastAsia="Arial" w:hAnsi="Arial"/>
                <w:sz w:val="14"/>
                <w:szCs w:val="14"/>
                <w:b w:val="1"/>
                <w:bCs w:val="1"/>
                <w:color w:val="auto"/>
              </w:rPr>
              <w:t>Contract Assets</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6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53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Balance at beginning of year</w:t>
            </w:r>
          </w:p>
        </w:tc>
        <w:tc>
          <w:tcPr>
            <w:tcW w:w="3760" w:type="dxa"/>
            <w:vAlign w:val="bottom"/>
            <w:gridSpan w:val="2"/>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w:t>
            </w:r>
          </w:p>
        </w:tc>
        <w:tc>
          <w:tcPr>
            <w:tcW w:w="680" w:type="dxa"/>
            <w:vAlign w:val="bottom"/>
            <w:gridSpan w:val="2"/>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60" w:type="dxa"/>
            <w:vAlign w:val="bottom"/>
            <w:gridSpan w:val="2"/>
          </w:tcPr>
          <w:p>
            <w:pPr>
              <w:ind w:left="100"/>
              <w:spacing w:after="0"/>
              <w:rPr>
                <w:sz w:val="20"/>
                <w:szCs w:val="20"/>
                <w:color w:val="auto"/>
              </w:rPr>
            </w:pPr>
            <w:r>
              <w:rPr>
                <w:rFonts w:ascii="Arial" w:cs="Arial" w:eastAsia="Arial" w:hAnsi="Arial"/>
                <w:sz w:val="17"/>
                <w:szCs w:val="17"/>
                <w:color w:val="auto"/>
              </w:rPr>
              <w:t>Recognized in current year</w:t>
            </w:r>
          </w:p>
        </w:tc>
        <w:tc>
          <w:tcPr>
            <w:tcW w:w="3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358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284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Reclassified to accounts receivable</w:t>
            </w:r>
          </w:p>
        </w:tc>
        <w:tc>
          <w:tcPr>
            <w:tcW w:w="3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660" w:type="dxa"/>
            <w:vAlign w:val="bottom"/>
            <w:gridSpan w:val="2"/>
          </w:tcPr>
          <w:p>
            <w:pPr>
              <w:ind w:left="100"/>
              <w:spacing w:after="0"/>
              <w:rPr>
                <w:sz w:val="20"/>
                <w:szCs w:val="20"/>
                <w:color w:val="auto"/>
              </w:rPr>
            </w:pPr>
            <w:r>
              <w:rPr>
                <w:rFonts w:ascii="Arial" w:cs="Arial" w:eastAsia="Arial" w:hAnsi="Arial"/>
                <w:sz w:val="17"/>
                <w:szCs w:val="17"/>
                <w:color w:val="auto"/>
              </w:rPr>
              <w:t>Acquisitions/adjustments</w:t>
            </w:r>
          </w:p>
        </w:tc>
        <w:tc>
          <w:tcPr>
            <w:tcW w:w="3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Foreign currency impact</w:t>
            </w:r>
          </w:p>
        </w:tc>
        <w:tc>
          <w:tcPr>
            <w:tcW w:w="34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3"/>
        </w:trPr>
        <w:tc>
          <w:tcPr>
            <w:tcW w:w="4680" w:type="dxa"/>
            <w:vAlign w:val="bottom"/>
            <w:gridSpan w:val="3"/>
          </w:tcPr>
          <w:p>
            <w:pPr>
              <w:ind w:left="20"/>
              <w:spacing w:after="0"/>
              <w:rPr>
                <w:sz w:val="20"/>
                <w:szCs w:val="20"/>
                <w:color w:val="auto"/>
              </w:rPr>
            </w:pPr>
            <w:r>
              <w:rPr>
                <w:rFonts w:ascii="Arial" w:cs="Arial" w:eastAsia="Arial" w:hAnsi="Arial"/>
                <w:sz w:val="17"/>
                <w:szCs w:val="17"/>
                <w:color w:val="auto"/>
              </w:rPr>
              <w:t>Balance at June 30</w:t>
            </w:r>
          </w:p>
        </w:tc>
        <w:tc>
          <w:tcPr>
            <w:tcW w:w="34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859</w:t>
            </w:r>
          </w:p>
        </w:tc>
        <w:tc>
          <w:tcPr>
            <w:tcW w:w="120" w:type="dxa"/>
            <w:vAlign w:val="bottom"/>
          </w:tcPr>
          <w:p>
            <w:pPr>
              <w:spacing w:after="0"/>
              <w:rPr>
                <w:sz w:val="18"/>
                <w:szCs w:val="18"/>
                <w:color w:val="auto"/>
              </w:rPr>
            </w:pPr>
          </w:p>
        </w:tc>
        <w:tc>
          <w:tcPr>
            <w:tcW w:w="56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Contract Liabilities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53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
        </w:trPr>
        <w:tc>
          <w:tcPr>
            <w:tcW w:w="20" w:type="dxa"/>
            <w:vAlign w:val="bottom"/>
            <w:vMerge w:val="restart"/>
          </w:tcPr>
          <w:p>
            <w:pPr>
              <w:spacing w:after="0"/>
              <w:rPr>
                <w:sz w:val="2"/>
                <w:szCs w:val="2"/>
                <w:color w:val="auto"/>
              </w:rPr>
            </w:pPr>
          </w:p>
        </w:tc>
        <w:tc>
          <w:tcPr>
            <w:tcW w:w="4660" w:type="dxa"/>
            <w:vAlign w:val="bottom"/>
            <w:gridSpan w:val="2"/>
            <w:vMerge w:val="restart"/>
          </w:tcPr>
          <w:p>
            <w:pPr>
              <w:spacing w:after="0"/>
              <w:rPr>
                <w:sz w:val="20"/>
                <w:szCs w:val="20"/>
                <w:color w:val="auto"/>
              </w:rPr>
            </w:pPr>
            <w:r>
              <w:rPr>
                <w:rFonts w:ascii="Arial" w:cs="Arial" w:eastAsia="Arial" w:hAnsi="Arial"/>
                <w:sz w:val="17"/>
                <w:szCs w:val="17"/>
                <w:color w:val="auto"/>
              </w:rPr>
              <w:t>Balance at beginning of year</w:t>
            </w:r>
          </w:p>
        </w:tc>
        <w:tc>
          <w:tcPr>
            <w:tcW w:w="3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660" w:type="dxa"/>
            <w:vAlign w:val="bottom"/>
            <w:gridSpan w:val="2"/>
            <w:vMerge w:val="continue"/>
          </w:tcPr>
          <w:p>
            <w:pPr>
              <w:spacing w:after="0"/>
              <w:rPr>
                <w:sz w:val="18"/>
                <w:szCs w:val="18"/>
                <w:color w:val="auto"/>
              </w:rPr>
            </w:pPr>
          </w:p>
        </w:tc>
        <w:tc>
          <w:tcPr>
            <w:tcW w:w="3760" w:type="dxa"/>
            <w:vAlign w:val="bottom"/>
            <w:gridSpan w:val="2"/>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956</w:t>
            </w:r>
          </w:p>
        </w:tc>
        <w:tc>
          <w:tcPr>
            <w:tcW w:w="680" w:type="dxa"/>
            <w:vAlign w:val="bottom"/>
            <w:gridSpan w:val="2"/>
          </w:tcPr>
          <w:p>
            <w:pPr>
              <w:jc w:val="right"/>
              <w:ind w:right="37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824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Recognized in current year</w:t>
            </w:r>
          </w:p>
        </w:tc>
        <w:tc>
          <w:tcPr>
            <w:tcW w:w="3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660" w:type="dxa"/>
            <w:vAlign w:val="bottom"/>
            <w:gridSpan w:val="2"/>
          </w:tcPr>
          <w:p>
            <w:pPr>
              <w:ind w:left="100"/>
              <w:spacing w:after="0"/>
              <w:rPr>
                <w:sz w:val="20"/>
                <w:szCs w:val="20"/>
                <w:color w:val="auto"/>
              </w:rPr>
            </w:pPr>
            <w:r>
              <w:rPr>
                <w:rFonts w:ascii="Arial" w:cs="Arial" w:eastAsia="Arial" w:hAnsi="Arial"/>
                <w:sz w:val="17"/>
                <w:szCs w:val="17"/>
                <w:color w:val="auto"/>
              </w:rPr>
              <w:t>Amounts in beginning balance reclassified to revenue</w:t>
            </w:r>
          </w:p>
        </w:tc>
        <w:tc>
          <w:tcPr>
            <w:tcW w:w="3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(439)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(277)</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Current year amounts reclassified to revenue</w:t>
            </w:r>
          </w:p>
        </w:tc>
        <w:tc>
          <w:tcPr>
            <w:tcW w:w="3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60" w:type="dxa"/>
            <w:vAlign w:val="bottom"/>
            <w:gridSpan w:val="2"/>
          </w:tcPr>
          <w:p>
            <w:pPr>
              <w:ind w:left="100"/>
              <w:spacing w:after="0"/>
              <w:rPr>
                <w:sz w:val="20"/>
                <w:szCs w:val="20"/>
                <w:color w:val="auto"/>
              </w:rPr>
            </w:pPr>
            <w:r>
              <w:rPr>
                <w:rFonts w:ascii="Arial" w:cs="Arial" w:eastAsia="Arial" w:hAnsi="Arial"/>
                <w:sz w:val="17"/>
                <w:szCs w:val="17"/>
                <w:color w:val="auto"/>
              </w:rPr>
              <w:t>Acquisitions</w:t>
            </w:r>
          </w:p>
        </w:tc>
        <w:tc>
          <w:tcPr>
            <w:tcW w:w="3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46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Foreign currency impact</w:t>
            </w:r>
          </w:p>
        </w:tc>
        <w:tc>
          <w:tcPr>
            <w:tcW w:w="34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3"/>
        </w:trPr>
        <w:tc>
          <w:tcPr>
            <w:tcW w:w="4680" w:type="dxa"/>
            <w:vAlign w:val="bottom"/>
            <w:gridSpan w:val="3"/>
          </w:tcPr>
          <w:p>
            <w:pPr>
              <w:ind w:left="20"/>
              <w:spacing w:after="0"/>
              <w:rPr>
                <w:sz w:val="20"/>
                <w:szCs w:val="20"/>
                <w:color w:val="auto"/>
              </w:rPr>
            </w:pPr>
            <w:r>
              <w:rPr>
                <w:rFonts w:ascii="Arial" w:cs="Arial" w:eastAsia="Arial" w:hAnsi="Arial"/>
                <w:sz w:val="17"/>
                <w:szCs w:val="17"/>
                <w:color w:val="auto"/>
              </w:rPr>
              <w:t>Balance at June 30</w:t>
            </w:r>
          </w:p>
        </w:tc>
        <w:tc>
          <w:tcPr>
            <w:tcW w:w="3760" w:type="dxa"/>
            <w:vAlign w:val="bottom"/>
            <w:gridSpan w:val="2"/>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934</w:t>
            </w:r>
          </w:p>
        </w:tc>
        <w:tc>
          <w:tcPr>
            <w:tcW w:w="680" w:type="dxa"/>
            <w:vAlign w:val="bottom"/>
            <w:gridSpan w:val="2"/>
          </w:tcPr>
          <w:p>
            <w:pPr>
              <w:jc w:val="right"/>
              <w:ind w:right="37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400" w:type="dxa"/>
            <w:vAlign w:val="bottom"/>
            <w:vMerge w:val="restart"/>
          </w:tcPr>
          <w:p>
            <w:pPr>
              <w:jc w:val="right"/>
              <w:ind w:right="2294"/>
              <w:spacing w:after="0"/>
              <w:rPr>
                <w:sz w:val="20"/>
                <w:szCs w:val="20"/>
                <w:color w:val="auto"/>
              </w:rPr>
            </w:pPr>
            <w:r>
              <w:rPr>
                <w:rFonts w:ascii="Arial" w:cs="Arial" w:eastAsia="Arial" w:hAnsi="Arial"/>
                <w:sz w:val="17"/>
                <w:szCs w:val="17"/>
                <w:color w:val="auto"/>
              </w:rPr>
              <w:t>13</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4"/>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040" w:type="dxa"/>
            <w:vAlign w:val="bottom"/>
            <w:tcBorders>
              <w:bottom w:val="single" w:sz="8" w:color="9A9A9A"/>
            </w:tcBorders>
          </w:tcPr>
          <w:p>
            <w:pPr>
              <w:spacing w:after="0"/>
              <w:rPr>
                <w:sz w:val="9"/>
                <w:szCs w:val="9"/>
                <w:color w:val="auto"/>
              </w:rPr>
            </w:pPr>
          </w:p>
        </w:tc>
        <w:tc>
          <w:tcPr>
            <w:tcW w:w="34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7. LEASES</w:t>
      </w:r>
    </w:p>
    <w:p>
      <w:pPr>
        <w:spacing w:after="0" w:line="120" w:lineRule="exact"/>
        <w:rPr>
          <w:sz w:val="20"/>
          <w:szCs w:val="20"/>
          <w:color w:val="auto"/>
        </w:rPr>
      </w:pPr>
    </w:p>
    <w:p>
      <w:pPr>
        <w:ind w:right="40" w:firstLine="464"/>
        <w:spacing w:after="0" w:line="276" w:lineRule="auto"/>
        <w:rPr>
          <w:sz w:val="20"/>
          <w:szCs w:val="20"/>
          <w:color w:val="auto"/>
        </w:rPr>
      </w:pPr>
      <w:r>
        <w:rPr>
          <w:rFonts w:ascii="Arial" w:cs="Arial" w:eastAsia="Arial" w:hAnsi="Arial"/>
          <w:sz w:val="16"/>
          <w:szCs w:val="16"/>
          <w:color w:val="auto"/>
        </w:rPr>
        <w:t>The Company leases certain property, buildings and equipment. For leases with terms greater than 12 months, the Company records the related asset and obligation at the present value of lease payments. Many of the Company's leases include rental escalation clauses, renewal options, and/or termination options that are factored into our determination of lease payments when appropriate. The right-of-use assets are classified as noncurrent and included within the caption "Other noncurrent assets" on the Condensed Consolidated Balance Sheets. The current portion of lease liabilities are classified under the caption "Other accrued liabilities," while the noncurrent portion of lease liabilities are classified under the caption "Other long-term liabilities" on the Condensed Consolidated Balance Sheets. The Company does not separate lease and non-lease components. As most of the Company's leases do not provide a readily stated discount rate, the Company must estimate the rate to discount lease payments using its incremental borrowing rate.</w:t>
      </w:r>
    </w:p>
    <w:p>
      <w:pPr>
        <w:spacing w:after="0" w:line="66" w:lineRule="exact"/>
        <w:rPr>
          <w:sz w:val="20"/>
          <w:szCs w:val="20"/>
          <w:color w:val="auto"/>
        </w:rPr>
      </w:pPr>
    </w:p>
    <w:p>
      <w:pPr>
        <w:ind w:right="100" w:firstLine="464"/>
        <w:spacing w:after="0" w:line="262" w:lineRule="auto"/>
        <w:rPr>
          <w:sz w:val="20"/>
          <w:szCs w:val="20"/>
          <w:color w:val="auto"/>
        </w:rPr>
      </w:pPr>
      <w:r>
        <w:rPr>
          <w:rFonts w:ascii="Arial" w:cs="Arial" w:eastAsia="Arial" w:hAnsi="Arial"/>
          <w:sz w:val="17"/>
          <w:szCs w:val="17"/>
          <w:color w:val="auto"/>
        </w:rPr>
        <w:t>Operating lease expense was $16 million and $32 million for the three and six months ended June 30, 2023, respectively, and $14 million and $29 million for the three and six months ended June 30, 2022, respectively. New operating leases of $6 million and $20 million were added during the three and six months ended June 30, 2023, respectively, and $22 million and $24 million for the three and six months ended June 30, 2022, respectively. Wabtec does not have material financing leases, short-term or variable leases or sublease income.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Scheduled payments of lease liabilities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912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4"/>
                <w:szCs w:val="14"/>
                <w:color w:val="auto"/>
              </w:rPr>
            </w:pPr>
          </w:p>
        </w:tc>
        <w:tc>
          <w:tcPr>
            <w:tcW w:w="1800" w:type="dxa"/>
            <w:vAlign w:val="bottom"/>
          </w:tcPr>
          <w:p>
            <w:pPr>
              <w:jc w:val="right"/>
              <w:ind w:right="456"/>
              <w:spacing w:after="0"/>
              <w:rPr>
                <w:sz w:val="20"/>
                <w:szCs w:val="20"/>
                <w:color w:val="auto"/>
              </w:rPr>
            </w:pPr>
            <w:r>
              <w:rPr>
                <w:rFonts w:ascii="Arial" w:cs="Arial" w:eastAsia="Arial" w:hAnsi="Arial"/>
                <w:sz w:val="14"/>
                <w:szCs w:val="14"/>
                <w:b w:val="1"/>
                <w:bCs w:val="1"/>
                <w:color w:val="auto"/>
              </w:rPr>
              <w:t>Operating Leases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11"/>
        </w:trPr>
        <w:tc>
          <w:tcPr>
            <w:tcW w:w="91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Remaining 2023</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18"/>
        </w:trPr>
        <w:tc>
          <w:tcPr>
            <w:tcW w:w="640" w:type="dxa"/>
            <w:vAlign w:val="bottom"/>
            <w:gridSpan w:val="2"/>
          </w:tcPr>
          <w:p>
            <w:pPr>
              <w:ind w:left="20"/>
              <w:spacing w:after="0"/>
              <w:rPr>
                <w:sz w:val="20"/>
                <w:szCs w:val="20"/>
                <w:color w:val="auto"/>
              </w:rPr>
            </w:pPr>
            <w:r>
              <w:rPr>
                <w:rFonts w:ascii="Arial" w:cs="Arial" w:eastAsia="Arial" w:hAnsi="Arial"/>
                <w:sz w:val="17"/>
                <w:szCs w:val="17"/>
                <w:color w:val="auto"/>
              </w:rPr>
              <w:t>2024</w:t>
            </w:r>
          </w:p>
        </w:tc>
        <w:tc>
          <w:tcPr>
            <w:tcW w:w="8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33"/>
        </w:trPr>
        <w:tc>
          <w:tcPr>
            <w:tcW w:w="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8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18"/>
        </w:trPr>
        <w:tc>
          <w:tcPr>
            <w:tcW w:w="640" w:type="dxa"/>
            <w:vAlign w:val="bottom"/>
            <w:gridSpan w:val="2"/>
          </w:tcPr>
          <w:p>
            <w:pPr>
              <w:ind w:left="20"/>
              <w:spacing w:after="0"/>
              <w:rPr>
                <w:sz w:val="20"/>
                <w:szCs w:val="20"/>
                <w:color w:val="auto"/>
              </w:rPr>
            </w:pPr>
            <w:r>
              <w:rPr>
                <w:rFonts w:ascii="Arial" w:cs="Arial" w:eastAsia="Arial" w:hAnsi="Arial"/>
                <w:sz w:val="17"/>
                <w:szCs w:val="17"/>
                <w:color w:val="auto"/>
              </w:rPr>
              <w:t>2026</w:t>
            </w:r>
          </w:p>
        </w:tc>
        <w:tc>
          <w:tcPr>
            <w:tcW w:w="8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20"/>
        </w:trPr>
        <w:tc>
          <w:tcPr>
            <w:tcW w:w="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8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231"/>
        </w:trPr>
        <w:tc>
          <w:tcPr>
            <w:tcW w:w="912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Thereafter</w:t>
            </w: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r>
      <w:tr>
        <w:trPr>
          <w:trHeight w:val="213"/>
        </w:trPr>
        <w:tc>
          <w:tcPr>
            <w:tcW w:w="91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Total lease payments</w:t>
            </w:r>
          </w:p>
        </w:tc>
        <w:tc>
          <w:tcPr>
            <w:tcW w:w="3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w:t>
            </w:r>
          </w:p>
        </w:tc>
      </w:tr>
      <w:tr>
        <w:trPr>
          <w:trHeight w:val="218"/>
        </w:trPr>
        <w:tc>
          <w:tcPr>
            <w:tcW w:w="9120" w:type="dxa"/>
            <w:vAlign w:val="bottom"/>
            <w:gridSpan w:val="3"/>
          </w:tcPr>
          <w:p>
            <w:pPr>
              <w:ind w:left="20"/>
              <w:spacing w:after="0"/>
              <w:rPr>
                <w:sz w:val="20"/>
                <w:szCs w:val="20"/>
                <w:color w:val="auto"/>
              </w:rPr>
            </w:pPr>
            <w:r>
              <w:rPr>
                <w:rFonts w:ascii="Arial" w:cs="Arial" w:eastAsia="Arial" w:hAnsi="Arial"/>
                <w:sz w:val="17"/>
                <w:szCs w:val="17"/>
                <w:color w:val="auto"/>
              </w:rPr>
              <w:t>Less: Present value discount</w:t>
            </w:r>
          </w:p>
        </w:tc>
        <w:tc>
          <w:tcPr>
            <w:tcW w:w="3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r>
      <w:tr>
        <w:trPr>
          <w:trHeight w:val="251"/>
        </w:trPr>
        <w:tc>
          <w:tcPr>
            <w:tcW w:w="91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Present value of lease liabilities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remaining lease term and discount rate assumptions used to develop the present value of operating lease liabilities: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140" w:type="dxa"/>
            <w:vAlign w:val="bottom"/>
          </w:tcPr>
          <w:p>
            <w:pPr>
              <w:jc w:val="center"/>
              <w:ind w:left="431"/>
              <w:spacing w:after="0"/>
              <w:rPr>
                <w:sz w:val="20"/>
                <w:szCs w:val="20"/>
                <w:color w:val="auto"/>
              </w:rPr>
            </w:pPr>
            <w:r>
              <w:rPr>
                <w:rFonts w:ascii="Arial" w:cs="Arial" w:eastAsia="Arial" w:hAnsi="Arial"/>
                <w:sz w:val="14"/>
                <w:szCs w:val="14"/>
                <w:b w:val="1"/>
                <w:bCs w:val="1"/>
                <w:color w:val="auto"/>
                <w:w w:val="85"/>
              </w:rPr>
              <w:t>June 30,</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jc w:val="right"/>
              <w:ind w:right="371"/>
              <w:spacing w:after="0"/>
              <w:rPr>
                <w:sz w:val="20"/>
                <w:szCs w:val="20"/>
                <w:color w:val="auto"/>
              </w:rPr>
            </w:pPr>
            <w:r>
              <w:rPr>
                <w:rFonts w:ascii="Arial" w:cs="Arial" w:eastAsia="Arial" w:hAnsi="Arial"/>
                <w:sz w:val="14"/>
                <w:szCs w:val="14"/>
                <w:b w:val="1"/>
                <w:bCs w:val="1"/>
                <w:color w:val="auto"/>
              </w:rPr>
              <w:t>December 31,</w:t>
            </w:r>
          </w:p>
        </w:tc>
      </w:tr>
      <w:tr>
        <w:trPr>
          <w:trHeight w:val="178"/>
        </w:trPr>
        <w:tc>
          <w:tcPr>
            <w:tcW w:w="9000" w:type="dxa"/>
            <w:vAlign w:val="bottom"/>
            <w:gridSpan w:val="2"/>
          </w:tcPr>
          <w:p>
            <w:pPr>
              <w:jc w:val="right"/>
              <w:ind w:right="111"/>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5"/>
                <w:szCs w:val="15"/>
                <w:color w:val="auto"/>
              </w:rPr>
            </w:pPr>
          </w:p>
        </w:tc>
        <w:tc>
          <w:tcPr>
            <w:tcW w:w="1740" w:type="dxa"/>
            <w:vAlign w:val="bottom"/>
            <w:gridSpan w:val="2"/>
          </w:tcPr>
          <w:p>
            <w:pPr>
              <w:jc w:val="right"/>
              <w:ind w:right="631"/>
              <w:spacing w:after="0"/>
              <w:rPr>
                <w:sz w:val="20"/>
                <w:szCs w:val="20"/>
                <w:color w:val="auto"/>
              </w:rPr>
            </w:pPr>
            <w:r>
              <w:rPr>
                <w:rFonts w:ascii="Arial" w:cs="Arial" w:eastAsia="Arial" w:hAnsi="Arial"/>
                <w:sz w:val="14"/>
                <w:szCs w:val="14"/>
                <w:b w:val="1"/>
                <w:bCs w:val="1"/>
                <w:color w:val="auto"/>
              </w:rPr>
              <w:t>2022</w:t>
            </w:r>
          </w:p>
        </w:tc>
      </w:tr>
      <w:tr>
        <w:trPr>
          <w:trHeight w:val="24"/>
        </w:trPr>
        <w:tc>
          <w:tcPr>
            <w:tcW w:w="78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2"/>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Weighted-average remaining lease term (years)</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8.3</w:t>
            </w:r>
          </w:p>
        </w:tc>
      </w:tr>
      <w:tr>
        <w:trPr>
          <w:trHeight w:val="218"/>
        </w:trPr>
        <w:tc>
          <w:tcPr>
            <w:tcW w:w="9000" w:type="dxa"/>
            <w:vAlign w:val="bottom"/>
            <w:gridSpan w:val="2"/>
          </w:tcPr>
          <w:p>
            <w:pPr>
              <w:ind w:left="20"/>
              <w:spacing w:after="0"/>
              <w:rPr>
                <w:sz w:val="20"/>
                <w:szCs w:val="20"/>
                <w:color w:val="auto"/>
              </w:rPr>
            </w:pPr>
            <w:r>
              <w:rPr>
                <w:rFonts w:ascii="Arial" w:cs="Arial" w:eastAsia="Arial" w:hAnsi="Arial"/>
                <w:sz w:val="17"/>
                <w:szCs w:val="17"/>
                <w:color w:val="auto"/>
              </w:rPr>
              <w:t>Weighted-average discount rate</w:t>
            </w:r>
          </w:p>
        </w:tc>
        <w:tc>
          <w:tcPr>
            <w:tcW w:w="500" w:type="dxa"/>
            <w:vAlign w:val="bottom"/>
          </w:tcPr>
          <w:p>
            <w:pPr>
              <w:jc w:val="right"/>
              <w:spacing w:after="0"/>
              <w:rPr>
                <w:sz w:val="20"/>
                <w:szCs w:val="20"/>
                <w:color w:val="auto"/>
              </w:rPr>
            </w:pPr>
            <w:r>
              <w:rPr>
                <w:rFonts w:ascii="Arial" w:cs="Arial" w:eastAsia="Arial" w:hAnsi="Arial"/>
                <w:sz w:val="17"/>
                <w:szCs w:val="17"/>
                <w:color w:val="auto"/>
              </w:rPr>
              <w:t>2.3 %</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2.3 %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8. LONG-TERM DEBT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Long-term debt consisted of the following: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60" w:type="dxa"/>
            <w:vAlign w:val="bottom"/>
            <w:gridSpan w:val="4"/>
          </w:tcPr>
          <w:p>
            <w:pPr>
              <w:jc w:val="right"/>
              <w:ind w:right="911"/>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40" w:type="dxa"/>
            <w:vAlign w:val="bottom"/>
            <w:gridSpan w:val="4"/>
          </w:tcPr>
          <w:p>
            <w:pPr>
              <w:jc w:val="right"/>
              <w:ind w:right="751"/>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Effective</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Face Value</w:t>
            </w:r>
          </w:p>
        </w:tc>
        <w:tc>
          <w:tcPr>
            <w:tcW w:w="200" w:type="dxa"/>
            <w:vAlign w:val="bottom"/>
          </w:tcPr>
          <w:p>
            <w:pPr>
              <w:spacing w:after="0"/>
              <w:rPr>
                <w:sz w:val="12"/>
                <w:szCs w:val="12"/>
                <w:color w:val="auto"/>
              </w:rPr>
            </w:pPr>
          </w:p>
        </w:tc>
        <w:tc>
          <w:tcPr>
            <w:tcW w:w="112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Book Value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7"/>
                <w:szCs w:val="17"/>
                <w:b w:val="1"/>
                <w:bCs w:val="1"/>
                <w:color w:val="auto"/>
                <w:vertAlign w:val="superscript"/>
              </w:rPr>
              <w:t>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w w:val="99"/>
              </w:rPr>
              <w:t>Book Value</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151"/>
        </w:trPr>
        <w:tc>
          <w:tcPr>
            <w:tcW w:w="3040" w:type="dxa"/>
            <w:vAlign w:val="bottom"/>
            <w:gridSpan w:val="4"/>
          </w:tcPr>
          <w:p>
            <w:pPr>
              <w:ind w:left="20"/>
              <w:spacing w:after="0" w:line="151" w:lineRule="exact"/>
              <w:rPr>
                <w:sz w:val="20"/>
                <w:szCs w:val="20"/>
                <w:color w:val="auto"/>
              </w:rPr>
            </w:pPr>
            <w:r>
              <w:rPr>
                <w:rFonts w:ascii="Arial" w:cs="Arial" w:eastAsia="Arial" w:hAnsi="Arial"/>
                <w:sz w:val="14"/>
                <w:szCs w:val="14"/>
                <w:b w:val="1"/>
                <w:bCs w:val="1"/>
                <w:i w:val="1"/>
                <w:iCs w:val="1"/>
                <w:color w:val="auto"/>
              </w:rPr>
              <w:t>In millions</w:t>
            </w:r>
          </w:p>
        </w:tc>
        <w:tc>
          <w:tcPr>
            <w:tcW w:w="1000" w:type="dxa"/>
            <w:vAlign w:val="bottom"/>
          </w:tcPr>
          <w:p>
            <w:pPr>
              <w:jc w:val="right"/>
              <w:ind w:right="51"/>
              <w:spacing w:after="0" w:line="151" w:lineRule="exact"/>
              <w:rPr>
                <w:sz w:val="20"/>
                <w:szCs w:val="20"/>
                <w:color w:val="auto"/>
              </w:rPr>
            </w:pPr>
            <w:r>
              <w:rPr>
                <w:rFonts w:ascii="Arial" w:cs="Arial" w:eastAsia="Arial" w:hAnsi="Arial"/>
                <w:sz w:val="14"/>
                <w:szCs w:val="14"/>
                <w:b w:val="1"/>
                <w:bCs w:val="1"/>
                <w:color w:val="auto"/>
              </w:rPr>
              <w:t>Interest Rate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480" w:type="dxa"/>
            <w:vAlign w:val="bottom"/>
            <w:tcBorders>
              <w:top w:val="single" w:sz="8" w:color="auto"/>
              <w:bottom w:val="single" w:sz="8" w:color="CCEEFF"/>
            </w:tcBorders>
          </w:tcPr>
          <w:p>
            <w:pPr>
              <w:spacing w:after="0"/>
              <w:rPr>
                <w:sz w:val="2"/>
                <w:szCs w:val="2"/>
                <w:color w:val="auto"/>
              </w:rPr>
            </w:pPr>
          </w:p>
        </w:tc>
        <w:tc>
          <w:tcPr>
            <w:tcW w:w="140" w:type="dxa"/>
            <w:vAlign w:val="bottom"/>
            <w:tcBorders>
              <w:top w:val="single" w:sz="8" w:color="auto"/>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040" w:type="dxa"/>
            <w:vAlign w:val="bottom"/>
            <w:gridSpan w:val="4"/>
            <w:shd w:val="clear" w:color="auto" w:fill="CCEEFF"/>
          </w:tcPr>
          <w:p>
            <w:pPr>
              <w:ind w:left="20"/>
              <w:spacing w:after="0" w:line="155" w:lineRule="exact"/>
              <w:rPr>
                <w:sz w:val="20"/>
                <w:szCs w:val="20"/>
                <w:color w:val="auto"/>
              </w:rPr>
            </w:pPr>
            <w:r>
              <w:rPr>
                <w:rFonts w:ascii="Arial" w:cs="Arial" w:eastAsia="Arial" w:hAnsi="Arial"/>
                <w:sz w:val="14"/>
                <w:szCs w:val="14"/>
                <w:color w:val="auto"/>
              </w:rPr>
              <w:t>Restated Credit Agreement:</w:t>
            </w: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020" w:type="dxa"/>
            <w:vAlign w:val="bottom"/>
            <w:gridSpan w:val="3"/>
          </w:tcPr>
          <w:p>
            <w:pPr>
              <w:ind w:left="100"/>
              <w:spacing w:after="0"/>
              <w:rPr>
                <w:sz w:val="20"/>
                <w:szCs w:val="20"/>
                <w:color w:val="auto"/>
              </w:rPr>
            </w:pPr>
            <w:r>
              <w:rPr>
                <w:rFonts w:ascii="Arial" w:cs="Arial" w:eastAsia="Arial" w:hAnsi="Arial"/>
                <w:sz w:val="14"/>
                <w:szCs w:val="14"/>
                <w:color w:val="auto"/>
              </w:rPr>
              <w:t>Revolving Credit Facility</w:t>
            </w:r>
          </w:p>
        </w:tc>
        <w:tc>
          <w:tcPr>
            <w:tcW w:w="1000" w:type="dxa"/>
            <w:vAlign w:val="bottom"/>
          </w:tcPr>
          <w:p>
            <w:pPr>
              <w:jc w:val="right"/>
              <w:spacing w:after="0"/>
              <w:rPr>
                <w:sz w:val="20"/>
                <w:szCs w:val="20"/>
                <w:color w:val="auto"/>
              </w:rPr>
            </w:pPr>
            <w:r>
              <w:rPr>
                <w:rFonts w:ascii="Arial" w:cs="Arial" w:eastAsia="Arial" w:hAnsi="Arial"/>
                <w:sz w:val="14"/>
                <w:szCs w:val="14"/>
                <w:color w:val="auto"/>
              </w:rPr>
              <w:t>7.0 %</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372</w:t>
            </w:r>
          </w:p>
        </w:tc>
        <w:tc>
          <w:tcPr>
            <w:tcW w:w="320" w:type="dxa"/>
            <w:vAlign w:val="bottom"/>
            <w:gridSpan w:val="2"/>
          </w:tcPr>
          <w:p>
            <w:pPr>
              <w:jc w:val="right"/>
              <w:ind w:right="71"/>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372</w:t>
            </w:r>
          </w:p>
        </w:tc>
        <w:tc>
          <w:tcPr>
            <w:tcW w:w="320" w:type="dxa"/>
            <w:vAlign w:val="bottom"/>
            <w:gridSpan w:val="2"/>
          </w:tcPr>
          <w:p>
            <w:pPr>
              <w:jc w:val="right"/>
              <w:ind w:right="71"/>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0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Senior Notes:</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020" w:type="dxa"/>
            <w:vAlign w:val="bottom"/>
            <w:gridSpan w:val="3"/>
          </w:tcPr>
          <w:p>
            <w:pPr>
              <w:ind w:left="100"/>
              <w:spacing w:after="0"/>
              <w:rPr>
                <w:sz w:val="20"/>
                <w:szCs w:val="20"/>
                <w:color w:val="auto"/>
              </w:rPr>
            </w:pPr>
            <w:r>
              <w:rPr>
                <w:rFonts w:ascii="Arial" w:cs="Arial" w:eastAsia="Arial" w:hAnsi="Arial"/>
                <w:sz w:val="14"/>
                <w:szCs w:val="14"/>
                <w:color w:val="auto"/>
              </w:rPr>
              <w:t>4.375% Senior Notes, due 2023</w:t>
            </w:r>
          </w:p>
        </w:tc>
        <w:tc>
          <w:tcPr>
            <w:tcW w:w="1000" w:type="dxa"/>
            <w:vAlign w:val="bottom"/>
          </w:tcPr>
          <w:p>
            <w:pPr>
              <w:jc w:val="right"/>
              <w:spacing w:after="0"/>
              <w:rPr>
                <w:sz w:val="20"/>
                <w:szCs w:val="20"/>
                <w:color w:val="auto"/>
              </w:rPr>
            </w:pPr>
            <w:r>
              <w:rPr>
                <w:rFonts w:ascii="Arial" w:cs="Arial" w:eastAsia="Arial" w:hAnsi="Arial"/>
                <w:sz w:val="14"/>
                <w:szCs w:val="14"/>
                <w:color w:val="auto"/>
              </w:rPr>
              <w:t>4.5 %</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90"/>
        </w:trPr>
        <w:tc>
          <w:tcPr>
            <w:tcW w:w="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0"/>
              </w:rPr>
              <w:t>4.15%</w:t>
            </w: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Senior Notes, due 2024</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4.6 %</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w:t>
            </w:r>
          </w:p>
        </w:tc>
        <w:tc>
          <w:tcPr>
            <w:tcW w:w="0" w:type="dxa"/>
            <w:vAlign w:val="bottom"/>
          </w:tcPr>
          <w:p>
            <w:pPr>
              <w:spacing w:after="0"/>
              <w:rPr>
                <w:sz w:val="1"/>
                <w:szCs w:val="1"/>
                <w:color w:val="auto"/>
              </w:rPr>
            </w:pPr>
          </w:p>
        </w:tc>
      </w:tr>
      <w:tr>
        <w:trPr>
          <w:trHeight w:val="184"/>
        </w:trPr>
        <w:tc>
          <w:tcPr>
            <w:tcW w:w="500" w:type="dxa"/>
            <w:vAlign w:val="bottom"/>
            <w:gridSpan w:val="2"/>
          </w:tcPr>
          <w:p>
            <w:pPr>
              <w:ind w:left="120"/>
              <w:spacing w:after="0"/>
              <w:rPr>
                <w:sz w:val="20"/>
                <w:szCs w:val="20"/>
                <w:color w:val="auto"/>
              </w:rPr>
            </w:pPr>
            <w:r>
              <w:rPr>
                <w:rFonts w:ascii="Arial" w:cs="Arial" w:eastAsia="Arial" w:hAnsi="Arial"/>
                <w:sz w:val="14"/>
                <w:szCs w:val="14"/>
                <w:color w:val="auto"/>
                <w:w w:val="90"/>
              </w:rPr>
              <w:t>3.20%</w:t>
            </w:r>
          </w:p>
        </w:tc>
        <w:tc>
          <w:tcPr>
            <w:tcW w:w="2540" w:type="dxa"/>
            <w:vAlign w:val="bottom"/>
            <w:gridSpan w:val="2"/>
          </w:tcPr>
          <w:p>
            <w:pPr>
              <w:ind w:left="20"/>
              <w:spacing w:after="0"/>
              <w:rPr>
                <w:sz w:val="20"/>
                <w:szCs w:val="20"/>
                <w:color w:val="auto"/>
              </w:rPr>
            </w:pPr>
            <w:r>
              <w:rPr>
                <w:rFonts w:ascii="Arial" w:cs="Arial" w:eastAsia="Arial" w:hAnsi="Arial"/>
                <w:sz w:val="14"/>
                <w:szCs w:val="14"/>
                <w:color w:val="auto"/>
              </w:rPr>
              <w:t>Senior Notes, due 2025</w:t>
            </w:r>
          </w:p>
        </w:tc>
        <w:tc>
          <w:tcPr>
            <w:tcW w:w="1000" w:type="dxa"/>
            <w:vAlign w:val="bottom"/>
          </w:tcPr>
          <w:p>
            <w:pPr>
              <w:jc w:val="right"/>
              <w:spacing w:after="0"/>
              <w:rPr>
                <w:sz w:val="20"/>
                <w:szCs w:val="20"/>
                <w:color w:val="auto"/>
              </w:rPr>
            </w:pPr>
            <w:r>
              <w:rPr>
                <w:rFonts w:ascii="Arial" w:cs="Arial" w:eastAsia="Arial" w:hAnsi="Arial"/>
                <w:sz w:val="14"/>
                <w:szCs w:val="14"/>
                <w:color w:val="auto"/>
              </w:rPr>
              <w:t>3.4 %</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498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498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471</w:t>
            </w:r>
          </w:p>
        </w:tc>
        <w:tc>
          <w:tcPr>
            <w:tcW w:w="0" w:type="dxa"/>
            <w:vAlign w:val="bottom"/>
          </w:tcPr>
          <w:p>
            <w:pPr>
              <w:spacing w:after="0"/>
              <w:rPr>
                <w:sz w:val="1"/>
                <w:szCs w:val="1"/>
                <w:color w:val="auto"/>
              </w:rPr>
            </w:pPr>
          </w:p>
        </w:tc>
      </w:tr>
      <w:tr>
        <w:trPr>
          <w:trHeight w:val="203"/>
        </w:trPr>
        <w:tc>
          <w:tcPr>
            <w:tcW w:w="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0"/>
              </w:rPr>
              <w:t>3.45%</w:t>
            </w: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Senior Notes, due 2026</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3.5 %</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w:t>
            </w:r>
          </w:p>
        </w:tc>
        <w:tc>
          <w:tcPr>
            <w:tcW w:w="0" w:type="dxa"/>
            <w:vAlign w:val="bottom"/>
          </w:tcPr>
          <w:p>
            <w:pPr>
              <w:spacing w:after="0"/>
              <w:rPr>
                <w:sz w:val="1"/>
                <w:szCs w:val="1"/>
                <w:color w:val="auto"/>
              </w:rPr>
            </w:pPr>
          </w:p>
        </w:tc>
      </w:tr>
      <w:tr>
        <w:trPr>
          <w:trHeight w:val="177"/>
        </w:trPr>
        <w:tc>
          <w:tcPr>
            <w:tcW w:w="500" w:type="dxa"/>
            <w:vAlign w:val="bottom"/>
            <w:gridSpan w:val="2"/>
          </w:tcPr>
          <w:p>
            <w:pPr>
              <w:ind w:left="120"/>
              <w:spacing w:after="0"/>
              <w:rPr>
                <w:sz w:val="20"/>
                <w:szCs w:val="20"/>
                <w:color w:val="auto"/>
              </w:rPr>
            </w:pPr>
            <w:r>
              <w:rPr>
                <w:rFonts w:ascii="Arial" w:cs="Arial" w:eastAsia="Arial" w:hAnsi="Arial"/>
                <w:sz w:val="14"/>
                <w:szCs w:val="14"/>
                <w:color w:val="auto"/>
                <w:w w:val="90"/>
              </w:rPr>
              <w:t>1.25%</w:t>
            </w:r>
          </w:p>
        </w:tc>
        <w:tc>
          <w:tcPr>
            <w:tcW w:w="2540" w:type="dxa"/>
            <w:vAlign w:val="bottom"/>
            <w:gridSpan w:val="2"/>
          </w:tcPr>
          <w:p>
            <w:pPr>
              <w:ind w:left="20"/>
              <w:spacing w:after="0"/>
              <w:rPr>
                <w:sz w:val="20"/>
                <w:szCs w:val="20"/>
                <w:color w:val="auto"/>
              </w:rPr>
            </w:pPr>
            <w:r>
              <w:rPr>
                <w:rFonts w:ascii="Arial" w:cs="Arial" w:eastAsia="Arial" w:hAnsi="Arial"/>
                <w:sz w:val="14"/>
                <w:szCs w:val="14"/>
                <w:color w:val="auto"/>
              </w:rPr>
              <w:t>Senior Notes (EUR), due 2027</w:t>
            </w:r>
          </w:p>
        </w:tc>
        <w:tc>
          <w:tcPr>
            <w:tcW w:w="1000" w:type="dxa"/>
            <w:vAlign w:val="bottom"/>
          </w:tcPr>
          <w:p>
            <w:pPr>
              <w:jc w:val="right"/>
              <w:spacing w:after="0"/>
              <w:rPr>
                <w:sz w:val="20"/>
                <w:szCs w:val="20"/>
                <w:color w:val="auto"/>
              </w:rPr>
            </w:pPr>
            <w:r>
              <w:rPr>
                <w:rFonts w:ascii="Arial" w:cs="Arial" w:eastAsia="Arial" w:hAnsi="Arial"/>
                <w:sz w:val="14"/>
                <w:szCs w:val="14"/>
                <w:color w:val="auto"/>
              </w:rPr>
              <w:t>1.5 %</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540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529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196"/>
        </w:trPr>
        <w:tc>
          <w:tcPr>
            <w:tcW w:w="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0"/>
              </w:rPr>
              <w:t>4.70%</w:t>
            </w: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Senior Notes, due 2028</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1,201</w:t>
            </w:r>
          </w:p>
        </w:tc>
        <w:tc>
          <w:tcPr>
            <w:tcW w:w="0" w:type="dxa"/>
            <w:vAlign w:val="bottom"/>
          </w:tcPr>
          <w:p>
            <w:pPr>
              <w:spacing w:after="0"/>
              <w:rPr>
                <w:sz w:val="1"/>
                <w:szCs w:val="1"/>
                <w:color w:val="auto"/>
              </w:rPr>
            </w:pPr>
          </w:p>
        </w:tc>
      </w:tr>
      <w:tr>
        <w:trPr>
          <w:trHeight w:val="186"/>
        </w:trPr>
        <w:tc>
          <w:tcPr>
            <w:tcW w:w="304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Other Borrowings</w:t>
            </w:r>
          </w:p>
        </w:tc>
        <w:tc>
          <w:tcPr>
            <w:tcW w:w="10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020" w:type="dxa"/>
            <w:vAlign w:val="bottom"/>
            <w:gridSpan w:val="3"/>
            <w:shd w:val="clear" w:color="auto" w:fill="CCEEFF"/>
          </w:tcPr>
          <w:p>
            <w:pPr>
              <w:ind w:left="420"/>
              <w:spacing w:after="0"/>
              <w:rPr>
                <w:sz w:val="20"/>
                <w:szCs w:val="20"/>
                <w:color w:val="auto"/>
              </w:rPr>
            </w:pPr>
            <w:r>
              <w:rPr>
                <w:rFonts w:ascii="Arial" w:cs="Arial" w:eastAsia="Arial" w:hAnsi="Arial"/>
                <w:sz w:val="14"/>
                <w:szCs w:val="14"/>
                <w:color w:val="auto"/>
              </w:rPr>
              <w:t>Total</w:t>
            </w: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3,801</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3020" w:type="dxa"/>
            <w:vAlign w:val="bottom"/>
            <w:tcBorders>
              <w:bottom w:val="single" w:sz="8" w:color="CCEEFF"/>
            </w:tcBorders>
            <w:gridSpan w:val="3"/>
          </w:tcPr>
          <w:p>
            <w:pPr>
              <w:ind w:left="420"/>
              <w:spacing w:after="0"/>
              <w:rPr>
                <w:sz w:val="20"/>
                <w:szCs w:val="20"/>
                <w:color w:val="auto"/>
              </w:rPr>
            </w:pPr>
            <w:r>
              <w:rPr>
                <w:rFonts w:ascii="Arial" w:cs="Arial" w:eastAsia="Arial" w:hAnsi="Arial"/>
                <w:sz w:val="14"/>
                <w:szCs w:val="14"/>
                <w:color w:val="auto"/>
              </w:rPr>
              <w:t>Less: current portion</w:t>
            </w:r>
          </w:p>
        </w:tc>
        <w:tc>
          <w:tcPr>
            <w:tcW w:w="10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3020" w:type="dxa"/>
            <w:vAlign w:val="bottom"/>
            <w:tcBorders>
              <w:bottom w:val="single" w:sz="8" w:color="CCEEFF"/>
            </w:tcBorders>
            <w:gridSpan w:val="3"/>
            <w:shd w:val="clear" w:color="auto" w:fill="CCEEFF"/>
          </w:tcPr>
          <w:p>
            <w:pPr>
              <w:ind w:left="420"/>
              <w:spacing w:after="0"/>
              <w:rPr>
                <w:sz w:val="20"/>
                <w:szCs w:val="20"/>
                <w:color w:val="auto"/>
              </w:rPr>
            </w:pPr>
            <w:r>
              <w:rPr>
                <w:rFonts w:ascii="Arial" w:cs="Arial" w:eastAsia="Arial" w:hAnsi="Arial"/>
                <w:sz w:val="14"/>
                <w:szCs w:val="14"/>
                <w:color w:val="auto"/>
              </w:rPr>
              <w:t>Long-term portion</w:t>
            </w: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3,751</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1. See Note 13 for information on the fair value measurement of the Company's long-term debt.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Variances between Face Value and Book Value are the result of unamortized discounts and debt issuance fees as well as foreign exchange on the Euro Notes.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Amortization of discounts and debt issuance fees are included in the calculation of Effective Interest Rate.</w:t>
      </w:r>
    </w:p>
    <w:p>
      <w:pPr>
        <w:spacing w:after="0" w:line="103" w:lineRule="exact"/>
        <w:rPr>
          <w:sz w:val="20"/>
          <w:szCs w:val="20"/>
          <w:color w:val="auto"/>
        </w:rPr>
      </w:pPr>
    </w:p>
    <w:p>
      <w:pPr>
        <w:ind w:firstLine="464"/>
        <w:spacing w:after="0" w:line="259" w:lineRule="auto"/>
        <w:rPr>
          <w:sz w:val="20"/>
          <w:szCs w:val="20"/>
          <w:color w:val="auto"/>
        </w:rPr>
      </w:pPr>
      <w:r>
        <w:rPr>
          <w:rFonts w:ascii="Arial" w:cs="Arial" w:eastAsia="Arial" w:hAnsi="Arial"/>
          <w:sz w:val="17"/>
          <w:szCs w:val="17"/>
          <w:color w:val="auto"/>
        </w:rPr>
        <w:t>For those debt securities that have a premium or discount at the time of issuance, the Company amortizes the amount through interest expense based on the maturity date or the first date the holders may require the Company to repurchase the debt securities, if applicable. A premium would result in a decrease in interest expense, and a discount would result in an increase in interest expense in future periods. Additionally, the Company has debt issuance costs related to certain financing transactions which are also amortized through interest expense. As of June 30, 2023 and December 31, 2022, the Company had total combined unamortized discount and debt issuance costs of $18 million and $21 million,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Agreement</w:t>
      </w:r>
    </w:p>
    <w:p>
      <w:pPr>
        <w:spacing w:after="0" w:line="114" w:lineRule="exact"/>
        <w:rPr>
          <w:sz w:val="20"/>
          <w:szCs w:val="20"/>
          <w:color w:val="auto"/>
        </w:rPr>
      </w:pPr>
    </w:p>
    <w:p>
      <w:pPr>
        <w:jc w:val="both"/>
        <w:ind w:right="180" w:firstLine="464"/>
        <w:spacing w:after="0" w:line="292" w:lineRule="auto"/>
        <w:rPr>
          <w:sz w:val="20"/>
          <w:szCs w:val="20"/>
          <w:color w:val="auto"/>
        </w:rPr>
      </w:pPr>
      <w:r>
        <w:rPr>
          <w:rFonts w:ascii="Arial" w:cs="Arial" w:eastAsia="Arial" w:hAnsi="Arial"/>
          <w:sz w:val="15"/>
          <w:szCs w:val="15"/>
          <w:color w:val="auto"/>
        </w:rPr>
        <w:t>On June 8, 2018, the Company entered into a credit agreement (“Original Credit Agreement”) consisting of (i) term loans denominated in euros and U.S. dollars ("Term Loans") and (ii) a multi-currency revolving loan facility, providing for an equivalent in U.S. dollars of up to $1.2 billion. On August 15, 2022, the Company entered into a new unsecured credit agreement ("Restated Credit Agreement"), which amended, restated and replaced the Original Credit Agreement.</w:t>
      </w:r>
    </w:p>
    <w:p>
      <w:pPr>
        <w:ind w:right="20"/>
        <w:spacing w:after="0" w:line="274" w:lineRule="auto"/>
        <w:rPr>
          <w:sz w:val="20"/>
          <w:szCs w:val="20"/>
          <w:color w:val="auto"/>
        </w:rPr>
      </w:pPr>
      <w:r>
        <w:rPr>
          <w:rFonts w:ascii="Arial" w:cs="Arial" w:eastAsia="Arial" w:hAnsi="Arial"/>
          <w:sz w:val="16"/>
          <w:szCs w:val="16"/>
          <w:color w:val="auto"/>
        </w:rPr>
        <w:t>The Restated Credit Agreement is with a syndicate of lenders and provides for borrowings consisting of (i) a multi-currency revolving credit facility, providing for an equivalent in U.S. dollars of up to $1.5 billion (the “Revolving Credit Facility”) and (ii) a new $250 million delayed draw term loan facility (the “Delayed Draw Term Loan”), all pursuant to the terms and conditions of the Restated Credit Agreement (which are substantially similar with the terms of the Original Credit Agreement). The Restated Credit Agreement allows the Company to request, at prevailing market rates, an aggregate amount not to exceed $750 million, (a) increases to the borrowing commitments under the Revolving Credit Facility and/or (b) new incremental term loan commitments. The agreement contains affirmative, negative and financial covenants, and events of default customary for facilities of this type.</w:t>
      </w:r>
    </w:p>
    <w:p>
      <w:pPr>
        <w:spacing w:after="0" w:line="70" w:lineRule="exact"/>
        <w:rPr>
          <w:sz w:val="20"/>
          <w:szCs w:val="20"/>
          <w:color w:val="auto"/>
        </w:rPr>
      </w:pPr>
    </w:p>
    <w:p>
      <w:pPr>
        <w:ind w:right="20" w:firstLine="464"/>
        <w:spacing w:after="0" w:line="279" w:lineRule="auto"/>
        <w:rPr>
          <w:sz w:val="20"/>
          <w:szCs w:val="20"/>
          <w:color w:val="auto"/>
        </w:rPr>
      </w:pPr>
      <w:r>
        <w:rPr>
          <w:rFonts w:ascii="Arial" w:cs="Arial" w:eastAsia="Arial" w:hAnsi="Arial"/>
          <w:sz w:val="16"/>
          <w:szCs w:val="16"/>
          <w:color w:val="auto"/>
        </w:rPr>
        <w:t>The Revolving Credit Facility matures on August 15, 2027. The Delayed Draw Term Loan is available for borrowings until February 15, 2024 and any borrowings under the Delayed Draw Term Loan will mature on August 15, 2027. Amounts borrowed and repaid under the Delayed Draw Term Loan may not be reborrowed. The applicable interest rate for borrowings under the Restated Credit Agreement includes a base rate (per the Interest Election terms of the agreement) plus an interest rate spread up to 1.75% based on the lower of the pricing corresponding to (i) the Company’s financial leverage or (ii) the Company’s public rating. Obligations under the Restated Credit Agreement have been guaranteed by certain of the Company’s subsidiaries.</w:t>
      </w:r>
    </w:p>
    <w:p>
      <w:pPr>
        <w:spacing w:after="0" w:line="65" w:lineRule="exact"/>
        <w:rPr>
          <w:sz w:val="20"/>
          <w:szCs w:val="20"/>
          <w:color w:val="auto"/>
        </w:rPr>
      </w:pPr>
    </w:p>
    <w:p>
      <w:pPr>
        <w:ind w:right="240" w:firstLine="464"/>
        <w:spacing w:after="0" w:line="262" w:lineRule="auto"/>
        <w:rPr>
          <w:sz w:val="20"/>
          <w:szCs w:val="20"/>
          <w:color w:val="auto"/>
        </w:rPr>
      </w:pPr>
      <w:r>
        <w:rPr>
          <w:rFonts w:ascii="Arial" w:cs="Arial" w:eastAsia="Arial" w:hAnsi="Arial"/>
          <w:sz w:val="17"/>
          <w:szCs w:val="17"/>
          <w:color w:val="auto"/>
        </w:rPr>
        <w:t>Under the Restated Credit Agreement, the Company has agreed to maintain an Interest Coverage Ratio of at least 3.0 to 1.0, and a Leverage Ratio not to exceed 3.5 to 1.0. The Interest Coverage Ratio is defined as EBITDA (earnings before interest, taxes, depreciation, and amortization) to Interest Expense for the four quarters then ended. The Leverage Ratio is defined as Net Debt as of the last day of such fiscal quarter to EBITDA for the four quarters then ended. Additionally, the Company may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spacing w:after="0"/>
        <w:rPr>
          <w:sz w:val="20"/>
          <w:szCs w:val="20"/>
          <w:color w:val="auto"/>
        </w:rPr>
      </w:pPr>
      <w:r>
        <w:rPr>
          <w:rFonts w:ascii="Arial" w:cs="Arial" w:eastAsia="Arial" w:hAnsi="Arial"/>
          <w:sz w:val="15"/>
          <w:szCs w:val="15"/>
          <w:color w:val="auto"/>
        </w:rPr>
        <w:t>submit a request for an increased maximum Leverage Ratio in contemplation of a Material Acquisition. All terms are as defined in the Restated Credit Agreement.</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was in compliance with all financial covenants in the Restated Credit Agreement as of June 30, 2023.</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availability under the Restated Credit Agreement at June 30, 2023:</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6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
        </w:trPr>
        <w:tc>
          <w:tcPr>
            <w:tcW w:w="9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9"/>
        </w:trPr>
        <w:tc>
          <w:tcPr>
            <w:tcW w:w="9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Maximum Revolving Credit Facility Availability</w:t>
            </w:r>
          </w:p>
        </w:tc>
        <w:tc>
          <w:tcPr>
            <w:tcW w:w="72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1,500</w:t>
            </w:r>
          </w:p>
        </w:tc>
      </w:tr>
      <w:tr>
        <w:trPr>
          <w:trHeight w:val="203"/>
        </w:trPr>
        <w:tc>
          <w:tcPr>
            <w:tcW w:w="9600" w:type="dxa"/>
            <w:vAlign w:val="bottom"/>
          </w:tcPr>
          <w:p>
            <w:pPr>
              <w:ind w:left="20"/>
              <w:spacing w:after="0"/>
              <w:rPr>
                <w:sz w:val="20"/>
                <w:szCs w:val="20"/>
                <w:color w:val="auto"/>
              </w:rPr>
            </w:pPr>
            <w:r>
              <w:rPr>
                <w:rFonts w:ascii="Arial" w:cs="Arial" w:eastAsia="Arial" w:hAnsi="Arial"/>
                <w:sz w:val="15"/>
                <w:szCs w:val="15"/>
                <w:color w:val="auto"/>
              </w:rPr>
              <w:t>Delayed Draw Term Loan</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250</w:t>
            </w:r>
          </w:p>
        </w:tc>
      </w:tr>
      <w:tr>
        <w:trPr>
          <w:trHeight w:val="209"/>
        </w:trPr>
        <w:tc>
          <w:tcPr>
            <w:tcW w:w="9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Outstanding Borrowings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(372)</w:t>
            </w:r>
          </w:p>
        </w:tc>
      </w:tr>
      <w:tr>
        <w:trPr>
          <w:trHeight w:val="203"/>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Letters of Credit Under Credit Agreement</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202"/>
        </w:trPr>
        <w:tc>
          <w:tcPr>
            <w:tcW w:w="9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Availability</w:t>
            </w:r>
          </w:p>
        </w:tc>
        <w:tc>
          <w:tcPr>
            <w:tcW w:w="72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1,377</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Senior Notes</w:t>
      </w:r>
    </w:p>
    <w:p>
      <w:pPr>
        <w:spacing w:after="0" w:line="114" w:lineRule="exact"/>
        <w:rPr>
          <w:sz w:val="20"/>
          <w:szCs w:val="20"/>
          <w:color w:val="auto"/>
        </w:rPr>
      </w:pPr>
    </w:p>
    <w:p>
      <w:pPr>
        <w:ind w:right="220" w:firstLine="464"/>
        <w:spacing w:after="0" w:line="294" w:lineRule="auto"/>
        <w:rPr>
          <w:sz w:val="20"/>
          <w:szCs w:val="20"/>
          <w:color w:val="auto"/>
        </w:rPr>
      </w:pPr>
      <w:r>
        <w:rPr>
          <w:rFonts w:ascii="Arial" w:cs="Arial" w:eastAsia="Arial" w:hAnsi="Arial"/>
          <w:sz w:val="15"/>
          <w:szCs w:val="15"/>
          <w:color w:val="auto"/>
        </w:rPr>
        <w:t>The Company or its subsidiaries may issue senior notes from time to time. These notes are comprised of our 4.375% Senior Notes due 2023 (the "2023 Notes"), 4.15% Senior Notes due 2024 (the "2024 Notes"), 3.20% Senior Notes due 2025 (the "2025 Notes"), 3.45% Senior Notes due 2026 (the "2026 Notes"),</w:t>
      </w:r>
    </w:p>
    <w:p>
      <w:pPr>
        <w:spacing w:after="0" w:line="1"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1.25% Senior Notes (EUR) due 2027 (the "Euro Notes"), and 4.70% Senior Notes due 2028 (the "2028 Notes"). The 2023 Notes, 2024 Notes, 2025 Notes, 2026 Notes and 2028 Notes are the “US Notes”, and collectively with the Euro Notes, the “Senior Notes.” Interest on the US Notes is payable semi-annually and interest on the Euro Notes is paid annually. Each series of the Senior Notes may be redeemed at any time in whole or from time to time in part in accordance with the provisions of the indenture, under which such series of notes was issued. Each of the Senior Notes may be redeemed at a redemption price of 100% of the principal amount plus a specified make-whole premium and accrued interest. The US Notes and the Company's guarantee of the Euro Notes are senior unsecured obligations of the Company and rank pari passu with all existing and future senior debt, and are senior to all existing and future subordinated indebtedness of the Company.</w:t>
      </w:r>
    </w:p>
    <w:p>
      <w:pPr>
        <w:spacing w:after="0" w:line="54" w:lineRule="exact"/>
        <w:rPr>
          <w:sz w:val="20"/>
          <w:szCs w:val="20"/>
          <w:color w:val="auto"/>
        </w:rPr>
      </w:pPr>
    </w:p>
    <w:p>
      <w:pPr>
        <w:ind w:right="120" w:firstLine="464"/>
        <w:spacing w:after="0" w:line="279" w:lineRule="auto"/>
        <w:rPr>
          <w:sz w:val="20"/>
          <w:szCs w:val="20"/>
          <w:color w:val="auto"/>
        </w:rPr>
      </w:pPr>
      <w:r>
        <w:rPr>
          <w:rFonts w:ascii="Arial" w:cs="Arial" w:eastAsia="Arial" w:hAnsi="Arial"/>
          <w:sz w:val="17"/>
          <w:szCs w:val="17"/>
          <w:color w:val="auto"/>
        </w:rPr>
        <w:t>Beginning September 15, 2023, the effective interest rates for the 2024 Notes and the 2028 Notes will each be reduced by 0.25% due to a favorable change in Wabtec's corporate bond rating.</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During the second quarter of 2022, the Company redeemed $25 million of principal from the 2024 Notes plus a premium and the related accrued interest.</w:t>
      </w:r>
    </w:p>
    <w:p>
      <w:pPr>
        <w:spacing w:after="0" w:line="137" w:lineRule="exact"/>
        <w:rPr>
          <w:sz w:val="20"/>
          <w:szCs w:val="20"/>
          <w:color w:val="auto"/>
        </w:rPr>
      </w:pPr>
    </w:p>
    <w:p>
      <w:pPr>
        <w:ind w:firstLine="464"/>
        <w:spacing w:after="0" w:line="302" w:lineRule="auto"/>
        <w:rPr>
          <w:sz w:val="20"/>
          <w:szCs w:val="20"/>
          <w:color w:val="auto"/>
        </w:rPr>
      </w:pPr>
      <w:r>
        <w:rPr>
          <w:rFonts w:ascii="Arial" w:cs="Arial" w:eastAsia="Arial" w:hAnsi="Arial"/>
          <w:sz w:val="15"/>
          <w:szCs w:val="15"/>
          <w:color w:val="auto"/>
        </w:rPr>
        <w:t>The indentures under which the Senior Notes were issued contain covenants and restrictions which limit, subject to certain exceptions, certain sale and leaseback transactions with respect to principal properties, the incurrence of secured debt without equally and ratably securing the Senior Notes, and certain merger and consolidation transactions. The covenants do not require the Company to maintain any financial ratios or specified levels of net worth or liquidity. The US Notes are fully and unconditionally guaranteed, jointly and severally, on an unsecured basis by each of the Company's subsidiaries that is a guarantor under the Restated Credit Agreement. The Euro Notes were issued by Wabtec Transportation Netherlands B.V. and are fully and unconditionally guaranteed by the Company.</w:t>
      </w:r>
    </w:p>
    <w:p>
      <w:pPr>
        <w:spacing w:after="0" w:line="49" w:lineRule="exact"/>
        <w:rPr>
          <w:sz w:val="20"/>
          <w:szCs w:val="20"/>
          <w:color w:val="auto"/>
        </w:rPr>
      </w:pPr>
    </w:p>
    <w:p>
      <w:pPr>
        <w:ind w:right="520" w:firstLine="464"/>
        <w:spacing w:after="0" w:line="279" w:lineRule="auto"/>
        <w:rPr>
          <w:sz w:val="20"/>
          <w:szCs w:val="20"/>
          <w:color w:val="auto"/>
        </w:rPr>
      </w:pPr>
      <w:r>
        <w:rPr>
          <w:rFonts w:ascii="Arial" w:cs="Arial" w:eastAsia="Arial" w:hAnsi="Arial"/>
          <w:sz w:val="17"/>
          <w:szCs w:val="17"/>
          <w:color w:val="auto"/>
        </w:rPr>
        <w:t>The Company is in compliance with the restrictions and covenants in the indentures under which the Senior Notes were issued and expects that these restrictions and covenants will not be any type of limiting factor in executing our operating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STOCK-BASED COMPENSATION</w:t>
      </w:r>
    </w:p>
    <w:p>
      <w:pPr>
        <w:spacing w:after="0" w:line="120" w:lineRule="exact"/>
        <w:rPr>
          <w:sz w:val="20"/>
          <w:szCs w:val="20"/>
          <w:color w:val="auto"/>
        </w:rPr>
      </w:pPr>
    </w:p>
    <w:p>
      <w:pPr>
        <w:ind w:right="140" w:firstLine="464"/>
        <w:spacing w:after="0" w:line="307" w:lineRule="auto"/>
        <w:rPr>
          <w:sz w:val="20"/>
          <w:szCs w:val="20"/>
          <w:color w:val="auto"/>
        </w:rPr>
      </w:pPr>
      <w:r>
        <w:rPr>
          <w:rFonts w:ascii="Arial" w:cs="Arial" w:eastAsia="Arial" w:hAnsi="Arial"/>
          <w:sz w:val="15"/>
          <w:szCs w:val="15"/>
          <w:color w:val="auto"/>
        </w:rPr>
        <w:t>The Company maintains employee stock-based compensation plans for stock options, restricted stock, and incentive stock units as governed by the 2011 Stock Incentive Compensation Plan, as amended and restated (the “2011 Plan”) and the 2000 Stock Incentive Plan, as amended (the “2000 Plan”). The 2011 Plan has a term through May 10, 2027, and as of June 30, 2023, the number of shares available for future grants under the 2011 Plan was approximately 4.9 million shares. The Company also maintains a 1995 Non-Employee Directors’ Fee and Stock Option Plan as amended and restated (“the Directors Plan”).</w:t>
      </w:r>
    </w:p>
    <w:p>
      <w:pPr>
        <w:spacing w:after="0" w:line="46" w:lineRule="exact"/>
        <w:rPr>
          <w:sz w:val="20"/>
          <w:szCs w:val="20"/>
          <w:color w:val="auto"/>
        </w:rPr>
      </w:pPr>
    </w:p>
    <w:p>
      <w:pPr>
        <w:jc w:val="both"/>
        <w:ind w:right="260" w:firstLine="464"/>
        <w:spacing w:after="0" w:line="266" w:lineRule="auto"/>
        <w:rPr>
          <w:sz w:val="20"/>
          <w:szCs w:val="20"/>
          <w:color w:val="auto"/>
        </w:rPr>
      </w:pPr>
      <w:r>
        <w:rPr>
          <w:rFonts w:ascii="Arial" w:cs="Arial" w:eastAsia="Arial" w:hAnsi="Arial"/>
          <w:sz w:val="17"/>
          <w:szCs w:val="17"/>
          <w:color w:val="auto"/>
        </w:rPr>
        <w:t>Stock-based compensation expense was $14 million and $26 million for the three and six months ended June 30, 2023, respectively, and $12 million and $23 million for the three and six months ended June 30, 2022, respectively. At June 30, 2023, unamortized compensation expense related to stock options, non-vested restricted shares and incentive stock units expected to vest is approximately $80 million.</w:t>
      </w:r>
    </w:p>
    <w:p>
      <w:pPr>
        <w:spacing w:after="0" w:line="72" w:lineRule="exact"/>
        <w:rPr>
          <w:sz w:val="20"/>
          <w:szCs w:val="20"/>
          <w:color w:val="auto"/>
        </w:rPr>
      </w:pPr>
    </w:p>
    <w:p>
      <w:pPr>
        <w:jc w:val="both"/>
        <w:ind w:firstLine="464"/>
        <w:spacing w:after="0" w:line="318" w:lineRule="auto"/>
        <w:rPr>
          <w:sz w:val="20"/>
          <w:szCs w:val="20"/>
          <w:color w:val="auto"/>
        </w:rPr>
      </w:pPr>
      <w:r>
        <w:rPr>
          <w:rFonts w:ascii="Arial" w:cs="Arial" w:eastAsia="Arial" w:hAnsi="Arial"/>
          <w:sz w:val="15"/>
          <w:szCs w:val="15"/>
          <w:b w:val="1"/>
          <w:bCs w:val="1"/>
          <w:i w:val="1"/>
          <w:iCs w:val="1"/>
          <w:color w:val="auto"/>
        </w:rPr>
        <w:t xml:space="preserve">Stock Options </w:t>
      </w:r>
      <w:r>
        <w:rPr>
          <w:rFonts w:ascii="Arial" w:cs="Arial" w:eastAsia="Arial" w:hAnsi="Arial"/>
          <w:sz w:val="15"/>
          <w:szCs w:val="15"/>
          <w:color w:val="auto"/>
        </w:rPr>
        <w:t>Stock options are granted to eligible employees and directors at an exercise price equal to fair market value, which is the average of the high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low Wabtec stock price on the date of grant. Under the 2011 Plan and the 2000 Plan, options become exercisable over a three-year vesting period and expire 10 years from the date of grant. No stock options were granted during the six months ended June 30, 2023 or the twelve months ended December 31, 2022.</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6" w:name="page17"/>
    <w:bookmarkEnd w:id="16"/>
    <w:p>
      <w:pPr>
        <w:ind w:right="40" w:firstLine="464"/>
        <w:spacing w:after="0" w:line="270" w:lineRule="auto"/>
        <w:rPr>
          <w:sz w:val="20"/>
          <w:szCs w:val="20"/>
          <w:color w:val="auto"/>
        </w:rPr>
      </w:pPr>
      <w:r>
        <w:rPr>
          <w:rFonts w:ascii="Arial" w:cs="Arial" w:eastAsia="Arial" w:hAnsi="Arial"/>
          <w:sz w:val="17"/>
          <w:szCs w:val="17"/>
          <w:color w:val="auto"/>
        </w:rPr>
        <w:t>The following table summarizes the Company’s stock option activity and related information for the 2011 Plan, the 2000 Plan and the Directors Plan for the six months ended June 30, 2023:</w:t>
      </w:r>
    </w:p>
    <w:tbl>
      <w:tblPr>
        <w:tblLayout w:type="fixed"/>
        <w:tblInd w:w="0" w:type="dxa"/>
        <w:tblCellMar>
          <w:top w:w="0" w:type="dxa"/>
          <w:left w:w="0" w:type="dxa"/>
          <w:bottom w:w="0" w:type="dxa"/>
          <w:right w:w="0" w:type="dxa"/>
        </w:tblCellMar>
      </w:tblPr>
      <w:tr>
        <w:trPr>
          <w:trHeight w:val="143"/>
        </w:trPr>
        <w:tc>
          <w:tcPr>
            <w:tcW w:w="4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left="391"/>
              <w:spacing w:after="0" w:line="143" w:lineRule="exact"/>
              <w:rPr>
                <w:sz w:val="20"/>
                <w:szCs w:val="20"/>
                <w:color w:val="auto"/>
              </w:rPr>
            </w:pPr>
            <w:r>
              <w:rPr>
                <w:rFonts w:ascii="Arial" w:cs="Arial" w:eastAsia="Arial" w:hAnsi="Arial"/>
                <w:sz w:val="14"/>
                <w:szCs w:val="14"/>
                <w:b w:val="1"/>
                <w:bCs w:val="1"/>
                <w:color w:val="auto"/>
                <w:w w:val="88"/>
              </w:rPr>
              <w:t>Weighted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Weighted</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vMerge w:val="restart"/>
          </w:tcPr>
          <w:p>
            <w:pPr>
              <w:jc w:val="center"/>
              <w:ind w:right="163"/>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64"/>
        </w:trPr>
        <w:tc>
          <w:tcPr>
            <w:tcW w:w="48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restart"/>
          </w:tcPr>
          <w:p>
            <w:pPr>
              <w:jc w:val="center"/>
              <w:ind w:left="391"/>
              <w:spacing w:after="0" w:line="139" w:lineRule="exact"/>
              <w:rPr>
                <w:sz w:val="20"/>
                <w:szCs w:val="20"/>
                <w:color w:val="auto"/>
              </w:rPr>
            </w:pPr>
            <w:r>
              <w:rPr>
                <w:rFonts w:ascii="Arial" w:cs="Arial" w:eastAsia="Arial" w:hAnsi="Arial"/>
                <w:sz w:val="14"/>
                <w:szCs w:val="14"/>
                <w:b w:val="1"/>
                <w:bCs w:val="1"/>
                <w:color w:val="auto"/>
                <w:w w:val="86"/>
              </w:rPr>
              <w:t>Average</w:t>
            </w: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4800" w:type="dxa"/>
            <w:vAlign w:val="bottom"/>
          </w:tcPr>
          <w:p>
            <w:pPr>
              <w:spacing w:after="0"/>
              <w:rPr>
                <w:sz w:val="6"/>
                <w:szCs w:val="6"/>
                <w:color w:val="auto"/>
              </w:rPr>
            </w:pPr>
          </w:p>
        </w:tc>
        <w:tc>
          <w:tcPr>
            <w:tcW w:w="1500" w:type="dxa"/>
            <w:vAlign w:val="bottom"/>
            <w:vMerge w:val="restart"/>
          </w:tcPr>
          <w:p>
            <w:pPr>
              <w:jc w:val="right"/>
              <w:ind w:right="437"/>
              <w:spacing w:after="0" w:line="142" w:lineRule="exact"/>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20" w:type="dxa"/>
            <w:vAlign w:val="bottom"/>
            <w:vMerge w:val="restart"/>
          </w:tcPr>
          <w:p>
            <w:pPr>
              <w:jc w:val="center"/>
              <w:ind w:right="143"/>
              <w:spacing w:after="0" w:line="142" w:lineRule="exact"/>
              <w:rPr>
                <w:sz w:val="20"/>
                <w:szCs w:val="20"/>
                <w:color w:val="auto"/>
              </w:rPr>
            </w:pPr>
            <w:r>
              <w:rPr>
                <w:rFonts w:ascii="Arial" w:cs="Arial" w:eastAsia="Arial" w:hAnsi="Arial"/>
                <w:sz w:val="14"/>
                <w:szCs w:val="14"/>
                <w:b w:val="1"/>
                <w:bCs w:val="1"/>
                <w:color w:val="auto"/>
                <w:w w:val="91"/>
              </w:rPr>
              <w:t>Intrinsic value</w:t>
            </w:r>
          </w:p>
        </w:tc>
        <w:tc>
          <w:tcPr>
            <w:tcW w:w="0" w:type="dxa"/>
            <w:vAlign w:val="bottom"/>
          </w:tcPr>
          <w:p>
            <w:pPr>
              <w:spacing w:after="0"/>
              <w:rPr>
                <w:sz w:val="1"/>
                <w:szCs w:val="1"/>
                <w:color w:val="auto"/>
              </w:rPr>
            </w:pPr>
          </w:p>
        </w:tc>
      </w:tr>
      <w:tr>
        <w:trPr>
          <w:trHeight w:val="68"/>
        </w:trPr>
        <w:tc>
          <w:tcPr>
            <w:tcW w:w="480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restart"/>
          </w:tcPr>
          <w:p>
            <w:pPr>
              <w:jc w:val="center"/>
              <w:ind w:left="391"/>
              <w:spacing w:after="0" w:line="133" w:lineRule="exact"/>
              <w:rPr>
                <w:sz w:val="20"/>
                <w:szCs w:val="20"/>
                <w:color w:val="auto"/>
              </w:rPr>
            </w:pPr>
            <w:r>
              <w:rPr>
                <w:rFonts w:ascii="Arial" w:cs="Arial" w:eastAsia="Arial" w:hAnsi="Arial"/>
                <w:sz w:val="14"/>
                <w:szCs w:val="14"/>
                <w:b w:val="1"/>
                <w:bCs w:val="1"/>
                <w:color w:val="auto"/>
                <w:w w:val="83"/>
              </w:rPr>
              <w:t>Exercise</w:t>
            </w: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vMerge w:val="restart"/>
          </w:tcPr>
          <w:p>
            <w:pPr>
              <w:jc w:val="center"/>
              <w:spacing w:after="0" w:line="133" w:lineRule="exact"/>
              <w:rPr>
                <w:sz w:val="20"/>
                <w:szCs w:val="20"/>
                <w:color w:val="auto"/>
              </w:rPr>
            </w:pPr>
            <w:r>
              <w:rPr>
                <w:rFonts w:ascii="Arial" w:cs="Arial" w:eastAsia="Arial" w:hAnsi="Arial"/>
                <w:sz w:val="14"/>
                <w:szCs w:val="14"/>
                <w:b w:val="1"/>
                <w:bCs w:val="1"/>
                <w:color w:val="auto"/>
                <w:w w:val="89"/>
              </w:rPr>
              <w:t>Remaining</w:t>
            </w: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48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20" w:type="dxa"/>
            <w:vAlign w:val="bottom"/>
            <w:vMerge w:val="restart"/>
          </w:tcPr>
          <w:p>
            <w:pPr>
              <w:jc w:val="center"/>
              <w:ind w:right="143"/>
              <w:spacing w:after="0"/>
              <w:rPr>
                <w:sz w:val="20"/>
                <w:szCs w:val="20"/>
                <w:color w:val="auto"/>
              </w:rPr>
            </w:pPr>
            <w:r>
              <w:rPr>
                <w:rFonts w:ascii="Arial" w:cs="Arial" w:eastAsia="Arial" w:hAnsi="Arial"/>
                <w:sz w:val="14"/>
                <w:szCs w:val="14"/>
                <w:b w:val="1"/>
                <w:bCs w:val="1"/>
                <w:color w:val="auto"/>
                <w:w w:val="89"/>
              </w:rPr>
              <w:t>(in millions)</w:t>
            </w:r>
          </w:p>
        </w:tc>
        <w:tc>
          <w:tcPr>
            <w:tcW w:w="0" w:type="dxa"/>
            <w:vAlign w:val="bottom"/>
          </w:tcPr>
          <w:p>
            <w:pPr>
              <w:spacing w:after="0"/>
              <w:rPr>
                <w:sz w:val="1"/>
                <w:szCs w:val="1"/>
                <w:color w:val="auto"/>
              </w:rPr>
            </w:pPr>
          </w:p>
        </w:tc>
      </w:tr>
      <w:tr>
        <w:trPr>
          <w:trHeight w:val="114"/>
        </w:trPr>
        <w:tc>
          <w:tcPr>
            <w:tcW w:w="48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restart"/>
          </w:tcPr>
          <w:p>
            <w:pPr>
              <w:jc w:val="center"/>
              <w:ind w:left="391"/>
              <w:spacing w:after="0"/>
              <w:rPr>
                <w:sz w:val="20"/>
                <w:szCs w:val="20"/>
                <w:color w:val="auto"/>
              </w:rPr>
            </w:pPr>
            <w:r>
              <w:rPr>
                <w:rFonts w:ascii="Arial" w:cs="Arial" w:eastAsia="Arial" w:hAnsi="Arial"/>
                <w:sz w:val="14"/>
                <w:szCs w:val="14"/>
                <w:b w:val="1"/>
                <w:bCs w:val="1"/>
                <w:color w:val="auto"/>
                <w:w w:val="93"/>
              </w:rPr>
              <w:t>Price</w:t>
            </w: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Contractual Life</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48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48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at December 31, 2022</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399,938</w:t>
            </w:r>
          </w:p>
        </w:tc>
        <w:tc>
          <w:tcPr>
            <w:tcW w:w="1180" w:type="dxa"/>
            <w:vAlign w:val="bottom"/>
            <w:gridSpan w:val="2"/>
            <w:shd w:val="clear" w:color="auto" w:fill="CCEEFF"/>
          </w:tcPr>
          <w:p>
            <w:pPr>
              <w:jc w:val="right"/>
              <w:ind w:right="891"/>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77.32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8"/>
        </w:trPr>
        <w:tc>
          <w:tcPr>
            <w:tcW w:w="4800" w:type="dxa"/>
            <w:vAlign w:val="bottom"/>
          </w:tcPr>
          <w:p>
            <w:pPr>
              <w:ind w:left="260"/>
              <w:spacing w:after="0"/>
              <w:rPr>
                <w:sz w:val="20"/>
                <w:szCs w:val="20"/>
                <w:color w:val="auto"/>
              </w:rPr>
            </w:pPr>
            <w:r>
              <w:rPr>
                <w:rFonts w:ascii="Arial" w:cs="Arial" w:eastAsia="Arial" w:hAnsi="Arial"/>
                <w:sz w:val="17"/>
                <w:szCs w:val="17"/>
                <w:color w:val="auto"/>
              </w:rPr>
              <w:t>Exercised</w:t>
            </w:r>
          </w:p>
        </w:tc>
        <w:tc>
          <w:tcPr>
            <w:tcW w:w="1500" w:type="dxa"/>
            <w:vAlign w:val="bottom"/>
          </w:tcPr>
          <w:p>
            <w:pPr>
              <w:jc w:val="right"/>
              <w:spacing w:after="0"/>
              <w:rPr>
                <w:sz w:val="20"/>
                <w:szCs w:val="20"/>
                <w:color w:val="auto"/>
              </w:rPr>
            </w:pPr>
            <w:r>
              <w:rPr>
                <w:rFonts w:ascii="Arial" w:cs="Arial" w:eastAsia="Arial" w:hAnsi="Arial"/>
                <w:sz w:val="17"/>
                <w:szCs w:val="17"/>
                <w:color w:val="auto"/>
              </w:rPr>
              <w:t>(32,498)</w:t>
            </w:r>
          </w:p>
        </w:tc>
        <w:tc>
          <w:tcPr>
            <w:tcW w:w="1180" w:type="dxa"/>
            <w:vAlign w:val="bottom"/>
            <w:gridSpan w:val="2"/>
          </w:tcPr>
          <w:p>
            <w:pPr>
              <w:jc w:val="right"/>
              <w:ind w:right="891"/>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84"/>
              </w:rPr>
              <w:t>72.87</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8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Canceled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(1,319)</w:t>
            </w:r>
          </w:p>
        </w:tc>
        <w:tc>
          <w:tcPr>
            <w:tcW w:w="1180" w:type="dxa"/>
            <w:vAlign w:val="bottom"/>
            <w:gridSpan w:val="2"/>
            <w:shd w:val="clear" w:color="auto" w:fill="CCEEFF"/>
          </w:tcPr>
          <w:p>
            <w:pPr>
              <w:jc w:val="right"/>
              <w:ind w:right="891"/>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78.94</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7"/>
                <w:szCs w:val="17"/>
                <w:color w:val="auto"/>
              </w:rPr>
              <w:t>Outstanding at June 30, 2023</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366,121</w:t>
            </w:r>
          </w:p>
        </w:tc>
        <w:tc>
          <w:tcPr>
            <w:tcW w:w="1180" w:type="dxa"/>
            <w:vAlign w:val="bottom"/>
            <w:gridSpan w:val="2"/>
          </w:tcPr>
          <w:p>
            <w:pPr>
              <w:jc w:val="right"/>
              <w:ind w:right="891"/>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84"/>
              </w:rPr>
              <w:t>77.71</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5.5</w:t>
            </w: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Exercisable at June 30, 2023</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330,639</w:t>
            </w:r>
          </w:p>
        </w:tc>
        <w:tc>
          <w:tcPr>
            <w:tcW w:w="1180" w:type="dxa"/>
            <w:vAlign w:val="bottom"/>
            <w:gridSpan w:val="2"/>
            <w:shd w:val="clear" w:color="auto" w:fill="CCEEFF"/>
          </w:tcPr>
          <w:p>
            <w:pPr>
              <w:jc w:val="right"/>
              <w:ind w:right="891"/>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77.50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00" w:firstLine="464"/>
        <w:spacing w:after="0" w:line="266" w:lineRule="auto"/>
        <w:rPr>
          <w:sz w:val="20"/>
          <w:szCs w:val="20"/>
          <w:color w:val="auto"/>
        </w:rPr>
      </w:pPr>
      <w:r>
        <w:rPr>
          <w:rFonts w:ascii="Arial" w:cs="Arial" w:eastAsia="Arial" w:hAnsi="Arial"/>
          <w:sz w:val="17"/>
          <w:szCs w:val="17"/>
          <w:b w:val="1"/>
          <w:bCs w:val="1"/>
          <w:i w:val="1"/>
          <w:iCs w:val="1"/>
          <w:color w:val="auto"/>
        </w:rPr>
        <w:t xml:space="preserve">Restricted Stock, Restricted Stock Units and Incentive Stock </w:t>
      </w:r>
      <w:r>
        <w:rPr>
          <w:rFonts w:ascii="Arial" w:cs="Arial" w:eastAsia="Arial" w:hAnsi="Arial"/>
          <w:sz w:val="17"/>
          <w:szCs w:val="17"/>
          <w:color w:val="auto"/>
        </w:rPr>
        <w:t>As provided for under the 2011 Plan and 2000 Plan, eligible employees are granted restricted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that generally vests over three years from the date of grant. Under the Directors Plan, restricted stock awards vest one year from the date of grant. The restricted stock units are liability-classified equity awards as they can be settled in cash.</w:t>
      </w:r>
    </w:p>
    <w:p>
      <w:pPr>
        <w:spacing w:after="0" w:line="72" w:lineRule="exact"/>
        <w:rPr>
          <w:sz w:val="20"/>
          <w:szCs w:val="20"/>
          <w:color w:val="auto"/>
        </w:rPr>
      </w:pPr>
    </w:p>
    <w:p>
      <w:pPr>
        <w:ind w:right="80" w:firstLine="464"/>
        <w:spacing w:after="0" w:line="292" w:lineRule="auto"/>
        <w:rPr>
          <w:sz w:val="20"/>
          <w:szCs w:val="20"/>
          <w:color w:val="auto"/>
        </w:rPr>
      </w:pPr>
      <w:r>
        <w:rPr>
          <w:rFonts w:ascii="Arial" w:cs="Arial" w:eastAsia="Arial" w:hAnsi="Arial"/>
          <w:sz w:val="15"/>
          <w:szCs w:val="15"/>
          <w:color w:val="auto"/>
        </w:rPr>
        <w:t>In addition, the Company has issued incentive stock units to eligible employees that vest upon attainment of certain cumulative three-year performance goals. Significant judgments and estimates are used in determining the estimated three-year performance, which is then used to estimate the total shares expected to vest over the three year vesting cycle and corresponding expense based on the grant date fair value of the award. When determining the estimated three-year performance, the Company utilizes a combination of historical actual results, budgeted results and forecasts. Upon the initial grant of a performance cycle, the Company estimates the three-year performance at 100%. Quarterly, the Company reviews and updates performance estimates based on actual performance results and current projections. Based on the Company’s performance for each three-year period then ended, the incentive stock units can vest and be awarded ranging from 0% to 200% of the initial incentive stock units granted. The incentive stock units included in the table below represent the number of incentive stock units that are expected to vest based on the Company’s estimate for meeting those established performance targets. As of June 30, 2023, the Company estimates that it will achieve 125%, 122% and 101% for the incentive stock awards expected to vest based on performance for the three-year periods ending December 31, 2023, 2024, and 2025, respectively, and has recorded incentive compensation expense accordingly. If the estimates of the number of these incentive stock units expected to vest changes in a future accounting period, cumulative compensation expense could increase or decrease and will be recognized in the current period for the elapsed portion of the vesting period and would change future expense for the remaining vesting period.</w:t>
      </w:r>
    </w:p>
    <w:p>
      <w:pPr>
        <w:spacing w:after="0" w:line="60" w:lineRule="exact"/>
        <w:rPr>
          <w:sz w:val="20"/>
          <w:szCs w:val="20"/>
          <w:color w:val="auto"/>
        </w:rPr>
      </w:pPr>
    </w:p>
    <w:p>
      <w:pPr>
        <w:ind w:right="240" w:firstLine="464"/>
        <w:spacing w:after="0" w:line="349" w:lineRule="auto"/>
        <w:rPr>
          <w:sz w:val="20"/>
          <w:szCs w:val="20"/>
          <w:color w:val="auto"/>
        </w:rPr>
      </w:pPr>
      <w:r>
        <w:rPr>
          <w:rFonts w:ascii="Arial" w:cs="Arial" w:eastAsia="Arial" w:hAnsi="Arial"/>
          <w:sz w:val="15"/>
          <w:szCs w:val="15"/>
          <w:color w:val="auto"/>
        </w:rPr>
        <w:t>Compensation expense for the non-vested restricted stock and incentive stock units is based on the closing price of the Company's common stock on the date of grant and recognized over the applicable vesting period. Expense for incentive stock units is updated as necessary based on the Company's performance.</w:t>
      </w:r>
    </w:p>
    <w:p>
      <w:pPr>
        <w:spacing w:after="0" w:line="14" w:lineRule="exact"/>
        <w:rPr>
          <w:sz w:val="20"/>
          <w:szCs w:val="20"/>
          <w:color w:val="auto"/>
        </w:rPr>
      </w:pPr>
    </w:p>
    <w:p>
      <w:pPr>
        <w:ind w:right="380" w:firstLine="464"/>
        <w:spacing w:after="0" w:line="287" w:lineRule="auto"/>
        <w:rPr>
          <w:sz w:val="20"/>
          <w:szCs w:val="20"/>
          <w:color w:val="auto"/>
        </w:rPr>
      </w:pPr>
      <w:r>
        <w:rPr>
          <w:rFonts w:ascii="Arial" w:cs="Arial" w:eastAsia="Arial" w:hAnsi="Arial"/>
          <w:sz w:val="16"/>
          <w:szCs w:val="16"/>
          <w:color w:val="auto"/>
        </w:rPr>
        <w:t>The following table summarizes the restricted stock activity and related information for the 2011 Plan, the 2000 Plan, and Directors Plan, and incentive stock units activity and related information for the 2011 Plan and the 2000 Plan with related information for the six months ended June 30, 2023:</w:t>
      </w:r>
    </w:p>
    <w:tbl>
      <w:tblPr>
        <w:tblLayout w:type="fixed"/>
        <w:tblInd w:w="0" w:type="dxa"/>
        <w:tblCellMar>
          <w:top w:w="0" w:type="dxa"/>
          <w:left w:w="0" w:type="dxa"/>
          <w:bottom w:w="0" w:type="dxa"/>
          <w:right w:w="0" w:type="dxa"/>
        </w:tblCellMar>
      </w:tblPr>
      <w:tr>
        <w:trPr>
          <w:trHeight w:val="143"/>
        </w:trPr>
        <w:tc>
          <w:tcPr>
            <w:tcW w:w="644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Restricted</w:t>
            </w:r>
          </w:p>
        </w:tc>
        <w:tc>
          <w:tcPr>
            <w:tcW w:w="12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Incentive</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141"/>
              <w:spacing w:after="0" w:line="143"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38"/>
        </w:trPr>
        <w:tc>
          <w:tcPr>
            <w:tcW w:w="644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141"/>
              <w:spacing w:after="0" w:line="139" w:lineRule="exact"/>
              <w:rPr>
                <w:sz w:val="20"/>
                <w:szCs w:val="20"/>
                <w:color w:val="auto"/>
              </w:rPr>
            </w:pPr>
            <w:r>
              <w:rPr>
                <w:rFonts w:ascii="Arial" w:cs="Arial" w:eastAsia="Arial" w:hAnsi="Arial"/>
                <w:sz w:val="14"/>
                <w:szCs w:val="14"/>
                <w:b w:val="1"/>
                <w:bCs w:val="1"/>
                <w:color w:val="auto"/>
                <w:w w:val="91"/>
              </w:rPr>
              <w:t>Average Grant</w:t>
            </w:r>
          </w:p>
        </w:tc>
        <w:tc>
          <w:tcPr>
            <w:tcW w:w="0" w:type="dxa"/>
            <w:vAlign w:val="bottom"/>
          </w:tcPr>
          <w:p>
            <w:pPr>
              <w:spacing w:after="0"/>
              <w:rPr>
                <w:sz w:val="1"/>
                <w:szCs w:val="1"/>
                <w:color w:val="auto"/>
              </w:rPr>
            </w:pPr>
          </w:p>
        </w:tc>
      </w:tr>
      <w:tr>
        <w:trPr>
          <w:trHeight w:val="132"/>
        </w:trPr>
        <w:tc>
          <w:tcPr>
            <w:tcW w:w="6440" w:type="dxa"/>
            <w:vAlign w:val="bottom"/>
          </w:tcPr>
          <w:p>
            <w:pPr>
              <w:spacing w:after="0"/>
              <w:rPr>
                <w:sz w:val="11"/>
                <w:szCs w:val="11"/>
                <w:color w:val="auto"/>
              </w:rPr>
            </w:pPr>
          </w:p>
        </w:tc>
        <w:tc>
          <w:tcPr>
            <w:tcW w:w="15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1"/>
                <w:szCs w:val="11"/>
                <w:color w:val="auto"/>
              </w:rPr>
            </w:pPr>
          </w:p>
        </w:tc>
        <w:tc>
          <w:tcPr>
            <w:tcW w:w="15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jc w:val="center"/>
              <w:ind w:right="141"/>
              <w:spacing w:after="0" w:line="133" w:lineRule="exact"/>
              <w:rPr>
                <w:sz w:val="20"/>
                <w:szCs w:val="20"/>
                <w:color w:val="auto"/>
              </w:rPr>
            </w:pPr>
            <w:r>
              <w:rPr>
                <w:rFonts w:ascii="Arial" w:cs="Arial" w:eastAsia="Arial" w:hAnsi="Arial"/>
                <w:sz w:val="14"/>
                <w:szCs w:val="14"/>
                <w:b w:val="1"/>
                <w:bCs w:val="1"/>
                <w:color w:val="auto"/>
                <w:w w:val="93"/>
              </w:rPr>
              <w:t>Date Fair</w:t>
            </w:r>
          </w:p>
        </w:tc>
        <w:tc>
          <w:tcPr>
            <w:tcW w:w="0" w:type="dxa"/>
            <w:vAlign w:val="bottom"/>
          </w:tcPr>
          <w:p>
            <w:pPr>
              <w:spacing w:after="0"/>
              <w:rPr>
                <w:sz w:val="1"/>
                <w:szCs w:val="1"/>
                <w:color w:val="auto"/>
              </w:rPr>
            </w:pPr>
          </w:p>
        </w:tc>
      </w:tr>
      <w:tr>
        <w:trPr>
          <w:trHeight w:val="178"/>
        </w:trPr>
        <w:tc>
          <w:tcPr>
            <w:tcW w:w="644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7"/>
              </w:rPr>
              <w:t>and Units</w:t>
            </w:r>
          </w:p>
        </w:tc>
        <w:tc>
          <w:tcPr>
            <w:tcW w:w="12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141"/>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4"/>
        </w:trPr>
        <w:tc>
          <w:tcPr>
            <w:tcW w:w="64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6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at December 31, 2022</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689,420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744,844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84.73</w:t>
            </w:r>
          </w:p>
        </w:tc>
        <w:tc>
          <w:tcPr>
            <w:tcW w:w="0" w:type="dxa"/>
            <w:vAlign w:val="bottom"/>
          </w:tcPr>
          <w:p>
            <w:pPr>
              <w:spacing w:after="0"/>
              <w:rPr>
                <w:sz w:val="1"/>
                <w:szCs w:val="1"/>
                <w:color w:val="auto"/>
              </w:rPr>
            </w:pPr>
          </w:p>
        </w:tc>
      </w:tr>
      <w:tr>
        <w:trPr>
          <w:trHeight w:val="218"/>
        </w:trPr>
        <w:tc>
          <w:tcPr>
            <w:tcW w:w="6440" w:type="dxa"/>
            <w:vAlign w:val="bottom"/>
          </w:tcPr>
          <w:p>
            <w:pPr>
              <w:ind w:left="260"/>
              <w:spacing w:after="0"/>
              <w:rPr>
                <w:sz w:val="20"/>
                <w:szCs w:val="20"/>
                <w:color w:val="auto"/>
              </w:rPr>
            </w:pPr>
            <w:r>
              <w:rPr>
                <w:rFonts w:ascii="Arial" w:cs="Arial" w:eastAsia="Arial" w:hAnsi="Arial"/>
                <w:sz w:val="17"/>
                <w:szCs w:val="17"/>
                <w:color w:val="auto"/>
              </w:rPr>
              <w:t>Granted</w:t>
            </w:r>
          </w:p>
        </w:tc>
        <w:tc>
          <w:tcPr>
            <w:tcW w:w="1520" w:type="dxa"/>
            <w:vAlign w:val="bottom"/>
          </w:tcPr>
          <w:p>
            <w:pPr>
              <w:jc w:val="right"/>
              <w:spacing w:after="0"/>
              <w:rPr>
                <w:sz w:val="20"/>
                <w:szCs w:val="20"/>
                <w:color w:val="auto"/>
              </w:rPr>
            </w:pPr>
            <w:r>
              <w:rPr>
                <w:rFonts w:ascii="Arial" w:cs="Arial" w:eastAsia="Arial" w:hAnsi="Arial"/>
                <w:sz w:val="17"/>
                <w:szCs w:val="17"/>
                <w:color w:val="auto"/>
              </w:rPr>
              <w:t>352,584</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192,751</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104.51</w:t>
            </w:r>
          </w:p>
        </w:tc>
        <w:tc>
          <w:tcPr>
            <w:tcW w:w="0" w:type="dxa"/>
            <w:vAlign w:val="bottom"/>
          </w:tcPr>
          <w:p>
            <w:pPr>
              <w:spacing w:after="0"/>
              <w:rPr>
                <w:sz w:val="1"/>
                <w:szCs w:val="1"/>
                <w:color w:val="auto"/>
              </w:rPr>
            </w:pPr>
          </w:p>
        </w:tc>
      </w:tr>
      <w:tr>
        <w:trPr>
          <w:trHeight w:val="233"/>
        </w:trPr>
        <w:tc>
          <w:tcPr>
            <w:tcW w:w="64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(228,203)</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(265,678)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81.40</w:t>
            </w:r>
          </w:p>
        </w:tc>
        <w:tc>
          <w:tcPr>
            <w:tcW w:w="0" w:type="dxa"/>
            <w:vAlign w:val="bottom"/>
          </w:tcPr>
          <w:p>
            <w:pPr>
              <w:spacing w:after="0"/>
              <w:rPr>
                <w:sz w:val="1"/>
                <w:szCs w:val="1"/>
                <w:color w:val="auto"/>
              </w:rPr>
            </w:pPr>
          </w:p>
        </w:tc>
      </w:tr>
      <w:tr>
        <w:trPr>
          <w:trHeight w:val="218"/>
        </w:trPr>
        <w:tc>
          <w:tcPr>
            <w:tcW w:w="6440" w:type="dxa"/>
            <w:vAlign w:val="bottom"/>
          </w:tcPr>
          <w:p>
            <w:pPr>
              <w:ind w:left="260"/>
              <w:spacing w:after="0"/>
              <w:rPr>
                <w:sz w:val="20"/>
                <w:szCs w:val="20"/>
                <w:color w:val="auto"/>
              </w:rPr>
            </w:pPr>
            <w:r>
              <w:rPr>
                <w:rFonts w:ascii="Arial" w:cs="Arial" w:eastAsia="Arial" w:hAnsi="Arial"/>
                <w:sz w:val="17"/>
                <w:szCs w:val="17"/>
                <w:color w:val="auto"/>
              </w:rPr>
              <w:t>Adjustment for incentive stock awards expected to vest</w:t>
            </w:r>
          </w:p>
        </w:tc>
        <w:tc>
          <w:tcPr>
            <w:tcW w:w="1520" w:type="dxa"/>
            <w:vAlign w:val="bottom"/>
          </w:tcPr>
          <w:p>
            <w:pPr>
              <w:jc w:val="right"/>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(842)</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85.98</w:t>
            </w:r>
          </w:p>
        </w:tc>
        <w:tc>
          <w:tcPr>
            <w:tcW w:w="0" w:type="dxa"/>
            <w:vAlign w:val="bottom"/>
          </w:tcPr>
          <w:p>
            <w:pPr>
              <w:spacing w:after="0"/>
              <w:rPr>
                <w:sz w:val="1"/>
                <w:szCs w:val="1"/>
                <w:color w:val="auto"/>
              </w:rPr>
            </w:pPr>
          </w:p>
        </w:tc>
      </w:tr>
      <w:tr>
        <w:trPr>
          <w:trHeight w:val="219"/>
        </w:trPr>
        <w:tc>
          <w:tcPr>
            <w:tcW w:w="6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Canceled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(12,198)</w:t>
            </w:r>
          </w:p>
        </w:tc>
        <w:tc>
          <w:tcPr>
            <w:tcW w:w="12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89.08</w:t>
            </w:r>
          </w:p>
        </w:tc>
        <w:tc>
          <w:tcPr>
            <w:tcW w:w="0" w:type="dxa"/>
            <w:vAlign w:val="bottom"/>
          </w:tcPr>
          <w:p>
            <w:pPr>
              <w:spacing w:after="0"/>
              <w:rPr>
                <w:sz w:val="1"/>
                <w:szCs w:val="1"/>
                <w:color w:val="auto"/>
              </w:rPr>
            </w:pPr>
          </w:p>
        </w:tc>
      </w:tr>
      <w:tr>
        <w:trPr>
          <w:trHeight w:val="226"/>
        </w:trPr>
        <w:tc>
          <w:tcPr>
            <w:tcW w:w="6440" w:type="dxa"/>
            <w:vAlign w:val="bottom"/>
          </w:tcPr>
          <w:p>
            <w:pPr>
              <w:ind w:left="20"/>
              <w:spacing w:after="0"/>
              <w:rPr>
                <w:sz w:val="20"/>
                <w:szCs w:val="20"/>
                <w:color w:val="auto"/>
              </w:rPr>
            </w:pPr>
            <w:r>
              <w:rPr>
                <w:rFonts w:ascii="Arial" w:cs="Arial" w:eastAsia="Arial" w:hAnsi="Arial"/>
                <w:sz w:val="17"/>
                <w:szCs w:val="17"/>
                <w:color w:val="auto"/>
              </w:rPr>
              <w:t>Outstanding at June 30, 2023</w:t>
            </w:r>
          </w:p>
        </w:tc>
        <w:tc>
          <w:tcPr>
            <w:tcW w:w="1520" w:type="dxa"/>
            <w:vAlign w:val="bottom"/>
          </w:tcPr>
          <w:p>
            <w:pPr>
              <w:jc w:val="right"/>
              <w:spacing w:after="0"/>
              <w:rPr>
                <w:sz w:val="20"/>
                <w:szCs w:val="20"/>
                <w:color w:val="auto"/>
              </w:rPr>
            </w:pPr>
            <w:r>
              <w:rPr>
                <w:rFonts w:ascii="Arial" w:cs="Arial" w:eastAsia="Arial" w:hAnsi="Arial"/>
                <w:sz w:val="17"/>
                <w:szCs w:val="17"/>
                <w:color w:val="auto"/>
              </w:rPr>
              <w:t>801,603</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669,137</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93.13</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INCOME TAXES</w:t>
      </w:r>
    </w:p>
    <w:p>
      <w:pPr>
        <w:spacing w:after="0" w:line="120" w:lineRule="exact"/>
        <w:rPr>
          <w:sz w:val="20"/>
          <w:szCs w:val="20"/>
          <w:color w:val="auto"/>
        </w:rPr>
      </w:pPr>
    </w:p>
    <w:p>
      <w:pPr>
        <w:ind w:right="120" w:firstLine="464"/>
        <w:spacing w:after="0" w:line="279" w:lineRule="auto"/>
        <w:rPr>
          <w:sz w:val="20"/>
          <w:szCs w:val="20"/>
          <w:color w:val="auto"/>
        </w:rPr>
      </w:pPr>
      <w:r>
        <w:rPr>
          <w:rFonts w:ascii="Arial" w:cs="Arial" w:eastAsia="Arial" w:hAnsi="Arial"/>
          <w:sz w:val="17"/>
          <w:szCs w:val="17"/>
          <w:color w:val="auto"/>
        </w:rPr>
        <w:t>The overall effective tax rate of 25.5% for the three and six months ended June 30, 2023 differs from the U.S. federal statutory rate of 21.0% primarily due to the impact of state and foreign taxes.</w:t>
      </w:r>
    </w:p>
    <w:p>
      <w:pPr>
        <w:spacing w:after="0" w:line="61" w:lineRule="exact"/>
        <w:rPr>
          <w:sz w:val="20"/>
          <w:szCs w:val="20"/>
          <w:color w:val="auto"/>
        </w:rPr>
      </w:pPr>
    </w:p>
    <w:p>
      <w:pPr>
        <w:ind w:right="120" w:firstLine="464"/>
        <w:spacing w:after="0" w:line="266" w:lineRule="auto"/>
        <w:rPr>
          <w:sz w:val="20"/>
          <w:szCs w:val="20"/>
          <w:color w:val="auto"/>
        </w:rPr>
      </w:pPr>
      <w:r>
        <w:rPr>
          <w:rFonts w:ascii="Arial" w:cs="Arial" w:eastAsia="Arial" w:hAnsi="Arial"/>
          <w:sz w:val="17"/>
          <w:szCs w:val="17"/>
          <w:color w:val="auto"/>
        </w:rPr>
        <w:t>On August 16, 2022, the Inflation Reduction Act of 2022 was signed into law. This act includes a new book minimum tax on certain large corporations and an excise tax on corporate stock buybacks among other provisions. This act has not had, and is not expected to have, a material impact on our consolidated financial position, results of operations, or cash flows.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11. EARNINGS PER SHARE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computation of basic and diluted earnings per share for Net income attributable to Wabtec shareholders is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4"/>
          </w:tcPr>
          <w:p>
            <w:pPr>
              <w:jc w:val="right"/>
              <w:ind w:right="71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440" w:type="dxa"/>
            <w:vAlign w:val="bottom"/>
            <w:gridSpan w:val="3"/>
          </w:tcPr>
          <w:p>
            <w:pPr>
              <w:ind w:left="20"/>
              <w:spacing w:after="0" w:line="153" w:lineRule="exact"/>
              <w:rPr>
                <w:sz w:val="20"/>
                <w:szCs w:val="20"/>
                <w:color w:val="auto"/>
              </w:rPr>
            </w:pPr>
            <w:r>
              <w:rPr>
                <w:rFonts w:ascii="Arial" w:cs="Arial" w:eastAsia="Arial" w:hAnsi="Arial"/>
                <w:sz w:val="14"/>
                <w:szCs w:val="14"/>
                <w:b w:val="1"/>
                <w:bCs w:val="1"/>
                <w:i w:val="1"/>
                <w:iCs w:val="1"/>
                <w:color w:val="auto"/>
              </w:rPr>
              <w:t>In millions, except per share data</w:t>
            </w:r>
          </w:p>
        </w:tc>
        <w:tc>
          <w:tcPr>
            <w:tcW w:w="320" w:type="dxa"/>
            <w:vAlign w:val="bottom"/>
          </w:tcPr>
          <w:p>
            <w:pPr>
              <w:spacing w:after="0"/>
              <w:rPr>
                <w:sz w:val="13"/>
                <w:szCs w:val="13"/>
                <w:color w:val="auto"/>
              </w:rPr>
            </w:pPr>
          </w:p>
        </w:tc>
        <w:tc>
          <w:tcPr>
            <w:tcW w:w="1060" w:type="dxa"/>
            <w:vAlign w:val="bottom"/>
          </w:tcPr>
          <w:p>
            <w:pPr>
              <w:jc w:val="right"/>
              <w:ind w:right="480"/>
              <w:spacing w:after="0" w:line="153"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jc w:val="right"/>
              <w:ind w:right="477"/>
              <w:spacing w:after="0" w:line="153"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480"/>
              <w:spacing w:after="0" w:line="153" w:lineRule="exact"/>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jc w:val="right"/>
              <w:ind w:right="457"/>
              <w:spacing w:after="0" w:line="153" w:lineRule="exact"/>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top w:val="single" w:sz="8" w:color="auto"/>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Numerator</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40" w:type="dxa"/>
            <w:vAlign w:val="bottom"/>
            <w:gridSpan w:val="3"/>
          </w:tcPr>
          <w:p>
            <w:pPr>
              <w:ind w:left="20"/>
              <w:spacing w:after="0"/>
              <w:rPr>
                <w:sz w:val="20"/>
                <w:szCs w:val="20"/>
                <w:color w:val="auto"/>
              </w:rPr>
            </w:pPr>
            <w:r>
              <w:rPr>
                <w:rFonts w:ascii="Arial" w:cs="Arial" w:eastAsia="Arial" w:hAnsi="Arial"/>
                <w:sz w:val="17"/>
                <w:szCs w:val="17"/>
                <w:color w:val="auto"/>
              </w:rPr>
              <w:t>Net income attributable to Wabtec shareholders</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191</w:t>
            </w:r>
          </w:p>
        </w:tc>
        <w:tc>
          <w:tcPr>
            <w:tcW w:w="4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166</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360</w:t>
            </w:r>
          </w:p>
        </w:tc>
        <w:tc>
          <w:tcPr>
            <w:tcW w:w="62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315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440" w:type="dxa"/>
            <w:vAlign w:val="bottom"/>
            <w:gridSpan w:val="3"/>
            <w:shd w:val="clear" w:color="auto" w:fill="CCEEFF"/>
          </w:tcPr>
          <w:p>
            <w:pPr>
              <w:ind w:left="20"/>
              <w:spacing w:after="0" w:line="185" w:lineRule="exact"/>
              <w:rPr>
                <w:sz w:val="20"/>
                <w:szCs w:val="20"/>
                <w:color w:val="auto"/>
              </w:rPr>
            </w:pPr>
            <w:r>
              <w:rPr>
                <w:rFonts w:ascii="Arial" w:cs="Arial" w:eastAsia="Arial" w:hAnsi="Arial"/>
                <w:sz w:val="17"/>
                <w:szCs w:val="17"/>
                <w:b w:val="1"/>
                <w:bCs w:val="1"/>
                <w:color w:val="auto"/>
              </w:rPr>
              <w:t>Denominator</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440" w:type="dxa"/>
            <w:vAlign w:val="bottom"/>
            <w:gridSpan w:val="3"/>
          </w:tcPr>
          <w:p>
            <w:pPr>
              <w:ind w:left="20"/>
              <w:spacing w:after="0"/>
              <w:rPr>
                <w:sz w:val="20"/>
                <w:szCs w:val="20"/>
                <w:color w:val="auto"/>
              </w:rPr>
            </w:pPr>
            <w:r>
              <w:rPr>
                <w:rFonts w:ascii="Arial" w:cs="Arial" w:eastAsia="Arial" w:hAnsi="Arial"/>
                <w:sz w:val="17"/>
                <w:szCs w:val="17"/>
                <w:color w:val="auto"/>
              </w:rPr>
              <w:t>Weighted average shares outstanding - basic</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179.4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183.2</w:t>
            </w:r>
          </w:p>
        </w:tc>
        <w:tc>
          <w:tcPr>
            <w:tcW w:w="0" w:type="dxa"/>
            <w:vAlign w:val="bottom"/>
          </w:tcPr>
          <w:p>
            <w:pPr>
              <w:spacing w:after="0"/>
              <w:rPr>
                <w:sz w:val="1"/>
                <w:szCs w:val="1"/>
                <w:color w:val="auto"/>
              </w:rPr>
            </w:pPr>
          </w:p>
        </w:tc>
      </w:tr>
      <w:tr>
        <w:trPr>
          <w:trHeight w:val="226"/>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Effect of dilutive securities: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440" w:type="dxa"/>
            <w:vAlign w:val="bottom"/>
            <w:gridSpan w:val="3"/>
          </w:tcPr>
          <w:p>
            <w:pPr>
              <w:ind w:left="20"/>
              <w:spacing w:after="0"/>
              <w:rPr>
                <w:sz w:val="20"/>
                <w:szCs w:val="20"/>
                <w:color w:val="auto"/>
              </w:rPr>
            </w:pPr>
            <w:r>
              <w:rPr>
                <w:rFonts w:ascii="Arial" w:cs="Arial" w:eastAsia="Arial" w:hAnsi="Arial"/>
                <w:sz w:val="17"/>
                <w:szCs w:val="17"/>
                <w:color w:val="auto"/>
              </w:rPr>
              <w:t>Assumed conversion of dilutive stock-based compensation plans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Weighted average shares outstanding - diluted</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180.0</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183.7</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7"/>
                <w:szCs w:val="17"/>
                <w:b w:val="1"/>
                <w:bCs w:val="1"/>
                <w:color w:val="auto"/>
                <w:w w:val="99"/>
              </w:rPr>
              <w:t>Net income attributable to Wabtec shareholders per common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4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Basic</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6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0" w:type="dxa"/>
            <w:vAlign w:val="bottom"/>
          </w:tcPr>
          <w:p>
            <w:pPr>
              <w:spacing w:after="0"/>
              <w:rPr>
                <w:sz w:val="1"/>
                <w:szCs w:val="1"/>
                <w:color w:val="auto"/>
              </w:rPr>
            </w:pPr>
          </w:p>
        </w:tc>
      </w:tr>
      <w:tr>
        <w:trPr>
          <w:trHeight w:val="218"/>
        </w:trPr>
        <w:tc>
          <w:tcPr>
            <w:tcW w:w="5440" w:type="dxa"/>
            <w:vAlign w:val="bottom"/>
            <w:gridSpan w:val="3"/>
          </w:tcPr>
          <w:p>
            <w:pPr>
              <w:ind w:left="20"/>
              <w:spacing w:after="0"/>
              <w:rPr>
                <w:sz w:val="20"/>
                <w:szCs w:val="20"/>
                <w:color w:val="auto"/>
              </w:rPr>
            </w:pPr>
            <w:r>
              <w:rPr>
                <w:rFonts w:ascii="Arial" w:cs="Arial" w:eastAsia="Arial" w:hAnsi="Arial"/>
                <w:sz w:val="17"/>
                <w:szCs w:val="17"/>
                <w:color w:val="auto"/>
              </w:rPr>
              <w:t>Diluted</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1.06</w:t>
            </w:r>
          </w:p>
        </w:tc>
        <w:tc>
          <w:tcPr>
            <w:tcW w:w="4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0.91</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2.00</w:t>
            </w:r>
          </w:p>
        </w:tc>
        <w:tc>
          <w:tcPr>
            <w:tcW w:w="62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1.71</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WARRANTIES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reconciles the changes in the Company’s product warranty reserve for the six months ended June 30, 2023 and 2022:</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0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Pr>
          <w:p>
            <w:pPr>
              <w:spacing w:after="0"/>
              <w:rPr>
                <w:sz w:val="14"/>
                <w:szCs w:val="14"/>
                <w:color w:val="auto"/>
              </w:rPr>
            </w:pPr>
          </w:p>
        </w:tc>
        <w:tc>
          <w:tcPr>
            <w:tcW w:w="1160" w:type="dxa"/>
            <w:vAlign w:val="bottom"/>
          </w:tcPr>
          <w:p>
            <w:pPr>
              <w:jc w:val="right"/>
              <w:ind w:right="55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537"/>
              <w:spacing w:after="0"/>
              <w:rPr>
                <w:sz w:val="20"/>
                <w:szCs w:val="20"/>
                <w:color w:val="auto"/>
              </w:rPr>
            </w:pPr>
            <w:r>
              <w:rPr>
                <w:rFonts w:ascii="Arial" w:cs="Arial" w:eastAsia="Arial" w:hAnsi="Arial"/>
                <w:sz w:val="14"/>
                <w:szCs w:val="14"/>
                <w:b w:val="1"/>
                <w:bCs w:val="1"/>
                <w:color w:val="auto"/>
              </w:rPr>
              <w:t>2022</w:t>
            </w: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1"/>
        </w:trPr>
        <w:tc>
          <w:tcPr>
            <w:tcW w:w="80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Balance at beginning of year</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r>
      <w:tr>
        <w:trPr>
          <w:trHeight w:val="225"/>
        </w:trPr>
        <w:tc>
          <w:tcPr>
            <w:tcW w:w="8060" w:type="dxa"/>
            <w:vAlign w:val="bottom"/>
            <w:gridSpan w:val="3"/>
          </w:tcPr>
          <w:p>
            <w:pPr>
              <w:ind w:left="20"/>
              <w:spacing w:after="0"/>
              <w:rPr>
                <w:sz w:val="20"/>
                <w:szCs w:val="20"/>
                <w:color w:val="auto"/>
              </w:rPr>
            </w:pPr>
            <w:r>
              <w:rPr>
                <w:rFonts w:ascii="Arial" w:cs="Arial" w:eastAsia="Arial" w:hAnsi="Arial"/>
                <w:sz w:val="17"/>
                <w:szCs w:val="17"/>
                <w:color w:val="auto"/>
              </w:rPr>
              <w:t>Warranty expense</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26"/>
        </w:trPr>
        <w:tc>
          <w:tcPr>
            <w:tcW w:w="80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Warranty claim payments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r>
      <w:tr>
        <w:trPr>
          <w:trHeight w:val="218"/>
        </w:trPr>
        <w:tc>
          <w:tcPr>
            <w:tcW w:w="8060" w:type="dxa"/>
            <w:vAlign w:val="bottom"/>
            <w:gridSpan w:val="3"/>
          </w:tcPr>
          <w:p>
            <w:pPr>
              <w:ind w:left="20"/>
              <w:spacing w:after="0"/>
              <w:rPr>
                <w:sz w:val="20"/>
                <w:szCs w:val="20"/>
                <w:color w:val="auto"/>
              </w:rPr>
            </w:pPr>
            <w:r>
              <w:rPr>
                <w:rFonts w:ascii="Arial" w:cs="Arial" w:eastAsia="Arial" w:hAnsi="Arial"/>
                <w:sz w:val="17"/>
                <w:szCs w:val="17"/>
                <w:color w:val="auto"/>
              </w:rPr>
              <w:t>Acquisitions</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32"/>
        </w:trPr>
        <w:tc>
          <w:tcPr>
            <w:tcW w:w="80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Foreign currency impact/other</w:t>
            </w:r>
          </w:p>
        </w:tc>
        <w:tc>
          <w:tcPr>
            <w:tcW w:w="3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13"/>
        </w:trPr>
        <w:tc>
          <w:tcPr>
            <w:tcW w:w="8060" w:type="dxa"/>
            <w:vAlign w:val="bottom"/>
            <w:gridSpan w:val="3"/>
          </w:tcPr>
          <w:p>
            <w:pPr>
              <w:ind w:left="20"/>
              <w:spacing w:after="0"/>
              <w:rPr>
                <w:sz w:val="20"/>
                <w:szCs w:val="20"/>
                <w:color w:val="auto"/>
              </w:rPr>
            </w:pPr>
            <w:r>
              <w:rPr>
                <w:rFonts w:ascii="Arial" w:cs="Arial" w:eastAsia="Arial" w:hAnsi="Arial"/>
                <w:sz w:val="17"/>
                <w:szCs w:val="17"/>
                <w:color w:val="auto"/>
              </w:rPr>
              <w:t>Balance at June 30</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250</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244</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FAIR VALUE MEASUREMENT AND DERIVATIVE INSTRUMENTS</w:t>
      </w:r>
    </w:p>
    <w:p>
      <w:pPr>
        <w:spacing w:after="0" w:line="120" w:lineRule="exact"/>
        <w:rPr>
          <w:sz w:val="20"/>
          <w:szCs w:val="20"/>
          <w:color w:val="auto"/>
        </w:rPr>
      </w:pPr>
    </w:p>
    <w:p>
      <w:pPr>
        <w:ind w:right="200" w:firstLine="464"/>
        <w:spacing w:after="0" w:line="262" w:lineRule="auto"/>
        <w:rPr>
          <w:sz w:val="20"/>
          <w:szCs w:val="20"/>
          <w:color w:val="auto"/>
        </w:rPr>
      </w:pPr>
      <w:r>
        <w:rPr>
          <w:rFonts w:ascii="Arial" w:cs="Arial" w:eastAsia="Arial" w:hAnsi="Arial"/>
          <w:sz w:val="17"/>
          <w:szCs w:val="17"/>
          <w:color w:val="auto"/>
        </w:rPr>
        <w:t>ASC 820 “Fair Value Measurements and Disclosures” defines fair value, establishes a framework for measuring fair value and explains the related disclosure requirements. ASC 820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69" w:lineRule="exact"/>
        <w:rPr>
          <w:sz w:val="20"/>
          <w:szCs w:val="20"/>
          <w:color w:val="auto"/>
        </w:rPr>
      </w:pPr>
    </w:p>
    <w:p>
      <w:pPr>
        <w:ind w:right="80" w:firstLine="464"/>
        <w:spacing w:after="0" w:line="260" w:lineRule="auto"/>
        <w:rPr>
          <w:sz w:val="20"/>
          <w:szCs w:val="20"/>
          <w:color w:val="auto"/>
        </w:rPr>
      </w:pPr>
      <w:r>
        <w:rPr>
          <w:rFonts w:ascii="Arial" w:cs="Arial" w:eastAsia="Arial" w:hAnsi="Arial"/>
          <w:sz w:val="17"/>
          <w:szCs w:val="17"/>
          <w:b w:val="1"/>
          <w:bCs w:val="1"/>
          <w:color w:val="auto"/>
        </w:rPr>
        <w:t xml:space="preserve">Valuation Hierarchy. </w:t>
      </w:r>
      <w:r>
        <w:rPr>
          <w:rFonts w:ascii="Arial" w:cs="Arial" w:eastAsia="Arial" w:hAnsi="Arial"/>
          <w:sz w:val="17"/>
          <w:szCs w:val="17"/>
          <w:color w:val="auto"/>
        </w:rPr>
        <w:t>ASC 820 establishes a valuation hierarchy for disclosure of the inputs to valuation used to measure fair value. This hierarchy</w:t>
      </w:r>
      <w:r>
        <w:rPr>
          <w:rFonts w:ascii="Arial" w:cs="Arial" w:eastAsia="Arial" w:hAnsi="Arial"/>
          <w:sz w:val="17"/>
          <w:szCs w:val="17"/>
          <w:b w:val="1"/>
          <w:bCs w:val="1"/>
          <w:color w:val="auto"/>
        </w:rPr>
        <w:t xml:space="preserve"> </w:t>
      </w:r>
      <w:r>
        <w:rPr>
          <w:rFonts w:ascii="Arial" w:cs="Arial" w:eastAsia="Arial" w:hAnsi="Arial"/>
          <w:sz w:val="17"/>
          <w:szCs w:val="17"/>
          <w:color w:val="auto"/>
        </w:rPr>
        <w:t>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assumptions used to measure assets and liabilities at fair value. A financial asset or liability’s classification within the hierarchy is determined based on the lowest level input that is significant to the fair value measurement.</w:t>
      </w:r>
    </w:p>
    <w:p>
      <w:pPr>
        <w:spacing w:after="0" w:line="76" w:lineRule="exact"/>
        <w:rPr>
          <w:sz w:val="20"/>
          <w:szCs w:val="20"/>
          <w:color w:val="auto"/>
        </w:rPr>
      </w:pPr>
    </w:p>
    <w:p>
      <w:pPr>
        <w:ind w:right="20" w:firstLine="464"/>
        <w:spacing w:after="0" w:line="257" w:lineRule="auto"/>
        <w:rPr>
          <w:sz w:val="20"/>
          <w:szCs w:val="20"/>
          <w:color w:val="auto"/>
        </w:rPr>
      </w:pPr>
      <w:r>
        <w:rPr>
          <w:rFonts w:ascii="Arial" w:cs="Arial" w:eastAsia="Arial" w:hAnsi="Arial"/>
          <w:sz w:val="17"/>
          <w:szCs w:val="17"/>
          <w:color w:val="auto"/>
        </w:rPr>
        <w:t>The Company’s cash, cash equivalents and restricted cash are highly liquid investments purchased with an original maturity of three months or less and are considered Level 1 on the fair value valuation hierarchy. The fair value of cash, cash equivalents and restricted cash approximated the carrying value at June 30, 2023 and December 31, 2022. The Senior Notes are considered Level 2 based on the fair value valuation hierarchy. Contingent consideration related to the GE Transportation acquisition is considered Level 3 based on the fair value valuation hierarchy. At June 30, 2023 and December 31, 2022, $105 million was classified as "Other accrued liabilities" on the Company's Condensed Consolidated Balance Sheets and $48 million and $47 million, respectively, was included within long-term liabilities classified as "Contingent consideration" on the Company's Condensed Consolidated Balance Sheets. The fair value approximates the carrying value at June 30, 2023 and December 31, 2022.</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8" w:name="page19"/>
    <w:bookmarkEnd w:id="18"/>
    <w:p>
      <w:pPr>
        <w:ind w:right="40" w:firstLine="464"/>
        <w:spacing w:after="0" w:line="279" w:lineRule="auto"/>
        <w:rPr>
          <w:sz w:val="20"/>
          <w:szCs w:val="20"/>
          <w:color w:val="auto"/>
        </w:rPr>
      </w:pPr>
      <w:r>
        <w:rPr>
          <w:rFonts w:ascii="Arial" w:cs="Arial" w:eastAsia="Arial" w:hAnsi="Arial"/>
          <w:sz w:val="16"/>
          <w:szCs w:val="16"/>
          <w:b w:val="1"/>
          <w:bCs w:val="1"/>
          <w:i w:val="1"/>
          <w:iCs w:val="1"/>
          <w:color w:val="auto"/>
        </w:rPr>
        <w:t xml:space="preserve">Hedging Activities </w:t>
      </w:r>
      <w:r>
        <w:rPr>
          <w:rFonts w:ascii="Arial" w:cs="Arial" w:eastAsia="Arial" w:hAnsi="Arial"/>
          <w:sz w:val="16"/>
          <w:szCs w:val="16"/>
          <w:color w:val="auto"/>
        </w:rPr>
        <w:t>In the normal course of business, the Company is exposed to market risk related to interest rates, commodity prices and foreign currency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exchange rate fluctuations, which may adversely affect our operating results and financial position. At times, we limit these risks through the use of derivatives such as cross-currency swaps, foreign currency forward contracts, interest rate swaps, commodity swaps and options. These hedging contracts are valued using broker quotations, or market transactions in either the listed or over-the-counter markets. As such, these derivative instruments are classified within level 2. In accordance with our policy, derivatives are only used for hedging purposes. We do not use derivatives for trading or speculative purposes.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Exchange Risk</w:t>
      </w:r>
    </w:p>
    <w:p>
      <w:pPr>
        <w:spacing w:after="0" w:line="114" w:lineRule="exact"/>
        <w:rPr>
          <w:sz w:val="20"/>
          <w:szCs w:val="20"/>
          <w:color w:val="auto"/>
        </w:rPr>
      </w:pPr>
    </w:p>
    <w:p>
      <w:pPr>
        <w:ind w:right="20" w:firstLine="464"/>
        <w:spacing w:after="0" w:line="279" w:lineRule="auto"/>
        <w:rPr>
          <w:sz w:val="20"/>
          <w:szCs w:val="20"/>
          <w:color w:val="auto"/>
        </w:rPr>
      </w:pPr>
      <w:r>
        <w:rPr>
          <w:rFonts w:ascii="Arial" w:cs="Arial" w:eastAsia="Arial" w:hAnsi="Arial"/>
          <w:sz w:val="16"/>
          <w:szCs w:val="16"/>
          <w:color w:val="auto"/>
        </w:rPr>
        <w:t>The Company uses forward contracts to hedge forecasted foreign currency denominated sales of finished goods and future settlement of foreign currency denominated assets and liabilities. Derivatives used to hedge firm commitments relevant to sales and purchases and forecasted transactions to be realized with high probability that meet the criteria for hedge accounting are designated as cash flow hedges. The effective portion of gains and losses is deferred as a component of Accumulated other comprehensive loss and is recognized in earnings at the time the hedged item affects earnings, in the same line item as the underlying hedged item. For the three and six months ended June 30, 2023 and 2022, the amounts reclassified into income were not material.</w:t>
      </w:r>
    </w:p>
    <w:p>
      <w:pPr>
        <w:spacing w:after="0" w:line="65" w:lineRule="exact"/>
        <w:rPr>
          <w:sz w:val="20"/>
          <w:szCs w:val="20"/>
          <w:color w:val="auto"/>
        </w:rPr>
      </w:pPr>
    </w:p>
    <w:p>
      <w:pPr>
        <w:ind w:firstLine="464"/>
        <w:spacing w:after="0" w:line="257" w:lineRule="auto"/>
        <w:rPr>
          <w:sz w:val="20"/>
          <w:szCs w:val="20"/>
          <w:color w:val="auto"/>
        </w:rPr>
      </w:pPr>
      <w:r>
        <w:rPr>
          <w:rFonts w:ascii="Arial" w:cs="Arial" w:eastAsia="Arial" w:hAnsi="Arial"/>
          <w:sz w:val="17"/>
          <w:szCs w:val="17"/>
          <w:color w:val="auto"/>
        </w:rPr>
        <w:t>The Company has also established balance sheet risk management and net investment hedging programs to protect its balance sheet against foreign currency exchange rate volatility. We conduct our business worldwide in U.S. dollars and the functional currencies of our foreign subsidiaries, including euro, Indian rupee, British pound sterling, Australian dollars and several other foreign currencies. Changes in these foreign currency exchange rates could have a material adverse impact on our financial results that are reported in U.S. dollars. We are also exposed to foreign currency exchange rate risk related to our foreign subsidiaries, including intercompany loans denominated in non-functional currencies. We hedge these exposures using foreign currency swap contracts and cross-currency swaps to offset the potential income statement effects on intercompany loans denominated in non-functional currencies. These programs reduce but do not eliminate foreign currency exchange rate risk entirely.</w:t>
      </w:r>
    </w:p>
    <w:p>
      <w:pPr>
        <w:spacing w:after="0" w:line="82" w:lineRule="exact"/>
        <w:rPr>
          <w:sz w:val="20"/>
          <w:szCs w:val="20"/>
          <w:color w:val="auto"/>
        </w:rPr>
      </w:pPr>
    </w:p>
    <w:p>
      <w:pPr>
        <w:ind w:right="40" w:firstLine="464"/>
        <w:spacing w:after="0" w:line="259" w:lineRule="auto"/>
        <w:rPr>
          <w:sz w:val="20"/>
          <w:szCs w:val="20"/>
          <w:color w:val="auto"/>
        </w:rPr>
      </w:pPr>
      <w:r>
        <w:rPr>
          <w:rFonts w:ascii="Arial" w:cs="Arial" w:eastAsia="Arial" w:hAnsi="Arial"/>
          <w:sz w:val="17"/>
          <w:szCs w:val="17"/>
          <w:color w:val="auto"/>
        </w:rPr>
        <w:t>The Company enters into certain derivative contracts in accordance with its risk management strategy that do not meet the criteria for hedge accounting, but which have the impact of largely mitigating foreign currency exposure. These foreign exchange contracts are accounted for on a full mark to market basis through earnings, with gains and losses recorded as a component of Other income, net. The net gain related to these contracts was $1 million and $2 million for the three and six months ended June 30, 2023, and the net loss related to these contracts was $7 million and $8 million for the three and six months ended June 30, 2022, respectively. These contracts typically mature within one year.</w:t>
      </w:r>
    </w:p>
    <w:p>
      <w:pPr>
        <w:spacing w:after="0" w:line="80" w:lineRule="exact"/>
        <w:rPr>
          <w:sz w:val="20"/>
          <w:szCs w:val="20"/>
          <w:color w:val="auto"/>
        </w:rPr>
      </w:pPr>
    </w:p>
    <w:p>
      <w:pPr>
        <w:ind w:right="100" w:firstLine="464"/>
        <w:spacing w:after="0" w:line="266" w:lineRule="auto"/>
        <w:rPr>
          <w:sz w:val="20"/>
          <w:szCs w:val="20"/>
          <w:color w:val="auto"/>
        </w:rPr>
      </w:pPr>
      <w:r>
        <w:rPr>
          <w:rFonts w:ascii="Arial" w:cs="Arial" w:eastAsia="Arial" w:hAnsi="Arial"/>
          <w:sz w:val="17"/>
          <w:szCs w:val="17"/>
          <w:color w:val="auto"/>
        </w:rPr>
        <w:t>The following table summarizes the assets, liabilities, gross notional amounts, fair values, and fair value hierarchy classification of the designated and non-designated hedges discussed in the above sections as of June 30, 2023, which are included in other current assets and liabilities on the Condensed Consolidated Balance Sheets: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40" w:type="dxa"/>
            <w:vAlign w:val="bottom"/>
            <w:gridSpan w:val="4"/>
          </w:tcPr>
          <w:p>
            <w:pPr>
              <w:jc w:val="right"/>
              <w:ind w:right="1176"/>
              <w:spacing w:after="0"/>
              <w:rPr>
                <w:sz w:val="20"/>
                <w:szCs w:val="20"/>
                <w:color w:val="auto"/>
              </w:rPr>
            </w:pPr>
            <w:r>
              <w:rPr>
                <w:rFonts w:ascii="Arial" w:cs="Arial" w:eastAsia="Arial" w:hAnsi="Arial"/>
                <w:sz w:val="15"/>
                <w:szCs w:val="15"/>
                <w:b w:val="1"/>
                <w:bCs w:val="1"/>
                <w:color w:val="auto"/>
              </w:rPr>
              <w:t>Fair Value</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60" w:type="dxa"/>
            <w:vAlign w:val="bottom"/>
            <w:gridSpan w:val="5"/>
          </w:tcPr>
          <w:p>
            <w:pPr>
              <w:ind w:left="540"/>
              <w:spacing w:after="0"/>
              <w:rPr>
                <w:sz w:val="20"/>
                <w:szCs w:val="20"/>
                <w:color w:val="auto"/>
              </w:rPr>
            </w:pPr>
            <w:r>
              <w:rPr>
                <w:rFonts w:ascii="Arial" w:cs="Arial" w:eastAsia="Arial" w:hAnsi="Arial"/>
                <w:sz w:val="15"/>
                <w:szCs w:val="15"/>
                <w:b w:val="1"/>
                <w:bCs w:val="1"/>
                <w:color w:val="auto"/>
              </w:rPr>
              <w:t>Gross Notional Amount</w:t>
            </w:r>
          </w:p>
        </w:tc>
      </w:tr>
      <w:tr>
        <w:trPr>
          <w:trHeight w:val="166"/>
        </w:trPr>
        <w:tc>
          <w:tcPr>
            <w:tcW w:w="302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620" w:type="dxa"/>
            <w:vAlign w:val="bottom"/>
            <w:gridSpan w:val="2"/>
          </w:tcPr>
          <w:p>
            <w:pPr>
              <w:jc w:val="center"/>
              <w:ind w:right="100"/>
              <w:spacing w:after="0" w:line="167" w:lineRule="exact"/>
              <w:rPr>
                <w:sz w:val="20"/>
                <w:szCs w:val="20"/>
                <w:color w:val="auto"/>
              </w:rPr>
            </w:pPr>
            <w:r>
              <w:rPr>
                <w:rFonts w:ascii="Arial" w:cs="Arial" w:eastAsia="Arial" w:hAnsi="Arial"/>
                <w:sz w:val="15"/>
                <w:szCs w:val="15"/>
                <w:b w:val="1"/>
                <w:bCs w:val="1"/>
                <w:color w:val="auto"/>
                <w:w w:val="93"/>
              </w:rPr>
              <w:t>Level</w:t>
            </w:r>
          </w:p>
        </w:tc>
        <w:tc>
          <w:tcPr>
            <w:tcW w:w="2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317"/>
              <w:spacing w:after="0" w:line="167" w:lineRule="exact"/>
              <w:rPr>
                <w:sz w:val="20"/>
                <w:szCs w:val="20"/>
                <w:color w:val="auto"/>
              </w:rPr>
            </w:pPr>
            <w:r>
              <w:rPr>
                <w:rFonts w:ascii="Arial" w:cs="Arial" w:eastAsia="Arial" w:hAnsi="Arial"/>
                <w:sz w:val="15"/>
                <w:szCs w:val="15"/>
                <w:b w:val="1"/>
                <w:bCs w:val="1"/>
                <w:color w:val="auto"/>
              </w:rPr>
              <w:t>Designated</w:t>
            </w: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156"/>
              <w:spacing w:after="0" w:line="167" w:lineRule="exact"/>
              <w:rPr>
                <w:sz w:val="20"/>
                <w:szCs w:val="20"/>
                <w:color w:val="auto"/>
              </w:rPr>
            </w:pPr>
            <w:r>
              <w:rPr>
                <w:rFonts w:ascii="Arial" w:cs="Arial" w:eastAsia="Arial" w:hAnsi="Arial"/>
                <w:sz w:val="15"/>
                <w:szCs w:val="15"/>
                <w:b w:val="1"/>
                <w:bCs w:val="1"/>
                <w:color w:val="auto"/>
                <w:w w:val="97"/>
              </w:rPr>
              <w:t>Non-Designated</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317"/>
              <w:spacing w:after="0" w:line="167" w:lineRule="exact"/>
              <w:rPr>
                <w:sz w:val="20"/>
                <w:szCs w:val="20"/>
                <w:color w:val="auto"/>
              </w:rPr>
            </w:pPr>
            <w:r>
              <w:rPr>
                <w:rFonts w:ascii="Arial" w:cs="Arial" w:eastAsia="Arial" w:hAnsi="Arial"/>
                <w:sz w:val="15"/>
                <w:szCs w:val="15"/>
                <w:b w:val="1"/>
                <w:bCs w:val="1"/>
                <w:color w:val="auto"/>
              </w:rPr>
              <w:t>Designated</w:t>
            </w: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56"/>
              <w:spacing w:after="0" w:line="167" w:lineRule="exact"/>
              <w:rPr>
                <w:sz w:val="20"/>
                <w:szCs w:val="20"/>
                <w:color w:val="auto"/>
              </w:rPr>
            </w:pPr>
            <w:r>
              <w:rPr>
                <w:rFonts w:ascii="Arial" w:cs="Arial" w:eastAsia="Arial" w:hAnsi="Arial"/>
                <w:sz w:val="15"/>
                <w:szCs w:val="15"/>
                <w:b w:val="1"/>
                <w:bCs w:val="1"/>
                <w:color w:val="auto"/>
                <w:w w:val="95"/>
              </w:rPr>
              <w:t>Non-Designated</w:t>
            </w:r>
          </w:p>
        </w:tc>
        <w:tc>
          <w:tcPr>
            <w:tcW w:w="1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1"/>
        </w:trPr>
        <w:tc>
          <w:tcPr>
            <w:tcW w:w="30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Foreign Exchange Contracts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3000" w:type="dxa"/>
            <w:vAlign w:val="bottom"/>
            <w:gridSpan w:val="2"/>
          </w:tcPr>
          <w:p>
            <w:pPr>
              <w:ind w:left="100"/>
              <w:spacing w:after="0"/>
              <w:rPr>
                <w:sz w:val="20"/>
                <w:szCs w:val="20"/>
                <w:color w:val="auto"/>
              </w:rPr>
            </w:pPr>
            <w:r>
              <w:rPr>
                <w:rFonts w:ascii="Arial" w:cs="Arial" w:eastAsia="Arial" w:hAnsi="Arial"/>
                <w:sz w:val="17"/>
                <w:szCs w:val="17"/>
                <w:color w:val="auto"/>
              </w:rPr>
              <w:t>Other current assets</w:t>
            </w:r>
          </w:p>
        </w:tc>
        <w:tc>
          <w:tcPr>
            <w:tcW w:w="1500" w:type="dxa"/>
            <w:vAlign w:val="bottom"/>
          </w:tcPr>
          <w:p>
            <w:pPr>
              <w:jc w:val="center"/>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8</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481</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61</w:t>
            </w:r>
          </w:p>
        </w:tc>
        <w:tc>
          <w:tcPr>
            <w:tcW w:w="180" w:type="dxa"/>
            <w:vAlign w:val="bottom"/>
          </w:tcPr>
          <w:p>
            <w:pPr>
              <w:spacing w:after="0"/>
              <w:rPr>
                <w:sz w:val="18"/>
                <w:szCs w:val="18"/>
                <w:color w:val="auto"/>
              </w:rPr>
            </w:pPr>
          </w:p>
        </w:tc>
      </w:tr>
      <w:tr>
        <w:trPr>
          <w:trHeight w:val="220"/>
        </w:trPr>
        <w:tc>
          <w:tcPr>
            <w:tcW w:w="20" w:type="dxa"/>
            <w:vAlign w:val="bottom"/>
            <w:shd w:val="clear" w:color="auto" w:fill="CCEEFF"/>
          </w:tcPr>
          <w:p>
            <w:pPr>
              <w:spacing w:after="0"/>
              <w:rPr>
                <w:sz w:val="19"/>
                <w:szCs w:val="19"/>
                <w:color w:val="auto"/>
              </w:rPr>
            </w:pPr>
          </w:p>
        </w:tc>
        <w:tc>
          <w:tcPr>
            <w:tcW w:w="30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Other current liabilities</w:t>
            </w: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w:t>
            </w:r>
          </w:p>
        </w:tc>
        <w:tc>
          <w:tcPr>
            <w:tcW w:w="180" w:type="dxa"/>
            <w:vAlign w:val="bottom"/>
          </w:tcPr>
          <w:p>
            <w:pPr>
              <w:spacing w:after="0"/>
              <w:rPr>
                <w:sz w:val="19"/>
                <w:szCs w:val="19"/>
                <w:color w:val="auto"/>
              </w:rPr>
            </w:pPr>
          </w:p>
        </w:tc>
      </w:tr>
      <w:tr>
        <w:trPr>
          <w:trHeight w:val="225"/>
        </w:trPr>
        <w:tc>
          <w:tcPr>
            <w:tcW w:w="3020" w:type="dxa"/>
            <w:vAlign w:val="bottom"/>
            <w:gridSpan w:val="3"/>
          </w:tcPr>
          <w:p>
            <w:pPr>
              <w:ind w:left="20"/>
              <w:spacing w:after="0"/>
              <w:rPr>
                <w:sz w:val="20"/>
                <w:szCs w:val="20"/>
                <w:color w:val="auto"/>
              </w:rPr>
            </w:pPr>
            <w:r>
              <w:rPr>
                <w:rFonts w:ascii="Arial" w:cs="Arial" w:eastAsia="Arial" w:hAnsi="Arial"/>
                <w:sz w:val="17"/>
                <w:szCs w:val="17"/>
                <w:color w:val="auto"/>
              </w:rPr>
              <w:t>Interest Rate Contracts</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6"/>
        </w:trPr>
        <w:tc>
          <w:tcPr>
            <w:tcW w:w="20" w:type="dxa"/>
            <w:vAlign w:val="bottom"/>
            <w:tcBorders>
              <w:bottom w:val="single" w:sz="8" w:color="CCEEFF"/>
            </w:tcBorders>
            <w:shd w:val="clear" w:color="auto" w:fill="CCEEFF"/>
          </w:tcPr>
          <w:p>
            <w:pPr>
              <w:spacing w:after="0"/>
              <w:rPr>
                <w:sz w:val="19"/>
                <w:szCs w:val="19"/>
                <w:color w:val="auto"/>
              </w:rPr>
            </w:pPr>
          </w:p>
        </w:tc>
        <w:tc>
          <w:tcPr>
            <w:tcW w:w="30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Other current assets</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r>
      <w:tr>
        <w:trPr>
          <w:trHeight w:val="213"/>
        </w:trPr>
        <w:tc>
          <w:tcPr>
            <w:tcW w:w="3020" w:type="dxa"/>
            <w:vAlign w:val="bottom"/>
            <w:gridSpan w:val="3"/>
          </w:tcPr>
          <w:p>
            <w:pPr>
              <w:ind w:left="20"/>
              <w:spacing w:after="0"/>
              <w:rPr>
                <w:sz w:val="20"/>
                <w:szCs w:val="20"/>
                <w:color w:val="auto"/>
              </w:rPr>
            </w:pPr>
            <w:r>
              <w:rPr>
                <w:rFonts w:ascii="Arial" w:cs="Arial" w:eastAsia="Arial" w:hAnsi="Arial"/>
                <w:sz w:val="17"/>
                <w:szCs w:val="17"/>
                <w:color w:val="auto"/>
              </w:rPr>
              <w:t>Total</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1,290</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291</w:t>
            </w:r>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854"/>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jc w:val="right"/>
              <w:ind w:right="377"/>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0"/>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38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9" w:name="page20"/>
    <w:bookmarkEnd w:id="19"/>
    <w:p>
      <w:pPr>
        <w:ind w:right="100" w:firstLine="464"/>
        <w:spacing w:after="0" w:line="266" w:lineRule="auto"/>
        <w:rPr>
          <w:sz w:val="20"/>
          <w:szCs w:val="20"/>
          <w:color w:val="auto"/>
        </w:rPr>
      </w:pPr>
      <w:r>
        <w:rPr>
          <w:rFonts w:ascii="Arial" w:cs="Arial" w:eastAsia="Arial" w:hAnsi="Arial"/>
          <w:sz w:val="17"/>
          <w:szCs w:val="17"/>
          <w:color w:val="auto"/>
        </w:rPr>
        <w:t>The following table summarizes the assets, liabilities, gross notional amounts, fair values, and fair value hierarchy classification of the designated and non-designated hedges discussed in the above sections as of December 31, 2022, which are included in other current assets and liabilities on the Condensed Consolidated Balance Sheets: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1156"/>
              <w:spacing w:after="0"/>
              <w:rPr>
                <w:sz w:val="20"/>
                <w:szCs w:val="20"/>
                <w:color w:val="auto"/>
              </w:rPr>
            </w:pPr>
            <w:r>
              <w:rPr>
                <w:rFonts w:ascii="Arial" w:cs="Arial" w:eastAsia="Arial" w:hAnsi="Arial"/>
                <w:sz w:val="15"/>
                <w:szCs w:val="15"/>
                <w:b w:val="1"/>
                <w:bCs w:val="1"/>
                <w:color w:val="auto"/>
              </w:rPr>
              <w:t>Fair Value</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716"/>
              <w:spacing w:after="0"/>
              <w:rPr>
                <w:sz w:val="20"/>
                <w:szCs w:val="20"/>
                <w:color w:val="auto"/>
              </w:rPr>
            </w:pPr>
            <w:r>
              <w:rPr>
                <w:rFonts w:ascii="Arial" w:cs="Arial" w:eastAsia="Arial" w:hAnsi="Arial"/>
                <w:sz w:val="15"/>
                <w:szCs w:val="15"/>
                <w:b w:val="1"/>
                <w:bCs w:val="1"/>
                <w:color w:val="auto"/>
              </w:rPr>
              <w:t>Gross Notional Amount</w:t>
            </w:r>
          </w:p>
        </w:tc>
      </w:tr>
      <w:tr>
        <w:trPr>
          <w:trHeight w:val="166"/>
        </w:trPr>
        <w:tc>
          <w:tcPr>
            <w:tcW w:w="302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600" w:type="dxa"/>
            <w:vAlign w:val="bottom"/>
            <w:gridSpan w:val="2"/>
          </w:tcPr>
          <w:p>
            <w:pPr>
              <w:jc w:val="center"/>
              <w:ind w:right="80"/>
              <w:spacing w:after="0" w:line="167" w:lineRule="exact"/>
              <w:rPr>
                <w:sz w:val="20"/>
                <w:szCs w:val="20"/>
                <w:color w:val="auto"/>
              </w:rPr>
            </w:pPr>
            <w:r>
              <w:rPr>
                <w:rFonts w:ascii="Arial" w:cs="Arial" w:eastAsia="Arial" w:hAnsi="Arial"/>
                <w:sz w:val="15"/>
                <w:szCs w:val="15"/>
                <w:b w:val="1"/>
                <w:bCs w:val="1"/>
                <w:color w:val="auto"/>
                <w:w w:val="93"/>
              </w:rPr>
              <w:t>Level</w:t>
            </w:r>
          </w:p>
        </w:tc>
        <w:tc>
          <w:tcPr>
            <w:tcW w:w="240" w:type="dxa"/>
            <w:vAlign w:val="bottom"/>
          </w:tcPr>
          <w:p>
            <w:pPr>
              <w:spacing w:after="0"/>
              <w:rPr>
                <w:sz w:val="14"/>
                <w:szCs w:val="14"/>
                <w:color w:val="auto"/>
              </w:rPr>
            </w:pPr>
          </w:p>
        </w:tc>
        <w:tc>
          <w:tcPr>
            <w:tcW w:w="1300" w:type="dxa"/>
            <w:vAlign w:val="bottom"/>
          </w:tcPr>
          <w:p>
            <w:pPr>
              <w:jc w:val="right"/>
              <w:ind w:right="338"/>
              <w:spacing w:after="0" w:line="167" w:lineRule="exact"/>
              <w:rPr>
                <w:sz w:val="20"/>
                <w:szCs w:val="20"/>
                <w:color w:val="auto"/>
              </w:rPr>
            </w:pPr>
            <w:r>
              <w:rPr>
                <w:rFonts w:ascii="Arial" w:cs="Arial" w:eastAsia="Arial" w:hAnsi="Arial"/>
                <w:sz w:val="15"/>
                <w:szCs w:val="15"/>
                <w:b w:val="1"/>
                <w:bCs w:val="1"/>
                <w:color w:val="auto"/>
              </w:rPr>
              <w:t>Designated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ind w:right="156"/>
              <w:spacing w:after="0" w:line="167" w:lineRule="exact"/>
              <w:rPr>
                <w:sz w:val="20"/>
                <w:szCs w:val="20"/>
                <w:color w:val="auto"/>
              </w:rPr>
            </w:pPr>
            <w:r>
              <w:rPr>
                <w:rFonts w:ascii="Arial" w:cs="Arial" w:eastAsia="Arial" w:hAnsi="Arial"/>
                <w:sz w:val="15"/>
                <w:szCs w:val="15"/>
                <w:b w:val="1"/>
                <w:bCs w:val="1"/>
                <w:color w:val="auto"/>
                <w:w w:val="95"/>
              </w:rPr>
              <w:t>Non-Designated</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298"/>
              <w:spacing w:after="0" w:line="167" w:lineRule="exact"/>
              <w:rPr>
                <w:sz w:val="20"/>
                <w:szCs w:val="20"/>
                <w:color w:val="auto"/>
              </w:rPr>
            </w:pPr>
            <w:r>
              <w:rPr>
                <w:rFonts w:ascii="Arial" w:cs="Arial" w:eastAsia="Arial" w:hAnsi="Arial"/>
                <w:sz w:val="15"/>
                <w:szCs w:val="15"/>
                <w:b w:val="1"/>
                <w:bCs w:val="1"/>
                <w:color w:val="auto"/>
              </w:rPr>
              <w:t>Designated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ind w:right="156"/>
              <w:spacing w:after="0" w:line="167" w:lineRule="exact"/>
              <w:rPr>
                <w:sz w:val="20"/>
                <w:szCs w:val="20"/>
                <w:color w:val="auto"/>
              </w:rPr>
            </w:pPr>
            <w:r>
              <w:rPr>
                <w:rFonts w:ascii="Arial" w:cs="Arial" w:eastAsia="Arial" w:hAnsi="Arial"/>
                <w:sz w:val="15"/>
                <w:szCs w:val="15"/>
                <w:b w:val="1"/>
                <w:bCs w:val="1"/>
                <w:color w:val="auto"/>
                <w:w w:val="95"/>
              </w:rPr>
              <w:t>Non-Designated</w:t>
            </w: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1"/>
        </w:trPr>
        <w:tc>
          <w:tcPr>
            <w:tcW w:w="30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Foreign Exchange Contracts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3000" w:type="dxa"/>
            <w:vAlign w:val="bottom"/>
            <w:gridSpan w:val="2"/>
          </w:tcPr>
          <w:p>
            <w:pPr>
              <w:ind w:left="100"/>
              <w:spacing w:after="0"/>
              <w:rPr>
                <w:sz w:val="20"/>
                <w:szCs w:val="20"/>
                <w:color w:val="auto"/>
              </w:rPr>
            </w:pPr>
            <w:r>
              <w:rPr>
                <w:rFonts w:ascii="Arial" w:cs="Arial" w:eastAsia="Arial" w:hAnsi="Arial"/>
                <w:sz w:val="17"/>
                <w:szCs w:val="17"/>
                <w:color w:val="auto"/>
              </w:rPr>
              <w:t>Other current assets</w:t>
            </w:r>
          </w:p>
        </w:tc>
        <w:tc>
          <w:tcPr>
            <w:tcW w:w="1500" w:type="dxa"/>
            <w:vAlign w:val="bottom"/>
          </w:tcPr>
          <w:p>
            <w:pPr>
              <w:jc w:val="center"/>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8</w:t>
            </w:r>
          </w:p>
        </w:tc>
        <w:tc>
          <w:tcPr>
            <w:tcW w:w="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278</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156</w:t>
            </w:r>
          </w:p>
        </w:tc>
      </w:tr>
      <w:tr>
        <w:trPr>
          <w:trHeight w:val="219"/>
        </w:trPr>
        <w:tc>
          <w:tcPr>
            <w:tcW w:w="20" w:type="dxa"/>
            <w:vAlign w:val="bottom"/>
            <w:shd w:val="clear" w:color="auto" w:fill="CCEEFF"/>
          </w:tcPr>
          <w:p>
            <w:pPr>
              <w:spacing w:after="0"/>
              <w:rPr>
                <w:sz w:val="19"/>
                <w:szCs w:val="19"/>
                <w:color w:val="auto"/>
              </w:rPr>
            </w:pPr>
          </w:p>
        </w:tc>
        <w:tc>
          <w:tcPr>
            <w:tcW w:w="30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Other current liabilities</w:t>
            </w: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w:t>
            </w:r>
          </w:p>
        </w:tc>
      </w:tr>
      <w:tr>
        <w:trPr>
          <w:trHeight w:val="213"/>
        </w:trPr>
        <w:tc>
          <w:tcPr>
            <w:tcW w:w="3020" w:type="dxa"/>
            <w:vAlign w:val="bottom"/>
            <w:gridSpan w:val="3"/>
          </w:tcPr>
          <w:p>
            <w:pPr>
              <w:ind w:left="20"/>
              <w:spacing w:after="0"/>
              <w:rPr>
                <w:sz w:val="20"/>
                <w:szCs w:val="20"/>
                <w:color w:val="auto"/>
              </w:rPr>
            </w:pPr>
            <w:r>
              <w:rPr>
                <w:rFonts w:ascii="Arial" w:cs="Arial" w:eastAsia="Arial" w:hAnsi="Arial"/>
                <w:sz w:val="17"/>
                <w:szCs w:val="17"/>
                <w:color w:val="auto"/>
              </w:rPr>
              <w:t>Total</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w:t>
            </w:r>
          </w:p>
        </w:tc>
        <w:tc>
          <w:tcPr>
            <w:tcW w:w="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1,047</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308</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114" w:lineRule="exact"/>
        <w:rPr>
          <w:sz w:val="20"/>
          <w:szCs w:val="20"/>
          <w:color w:val="auto"/>
        </w:rPr>
      </w:pPr>
    </w:p>
    <w:p>
      <w:pPr>
        <w:ind w:firstLine="464"/>
        <w:spacing w:after="0" w:line="304" w:lineRule="auto"/>
        <w:rPr>
          <w:sz w:val="20"/>
          <w:szCs w:val="20"/>
          <w:color w:val="auto"/>
        </w:rPr>
      </w:pPr>
      <w:r>
        <w:rPr>
          <w:rFonts w:ascii="Arial" w:cs="Arial" w:eastAsia="Arial" w:hAnsi="Arial"/>
          <w:sz w:val="15"/>
          <w:szCs w:val="15"/>
          <w:color w:val="auto"/>
        </w:rPr>
        <w:t>The Company may use interest rate hedge contracts on certain investing and borrowing transactions to manage its net exposure to interest rate changes and to manage its overall cost of borrowing. Accordingly, the Company has entered into interest rate hedges to manage interest rate risk for a portion of future expected debt transactions. The Company does not use leveraged swaps and, in general, does not leverage any of its investment activities that would put principal capital at</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risk. For the six months ended June 30, 2023 and 2022 the amounts reclassified into income were not material.</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Commodity Price Risk</w:t>
      </w:r>
    </w:p>
    <w:p>
      <w:pPr>
        <w:spacing w:after="0" w:line="114" w:lineRule="exact"/>
        <w:rPr>
          <w:sz w:val="20"/>
          <w:szCs w:val="20"/>
          <w:color w:val="auto"/>
        </w:rPr>
      </w:pPr>
    </w:p>
    <w:p>
      <w:pPr>
        <w:ind w:right="140" w:firstLine="464"/>
        <w:spacing w:after="0" w:line="279" w:lineRule="auto"/>
        <w:rPr>
          <w:sz w:val="20"/>
          <w:szCs w:val="20"/>
          <w:color w:val="auto"/>
        </w:rPr>
      </w:pPr>
      <w:r>
        <w:rPr>
          <w:rFonts w:ascii="Arial" w:cs="Arial" w:eastAsia="Arial" w:hAnsi="Arial"/>
          <w:sz w:val="17"/>
          <w:szCs w:val="17"/>
          <w:color w:val="auto"/>
        </w:rPr>
        <w:t>The Company may use commodity forward swaps to manage its exposure to commodity price changes and to reduce its overall cost of manufacturing. For the six months ended June 30, 2023 and 2022 the amounts recognized as income or expense were not material.</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COMMITMENTS AND CONTINGENCIES</w:t>
      </w:r>
    </w:p>
    <w:p>
      <w:pPr>
        <w:spacing w:after="0" w:line="120" w:lineRule="exact"/>
        <w:rPr>
          <w:sz w:val="20"/>
          <w:szCs w:val="20"/>
          <w:color w:val="auto"/>
        </w:rPr>
      </w:pPr>
    </w:p>
    <w:p>
      <w:pPr>
        <w:ind w:right="80" w:firstLine="464"/>
        <w:spacing w:after="0" w:line="283" w:lineRule="auto"/>
        <w:rPr>
          <w:sz w:val="20"/>
          <w:szCs w:val="20"/>
          <w:color w:val="auto"/>
        </w:rPr>
      </w:pPr>
      <w:r>
        <w:rPr>
          <w:rFonts w:ascii="Arial" w:cs="Arial" w:eastAsia="Arial" w:hAnsi="Arial"/>
          <w:sz w:val="16"/>
          <w:szCs w:val="16"/>
          <w:color w:val="auto"/>
        </w:rPr>
        <w:t>The Company is subject to a variety of environmental laws and regulations governing discharges to air and water, the handling, storage and disposal of hazardous or solid waste materials and the remediation of contamination associated with releases of hazardous substances. The Company believes its operations currently comply in all material respects with all of the various environmental laws and regulations applicable to our business; however, there can be no assurance that environmental requirements will not change in the future or that we will not incur significant costs to comply with such requirements.</w:t>
      </w:r>
    </w:p>
    <w:p>
      <w:pPr>
        <w:spacing w:after="0" w:line="60" w:lineRule="exact"/>
        <w:rPr>
          <w:sz w:val="20"/>
          <w:szCs w:val="20"/>
          <w:color w:val="auto"/>
        </w:rPr>
      </w:pPr>
    </w:p>
    <w:p>
      <w:pPr>
        <w:ind w:right="40" w:firstLine="464"/>
        <w:spacing w:after="0" w:line="257" w:lineRule="auto"/>
        <w:rPr>
          <w:sz w:val="20"/>
          <w:szCs w:val="20"/>
          <w:color w:val="auto"/>
        </w:rPr>
      </w:pPr>
      <w:r>
        <w:rPr>
          <w:rFonts w:ascii="Arial" w:cs="Arial" w:eastAsia="Arial" w:hAnsi="Arial"/>
          <w:sz w:val="17"/>
          <w:szCs w:val="17"/>
          <w:color w:val="auto"/>
        </w:rPr>
        <w:t>Claims have been filed against the Company and certain of its affiliates in various jurisdictions across the United States by persons alleging bodily injury as a result of exposure to asbestos-containing products. The vast majority of the claims are submitted to insurance carriers for defense and indemnity, or to non-affiliated companies that retain the liabilities for the asbestos-containing products at issue. We cannot, however, assure that all of these claims will be fully covered by insurance, or that the indemnitors or insurers will remain financially viable. Our ultimate legal and financial liability with respect to these claims, as is the case with other pending litigation, cannot be estimated. A limited number of claims are not covered by insurance, nor are they subject to indemnity from non-affiliated parties. Management believes that the costs of the Company’s asbestos-related cases will not be material to the Company’s overall financial position, results of operations and cash flows.</w:t>
      </w:r>
    </w:p>
    <w:p>
      <w:pPr>
        <w:spacing w:after="0" w:line="82" w:lineRule="exact"/>
        <w:rPr>
          <w:sz w:val="20"/>
          <w:szCs w:val="20"/>
          <w:color w:val="auto"/>
        </w:rPr>
      </w:pPr>
    </w:p>
    <w:p>
      <w:pPr>
        <w:ind w:firstLine="464"/>
        <w:spacing w:after="0" w:line="272" w:lineRule="auto"/>
        <w:rPr>
          <w:sz w:val="20"/>
          <w:szCs w:val="20"/>
          <w:color w:val="auto"/>
        </w:rPr>
      </w:pPr>
      <w:r>
        <w:rPr>
          <w:rFonts w:ascii="Arial" w:cs="Arial" w:eastAsia="Arial" w:hAnsi="Arial"/>
          <w:sz w:val="16"/>
          <w:szCs w:val="16"/>
          <w:color w:val="auto"/>
        </w:rPr>
        <w:t>Xorail, Inc., a wholly owned subsidiary of the Company (“Xorail”), has received notices from Denver Transit Constructors (“DTC”) alleging breach of contract related to the operating of constant warning wireless crossings, and late delivery of the Train Management &amp; Dispatch System (“TMDS”) for the Denver Eagle P3 Project, which is owned by the Denver Regional Transit District ("RTD"). No damages have been asserted for the alleged late delivery of the TMDS, and no formal claim has been filed; Xorail has successfully completed a remediation plan concerning the TMDS issues. With regard to the wireless crossing issue, as of September 8, 2017, DTC alleged that total damages were $37 million through July 31, 2017 and were continuing to accumulate. The majority of the damages stems from a delay in approval of the wireless crossing system by the Federal Railway Administration ("FRA") and the Public Utility Commission ("PUC"), resulting in the use of flaggers at all of the crossings pending approval of the wireless crossing system and certification of the crossings. DTC has alleged that the delay is due to Xorail's failure to achieve constant warning times for the crossings in accordance with the approval requirements imposed by the FRA and PUC. Xorail has denied DTC's assertions, stating that its system satisfied the contractual requirements. Xorail has worked with DTC to modify its system and implement the FRA's and PUC's previously undefined approval requirements; the FRA and PUC have both approved modified wireless crossing system, and as of August 2018, DTC completed the process of certifying the crossings and eliminated the use of flaggers. DTC has not updated its claim notices or alleged damages against Xorail, nor have they filed any formal claim against Xorail. On September 21, 2018, DTC filed a complaint against RTD in Colorado state court for breach of contract related to non-payments and the costs for the flaggers, asserting a change-in-law arising from the FRA/PUC’s new certification requirements. DTC's claim against RTD proceeded to trial on September 21, 2020. On February 10, 2023, the court issued a decision in favor of RTD, denying DTC's damages claim. DTC has filed a Notice of Appeal.</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20" w:name="page21"/>
    <w:bookmarkEnd w:id="20"/>
    <w:p>
      <w:pPr>
        <w:ind w:right="240" w:firstLine="464"/>
        <w:spacing w:after="0" w:line="266" w:lineRule="auto"/>
        <w:rPr>
          <w:sz w:val="20"/>
          <w:szCs w:val="20"/>
          <w:color w:val="auto"/>
        </w:rPr>
      </w:pPr>
      <w:r>
        <w:rPr>
          <w:rFonts w:ascii="Arial" w:cs="Arial" w:eastAsia="Arial" w:hAnsi="Arial"/>
          <w:sz w:val="17"/>
          <w:szCs w:val="17"/>
          <w:color w:val="auto"/>
        </w:rPr>
        <w:t>From time to time the Company is involved in litigation relating to claims arising out of its operations in the ordinary course of business. As of the date hereof, the Company is involved in no litigation that the Company believes will have a material adverse effect on its financial condition, results of operations or liquidity.</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SEGMENT INFORMATION</w:t>
      </w:r>
    </w:p>
    <w:p>
      <w:pPr>
        <w:spacing w:after="0" w:line="120" w:lineRule="exact"/>
        <w:rPr>
          <w:sz w:val="20"/>
          <w:szCs w:val="20"/>
          <w:color w:val="auto"/>
        </w:rPr>
      </w:pPr>
    </w:p>
    <w:p>
      <w:pPr>
        <w:ind w:right="20" w:firstLine="464"/>
        <w:spacing w:after="0" w:line="266" w:lineRule="auto"/>
        <w:rPr>
          <w:sz w:val="20"/>
          <w:szCs w:val="20"/>
          <w:color w:val="auto"/>
        </w:rPr>
      </w:pPr>
      <w:r>
        <w:rPr>
          <w:rFonts w:ascii="Arial" w:cs="Arial" w:eastAsia="Arial" w:hAnsi="Arial"/>
          <w:sz w:val="17"/>
          <w:szCs w:val="17"/>
          <w:color w:val="auto"/>
        </w:rPr>
        <w:t>The Company has two reportable segments—the Freight Segment and the Transit Segment. The key factors used to identify these reportable segments are the organization and alignment of the Company’s internal operations, the nature of the products and services and customer type. The Company's business segments are:</w:t>
      </w:r>
    </w:p>
    <w:p>
      <w:pPr>
        <w:spacing w:after="0" w:line="66" w:lineRule="exact"/>
        <w:rPr>
          <w:sz w:val="20"/>
          <w:szCs w:val="20"/>
          <w:color w:val="auto"/>
        </w:rPr>
      </w:pPr>
    </w:p>
    <w:p>
      <w:pPr>
        <w:ind w:right="20" w:firstLine="464"/>
        <w:spacing w:after="0" w:line="258" w:lineRule="auto"/>
        <w:rPr>
          <w:sz w:val="20"/>
          <w:szCs w:val="20"/>
          <w:color w:val="auto"/>
        </w:rPr>
      </w:pPr>
      <w:r>
        <w:rPr>
          <w:rFonts w:ascii="Arial" w:cs="Arial" w:eastAsia="Arial" w:hAnsi="Arial"/>
          <w:sz w:val="17"/>
          <w:szCs w:val="17"/>
          <w:b w:val="1"/>
          <w:bCs w:val="1"/>
          <w:color w:val="auto"/>
        </w:rPr>
        <w:t xml:space="preserve">Freight Segment </w:t>
      </w:r>
      <w:r>
        <w:rPr>
          <w:rFonts w:ascii="Arial" w:cs="Arial" w:eastAsia="Arial" w:hAnsi="Arial"/>
          <w:sz w:val="17"/>
          <w:szCs w:val="17"/>
          <w:color w:val="auto"/>
        </w:rPr>
        <w:t>builds, rebuilds, upgrades, and overhauls locomotives, services locomotives and freight cars, and provides a range of component and</w:t>
      </w:r>
      <w:r>
        <w:rPr>
          <w:rFonts w:ascii="Arial" w:cs="Arial" w:eastAsia="Arial" w:hAnsi="Arial"/>
          <w:sz w:val="17"/>
          <w:szCs w:val="17"/>
          <w:b w:val="1"/>
          <w:bCs w:val="1"/>
          <w:color w:val="auto"/>
        </w:rPr>
        <w:t xml:space="preserve"> </w:t>
      </w:r>
      <w:r>
        <w:rPr>
          <w:rFonts w:ascii="Arial" w:cs="Arial" w:eastAsia="Arial" w:hAnsi="Arial"/>
          <w:sz w:val="17"/>
          <w:szCs w:val="17"/>
          <w:color w:val="auto"/>
        </w:rPr>
        <w:t>digital solutions for customers in the freight and transit rail, mining, and marine industries. It also manufactures and services components for new and existing freight cars and locomotives, supplies railway electronics, positive train control equipment, signal design and engineering services, maintenance of way, and provides heat exchange and cooling systems for locomotives and power generation equipment. Customers include large, publicly traded railroads, leasing companies, manufacturers of original equipment such as locomotives and freight cars, and utilities, and also serves companies in the mining, marine, and industrial markets. We refer to sales of both goods, such as spare parts and equipment upgrades, and related services, such as monitoring, maintenance and repairs, as sales in our Services product line.</w:t>
      </w:r>
    </w:p>
    <w:p>
      <w:pPr>
        <w:spacing w:after="0" w:line="76" w:lineRule="exact"/>
        <w:rPr>
          <w:sz w:val="20"/>
          <w:szCs w:val="20"/>
          <w:color w:val="auto"/>
        </w:rPr>
      </w:pPr>
    </w:p>
    <w:p>
      <w:pPr>
        <w:ind w:right="60" w:firstLine="464"/>
        <w:spacing w:after="0" w:line="264" w:lineRule="auto"/>
        <w:rPr>
          <w:sz w:val="20"/>
          <w:szCs w:val="20"/>
          <w:color w:val="auto"/>
        </w:rPr>
      </w:pPr>
      <w:r>
        <w:rPr>
          <w:rFonts w:ascii="Arial" w:cs="Arial" w:eastAsia="Arial" w:hAnsi="Arial"/>
          <w:sz w:val="17"/>
          <w:szCs w:val="17"/>
          <w:b w:val="1"/>
          <w:bCs w:val="1"/>
          <w:color w:val="auto"/>
        </w:rPr>
        <w:t xml:space="preserve">Transit Segment </w:t>
      </w:r>
      <w:r>
        <w:rPr>
          <w:rFonts w:ascii="Arial" w:cs="Arial" w:eastAsia="Arial" w:hAnsi="Arial"/>
          <w:sz w:val="17"/>
          <w:szCs w:val="17"/>
          <w:color w:val="auto"/>
        </w:rPr>
        <w:t>primarily manufactures and services components for new and existing passenger transit vehicles, typically regional trains, high speed</w:t>
      </w:r>
      <w:r>
        <w:rPr>
          <w:rFonts w:ascii="Arial" w:cs="Arial" w:eastAsia="Arial" w:hAnsi="Arial"/>
          <w:sz w:val="17"/>
          <w:szCs w:val="17"/>
          <w:b w:val="1"/>
          <w:bCs w:val="1"/>
          <w:color w:val="auto"/>
        </w:rPr>
        <w:t xml:space="preserve"> </w:t>
      </w:r>
      <w:r>
        <w:rPr>
          <w:rFonts w:ascii="Arial" w:cs="Arial" w:eastAsia="Arial" w:hAnsi="Arial"/>
          <w:sz w:val="17"/>
          <w:szCs w:val="17"/>
          <w:color w:val="auto"/>
        </w:rPr>
        <w:t>trains, subway cars, light-rail vehicles, and buses. It also refurbishes subway cars and provides heating, ventilation, and air conditioning equipment and doors for buses and subway cars. Customers include public transit authorities and municipalities, leasing companies and manufacturers of subway cars and buses around the world.</w:t>
      </w:r>
    </w:p>
    <w:p>
      <w:pPr>
        <w:spacing w:after="0" w:line="74" w:lineRule="exact"/>
        <w:rPr>
          <w:sz w:val="20"/>
          <w:szCs w:val="20"/>
          <w:color w:val="auto"/>
        </w:rPr>
      </w:pPr>
    </w:p>
    <w:p>
      <w:pPr>
        <w:ind w:right="260" w:firstLine="464"/>
        <w:spacing w:after="0" w:line="266" w:lineRule="auto"/>
        <w:rPr>
          <w:sz w:val="20"/>
          <w:szCs w:val="20"/>
          <w:color w:val="auto"/>
        </w:rPr>
      </w:pPr>
      <w:r>
        <w:rPr>
          <w:rFonts w:ascii="Arial" w:cs="Arial" w:eastAsia="Arial" w:hAnsi="Arial"/>
          <w:sz w:val="17"/>
          <w:szCs w:val="17"/>
          <w:color w:val="auto"/>
        </w:rPr>
        <w:t>The Company evaluates its business segments’ operating results based on income from operations. Intersegment sales are accounted for at prices that are generally established by reference to similar transactions with unaffiliated customers. Corporate activities include general corporate expenses, elimination of intersegment transactions, interest income and expense, and other unallocated charges.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Segment financial information for the three months ended June 30, 2023 is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Freight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jc w:val="right"/>
              <w:ind w:right="40"/>
              <w:spacing w:after="0"/>
              <w:rPr>
                <w:sz w:val="20"/>
                <w:szCs w:val="20"/>
                <w:color w:val="auto"/>
              </w:rPr>
            </w:pPr>
            <w:r>
              <w:rPr>
                <w:rFonts w:ascii="Arial" w:cs="Arial" w:eastAsia="Arial" w:hAnsi="Arial"/>
                <w:sz w:val="15"/>
                <w:szCs w:val="15"/>
                <w:b w:val="1"/>
                <w:bCs w:val="1"/>
                <w:color w:val="auto"/>
              </w:rPr>
              <w:t>Transit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center"/>
              <w:ind w:right="137"/>
              <w:spacing w:after="0"/>
              <w:rPr>
                <w:sz w:val="20"/>
                <w:szCs w:val="20"/>
                <w:color w:val="auto"/>
              </w:rPr>
            </w:pPr>
            <w:r>
              <w:rPr>
                <w:rFonts w:ascii="Arial" w:cs="Arial" w:eastAsia="Arial" w:hAnsi="Arial"/>
                <w:sz w:val="15"/>
                <w:szCs w:val="15"/>
                <w:b w:val="1"/>
                <w:bCs w:val="1"/>
                <w:color w:val="auto"/>
                <w:w w:val="94"/>
              </w:rPr>
              <w:t>Corporate</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center"/>
              <w:ind w:right="137"/>
              <w:spacing w:after="0" w:line="155" w:lineRule="exact"/>
              <w:rPr>
                <w:sz w:val="20"/>
                <w:szCs w:val="20"/>
                <w:color w:val="auto"/>
              </w:rPr>
            </w:pPr>
            <w:r>
              <w:rPr>
                <w:rFonts w:ascii="Arial" w:cs="Arial" w:eastAsia="Arial" w:hAnsi="Arial"/>
                <w:sz w:val="15"/>
                <w:szCs w:val="15"/>
                <w:b w:val="1"/>
                <w:bCs w:val="1"/>
                <w:color w:val="auto"/>
                <w:w w:val="94"/>
              </w:rPr>
              <w:t>Activities and</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vMerge w:val="restart"/>
          </w:tcPr>
          <w:p>
            <w:pPr>
              <w:jc w:val="right"/>
              <w:ind w:right="495"/>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8"/>
        </w:trPr>
        <w:tc>
          <w:tcPr>
            <w:tcW w:w="482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040" w:type="dxa"/>
            <w:vAlign w:val="bottom"/>
          </w:tcPr>
          <w:p>
            <w:pPr>
              <w:jc w:val="right"/>
              <w:spacing w:after="0" w:line="168" w:lineRule="exact"/>
              <w:rPr>
                <w:sz w:val="20"/>
                <w:szCs w:val="20"/>
                <w:color w:val="auto"/>
              </w:rPr>
            </w:pPr>
            <w:r>
              <w:rPr>
                <w:rFonts w:ascii="Arial" w:cs="Arial" w:eastAsia="Arial" w:hAnsi="Arial"/>
                <w:sz w:val="15"/>
                <w:szCs w:val="15"/>
                <w:b w:val="1"/>
                <w:bCs w:val="1"/>
                <w:color w:val="auto"/>
              </w:rPr>
              <w:t>Segment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Arial" w:cs="Arial" w:eastAsia="Arial" w:hAnsi="Arial"/>
                <w:sz w:val="15"/>
                <w:szCs w:val="15"/>
                <w:b w:val="1"/>
                <w:bCs w:val="1"/>
                <w:color w:val="auto"/>
              </w:rPr>
              <w:t>Segment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center"/>
              <w:ind w:right="117"/>
              <w:spacing w:after="0" w:line="168" w:lineRule="exact"/>
              <w:rPr>
                <w:sz w:val="20"/>
                <w:szCs w:val="20"/>
                <w:color w:val="auto"/>
              </w:rPr>
            </w:pPr>
            <w:r>
              <w:rPr>
                <w:rFonts w:ascii="Arial" w:cs="Arial" w:eastAsia="Arial" w:hAnsi="Arial"/>
                <w:sz w:val="15"/>
                <w:szCs w:val="15"/>
                <w:b w:val="1"/>
                <w:bCs w:val="1"/>
                <w:color w:val="auto"/>
                <w:w w:val="96"/>
              </w:rPr>
              <w:t>Elimination</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Sales to external customers</w:t>
            </w:r>
          </w:p>
        </w:tc>
        <w:tc>
          <w:tcPr>
            <w:tcW w:w="1040" w:type="dxa"/>
            <w:vAlign w:val="bottom"/>
            <w:shd w:val="clear" w:color="auto" w:fill="CCEEFF"/>
          </w:tcPr>
          <w:p>
            <w:pPr>
              <w:jc w:val="right"/>
              <w:ind w:right="857"/>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1,708</w:t>
            </w:r>
          </w:p>
        </w:tc>
        <w:tc>
          <w:tcPr>
            <w:tcW w:w="1220" w:type="dxa"/>
            <w:vAlign w:val="bottom"/>
            <w:gridSpan w:val="2"/>
            <w:shd w:val="clear" w:color="auto" w:fill="CCEEFF"/>
          </w:tcPr>
          <w:p>
            <w:pPr>
              <w:jc w:val="right"/>
              <w:ind w:right="94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w:t>
            </w:r>
          </w:p>
        </w:tc>
        <w:tc>
          <w:tcPr>
            <w:tcW w:w="32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center"/>
              <w:ind w:left="937"/>
              <w:spacing w:after="0"/>
              <w:rPr>
                <w:sz w:val="20"/>
                <w:szCs w:val="20"/>
                <w:color w:val="auto"/>
              </w:rPr>
            </w:pPr>
            <w:r>
              <w:rPr>
                <w:rFonts w:ascii="Arial" w:cs="Arial" w:eastAsia="Arial" w:hAnsi="Arial"/>
                <w:sz w:val="17"/>
                <w:szCs w:val="17"/>
                <w:color w:val="auto"/>
                <w:w w:val="93"/>
              </w:rPr>
              <w:t>—</w:t>
            </w:r>
          </w:p>
        </w:tc>
        <w:tc>
          <w:tcPr>
            <w:tcW w:w="460" w:type="dxa"/>
            <w:vAlign w:val="bottom"/>
            <w:gridSpan w:val="2"/>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2,407</w:t>
            </w:r>
          </w:p>
        </w:tc>
        <w:tc>
          <w:tcPr>
            <w:tcW w:w="0" w:type="dxa"/>
            <w:vAlign w:val="bottom"/>
          </w:tcPr>
          <w:p>
            <w:pPr>
              <w:spacing w:after="0"/>
              <w:rPr>
                <w:sz w:val="1"/>
                <w:szCs w:val="1"/>
                <w:color w:val="auto"/>
              </w:rPr>
            </w:pPr>
          </w:p>
        </w:tc>
      </w:tr>
      <w:tr>
        <w:trPr>
          <w:trHeight w:val="231"/>
        </w:trPr>
        <w:tc>
          <w:tcPr>
            <w:tcW w:w="482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Intersegment sales/(elimination)</w:t>
            </w:r>
          </w:p>
        </w:tc>
        <w:tc>
          <w:tcPr>
            <w:tcW w:w="10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left="897"/>
              <w:spacing w:after="0"/>
              <w:rPr>
                <w:sz w:val="20"/>
                <w:szCs w:val="20"/>
                <w:color w:val="auto"/>
              </w:rPr>
            </w:pPr>
            <w:r>
              <w:rPr>
                <w:rFonts w:ascii="Arial" w:cs="Arial" w:eastAsia="Arial" w:hAnsi="Arial"/>
                <w:sz w:val="17"/>
                <w:szCs w:val="17"/>
                <w:color w:val="auto"/>
                <w:w w:val="92"/>
              </w:rPr>
              <w:t>(27)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7"/>
                <w:szCs w:val="17"/>
                <w:color w:val="auto"/>
              </w:rPr>
              <w:t>Total sales</w:t>
            </w:r>
          </w:p>
        </w:tc>
        <w:tc>
          <w:tcPr>
            <w:tcW w:w="1040" w:type="dxa"/>
            <w:vAlign w:val="bottom"/>
            <w:tcBorders>
              <w:bottom w:val="single" w:sz="8" w:color="auto"/>
            </w:tcBorders>
            <w:shd w:val="clear" w:color="auto" w:fill="CCEEFF"/>
          </w:tcPr>
          <w:p>
            <w:pPr>
              <w:jc w:val="right"/>
              <w:ind w:right="857"/>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1,724</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40"/>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center"/>
              <w:ind w:left="897"/>
              <w:spacing w:after="0"/>
              <w:rPr>
                <w:sz w:val="20"/>
                <w:szCs w:val="20"/>
                <w:color w:val="auto"/>
              </w:rPr>
            </w:pPr>
            <w:r>
              <w:rPr>
                <w:rFonts w:ascii="Arial" w:cs="Arial" w:eastAsia="Arial" w:hAnsi="Arial"/>
                <w:sz w:val="17"/>
                <w:szCs w:val="17"/>
                <w:color w:val="auto"/>
                <w:w w:val="92"/>
              </w:rPr>
              <w:t>(27)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2,407</w:t>
            </w:r>
          </w:p>
        </w:tc>
        <w:tc>
          <w:tcPr>
            <w:tcW w:w="0" w:type="dxa"/>
            <w:vAlign w:val="bottom"/>
          </w:tcPr>
          <w:p>
            <w:pPr>
              <w:spacing w:after="0"/>
              <w:rPr>
                <w:sz w:val="1"/>
                <w:szCs w:val="1"/>
                <w:color w:val="auto"/>
              </w:rPr>
            </w:pPr>
          </w:p>
        </w:tc>
      </w:tr>
      <w:tr>
        <w:trPr>
          <w:trHeight w:val="20"/>
        </w:trPr>
        <w:tc>
          <w:tcPr>
            <w:tcW w:w="4820" w:type="dxa"/>
            <w:vAlign w:val="bottom"/>
            <w:gridSpan w:val="3"/>
            <w:vMerge w:val="restart"/>
          </w:tcPr>
          <w:p>
            <w:pPr>
              <w:ind w:left="20"/>
              <w:spacing w:after="0"/>
              <w:rPr>
                <w:sz w:val="20"/>
                <w:szCs w:val="20"/>
                <w:color w:val="auto"/>
              </w:rPr>
            </w:pPr>
            <w:r>
              <w:rPr>
                <w:rFonts w:ascii="Arial" w:cs="Arial" w:eastAsia="Arial" w:hAnsi="Arial"/>
                <w:sz w:val="17"/>
                <w:szCs w:val="17"/>
                <w:color w:val="auto"/>
              </w:rPr>
              <w:t>Income (loss) from operations</w:t>
            </w: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20" w:type="dxa"/>
            <w:vAlign w:val="bottom"/>
            <w:gridSpan w:val="3"/>
            <w:vMerge w:val="continue"/>
          </w:tcPr>
          <w:p>
            <w:pPr>
              <w:spacing w:after="0"/>
              <w:rPr>
                <w:sz w:val="16"/>
                <w:szCs w:val="16"/>
                <w:color w:val="auto"/>
              </w:rPr>
            </w:pPr>
          </w:p>
        </w:tc>
        <w:tc>
          <w:tcPr>
            <w:tcW w:w="1040" w:type="dxa"/>
            <w:vAlign w:val="bottom"/>
          </w:tcPr>
          <w:p>
            <w:pPr>
              <w:jc w:val="right"/>
              <w:ind w:right="857"/>
              <w:spacing w:after="0" w:line="190" w:lineRule="exact"/>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line="190" w:lineRule="exact"/>
              <w:rPr>
                <w:sz w:val="20"/>
                <w:szCs w:val="20"/>
                <w:color w:val="auto"/>
              </w:rPr>
            </w:pPr>
            <w:r>
              <w:rPr>
                <w:rFonts w:ascii="Arial" w:cs="Arial" w:eastAsia="Arial" w:hAnsi="Arial"/>
                <w:sz w:val="17"/>
                <w:szCs w:val="17"/>
                <w:color w:val="auto"/>
              </w:rPr>
              <w:t>271</w:t>
            </w:r>
          </w:p>
        </w:tc>
        <w:tc>
          <w:tcPr>
            <w:tcW w:w="1220" w:type="dxa"/>
            <w:vAlign w:val="bottom"/>
            <w:gridSpan w:val="2"/>
          </w:tcPr>
          <w:p>
            <w:pPr>
              <w:jc w:val="right"/>
              <w:ind w:right="940"/>
              <w:spacing w:after="0" w:line="190" w:lineRule="exact"/>
              <w:rPr>
                <w:sz w:val="20"/>
                <w:szCs w:val="20"/>
                <w:color w:val="auto"/>
              </w:rPr>
            </w:pPr>
            <w:r>
              <w:rPr>
                <w:rFonts w:ascii="Arial" w:cs="Arial" w:eastAsia="Arial" w:hAnsi="Arial"/>
                <w:sz w:val="17"/>
                <w:szCs w:val="17"/>
                <w:color w:val="auto"/>
              </w:rPr>
              <w:t>$</w:t>
            </w:r>
          </w:p>
        </w:tc>
        <w:tc>
          <w:tcPr>
            <w:tcW w:w="400" w:type="dxa"/>
            <w:vAlign w:val="bottom"/>
          </w:tcPr>
          <w:p>
            <w:pPr>
              <w:jc w:val="right"/>
              <w:spacing w:after="0" w:line="190" w:lineRule="exact"/>
              <w:rPr>
                <w:sz w:val="20"/>
                <w:szCs w:val="20"/>
                <w:color w:val="auto"/>
              </w:rPr>
            </w:pPr>
            <w:r>
              <w:rPr>
                <w:rFonts w:ascii="Arial" w:cs="Arial" w:eastAsia="Arial" w:hAnsi="Arial"/>
                <w:sz w:val="17"/>
                <w:szCs w:val="17"/>
                <w:color w:val="auto"/>
              </w:rPr>
              <w:t>66</w:t>
            </w:r>
          </w:p>
        </w:tc>
        <w:tc>
          <w:tcPr>
            <w:tcW w:w="320" w:type="dxa"/>
            <w:vAlign w:val="bottom"/>
            <w:gridSpan w:val="2"/>
          </w:tcPr>
          <w:p>
            <w:pPr>
              <w:jc w:val="right"/>
              <w:ind w:right="14"/>
              <w:spacing w:after="0" w:line="190" w:lineRule="exact"/>
              <w:rPr>
                <w:sz w:val="20"/>
                <w:szCs w:val="20"/>
                <w:color w:val="auto"/>
              </w:rPr>
            </w:pPr>
            <w:r>
              <w:rPr>
                <w:rFonts w:ascii="Arial" w:cs="Arial" w:eastAsia="Arial" w:hAnsi="Arial"/>
                <w:sz w:val="17"/>
                <w:szCs w:val="17"/>
                <w:color w:val="auto"/>
              </w:rPr>
              <w:t>$</w:t>
            </w:r>
          </w:p>
        </w:tc>
        <w:tc>
          <w:tcPr>
            <w:tcW w:w="1340" w:type="dxa"/>
            <w:vAlign w:val="bottom"/>
          </w:tcPr>
          <w:p>
            <w:pPr>
              <w:jc w:val="center"/>
              <w:ind w:left="897"/>
              <w:spacing w:after="0" w:line="190" w:lineRule="exact"/>
              <w:rPr>
                <w:sz w:val="20"/>
                <w:szCs w:val="20"/>
                <w:color w:val="auto"/>
              </w:rPr>
            </w:pPr>
            <w:r>
              <w:rPr>
                <w:rFonts w:ascii="Arial" w:cs="Arial" w:eastAsia="Arial" w:hAnsi="Arial"/>
                <w:sz w:val="17"/>
                <w:szCs w:val="17"/>
                <w:color w:val="auto"/>
                <w:w w:val="92"/>
              </w:rPr>
              <w:t>(25)</w:t>
            </w:r>
          </w:p>
        </w:tc>
        <w:tc>
          <w:tcPr>
            <w:tcW w:w="460" w:type="dxa"/>
            <w:vAlign w:val="bottom"/>
            <w:gridSpan w:val="2"/>
          </w:tcPr>
          <w:p>
            <w:pPr>
              <w:jc w:val="right"/>
              <w:ind w:right="174"/>
              <w:spacing w:after="0" w:line="190" w:lineRule="exact"/>
              <w:rPr>
                <w:sz w:val="20"/>
                <w:szCs w:val="20"/>
                <w:color w:val="auto"/>
              </w:rPr>
            </w:pPr>
            <w:r>
              <w:rPr>
                <w:rFonts w:ascii="Arial" w:cs="Arial" w:eastAsia="Arial" w:hAnsi="Arial"/>
                <w:sz w:val="17"/>
                <w:szCs w:val="17"/>
                <w:color w:val="auto"/>
              </w:rPr>
              <w:t>$</w:t>
            </w:r>
          </w:p>
        </w:tc>
        <w:tc>
          <w:tcPr>
            <w:tcW w:w="1160" w:type="dxa"/>
            <w:vAlign w:val="bottom"/>
          </w:tcPr>
          <w:p>
            <w:pPr>
              <w:jc w:val="right"/>
              <w:spacing w:after="0" w:line="190" w:lineRule="exact"/>
              <w:rPr>
                <w:sz w:val="20"/>
                <w:szCs w:val="20"/>
                <w:color w:val="auto"/>
              </w:rPr>
            </w:pPr>
            <w:r>
              <w:rPr>
                <w:rFonts w:ascii="Arial" w:cs="Arial" w:eastAsia="Arial" w:hAnsi="Arial"/>
                <w:sz w:val="17"/>
                <w:szCs w:val="17"/>
                <w:color w:val="auto"/>
              </w:rPr>
              <w:t>312</w:t>
            </w:r>
          </w:p>
        </w:tc>
        <w:tc>
          <w:tcPr>
            <w:tcW w:w="0" w:type="dxa"/>
            <w:vAlign w:val="bottom"/>
          </w:tcPr>
          <w:p>
            <w:pPr>
              <w:spacing w:after="0"/>
              <w:rPr>
                <w:sz w:val="1"/>
                <w:szCs w:val="1"/>
                <w:color w:val="auto"/>
              </w:rPr>
            </w:pPr>
          </w:p>
        </w:tc>
      </w:tr>
      <w:tr>
        <w:trPr>
          <w:trHeight w:val="232"/>
        </w:trPr>
        <w:tc>
          <w:tcPr>
            <w:tcW w:w="48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Interest expense and other, net</w:t>
            </w:r>
          </w:p>
        </w:tc>
        <w:tc>
          <w:tcPr>
            <w:tcW w:w="104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center"/>
              <w:ind w:left="897"/>
              <w:spacing w:after="0"/>
              <w:rPr>
                <w:sz w:val="20"/>
                <w:szCs w:val="20"/>
                <w:color w:val="auto"/>
              </w:rPr>
            </w:pPr>
            <w:r>
              <w:rPr>
                <w:rFonts w:ascii="Arial" w:cs="Arial" w:eastAsia="Arial" w:hAnsi="Arial"/>
                <w:sz w:val="17"/>
                <w:szCs w:val="17"/>
                <w:color w:val="auto"/>
                <w:w w:val="92"/>
              </w:rPr>
              <w:t>(53)</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gridSpan w:val="2"/>
          </w:tcPr>
          <w:p>
            <w:pPr>
              <w:ind w:left="460"/>
              <w:spacing w:after="0"/>
              <w:rPr>
                <w:sz w:val="20"/>
                <w:szCs w:val="20"/>
                <w:color w:val="auto"/>
              </w:rPr>
            </w:pPr>
            <w:r>
              <w:rPr>
                <w:rFonts w:ascii="Arial" w:cs="Arial" w:eastAsia="Arial" w:hAnsi="Arial"/>
                <w:sz w:val="17"/>
                <w:szCs w:val="17"/>
                <w:color w:val="auto"/>
              </w:rPr>
              <w:t>Income (loss) before income taxes</w:t>
            </w:r>
          </w:p>
        </w:tc>
        <w:tc>
          <w:tcPr>
            <w:tcW w:w="1040" w:type="dxa"/>
            <w:vAlign w:val="bottom"/>
          </w:tcPr>
          <w:p>
            <w:pPr>
              <w:jc w:val="right"/>
              <w:ind w:right="857"/>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271</w:t>
            </w:r>
          </w:p>
        </w:tc>
        <w:tc>
          <w:tcPr>
            <w:tcW w:w="1220" w:type="dxa"/>
            <w:vAlign w:val="bottom"/>
            <w:gridSpan w:val="2"/>
          </w:tcPr>
          <w:p>
            <w:pPr>
              <w:jc w:val="right"/>
              <w:ind w:right="940"/>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66</w:t>
            </w:r>
          </w:p>
        </w:tc>
        <w:tc>
          <w:tcPr>
            <w:tcW w:w="32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1340" w:type="dxa"/>
            <w:vAlign w:val="bottom"/>
          </w:tcPr>
          <w:p>
            <w:pPr>
              <w:jc w:val="center"/>
              <w:ind w:left="897"/>
              <w:spacing w:after="0"/>
              <w:rPr>
                <w:sz w:val="20"/>
                <w:szCs w:val="20"/>
                <w:color w:val="auto"/>
              </w:rPr>
            </w:pPr>
            <w:r>
              <w:rPr>
                <w:rFonts w:ascii="Arial" w:cs="Arial" w:eastAsia="Arial" w:hAnsi="Arial"/>
                <w:sz w:val="17"/>
                <w:szCs w:val="17"/>
                <w:color w:val="auto"/>
                <w:w w:val="92"/>
              </w:rPr>
              <w:t>(78)</w:t>
            </w:r>
          </w:p>
        </w:tc>
        <w:tc>
          <w:tcPr>
            <w:tcW w:w="460" w:type="dxa"/>
            <w:vAlign w:val="bottom"/>
            <w:gridSpan w:val="2"/>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Segment financial information for the three months ended June 30, 2022 is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Freight</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restart"/>
          </w:tcPr>
          <w:p>
            <w:pPr>
              <w:jc w:val="right"/>
              <w:ind w:right="40"/>
              <w:spacing w:after="0"/>
              <w:rPr>
                <w:sz w:val="20"/>
                <w:szCs w:val="20"/>
                <w:color w:val="auto"/>
              </w:rPr>
            </w:pPr>
            <w:r>
              <w:rPr>
                <w:rFonts w:ascii="Arial" w:cs="Arial" w:eastAsia="Arial" w:hAnsi="Arial"/>
                <w:sz w:val="15"/>
                <w:szCs w:val="15"/>
                <w:b w:val="1"/>
                <w:bCs w:val="1"/>
                <w:color w:val="auto"/>
              </w:rPr>
              <w:t>Transit</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center"/>
              <w:ind w:right="137"/>
              <w:spacing w:after="0"/>
              <w:rPr>
                <w:sz w:val="20"/>
                <w:szCs w:val="20"/>
                <w:color w:val="auto"/>
              </w:rPr>
            </w:pPr>
            <w:r>
              <w:rPr>
                <w:rFonts w:ascii="Arial" w:cs="Arial" w:eastAsia="Arial" w:hAnsi="Arial"/>
                <w:sz w:val="15"/>
                <w:szCs w:val="15"/>
                <w:b w:val="1"/>
                <w:bCs w:val="1"/>
                <w:color w:val="auto"/>
                <w:w w:val="94"/>
              </w:rPr>
              <w:t>Corporate</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center"/>
              <w:ind w:right="137"/>
              <w:spacing w:after="0" w:line="155" w:lineRule="exact"/>
              <w:rPr>
                <w:sz w:val="20"/>
                <w:szCs w:val="20"/>
                <w:color w:val="auto"/>
              </w:rPr>
            </w:pPr>
            <w:r>
              <w:rPr>
                <w:rFonts w:ascii="Arial" w:cs="Arial" w:eastAsia="Arial" w:hAnsi="Arial"/>
                <w:sz w:val="15"/>
                <w:szCs w:val="15"/>
                <w:b w:val="1"/>
                <w:bCs w:val="1"/>
                <w:color w:val="auto"/>
                <w:w w:val="94"/>
              </w:rPr>
              <w:t>Activities and</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vMerge w:val="restart"/>
          </w:tcPr>
          <w:p>
            <w:pPr>
              <w:jc w:val="right"/>
              <w:ind w:right="495"/>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55"/>
        </w:trPr>
        <w:tc>
          <w:tcPr>
            <w:tcW w:w="4820" w:type="dxa"/>
            <w:vAlign w:val="bottom"/>
            <w:gridSpan w:val="3"/>
          </w:tcPr>
          <w:p>
            <w:pPr>
              <w:ind w:left="20"/>
              <w:spacing w:after="0" w:line="135" w:lineRule="exact"/>
              <w:rPr>
                <w:sz w:val="20"/>
                <w:szCs w:val="20"/>
                <w:color w:val="auto"/>
              </w:rPr>
            </w:pPr>
            <w:r>
              <w:rPr>
                <w:rFonts w:ascii="Arial" w:cs="Arial" w:eastAsia="Arial" w:hAnsi="Arial"/>
                <w:sz w:val="14"/>
                <w:szCs w:val="14"/>
                <w:b w:val="1"/>
                <w:bCs w:val="1"/>
                <w:i w:val="1"/>
                <w:iCs w:val="1"/>
                <w:color w:val="auto"/>
              </w:rPr>
              <w:t>In millions</w:t>
            </w:r>
          </w:p>
        </w:tc>
        <w:tc>
          <w:tcPr>
            <w:tcW w:w="1040" w:type="dxa"/>
            <w:vAlign w:val="bottom"/>
          </w:tcPr>
          <w:p>
            <w:pPr>
              <w:jc w:val="right"/>
              <w:spacing w:after="0" w:line="135" w:lineRule="exact"/>
              <w:rPr>
                <w:sz w:val="20"/>
                <w:szCs w:val="20"/>
                <w:color w:val="auto"/>
              </w:rPr>
            </w:pPr>
            <w:r>
              <w:rPr>
                <w:rFonts w:ascii="Arial" w:cs="Arial" w:eastAsia="Arial" w:hAnsi="Arial"/>
                <w:sz w:val="15"/>
                <w:szCs w:val="15"/>
                <w:b w:val="1"/>
                <w:bCs w:val="1"/>
                <w:color w:val="auto"/>
              </w:rPr>
              <w:t>Segment</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line="135" w:lineRule="exact"/>
              <w:rPr>
                <w:sz w:val="20"/>
                <w:szCs w:val="20"/>
                <w:color w:val="auto"/>
              </w:rPr>
            </w:pPr>
            <w:r>
              <w:rPr>
                <w:rFonts w:ascii="Arial" w:cs="Arial" w:eastAsia="Arial" w:hAnsi="Arial"/>
                <w:sz w:val="15"/>
                <w:szCs w:val="15"/>
                <w:b w:val="1"/>
                <w:bCs w:val="1"/>
                <w:color w:val="auto"/>
              </w:rPr>
              <w:t>Segment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center"/>
              <w:ind w:right="117"/>
              <w:spacing w:after="0" w:line="135" w:lineRule="exact"/>
              <w:rPr>
                <w:sz w:val="20"/>
                <w:szCs w:val="20"/>
                <w:color w:val="auto"/>
              </w:rPr>
            </w:pPr>
            <w:r>
              <w:rPr>
                <w:rFonts w:ascii="Arial" w:cs="Arial" w:eastAsia="Arial" w:hAnsi="Arial"/>
                <w:sz w:val="15"/>
                <w:szCs w:val="15"/>
                <w:b w:val="1"/>
                <w:bCs w:val="1"/>
                <w:color w:val="auto"/>
                <w:w w:val="96"/>
              </w:rPr>
              <w:t>Elimination</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8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Sales to external customers</w:t>
            </w:r>
          </w:p>
        </w:tc>
        <w:tc>
          <w:tcPr>
            <w:tcW w:w="1040" w:type="dxa"/>
            <w:vAlign w:val="bottom"/>
            <w:shd w:val="clear" w:color="auto" w:fill="CCEEFF"/>
          </w:tcPr>
          <w:p>
            <w:pPr>
              <w:jc w:val="right"/>
              <w:ind w:right="857"/>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1,490</w:t>
            </w:r>
          </w:p>
        </w:tc>
        <w:tc>
          <w:tcPr>
            <w:tcW w:w="1220" w:type="dxa"/>
            <w:vAlign w:val="bottom"/>
            <w:gridSpan w:val="2"/>
            <w:shd w:val="clear" w:color="auto" w:fill="CCEEFF"/>
          </w:tcPr>
          <w:p>
            <w:pPr>
              <w:jc w:val="right"/>
              <w:ind w:right="94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w:t>
            </w:r>
          </w:p>
        </w:tc>
        <w:tc>
          <w:tcPr>
            <w:tcW w:w="32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center"/>
              <w:ind w:left="937"/>
              <w:spacing w:after="0"/>
              <w:rPr>
                <w:sz w:val="20"/>
                <w:szCs w:val="20"/>
                <w:color w:val="auto"/>
              </w:rPr>
            </w:pPr>
            <w:r>
              <w:rPr>
                <w:rFonts w:ascii="Arial" w:cs="Arial" w:eastAsia="Arial" w:hAnsi="Arial"/>
                <w:sz w:val="17"/>
                <w:szCs w:val="17"/>
                <w:color w:val="auto"/>
                <w:w w:val="93"/>
              </w:rPr>
              <w:t>—</w:t>
            </w:r>
          </w:p>
        </w:tc>
        <w:tc>
          <w:tcPr>
            <w:tcW w:w="460" w:type="dxa"/>
            <w:vAlign w:val="bottom"/>
            <w:gridSpan w:val="2"/>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2,048</w:t>
            </w:r>
          </w:p>
        </w:tc>
        <w:tc>
          <w:tcPr>
            <w:tcW w:w="0" w:type="dxa"/>
            <w:vAlign w:val="bottom"/>
          </w:tcPr>
          <w:p>
            <w:pPr>
              <w:spacing w:after="0"/>
              <w:rPr>
                <w:sz w:val="1"/>
                <w:szCs w:val="1"/>
                <w:color w:val="auto"/>
              </w:rPr>
            </w:pPr>
          </w:p>
        </w:tc>
      </w:tr>
      <w:tr>
        <w:trPr>
          <w:trHeight w:val="218"/>
        </w:trPr>
        <w:tc>
          <w:tcPr>
            <w:tcW w:w="4820" w:type="dxa"/>
            <w:vAlign w:val="bottom"/>
            <w:gridSpan w:val="3"/>
          </w:tcPr>
          <w:p>
            <w:pPr>
              <w:ind w:left="20"/>
              <w:spacing w:after="0"/>
              <w:rPr>
                <w:sz w:val="20"/>
                <w:szCs w:val="20"/>
                <w:color w:val="auto"/>
              </w:rPr>
            </w:pPr>
            <w:r>
              <w:rPr>
                <w:rFonts w:ascii="Arial" w:cs="Arial" w:eastAsia="Arial" w:hAnsi="Arial"/>
                <w:sz w:val="17"/>
                <w:szCs w:val="17"/>
                <w:color w:val="auto"/>
              </w:rPr>
              <w:t>Intersegment sales/(elimination)</w:t>
            </w: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left="897"/>
              <w:spacing w:after="0"/>
              <w:rPr>
                <w:sz w:val="20"/>
                <w:szCs w:val="20"/>
                <w:color w:val="auto"/>
              </w:rPr>
            </w:pPr>
            <w:r>
              <w:rPr>
                <w:rFonts w:ascii="Arial" w:cs="Arial" w:eastAsia="Arial" w:hAnsi="Arial"/>
                <w:sz w:val="17"/>
                <w:szCs w:val="17"/>
                <w:color w:val="auto"/>
                <w:w w:val="92"/>
              </w:rPr>
              <w:t>(21)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6"/>
        </w:trPr>
        <w:tc>
          <w:tcPr>
            <w:tcW w:w="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7"/>
                <w:szCs w:val="17"/>
                <w:color w:val="auto"/>
              </w:rPr>
              <w:t>Total sales</w:t>
            </w:r>
          </w:p>
        </w:tc>
        <w:tc>
          <w:tcPr>
            <w:tcW w:w="1040" w:type="dxa"/>
            <w:vAlign w:val="bottom"/>
            <w:tcBorders>
              <w:bottom w:val="single" w:sz="8" w:color="auto"/>
            </w:tcBorders>
            <w:shd w:val="clear" w:color="auto" w:fill="CCEEFF"/>
          </w:tcPr>
          <w:p>
            <w:pPr>
              <w:jc w:val="right"/>
              <w:ind w:right="857"/>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1,502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40"/>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center"/>
              <w:ind w:left="897"/>
              <w:spacing w:after="0"/>
              <w:rPr>
                <w:sz w:val="20"/>
                <w:szCs w:val="20"/>
                <w:color w:val="auto"/>
              </w:rPr>
            </w:pPr>
            <w:r>
              <w:rPr>
                <w:rFonts w:ascii="Arial" w:cs="Arial" w:eastAsia="Arial" w:hAnsi="Arial"/>
                <w:sz w:val="17"/>
                <w:szCs w:val="17"/>
                <w:color w:val="auto"/>
                <w:w w:val="92"/>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2,048</w:t>
            </w:r>
          </w:p>
        </w:tc>
        <w:tc>
          <w:tcPr>
            <w:tcW w:w="0" w:type="dxa"/>
            <w:vAlign w:val="bottom"/>
          </w:tcPr>
          <w:p>
            <w:pPr>
              <w:spacing w:after="0"/>
              <w:rPr>
                <w:sz w:val="1"/>
                <w:szCs w:val="1"/>
                <w:color w:val="auto"/>
              </w:rPr>
            </w:pPr>
          </w:p>
        </w:tc>
      </w:tr>
      <w:tr>
        <w:trPr>
          <w:trHeight w:val="20"/>
        </w:trPr>
        <w:tc>
          <w:tcPr>
            <w:tcW w:w="4820" w:type="dxa"/>
            <w:vAlign w:val="bottom"/>
            <w:gridSpan w:val="3"/>
            <w:vMerge w:val="restart"/>
          </w:tcPr>
          <w:p>
            <w:pPr>
              <w:ind w:left="20"/>
              <w:spacing w:after="0"/>
              <w:rPr>
                <w:sz w:val="20"/>
                <w:szCs w:val="20"/>
                <w:color w:val="auto"/>
              </w:rPr>
            </w:pPr>
            <w:r>
              <w:rPr>
                <w:rFonts w:ascii="Arial" w:cs="Arial" w:eastAsia="Arial" w:hAnsi="Arial"/>
                <w:sz w:val="17"/>
                <w:szCs w:val="17"/>
                <w:color w:val="auto"/>
              </w:rPr>
              <w:t>Income (loss) from operations</w:t>
            </w: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20" w:type="dxa"/>
            <w:vAlign w:val="bottom"/>
            <w:gridSpan w:val="3"/>
            <w:vMerge w:val="continue"/>
          </w:tcPr>
          <w:p>
            <w:pPr>
              <w:spacing w:after="0"/>
              <w:rPr>
                <w:sz w:val="16"/>
                <w:szCs w:val="16"/>
                <w:color w:val="auto"/>
              </w:rPr>
            </w:pPr>
          </w:p>
        </w:tc>
        <w:tc>
          <w:tcPr>
            <w:tcW w:w="1040" w:type="dxa"/>
            <w:vAlign w:val="bottom"/>
          </w:tcPr>
          <w:p>
            <w:pPr>
              <w:jc w:val="right"/>
              <w:ind w:right="857"/>
              <w:spacing w:after="0" w:line="190" w:lineRule="exact"/>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line="190" w:lineRule="exact"/>
              <w:rPr>
                <w:sz w:val="20"/>
                <w:szCs w:val="20"/>
                <w:color w:val="auto"/>
              </w:rPr>
            </w:pPr>
            <w:r>
              <w:rPr>
                <w:rFonts w:ascii="Arial" w:cs="Arial" w:eastAsia="Arial" w:hAnsi="Arial"/>
                <w:sz w:val="17"/>
                <w:szCs w:val="17"/>
                <w:color w:val="auto"/>
              </w:rPr>
              <w:t>233</w:t>
            </w:r>
          </w:p>
        </w:tc>
        <w:tc>
          <w:tcPr>
            <w:tcW w:w="1220" w:type="dxa"/>
            <w:vAlign w:val="bottom"/>
            <w:gridSpan w:val="2"/>
          </w:tcPr>
          <w:p>
            <w:pPr>
              <w:jc w:val="right"/>
              <w:ind w:right="940"/>
              <w:spacing w:after="0" w:line="190" w:lineRule="exact"/>
              <w:rPr>
                <w:sz w:val="20"/>
                <w:szCs w:val="20"/>
                <w:color w:val="auto"/>
              </w:rPr>
            </w:pPr>
            <w:r>
              <w:rPr>
                <w:rFonts w:ascii="Arial" w:cs="Arial" w:eastAsia="Arial" w:hAnsi="Arial"/>
                <w:sz w:val="17"/>
                <w:szCs w:val="17"/>
                <w:color w:val="auto"/>
              </w:rPr>
              <w:t>$</w:t>
            </w:r>
          </w:p>
        </w:tc>
        <w:tc>
          <w:tcPr>
            <w:tcW w:w="400" w:type="dxa"/>
            <w:vAlign w:val="bottom"/>
          </w:tcPr>
          <w:p>
            <w:pPr>
              <w:jc w:val="right"/>
              <w:spacing w:after="0" w:line="190" w:lineRule="exact"/>
              <w:rPr>
                <w:sz w:val="20"/>
                <w:szCs w:val="20"/>
                <w:color w:val="auto"/>
              </w:rPr>
            </w:pPr>
            <w:r>
              <w:rPr>
                <w:rFonts w:ascii="Arial" w:cs="Arial" w:eastAsia="Arial" w:hAnsi="Arial"/>
                <w:sz w:val="17"/>
                <w:szCs w:val="17"/>
                <w:color w:val="auto"/>
              </w:rPr>
              <w:t>50</w:t>
            </w:r>
          </w:p>
        </w:tc>
        <w:tc>
          <w:tcPr>
            <w:tcW w:w="320" w:type="dxa"/>
            <w:vAlign w:val="bottom"/>
            <w:gridSpan w:val="2"/>
          </w:tcPr>
          <w:p>
            <w:pPr>
              <w:jc w:val="right"/>
              <w:ind w:right="14"/>
              <w:spacing w:after="0" w:line="190" w:lineRule="exact"/>
              <w:rPr>
                <w:sz w:val="20"/>
                <w:szCs w:val="20"/>
                <w:color w:val="auto"/>
              </w:rPr>
            </w:pPr>
            <w:r>
              <w:rPr>
                <w:rFonts w:ascii="Arial" w:cs="Arial" w:eastAsia="Arial" w:hAnsi="Arial"/>
                <w:sz w:val="17"/>
                <w:szCs w:val="17"/>
                <w:color w:val="auto"/>
              </w:rPr>
              <w:t>$</w:t>
            </w:r>
          </w:p>
        </w:tc>
        <w:tc>
          <w:tcPr>
            <w:tcW w:w="1340" w:type="dxa"/>
            <w:vAlign w:val="bottom"/>
          </w:tcPr>
          <w:p>
            <w:pPr>
              <w:jc w:val="center"/>
              <w:ind w:left="897"/>
              <w:spacing w:after="0" w:line="190" w:lineRule="exact"/>
              <w:rPr>
                <w:sz w:val="20"/>
                <w:szCs w:val="20"/>
                <w:color w:val="auto"/>
              </w:rPr>
            </w:pPr>
            <w:r>
              <w:rPr>
                <w:rFonts w:ascii="Arial" w:cs="Arial" w:eastAsia="Arial" w:hAnsi="Arial"/>
                <w:sz w:val="17"/>
                <w:szCs w:val="17"/>
                <w:color w:val="auto"/>
                <w:w w:val="92"/>
              </w:rPr>
              <w:t>(19)</w:t>
            </w:r>
          </w:p>
        </w:tc>
        <w:tc>
          <w:tcPr>
            <w:tcW w:w="460" w:type="dxa"/>
            <w:vAlign w:val="bottom"/>
            <w:gridSpan w:val="2"/>
          </w:tcPr>
          <w:p>
            <w:pPr>
              <w:jc w:val="right"/>
              <w:ind w:right="174"/>
              <w:spacing w:after="0" w:line="190" w:lineRule="exact"/>
              <w:rPr>
                <w:sz w:val="20"/>
                <w:szCs w:val="20"/>
                <w:color w:val="auto"/>
              </w:rPr>
            </w:pPr>
            <w:r>
              <w:rPr>
                <w:rFonts w:ascii="Arial" w:cs="Arial" w:eastAsia="Arial" w:hAnsi="Arial"/>
                <w:sz w:val="17"/>
                <w:szCs w:val="17"/>
                <w:color w:val="auto"/>
              </w:rPr>
              <w:t>$</w:t>
            </w:r>
          </w:p>
        </w:tc>
        <w:tc>
          <w:tcPr>
            <w:tcW w:w="1160" w:type="dxa"/>
            <w:vAlign w:val="bottom"/>
          </w:tcPr>
          <w:p>
            <w:pPr>
              <w:jc w:val="right"/>
              <w:spacing w:after="0" w:line="190" w:lineRule="exact"/>
              <w:rPr>
                <w:sz w:val="20"/>
                <w:szCs w:val="20"/>
                <w:color w:val="auto"/>
              </w:rPr>
            </w:pPr>
            <w:r>
              <w:rPr>
                <w:rFonts w:ascii="Arial" w:cs="Arial" w:eastAsia="Arial" w:hAnsi="Arial"/>
                <w:sz w:val="17"/>
                <w:szCs w:val="17"/>
                <w:color w:val="auto"/>
              </w:rPr>
              <w:t>264</w:t>
            </w:r>
          </w:p>
        </w:tc>
        <w:tc>
          <w:tcPr>
            <w:tcW w:w="0" w:type="dxa"/>
            <w:vAlign w:val="bottom"/>
          </w:tcPr>
          <w:p>
            <w:pPr>
              <w:spacing w:after="0"/>
              <w:rPr>
                <w:sz w:val="1"/>
                <w:szCs w:val="1"/>
                <w:color w:val="auto"/>
              </w:rPr>
            </w:pPr>
          </w:p>
        </w:tc>
      </w:tr>
      <w:tr>
        <w:trPr>
          <w:trHeight w:val="219"/>
        </w:trPr>
        <w:tc>
          <w:tcPr>
            <w:tcW w:w="4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Interest expense and other, net</w:t>
            </w: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897"/>
              <w:spacing w:after="0"/>
              <w:rPr>
                <w:sz w:val="20"/>
                <w:szCs w:val="20"/>
                <w:color w:val="auto"/>
              </w:rPr>
            </w:pPr>
            <w:r>
              <w:rPr>
                <w:rFonts w:ascii="Arial" w:cs="Arial" w:eastAsia="Arial" w:hAnsi="Arial"/>
                <w:sz w:val="17"/>
                <w:szCs w:val="17"/>
                <w:color w:val="auto"/>
                <w:w w:val="92"/>
              </w:rPr>
              <w:t>(37)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00" w:type="dxa"/>
            <w:vAlign w:val="bottom"/>
            <w:gridSpan w:val="2"/>
          </w:tcPr>
          <w:p>
            <w:pPr>
              <w:ind w:left="460"/>
              <w:spacing w:after="0"/>
              <w:rPr>
                <w:sz w:val="20"/>
                <w:szCs w:val="20"/>
                <w:color w:val="auto"/>
              </w:rPr>
            </w:pPr>
            <w:r>
              <w:rPr>
                <w:rFonts w:ascii="Arial" w:cs="Arial" w:eastAsia="Arial" w:hAnsi="Arial"/>
                <w:sz w:val="17"/>
                <w:szCs w:val="17"/>
                <w:color w:val="auto"/>
              </w:rPr>
              <w:t>Income (loss) before income taxes</w:t>
            </w:r>
          </w:p>
        </w:tc>
        <w:tc>
          <w:tcPr>
            <w:tcW w:w="1040" w:type="dxa"/>
            <w:vAlign w:val="bottom"/>
          </w:tcPr>
          <w:p>
            <w:pPr>
              <w:jc w:val="right"/>
              <w:ind w:right="857"/>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233</w:t>
            </w:r>
          </w:p>
        </w:tc>
        <w:tc>
          <w:tcPr>
            <w:tcW w:w="1220" w:type="dxa"/>
            <w:vAlign w:val="bottom"/>
            <w:gridSpan w:val="2"/>
          </w:tcPr>
          <w:p>
            <w:pPr>
              <w:jc w:val="right"/>
              <w:ind w:right="940"/>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50</w:t>
            </w:r>
          </w:p>
        </w:tc>
        <w:tc>
          <w:tcPr>
            <w:tcW w:w="32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1340" w:type="dxa"/>
            <w:vAlign w:val="bottom"/>
          </w:tcPr>
          <w:p>
            <w:pPr>
              <w:jc w:val="center"/>
              <w:ind w:left="897"/>
              <w:spacing w:after="0"/>
              <w:rPr>
                <w:sz w:val="20"/>
                <w:szCs w:val="20"/>
                <w:color w:val="auto"/>
              </w:rPr>
            </w:pPr>
            <w:r>
              <w:rPr>
                <w:rFonts w:ascii="Arial" w:cs="Arial" w:eastAsia="Arial" w:hAnsi="Arial"/>
                <w:sz w:val="17"/>
                <w:szCs w:val="17"/>
                <w:color w:val="auto"/>
                <w:w w:val="92"/>
              </w:rPr>
              <w:t>(56)</w:t>
            </w:r>
          </w:p>
        </w:tc>
        <w:tc>
          <w:tcPr>
            <w:tcW w:w="460" w:type="dxa"/>
            <w:vAlign w:val="bottom"/>
            <w:gridSpan w:val="2"/>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21" w:name="page22"/>
    <w:bookmarkEnd w:id="21"/>
    <w:p>
      <w:pPr>
        <w:ind w:left="620"/>
        <w:spacing w:after="0"/>
        <w:rPr>
          <w:sz w:val="20"/>
          <w:szCs w:val="20"/>
          <w:color w:val="auto"/>
        </w:rPr>
      </w:pPr>
      <w:r>
        <w:rPr>
          <w:rFonts w:ascii="Arial" w:cs="Arial" w:eastAsia="Arial" w:hAnsi="Arial"/>
          <w:sz w:val="17"/>
          <w:szCs w:val="17"/>
          <w:color w:val="auto"/>
        </w:rPr>
        <w:t>Segment financial information for the six months ended June 30, 2023 is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ind w:right="135"/>
              <w:spacing w:after="0"/>
              <w:rPr>
                <w:sz w:val="20"/>
                <w:szCs w:val="20"/>
                <w:color w:val="auto"/>
              </w:rPr>
            </w:pPr>
            <w:r>
              <w:rPr>
                <w:rFonts w:ascii="Arial" w:cs="Arial" w:eastAsia="Arial" w:hAnsi="Arial"/>
                <w:sz w:val="15"/>
                <w:szCs w:val="15"/>
                <w:b w:val="1"/>
                <w:bCs w:val="1"/>
                <w:color w:val="auto"/>
                <w:w w:val="94"/>
              </w:rPr>
              <w:t>Freight Segment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ind w:right="135"/>
              <w:spacing w:after="0"/>
              <w:rPr>
                <w:sz w:val="20"/>
                <w:szCs w:val="20"/>
                <w:color w:val="auto"/>
              </w:rPr>
            </w:pPr>
            <w:r>
              <w:rPr>
                <w:rFonts w:ascii="Arial" w:cs="Arial" w:eastAsia="Arial" w:hAnsi="Arial"/>
                <w:sz w:val="15"/>
                <w:szCs w:val="15"/>
                <w:b w:val="1"/>
                <w:bCs w:val="1"/>
                <w:color w:val="auto"/>
                <w:w w:val="95"/>
              </w:rPr>
              <w:t>Transit Segment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ind w:right="36"/>
              <w:spacing w:after="0"/>
              <w:rPr>
                <w:sz w:val="20"/>
                <w:szCs w:val="20"/>
                <w:color w:val="auto"/>
              </w:rPr>
            </w:pPr>
            <w:r>
              <w:rPr>
                <w:rFonts w:ascii="Arial" w:cs="Arial" w:eastAsia="Arial" w:hAnsi="Arial"/>
                <w:sz w:val="15"/>
                <w:szCs w:val="15"/>
                <w:b w:val="1"/>
                <w:bCs w:val="1"/>
                <w:color w:val="auto"/>
                <w:w w:val="91"/>
              </w:rPr>
              <w:t>Corporate Activities</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vMerge w:val="restart"/>
          </w:tcPr>
          <w:p>
            <w:pPr>
              <w:jc w:val="right"/>
              <w:ind w:right="495"/>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8"/>
        </w:trPr>
        <w:tc>
          <w:tcPr>
            <w:tcW w:w="48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ind w:right="156"/>
              <w:spacing w:after="0" w:line="168" w:lineRule="exact"/>
              <w:rPr>
                <w:sz w:val="20"/>
                <w:szCs w:val="20"/>
                <w:color w:val="auto"/>
              </w:rPr>
            </w:pPr>
            <w:r>
              <w:rPr>
                <w:rFonts w:ascii="Arial" w:cs="Arial" w:eastAsia="Arial" w:hAnsi="Arial"/>
                <w:sz w:val="15"/>
                <w:szCs w:val="15"/>
                <w:b w:val="1"/>
                <w:bCs w:val="1"/>
                <w:color w:val="auto"/>
              </w:rPr>
              <w:t>and Elimination</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Sales to external customers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4,601</w:t>
            </w:r>
          </w:p>
        </w:tc>
        <w:tc>
          <w:tcPr>
            <w:tcW w:w="0" w:type="dxa"/>
            <w:vAlign w:val="bottom"/>
          </w:tcPr>
          <w:p>
            <w:pPr>
              <w:spacing w:after="0"/>
              <w:rPr>
                <w:sz w:val="1"/>
                <w:szCs w:val="1"/>
                <w:color w:val="auto"/>
              </w:rPr>
            </w:pPr>
          </w:p>
        </w:tc>
      </w:tr>
      <w:tr>
        <w:trPr>
          <w:trHeight w:val="231"/>
        </w:trPr>
        <w:tc>
          <w:tcPr>
            <w:tcW w:w="486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Intersegment sales/(elimination)</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4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7"/>
                <w:szCs w:val="17"/>
                <w:color w:val="auto"/>
              </w:rPr>
              <w:t>Total sales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4,601</w:t>
            </w:r>
          </w:p>
        </w:tc>
        <w:tc>
          <w:tcPr>
            <w:tcW w:w="0" w:type="dxa"/>
            <w:vAlign w:val="bottom"/>
          </w:tcPr>
          <w:p>
            <w:pPr>
              <w:spacing w:after="0"/>
              <w:rPr>
                <w:sz w:val="1"/>
                <w:szCs w:val="1"/>
                <w:color w:val="auto"/>
              </w:rPr>
            </w:pPr>
          </w:p>
        </w:tc>
      </w:tr>
      <w:tr>
        <w:trPr>
          <w:trHeight w:val="20"/>
        </w:trPr>
        <w:tc>
          <w:tcPr>
            <w:tcW w:w="4860" w:type="dxa"/>
            <w:vAlign w:val="bottom"/>
            <w:gridSpan w:val="3"/>
            <w:vMerge w:val="restart"/>
          </w:tcPr>
          <w:p>
            <w:pPr>
              <w:ind w:left="20"/>
              <w:spacing w:after="0"/>
              <w:rPr>
                <w:sz w:val="20"/>
                <w:szCs w:val="20"/>
                <w:color w:val="auto"/>
              </w:rPr>
            </w:pPr>
            <w:r>
              <w:rPr>
                <w:rFonts w:ascii="Arial" w:cs="Arial" w:eastAsia="Arial" w:hAnsi="Arial"/>
                <w:sz w:val="17"/>
                <w:szCs w:val="17"/>
                <w:color w:val="auto"/>
              </w:rPr>
              <w:t>Income (loss) from operations</w:t>
            </w: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60" w:type="dxa"/>
            <w:vAlign w:val="bottom"/>
            <w:gridSpan w:val="3"/>
            <w:vMerge w:val="continue"/>
          </w:tcPr>
          <w:p>
            <w:pPr>
              <w:spacing w:after="0"/>
              <w:rPr>
                <w:sz w:val="16"/>
                <w:szCs w:val="16"/>
                <w:color w:val="auto"/>
              </w:rPr>
            </w:pPr>
          </w:p>
        </w:tc>
        <w:tc>
          <w:tcPr>
            <w:tcW w:w="160" w:type="dxa"/>
            <w:vAlign w:val="bottom"/>
          </w:tcPr>
          <w:p>
            <w:pPr>
              <w:jc w:val="right"/>
              <w:spacing w:after="0" w:line="190" w:lineRule="exact"/>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line="190" w:lineRule="exact"/>
              <w:rPr>
                <w:sz w:val="20"/>
                <w:szCs w:val="20"/>
                <w:color w:val="auto"/>
              </w:rPr>
            </w:pPr>
            <w:r>
              <w:rPr>
                <w:rFonts w:ascii="Arial" w:cs="Arial" w:eastAsia="Arial" w:hAnsi="Arial"/>
                <w:sz w:val="17"/>
                <w:szCs w:val="17"/>
                <w:color w:val="auto"/>
              </w:rPr>
              <w:t>498</w:t>
            </w:r>
          </w:p>
        </w:tc>
        <w:tc>
          <w:tcPr>
            <w:tcW w:w="260" w:type="dxa"/>
            <w:vAlign w:val="bottom"/>
            <w:gridSpan w:val="2"/>
          </w:tcPr>
          <w:p>
            <w:pPr>
              <w:jc w:val="right"/>
              <w:spacing w:after="0" w:line="190" w:lineRule="exact"/>
              <w:rPr>
                <w:sz w:val="20"/>
                <w:szCs w:val="20"/>
                <w:color w:val="auto"/>
              </w:rPr>
            </w:pPr>
            <w:r>
              <w:rPr>
                <w:rFonts w:ascii="Arial" w:cs="Arial" w:eastAsia="Arial" w:hAnsi="Arial"/>
                <w:sz w:val="17"/>
                <w:szCs w:val="17"/>
                <w:color w:val="auto"/>
              </w:rPr>
              <w:t>$</w:t>
            </w:r>
          </w:p>
        </w:tc>
        <w:tc>
          <w:tcPr>
            <w:tcW w:w="1360" w:type="dxa"/>
            <w:vAlign w:val="bottom"/>
          </w:tcPr>
          <w:p>
            <w:pPr>
              <w:jc w:val="right"/>
              <w:spacing w:after="0" w:line="190" w:lineRule="exact"/>
              <w:rPr>
                <w:sz w:val="20"/>
                <w:szCs w:val="20"/>
                <w:color w:val="auto"/>
              </w:rPr>
            </w:pPr>
            <w:r>
              <w:rPr>
                <w:rFonts w:ascii="Arial" w:cs="Arial" w:eastAsia="Arial" w:hAnsi="Arial"/>
                <w:sz w:val="17"/>
                <w:szCs w:val="17"/>
                <w:color w:val="auto"/>
              </w:rPr>
              <w:t>135</w:t>
            </w:r>
          </w:p>
        </w:tc>
        <w:tc>
          <w:tcPr>
            <w:tcW w:w="200" w:type="dxa"/>
            <w:vAlign w:val="bottom"/>
            <w:gridSpan w:val="2"/>
          </w:tcPr>
          <w:p>
            <w:pPr>
              <w:jc w:val="right"/>
              <w:spacing w:after="0" w:line="190" w:lineRule="exact"/>
              <w:rPr>
                <w:sz w:val="20"/>
                <w:szCs w:val="20"/>
                <w:color w:val="auto"/>
              </w:rPr>
            </w:pPr>
            <w:r>
              <w:rPr>
                <w:rFonts w:ascii="Arial" w:cs="Arial" w:eastAsia="Arial" w:hAnsi="Arial"/>
                <w:sz w:val="17"/>
                <w:szCs w:val="17"/>
                <w:color w:val="auto"/>
              </w:rPr>
              <w:t>$</w:t>
            </w:r>
          </w:p>
        </w:tc>
        <w:tc>
          <w:tcPr>
            <w:tcW w:w="1440" w:type="dxa"/>
            <w:vAlign w:val="bottom"/>
          </w:tcPr>
          <w:p>
            <w:pPr>
              <w:jc w:val="right"/>
              <w:spacing w:after="0" w:line="190" w:lineRule="exact"/>
              <w:rPr>
                <w:sz w:val="20"/>
                <w:szCs w:val="20"/>
                <w:color w:val="auto"/>
              </w:rPr>
            </w:pPr>
            <w:r>
              <w:rPr>
                <w:rFonts w:ascii="Arial" w:cs="Arial" w:eastAsia="Arial" w:hAnsi="Arial"/>
                <w:sz w:val="17"/>
                <w:szCs w:val="17"/>
                <w:color w:val="auto"/>
              </w:rPr>
              <w:t>(45)</w:t>
            </w:r>
          </w:p>
        </w:tc>
        <w:tc>
          <w:tcPr>
            <w:tcW w:w="440" w:type="dxa"/>
            <w:vAlign w:val="bottom"/>
            <w:gridSpan w:val="2"/>
          </w:tcPr>
          <w:p>
            <w:pPr>
              <w:jc w:val="right"/>
              <w:ind w:right="174"/>
              <w:spacing w:after="0" w:line="190" w:lineRule="exact"/>
              <w:rPr>
                <w:sz w:val="20"/>
                <w:szCs w:val="20"/>
                <w:color w:val="auto"/>
              </w:rPr>
            </w:pPr>
            <w:r>
              <w:rPr>
                <w:rFonts w:ascii="Arial" w:cs="Arial" w:eastAsia="Arial" w:hAnsi="Arial"/>
                <w:sz w:val="17"/>
                <w:szCs w:val="17"/>
                <w:color w:val="auto"/>
              </w:rPr>
              <w:t>$</w:t>
            </w:r>
          </w:p>
        </w:tc>
        <w:tc>
          <w:tcPr>
            <w:tcW w:w="1160" w:type="dxa"/>
            <w:vAlign w:val="bottom"/>
          </w:tcPr>
          <w:p>
            <w:pPr>
              <w:jc w:val="right"/>
              <w:spacing w:after="0" w:line="190" w:lineRule="exact"/>
              <w:rPr>
                <w:sz w:val="20"/>
                <w:szCs w:val="20"/>
                <w:color w:val="auto"/>
              </w:rPr>
            </w:pPr>
            <w:r>
              <w:rPr>
                <w:rFonts w:ascii="Arial" w:cs="Arial" w:eastAsia="Arial" w:hAnsi="Arial"/>
                <w:sz w:val="17"/>
                <w:szCs w:val="17"/>
                <w:color w:val="auto"/>
              </w:rPr>
              <w:t>588</w:t>
            </w:r>
          </w:p>
        </w:tc>
        <w:tc>
          <w:tcPr>
            <w:tcW w:w="0" w:type="dxa"/>
            <w:vAlign w:val="bottom"/>
          </w:tcPr>
          <w:p>
            <w:pPr>
              <w:spacing w:after="0"/>
              <w:rPr>
                <w:sz w:val="1"/>
                <w:szCs w:val="1"/>
                <w:color w:val="auto"/>
              </w:rPr>
            </w:pPr>
          </w:p>
        </w:tc>
      </w:tr>
      <w:tr>
        <w:trPr>
          <w:trHeight w:val="232"/>
        </w:trPr>
        <w:tc>
          <w:tcPr>
            <w:tcW w:w="4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Interest expense and other, net</w:t>
            </w:r>
          </w:p>
        </w:tc>
        <w:tc>
          <w:tcPr>
            <w:tcW w:w="1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gridSpan w:val="2"/>
          </w:tcPr>
          <w:p>
            <w:pPr>
              <w:ind w:left="460"/>
              <w:spacing w:after="0"/>
              <w:rPr>
                <w:sz w:val="20"/>
                <w:szCs w:val="20"/>
                <w:color w:val="auto"/>
              </w:rPr>
            </w:pPr>
            <w:r>
              <w:rPr>
                <w:rFonts w:ascii="Arial" w:cs="Arial" w:eastAsia="Arial" w:hAnsi="Arial"/>
                <w:sz w:val="17"/>
                <w:szCs w:val="17"/>
                <w:color w:val="auto"/>
              </w:rPr>
              <w:t>Income (loss) before income taxes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498</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135</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(141)</w:t>
            </w:r>
          </w:p>
        </w:tc>
        <w:tc>
          <w:tcPr>
            <w:tcW w:w="440" w:type="dxa"/>
            <w:vAlign w:val="bottom"/>
            <w:gridSpan w:val="2"/>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492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Segment financial information for the six months ended June 30, 2022 is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Freight Segment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Transit Segment</w:t>
            </w:r>
          </w:p>
        </w:tc>
        <w:tc>
          <w:tcPr>
            <w:tcW w:w="4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Arial" w:cs="Arial" w:eastAsia="Arial" w:hAnsi="Arial"/>
                <w:sz w:val="15"/>
                <w:szCs w:val="15"/>
                <w:b w:val="1"/>
                <w:bCs w:val="1"/>
                <w:color w:val="auto"/>
                <w:w w:val="92"/>
              </w:rPr>
              <w:t>Corporate Activities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vMerge w:val="restart"/>
          </w:tcPr>
          <w:p>
            <w:pPr>
              <w:jc w:val="right"/>
              <w:ind w:right="495"/>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55"/>
        </w:trPr>
        <w:tc>
          <w:tcPr>
            <w:tcW w:w="4860" w:type="dxa"/>
            <w:vAlign w:val="bottom"/>
            <w:gridSpan w:val="3"/>
          </w:tcPr>
          <w:p>
            <w:pPr>
              <w:ind w:left="20"/>
              <w:spacing w:after="0" w:line="135" w:lineRule="exact"/>
              <w:rPr>
                <w:sz w:val="20"/>
                <w:szCs w:val="20"/>
                <w:color w:val="auto"/>
              </w:rPr>
            </w:pPr>
            <w:r>
              <w:rPr>
                <w:rFonts w:ascii="Arial" w:cs="Arial" w:eastAsia="Arial" w:hAnsi="Arial"/>
                <w:sz w:val="14"/>
                <w:szCs w:val="14"/>
                <w:b w:val="1"/>
                <w:bCs w:val="1"/>
                <w:i w:val="1"/>
                <w:iCs w:val="1"/>
                <w:color w:val="auto"/>
              </w:rPr>
              <w:t>In millions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center"/>
              <w:ind w:right="116"/>
              <w:spacing w:after="0" w:line="135" w:lineRule="exact"/>
              <w:rPr>
                <w:sz w:val="20"/>
                <w:szCs w:val="20"/>
                <w:color w:val="auto"/>
              </w:rPr>
            </w:pPr>
            <w:r>
              <w:rPr>
                <w:rFonts w:ascii="Arial" w:cs="Arial" w:eastAsia="Arial" w:hAnsi="Arial"/>
                <w:sz w:val="15"/>
                <w:szCs w:val="15"/>
                <w:b w:val="1"/>
                <w:bCs w:val="1"/>
                <w:color w:val="auto"/>
                <w:w w:val="96"/>
              </w:rPr>
              <w:t>and Elimination</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Sales to external customers</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394"/>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3,975</w:t>
            </w:r>
          </w:p>
        </w:tc>
        <w:tc>
          <w:tcPr>
            <w:tcW w:w="0" w:type="dxa"/>
            <w:vAlign w:val="bottom"/>
          </w:tcPr>
          <w:p>
            <w:pPr>
              <w:spacing w:after="0"/>
              <w:rPr>
                <w:sz w:val="1"/>
                <w:szCs w:val="1"/>
                <w:color w:val="auto"/>
              </w:rPr>
            </w:pPr>
          </w:p>
        </w:tc>
      </w:tr>
      <w:tr>
        <w:trPr>
          <w:trHeight w:val="218"/>
        </w:trPr>
        <w:tc>
          <w:tcPr>
            <w:tcW w:w="4860" w:type="dxa"/>
            <w:vAlign w:val="bottom"/>
            <w:gridSpan w:val="3"/>
          </w:tcPr>
          <w:p>
            <w:pPr>
              <w:ind w:left="20"/>
              <w:spacing w:after="0"/>
              <w:rPr>
                <w:sz w:val="20"/>
                <w:szCs w:val="20"/>
                <w:color w:val="auto"/>
              </w:rPr>
            </w:pPr>
            <w:r>
              <w:rPr>
                <w:rFonts w:ascii="Arial" w:cs="Arial" w:eastAsia="Arial" w:hAnsi="Arial"/>
                <w:sz w:val="17"/>
                <w:szCs w:val="17"/>
                <w:color w:val="auto"/>
              </w:rPr>
              <w:t>Intersegment sales/(elimination)</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1160"/>
              <w:spacing w:after="0"/>
              <w:rPr>
                <w:sz w:val="20"/>
                <w:szCs w:val="20"/>
                <w:color w:val="auto"/>
              </w:rPr>
            </w:pPr>
            <w:r>
              <w:rPr>
                <w:rFonts w:ascii="Arial" w:cs="Arial" w:eastAsia="Arial" w:hAnsi="Arial"/>
                <w:sz w:val="17"/>
                <w:szCs w:val="17"/>
                <w:color w:val="auto"/>
                <w:w w:val="84"/>
              </w:rPr>
              <w:t>25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w:t>
            </w:r>
          </w:p>
        </w:tc>
        <w:tc>
          <w:tcPr>
            <w:tcW w:w="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6"/>
        </w:trPr>
        <w:tc>
          <w:tcPr>
            <w:tcW w:w="2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7"/>
                <w:szCs w:val="17"/>
                <w:color w:val="auto"/>
              </w:rPr>
              <w:t>Total sales</w:t>
            </w: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1,180</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3"/>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3,975</w:t>
            </w:r>
          </w:p>
        </w:tc>
        <w:tc>
          <w:tcPr>
            <w:tcW w:w="0" w:type="dxa"/>
            <w:vAlign w:val="bottom"/>
          </w:tcPr>
          <w:p>
            <w:pPr>
              <w:spacing w:after="0"/>
              <w:rPr>
                <w:sz w:val="1"/>
                <w:szCs w:val="1"/>
                <w:color w:val="auto"/>
              </w:rPr>
            </w:pPr>
          </w:p>
        </w:tc>
      </w:tr>
      <w:tr>
        <w:trPr>
          <w:trHeight w:val="20"/>
        </w:trPr>
        <w:tc>
          <w:tcPr>
            <w:tcW w:w="4860" w:type="dxa"/>
            <w:vAlign w:val="bottom"/>
            <w:gridSpan w:val="3"/>
            <w:vMerge w:val="restart"/>
          </w:tcPr>
          <w:p>
            <w:pPr>
              <w:ind w:left="20"/>
              <w:spacing w:after="0"/>
              <w:rPr>
                <w:sz w:val="20"/>
                <w:szCs w:val="20"/>
                <w:color w:val="auto"/>
              </w:rPr>
            </w:pPr>
            <w:r>
              <w:rPr>
                <w:rFonts w:ascii="Arial" w:cs="Arial" w:eastAsia="Arial" w:hAnsi="Arial"/>
                <w:sz w:val="17"/>
                <w:szCs w:val="17"/>
                <w:color w:val="auto"/>
              </w:rPr>
              <w:t>Income (loss) from operations</w:t>
            </w: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60" w:type="dxa"/>
            <w:vAlign w:val="bottom"/>
            <w:gridSpan w:val="3"/>
            <w:vMerge w:val="continue"/>
          </w:tcPr>
          <w:p>
            <w:pPr>
              <w:spacing w:after="0"/>
              <w:rPr>
                <w:sz w:val="16"/>
                <w:szCs w:val="16"/>
                <w:color w:val="auto"/>
              </w:rPr>
            </w:pPr>
          </w:p>
        </w:tc>
        <w:tc>
          <w:tcPr>
            <w:tcW w:w="180" w:type="dxa"/>
            <w:vAlign w:val="bottom"/>
            <w:gridSpan w:val="2"/>
          </w:tcPr>
          <w:p>
            <w:pPr>
              <w:jc w:val="right"/>
              <w:ind w:right="80"/>
              <w:spacing w:after="0" w:line="190" w:lineRule="exact"/>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line="190" w:lineRule="exact"/>
              <w:rPr>
                <w:sz w:val="20"/>
                <w:szCs w:val="20"/>
                <w:color w:val="auto"/>
              </w:rPr>
            </w:pPr>
            <w:r>
              <w:rPr>
                <w:rFonts w:ascii="Arial" w:cs="Arial" w:eastAsia="Arial" w:hAnsi="Arial"/>
                <w:sz w:val="17"/>
                <w:szCs w:val="17"/>
                <w:color w:val="auto"/>
              </w:rPr>
              <w:t>422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gridSpan w:val="3"/>
          </w:tcPr>
          <w:p>
            <w:pPr>
              <w:jc w:val="right"/>
              <w:ind w:right="80"/>
              <w:spacing w:after="0" w:line="190" w:lineRule="exact"/>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line="190" w:lineRule="exact"/>
              <w:rPr>
                <w:sz w:val="20"/>
                <w:szCs w:val="20"/>
                <w:color w:val="auto"/>
              </w:rPr>
            </w:pPr>
            <w:r>
              <w:rPr>
                <w:rFonts w:ascii="Arial" w:cs="Arial" w:eastAsia="Arial" w:hAnsi="Arial"/>
                <w:sz w:val="17"/>
                <w:szCs w:val="17"/>
                <w:color w:val="auto"/>
              </w:rPr>
              <w:t>115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gridSpan w:val="2"/>
          </w:tcPr>
          <w:p>
            <w:pPr>
              <w:jc w:val="right"/>
              <w:ind w:right="3"/>
              <w:spacing w:after="0" w:line="190" w:lineRule="exact"/>
              <w:rPr>
                <w:sz w:val="20"/>
                <w:szCs w:val="20"/>
                <w:color w:val="auto"/>
              </w:rPr>
            </w:pPr>
            <w:r>
              <w:rPr>
                <w:rFonts w:ascii="Arial" w:cs="Arial" w:eastAsia="Arial" w:hAnsi="Arial"/>
                <w:sz w:val="17"/>
                <w:szCs w:val="17"/>
                <w:color w:val="auto"/>
              </w:rPr>
              <w:t>$</w:t>
            </w:r>
          </w:p>
        </w:tc>
        <w:tc>
          <w:tcPr>
            <w:tcW w:w="1360" w:type="dxa"/>
            <w:vAlign w:val="bottom"/>
          </w:tcPr>
          <w:p>
            <w:pPr>
              <w:jc w:val="right"/>
              <w:spacing w:after="0" w:line="190" w:lineRule="exact"/>
              <w:rPr>
                <w:sz w:val="20"/>
                <w:szCs w:val="20"/>
                <w:color w:val="auto"/>
              </w:rPr>
            </w:pPr>
            <w:r>
              <w:rPr>
                <w:rFonts w:ascii="Arial" w:cs="Arial" w:eastAsia="Arial" w:hAnsi="Arial"/>
                <w:sz w:val="17"/>
                <w:szCs w:val="17"/>
                <w:color w:val="auto"/>
              </w:rPr>
              <w:t>(34)</w:t>
            </w:r>
          </w:p>
        </w:tc>
        <w:tc>
          <w:tcPr>
            <w:tcW w:w="660" w:type="dxa"/>
            <w:vAlign w:val="bottom"/>
            <w:gridSpan w:val="2"/>
          </w:tcPr>
          <w:p>
            <w:pPr>
              <w:jc w:val="right"/>
              <w:ind w:right="394"/>
              <w:spacing w:after="0" w:line="190" w:lineRule="exact"/>
              <w:rPr>
                <w:sz w:val="20"/>
                <w:szCs w:val="20"/>
                <w:color w:val="auto"/>
              </w:rPr>
            </w:pPr>
            <w:r>
              <w:rPr>
                <w:rFonts w:ascii="Arial" w:cs="Arial" w:eastAsia="Arial" w:hAnsi="Arial"/>
                <w:sz w:val="17"/>
                <w:szCs w:val="17"/>
                <w:color w:val="auto"/>
              </w:rPr>
              <w:t>$</w:t>
            </w:r>
          </w:p>
        </w:tc>
        <w:tc>
          <w:tcPr>
            <w:tcW w:w="940" w:type="dxa"/>
            <w:vAlign w:val="bottom"/>
          </w:tcPr>
          <w:p>
            <w:pPr>
              <w:jc w:val="right"/>
              <w:spacing w:after="0" w:line="190" w:lineRule="exact"/>
              <w:rPr>
                <w:sz w:val="20"/>
                <w:szCs w:val="20"/>
                <w:color w:val="auto"/>
              </w:rPr>
            </w:pPr>
            <w:r>
              <w:rPr>
                <w:rFonts w:ascii="Arial" w:cs="Arial" w:eastAsia="Arial" w:hAnsi="Arial"/>
                <w:sz w:val="17"/>
                <w:szCs w:val="17"/>
                <w:color w:val="auto"/>
              </w:rPr>
              <w:t>503</w:t>
            </w:r>
          </w:p>
        </w:tc>
        <w:tc>
          <w:tcPr>
            <w:tcW w:w="0" w:type="dxa"/>
            <w:vAlign w:val="bottom"/>
          </w:tcPr>
          <w:p>
            <w:pPr>
              <w:spacing w:after="0"/>
              <w:rPr>
                <w:sz w:val="1"/>
                <w:szCs w:val="1"/>
                <w:color w:val="auto"/>
              </w:rPr>
            </w:pPr>
          </w:p>
        </w:tc>
      </w:tr>
      <w:tr>
        <w:trPr>
          <w:trHeight w:val="219"/>
        </w:trPr>
        <w:tc>
          <w:tcPr>
            <w:tcW w:w="48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Interest expense and other, net</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gridSpan w:val="2"/>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40" w:type="dxa"/>
            <w:vAlign w:val="bottom"/>
            <w:gridSpan w:val="2"/>
          </w:tcPr>
          <w:p>
            <w:pPr>
              <w:ind w:left="460"/>
              <w:spacing w:after="0"/>
              <w:rPr>
                <w:sz w:val="20"/>
                <w:szCs w:val="20"/>
                <w:color w:val="auto"/>
              </w:rPr>
            </w:pPr>
            <w:r>
              <w:rPr>
                <w:rFonts w:ascii="Arial" w:cs="Arial" w:eastAsia="Arial" w:hAnsi="Arial"/>
                <w:sz w:val="17"/>
                <w:szCs w:val="17"/>
                <w:color w:val="auto"/>
              </w:rPr>
              <w:t>Income (loss) before income taxes</w:t>
            </w:r>
          </w:p>
        </w:tc>
        <w:tc>
          <w:tcPr>
            <w:tcW w:w="18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422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gridSpan w:val="3"/>
          </w:tcPr>
          <w:p>
            <w:pPr>
              <w:jc w:val="right"/>
              <w:ind w:right="80"/>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115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ind w:right="3"/>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(110)</w:t>
            </w:r>
          </w:p>
        </w:tc>
        <w:tc>
          <w:tcPr>
            <w:tcW w:w="660" w:type="dxa"/>
            <w:vAlign w:val="bottom"/>
            <w:gridSpan w:val="2"/>
          </w:tcPr>
          <w:p>
            <w:pPr>
              <w:jc w:val="right"/>
              <w:ind w:right="394"/>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gridSpan w:val="2"/>
            <w:vMerge w:val="restart"/>
          </w:tcPr>
          <w:p>
            <w:pPr>
              <w:ind w:left="440"/>
              <w:spacing w:after="0"/>
              <w:rPr>
                <w:sz w:val="20"/>
                <w:szCs w:val="20"/>
                <w:color w:val="auto"/>
              </w:rPr>
            </w:pPr>
            <w:r>
              <w:rPr>
                <w:rFonts w:ascii="Arial" w:cs="Arial" w:eastAsia="Arial" w:hAnsi="Arial"/>
                <w:sz w:val="17"/>
                <w:szCs w:val="17"/>
                <w:color w:val="auto"/>
                <w:w w:val="99"/>
              </w:rPr>
              <w:t>Sales to external customers by product line are as follows:</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20" w:type="dxa"/>
            <w:vAlign w:val="bottom"/>
          </w:tcPr>
          <w:p>
            <w:pPr>
              <w:spacing w:after="0"/>
              <w:rPr>
                <w:sz w:val="24"/>
                <w:szCs w:val="24"/>
                <w:color w:val="auto"/>
              </w:rPr>
            </w:pPr>
          </w:p>
        </w:tc>
        <w:tc>
          <w:tcPr>
            <w:tcW w:w="48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40" w:type="dxa"/>
            <w:vAlign w:val="bottom"/>
            <w:gridSpan w:val="9"/>
          </w:tcPr>
          <w:p>
            <w:pPr>
              <w:jc w:val="center"/>
              <w:ind w:right="240"/>
              <w:spacing w:after="0"/>
              <w:rPr>
                <w:sz w:val="20"/>
                <w:szCs w:val="20"/>
                <w:color w:val="auto"/>
              </w:rPr>
            </w:pPr>
            <w:r>
              <w:rPr>
                <w:rFonts w:ascii="Arial" w:cs="Arial" w:eastAsia="Arial" w:hAnsi="Arial"/>
                <w:sz w:val="15"/>
                <w:szCs w:val="15"/>
                <w:b w:val="1"/>
                <w:bCs w:val="1"/>
                <w:color w:val="auto"/>
                <w:w w:val="94"/>
              </w:rPr>
              <w:t>Three Months Ended</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gridSpan w:val="3"/>
          </w:tcPr>
          <w:p>
            <w:pPr>
              <w:jc w:val="center"/>
              <w:ind w:left="676"/>
              <w:spacing w:after="0"/>
              <w:rPr>
                <w:sz w:val="20"/>
                <w:szCs w:val="20"/>
                <w:color w:val="auto"/>
              </w:rPr>
            </w:pPr>
            <w:r>
              <w:rPr>
                <w:rFonts w:ascii="Arial" w:cs="Arial" w:eastAsia="Arial" w:hAnsi="Arial"/>
                <w:sz w:val="15"/>
                <w:szCs w:val="15"/>
                <w:b w:val="1"/>
                <w:bCs w:val="1"/>
                <w:color w:val="auto"/>
                <w:w w:val="93"/>
              </w:rPr>
              <w:t>Six Months Ended</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40" w:type="dxa"/>
            <w:vAlign w:val="bottom"/>
            <w:gridSpan w:val="9"/>
          </w:tcPr>
          <w:p>
            <w:pPr>
              <w:jc w:val="center"/>
              <w:ind w:right="240"/>
              <w:spacing w:after="0"/>
              <w:rPr>
                <w:sz w:val="20"/>
                <w:szCs w:val="20"/>
                <w:color w:val="auto"/>
              </w:rPr>
            </w:pPr>
            <w:r>
              <w:rPr>
                <w:rFonts w:ascii="Arial" w:cs="Arial" w:eastAsia="Arial" w:hAnsi="Arial"/>
                <w:sz w:val="15"/>
                <w:szCs w:val="15"/>
                <w:b w:val="1"/>
                <w:bCs w:val="1"/>
                <w:color w:val="auto"/>
                <w:w w:val="93"/>
              </w:rPr>
              <w:t>June 30,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gridSpan w:val="3"/>
          </w:tcPr>
          <w:p>
            <w:pPr>
              <w:jc w:val="center"/>
              <w:ind w:left="696"/>
              <w:spacing w:after="0"/>
              <w:rPr>
                <w:sz w:val="20"/>
                <w:szCs w:val="20"/>
                <w:color w:val="auto"/>
              </w:rPr>
            </w:pPr>
            <w:r>
              <w:rPr>
                <w:rFonts w:ascii="Arial" w:cs="Arial" w:eastAsia="Arial" w:hAnsi="Arial"/>
                <w:sz w:val="15"/>
                <w:szCs w:val="15"/>
                <w:b w:val="1"/>
                <w:bCs w:val="1"/>
                <w:color w:val="auto"/>
                <w:w w:val="93"/>
              </w:rPr>
              <w:t>June 30,</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8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516"/>
              <w:spacing w:after="0" w:line="163" w:lineRule="exact"/>
              <w:rPr>
                <w:sz w:val="20"/>
                <w:szCs w:val="20"/>
                <w:color w:val="auto"/>
              </w:rPr>
            </w:pPr>
            <w:r>
              <w:rPr>
                <w:rFonts w:ascii="Arial" w:cs="Arial" w:eastAsia="Arial" w:hAnsi="Arial"/>
                <w:sz w:val="15"/>
                <w:szCs w:val="15"/>
                <w:b w:val="1"/>
                <w:bCs w:val="1"/>
                <w:color w:val="auto"/>
              </w:rPr>
              <w:t>2023</w:t>
            </w: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495"/>
              <w:spacing w:after="0" w:line="163" w:lineRule="exact"/>
              <w:rPr>
                <w:sz w:val="20"/>
                <w:szCs w:val="20"/>
                <w:color w:val="auto"/>
              </w:rPr>
            </w:pPr>
            <w:r>
              <w:rPr>
                <w:rFonts w:ascii="Arial" w:cs="Arial" w:eastAsia="Arial" w:hAnsi="Arial"/>
                <w:sz w:val="15"/>
                <w:szCs w:val="15"/>
                <w:b w:val="1"/>
                <w:bCs w:val="1"/>
                <w:color w:val="auto"/>
              </w:rPr>
              <w:t>2022</w:t>
            </w:r>
          </w:p>
        </w:tc>
        <w:tc>
          <w:tcPr>
            <w:tcW w:w="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center"/>
              <w:ind w:right="96"/>
              <w:spacing w:after="0" w:line="163" w:lineRule="exact"/>
              <w:rPr>
                <w:sz w:val="20"/>
                <w:szCs w:val="20"/>
                <w:color w:val="auto"/>
              </w:rPr>
            </w:pPr>
            <w:r>
              <w:rPr>
                <w:rFonts w:ascii="Arial" w:cs="Arial" w:eastAsia="Arial" w:hAnsi="Arial"/>
                <w:sz w:val="15"/>
                <w:szCs w:val="15"/>
                <w:b w:val="1"/>
                <w:bCs w:val="1"/>
                <w:color w:val="auto"/>
                <w:w w:val="89"/>
              </w:rPr>
              <w:t>2023</w:t>
            </w: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515"/>
              <w:spacing w:after="0" w:line="163" w:lineRule="exact"/>
              <w:rPr>
                <w:sz w:val="20"/>
                <w:szCs w:val="20"/>
                <w:color w:val="auto"/>
              </w:rPr>
            </w:pPr>
            <w:r>
              <w:rPr>
                <w:rFonts w:ascii="Arial" w:cs="Arial" w:eastAsia="Arial" w:hAnsi="Arial"/>
                <w:sz w:val="15"/>
                <w:szCs w:val="15"/>
                <w:b w:val="1"/>
                <w:bCs w:val="1"/>
                <w:color w:val="auto"/>
                <w:w w:val="95"/>
              </w:rPr>
              <w:t>2022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Freight Segment: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gridSpan w:val="2"/>
          </w:tcPr>
          <w:p>
            <w:pPr>
              <w:ind w:left="100"/>
              <w:spacing w:after="0"/>
              <w:rPr>
                <w:sz w:val="20"/>
                <w:szCs w:val="20"/>
                <w:color w:val="auto"/>
              </w:rPr>
            </w:pPr>
            <w:r>
              <w:rPr>
                <w:rFonts w:ascii="Arial" w:cs="Arial" w:eastAsia="Arial" w:hAnsi="Arial"/>
                <w:sz w:val="17"/>
                <w:szCs w:val="17"/>
                <w:color w:val="auto"/>
              </w:rPr>
              <w:t>Services</w:t>
            </w:r>
          </w:p>
        </w:tc>
        <w:tc>
          <w:tcPr>
            <w:tcW w:w="1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810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711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1,517</w:t>
            </w:r>
          </w:p>
        </w:tc>
        <w:tc>
          <w:tcPr>
            <w:tcW w:w="660" w:type="dxa"/>
            <w:vAlign w:val="bottom"/>
            <w:gridSpan w:val="2"/>
          </w:tcPr>
          <w:p>
            <w:pPr>
              <w:jc w:val="right"/>
              <w:ind w:right="394"/>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1,377</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8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Equipment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808</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gridSpan w:val="2"/>
          </w:tcPr>
          <w:p>
            <w:pPr>
              <w:ind w:left="100"/>
              <w:spacing w:after="0"/>
              <w:rPr>
                <w:sz w:val="20"/>
                <w:szCs w:val="20"/>
                <w:color w:val="auto"/>
              </w:rPr>
            </w:pPr>
            <w:r>
              <w:rPr>
                <w:rFonts w:ascii="Arial" w:cs="Arial" w:eastAsia="Arial" w:hAnsi="Arial"/>
                <w:sz w:val="17"/>
                <w:szCs w:val="17"/>
                <w:color w:val="auto"/>
              </w:rPr>
              <w:t>Components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288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234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567</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463</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shd w:val="clear" w:color="auto" w:fill="CCEEFF"/>
          </w:tcPr>
          <w:p>
            <w:pPr>
              <w:spacing w:after="0"/>
              <w:rPr>
                <w:sz w:val="19"/>
                <w:szCs w:val="19"/>
                <w:color w:val="auto"/>
              </w:rPr>
            </w:pPr>
          </w:p>
        </w:tc>
        <w:tc>
          <w:tcPr>
            <w:tcW w:w="48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Digital Intelligence</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w:t>
            </w: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40" w:type="dxa"/>
            <w:vAlign w:val="bottom"/>
            <w:gridSpan w:val="2"/>
          </w:tcPr>
          <w:p>
            <w:pPr>
              <w:ind w:left="200"/>
              <w:spacing w:after="0"/>
              <w:rPr>
                <w:sz w:val="20"/>
                <w:szCs w:val="20"/>
                <w:color w:val="auto"/>
              </w:rPr>
            </w:pPr>
            <w:r>
              <w:rPr>
                <w:rFonts w:ascii="Arial" w:cs="Arial" w:eastAsia="Arial" w:hAnsi="Arial"/>
                <w:sz w:val="17"/>
                <w:szCs w:val="17"/>
                <w:color w:val="auto"/>
              </w:rPr>
              <w:t>Total Freight Segment</w:t>
            </w:r>
          </w:p>
        </w:tc>
        <w:tc>
          <w:tcPr>
            <w:tcW w:w="1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1,708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1,490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3,274</w:t>
            </w:r>
          </w:p>
        </w:tc>
        <w:tc>
          <w:tcPr>
            <w:tcW w:w="660" w:type="dxa"/>
            <w:vAlign w:val="bottom"/>
            <w:gridSpan w:val="2"/>
          </w:tcPr>
          <w:p>
            <w:pPr>
              <w:jc w:val="right"/>
              <w:ind w:right="394"/>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2,812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860" w:type="dxa"/>
            <w:vAlign w:val="bottom"/>
            <w:gridSpan w:val="3"/>
          </w:tcPr>
          <w:p>
            <w:pPr>
              <w:ind w:left="20"/>
              <w:spacing w:after="0"/>
              <w:rPr>
                <w:sz w:val="20"/>
                <w:szCs w:val="20"/>
                <w:color w:val="auto"/>
              </w:rPr>
            </w:pPr>
            <w:r>
              <w:rPr>
                <w:rFonts w:ascii="Arial" w:cs="Arial" w:eastAsia="Arial" w:hAnsi="Arial"/>
                <w:sz w:val="17"/>
                <w:szCs w:val="17"/>
                <w:color w:val="auto"/>
              </w:rPr>
              <w:t>Transit Segment: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Original Equipment Manufacturer</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w:t>
            </w:r>
          </w:p>
        </w:tc>
        <w:tc>
          <w:tcPr>
            <w:tcW w:w="660" w:type="dxa"/>
            <w:vAlign w:val="bottom"/>
            <w:gridSpan w:val="2"/>
            <w:shd w:val="clear" w:color="auto" w:fill="CCEEFF"/>
          </w:tcPr>
          <w:p>
            <w:pPr>
              <w:jc w:val="right"/>
              <w:ind w:right="394"/>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w:t>
            </w:r>
          </w:p>
        </w:tc>
        <w:tc>
          <w:tcPr>
            <w:tcW w:w="0" w:type="dxa"/>
            <w:vAlign w:val="bottom"/>
          </w:tcPr>
          <w:p>
            <w:pPr>
              <w:spacing w:after="0"/>
              <w:rPr>
                <w:sz w:val="1"/>
                <w:szCs w:val="1"/>
                <w:color w:val="auto"/>
              </w:rPr>
            </w:pPr>
          </w:p>
        </w:tc>
      </w:tr>
      <w:tr>
        <w:trPr>
          <w:trHeight w:val="231"/>
        </w:trPr>
        <w:tc>
          <w:tcPr>
            <w:tcW w:w="20" w:type="dxa"/>
            <w:vAlign w:val="bottom"/>
            <w:tcBorders>
              <w:bottom w:val="single" w:sz="8" w:color="CCEEFF"/>
            </w:tcBorders>
          </w:tcPr>
          <w:p>
            <w:pPr>
              <w:spacing w:after="0"/>
              <w:rPr>
                <w:sz w:val="20"/>
                <w:szCs w:val="20"/>
                <w:color w:val="auto"/>
              </w:rPr>
            </w:pPr>
          </w:p>
        </w:tc>
        <w:tc>
          <w:tcPr>
            <w:tcW w:w="4840" w:type="dxa"/>
            <w:vAlign w:val="bottom"/>
            <w:tcBorders>
              <w:bottom w:val="single" w:sz="8" w:color="CCEEFF"/>
            </w:tcBorders>
            <w:gridSpan w:val="2"/>
          </w:tcPr>
          <w:p>
            <w:pPr>
              <w:ind w:left="100"/>
              <w:spacing w:after="0"/>
              <w:rPr>
                <w:sz w:val="20"/>
                <w:szCs w:val="20"/>
                <w:color w:val="auto"/>
              </w:rPr>
            </w:pPr>
            <w:r>
              <w:rPr>
                <w:rFonts w:ascii="Arial" w:cs="Arial" w:eastAsia="Arial" w:hAnsi="Arial"/>
                <w:sz w:val="17"/>
                <w:szCs w:val="17"/>
                <w:color w:val="auto"/>
              </w:rPr>
              <w:t>Aftermarket</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374</w:t>
            </w: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720</w:t>
            </w:r>
          </w:p>
        </w:tc>
        <w:tc>
          <w:tcPr>
            <w:tcW w:w="8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612</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Total Transit Segment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1,327</w:t>
            </w:r>
          </w:p>
        </w:tc>
        <w:tc>
          <w:tcPr>
            <w:tcW w:w="660" w:type="dxa"/>
            <w:vAlign w:val="bottom"/>
            <w:gridSpan w:val="2"/>
            <w:shd w:val="clear" w:color="auto" w:fill="CCEEFF"/>
          </w:tcPr>
          <w:p>
            <w:pPr>
              <w:jc w:val="right"/>
              <w:ind w:right="394"/>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1,163</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7"/>
                <w:szCs w:val="17"/>
                <w:b w:val="1"/>
                <w:bCs w:val="1"/>
                <w:color w:val="auto"/>
              </w:rPr>
              <w:t>16. OTHER INCOME, NET</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486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4840" w:type="dxa"/>
            <w:vAlign w:val="bottom"/>
            <w:gridSpan w:val="2"/>
          </w:tcPr>
          <w:p>
            <w:pPr>
              <w:ind w:left="440"/>
              <w:spacing w:after="0"/>
              <w:rPr>
                <w:sz w:val="20"/>
                <w:szCs w:val="20"/>
                <w:color w:val="auto"/>
              </w:rPr>
            </w:pPr>
            <w:r>
              <w:rPr>
                <w:rFonts w:ascii="Arial" w:cs="Arial" w:eastAsia="Arial" w:hAnsi="Arial"/>
                <w:sz w:val="17"/>
                <w:szCs w:val="17"/>
                <w:color w:val="auto"/>
              </w:rPr>
              <w:t>The components of Other income, net are as follows: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40" w:type="dxa"/>
            <w:vAlign w:val="bottom"/>
            <w:gridSpan w:val="9"/>
          </w:tcPr>
          <w:p>
            <w:pPr>
              <w:jc w:val="center"/>
              <w:ind w:right="200"/>
              <w:spacing w:after="0"/>
              <w:rPr>
                <w:sz w:val="20"/>
                <w:szCs w:val="20"/>
                <w:color w:val="auto"/>
              </w:rPr>
            </w:pPr>
            <w:r>
              <w:rPr>
                <w:rFonts w:ascii="Arial" w:cs="Arial" w:eastAsia="Arial" w:hAnsi="Arial"/>
                <w:sz w:val="15"/>
                <w:szCs w:val="15"/>
                <w:b w:val="1"/>
                <w:bCs w:val="1"/>
                <w:color w:val="auto"/>
                <w:w w:val="94"/>
              </w:rPr>
              <w:t>Three Months Ended</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gridSpan w:val="3"/>
          </w:tcPr>
          <w:p>
            <w:pPr>
              <w:jc w:val="center"/>
              <w:ind w:left="716"/>
              <w:spacing w:after="0"/>
              <w:rPr>
                <w:sz w:val="20"/>
                <w:szCs w:val="20"/>
                <w:color w:val="auto"/>
              </w:rPr>
            </w:pPr>
            <w:r>
              <w:rPr>
                <w:rFonts w:ascii="Arial" w:cs="Arial" w:eastAsia="Arial" w:hAnsi="Arial"/>
                <w:sz w:val="15"/>
                <w:szCs w:val="15"/>
                <w:b w:val="1"/>
                <w:bCs w:val="1"/>
                <w:color w:val="auto"/>
                <w:w w:val="93"/>
              </w:rPr>
              <w:t>Six Months Ended</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40" w:type="dxa"/>
            <w:vAlign w:val="bottom"/>
            <w:gridSpan w:val="9"/>
          </w:tcPr>
          <w:p>
            <w:pPr>
              <w:jc w:val="center"/>
              <w:ind w:right="200"/>
              <w:spacing w:after="0"/>
              <w:rPr>
                <w:sz w:val="20"/>
                <w:szCs w:val="20"/>
                <w:color w:val="auto"/>
              </w:rPr>
            </w:pPr>
            <w:r>
              <w:rPr>
                <w:rFonts w:ascii="Arial" w:cs="Arial" w:eastAsia="Arial" w:hAnsi="Arial"/>
                <w:sz w:val="15"/>
                <w:szCs w:val="15"/>
                <w:b w:val="1"/>
                <w:bCs w:val="1"/>
                <w:color w:val="auto"/>
                <w:w w:val="93"/>
              </w:rPr>
              <w:t>June 30,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gridSpan w:val="3"/>
          </w:tcPr>
          <w:p>
            <w:pPr>
              <w:jc w:val="center"/>
              <w:ind w:left="696"/>
              <w:spacing w:after="0"/>
              <w:rPr>
                <w:sz w:val="20"/>
                <w:szCs w:val="20"/>
                <w:color w:val="auto"/>
              </w:rPr>
            </w:pPr>
            <w:r>
              <w:rPr>
                <w:rFonts w:ascii="Arial" w:cs="Arial" w:eastAsia="Arial" w:hAnsi="Arial"/>
                <w:sz w:val="15"/>
                <w:szCs w:val="15"/>
                <w:b w:val="1"/>
                <w:bCs w:val="1"/>
                <w:color w:val="auto"/>
                <w:w w:val="93"/>
              </w:rPr>
              <w:t>June 30,</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8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476"/>
              <w:spacing w:after="0" w:line="163" w:lineRule="exact"/>
              <w:rPr>
                <w:sz w:val="20"/>
                <w:szCs w:val="20"/>
                <w:color w:val="auto"/>
              </w:rPr>
            </w:pPr>
            <w:r>
              <w:rPr>
                <w:rFonts w:ascii="Arial" w:cs="Arial" w:eastAsia="Arial" w:hAnsi="Arial"/>
                <w:sz w:val="15"/>
                <w:szCs w:val="15"/>
                <w:b w:val="1"/>
                <w:bCs w:val="1"/>
                <w:color w:val="auto"/>
              </w:rPr>
              <w:t>2023</w:t>
            </w: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495"/>
              <w:spacing w:after="0" w:line="163" w:lineRule="exact"/>
              <w:rPr>
                <w:sz w:val="20"/>
                <w:szCs w:val="20"/>
                <w:color w:val="auto"/>
              </w:rPr>
            </w:pPr>
            <w:r>
              <w:rPr>
                <w:rFonts w:ascii="Arial" w:cs="Arial" w:eastAsia="Arial" w:hAnsi="Arial"/>
                <w:sz w:val="15"/>
                <w:szCs w:val="15"/>
                <w:b w:val="1"/>
                <w:bCs w:val="1"/>
                <w:color w:val="auto"/>
              </w:rPr>
              <w:t>2022</w:t>
            </w:r>
          </w:p>
        </w:tc>
        <w:tc>
          <w:tcPr>
            <w:tcW w:w="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center"/>
              <w:ind w:right="76"/>
              <w:spacing w:after="0" w:line="163" w:lineRule="exact"/>
              <w:rPr>
                <w:sz w:val="20"/>
                <w:szCs w:val="20"/>
                <w:color w:val="auto"/>
              </w:rPr>
            </w:pPr>
            <w:r>
              <w:rPr>
                <w:rFonts w:ascii="Arial" w:cs="Arial" w:eastAsia="Arial" w:hAnsi="Arial"/>
                <w:sz w:val="15"/>
                <w:szCs w:val="15"/>
                <w:b w:val="1"/>
                <w:bCs w:val="1"/>
                <w:color w:val="auto"/>
                <w:w w:val="95"/>
              </w:rPr>
              <w:t>2023</w:t>
            </w: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515"/>
              <w:spacing w:after="0" w:line="163" w:lineRule="exact"/>
              <w:rPr>
                <w:sz w:val="20"/>
                <w:szCs w:val="20"/>
                <w:color w:val="auto"/>
              </w:rPr>
            </w:pPr>
            <w:r>
              <w:rPr>
                <w:rFonts w:ascii="Arial" w:cs="Arial" w:eastAsia="Arial" w:hAnsi="Arial"/>
                <w:sz w:val="15"/>
                <w:szCs w:val="15"/>
                <w:b w:val="1"/>
                <w:bCs w:val="1"/>
                <w:color w:val="auto"/>
                <w:w w:val="95"/>
              </w:rPr>
              <w:t>2022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Foreign currency (loss) gain</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ind w:left="1140"/>
              <w:spacing w:after="0"/>
              <w:rPr>
                <w:sz w:val="20"/>
                <w:szCs w:val="20"/>
                <w:color w:val="auto"/>
              </w:rPr>
            </w:pPr>
            <w:r>
              <w:rPr>
                <w:rFonts w:ascii="Arial" w:cs="Arial" w:eastAsia="Arial" w:hAnsi="Arial"/>
                <w:sz w:val="17"/>
                <w:szCs w:val="17"/>
                <w:color w:val="auto"/>
              </w:rPr>
              <w:t>(8)</w:t>
            </w:r>
          </w:p>
        </w:tc>
        <w:tc>
          <w:tcPr>
            <w:tcW w:w="6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660" w:type="dxa"/>
            <w:vAlign w:val="bottom"/>
            <w:gridSpan w:val="2"/>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8"/>
        </w:trPr>
        <w:tc>
          <w:tcPr>
            <w:tcW w:w="4860" w:type="dxa"/>
            <w:vAlign w:val="bottom"/>
            <w:gridSpan w:val="3"/>
          </w:tcPr>
          <w:p>
            <w:pPr>
              <w:ind w:left="20"/>
              <w:spacing w:after="0"/>
              <w:rPr>
                <w:sz w:val="20"/>
                <w:szCs w:val="20"/>
                <w:color w:val="auto"/>
              </w:rPr>
            </w:pPr>
            <w:r>
              <w:rPr>
                <w:rFonts w:ascii="Arial" w:cs="Arial" w:eastAsia="Arial" w:hAnsi="Arial"/>
                <w:sz w:val="17"/>
                <w:szCs w:val="17"/>
                <w:color w:val="auto"/>
              </w:rPr>
              <w:t>Equity income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33"/>
        </w:trPr>
        <w:tc>
          <w:tcPr>
            <w:tcW w:w="4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Expected return on pension assets/amortization</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8"/>
        </w:trPr>
        <w:tc>
          <w:tcPr>
            <w:tcW w:w="4860" w:type="dxa"/>
            <w:vAlign w:val="bottom"/>
            <w:gridSpan w:val="3"/>
          </w:tcPr>
          <w:p>
            <w:pPr>
              <w:ind w:left="20"/>
              <w:spacing w:after="0"/>
              <w:rPr>
                <w:sz w:val="20"/>
                <w:szCs w:val="20"/>
                <w:color w:val="auto"/>
              </w:rPr>
            </w:pPr>
            <w:r>
              <w:rPr>
                <w:rFonts w:ascii="Arial" w:cs="Arial" w:eastAsia="Arial" w:hAnsi="Arial"/>
                <w:sz w:val="17"/>
                <w:szCs w:val="17"/>
                <w:color w:val="auto"/>
              </w:rPr>
              <w:t>Other miscellaneous expense, net</w:t>
            </w: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ind w:left="1140"/>
              <w:spacing w:after="0"/>
              <w:rPr>
                <w:sz w:val="20"/>
                <w:szCs w:val="20"/>
                <w:color w:val="auto"/>
              </w:rPr>
            </w:pPr>
            <w:r>
              <w:rPr>
                <w:rFonts w:ascii="Arial" w:cs="Arial" w:eastAsia="Arial" w:hAnsi="Arial"/>
                <w:sz w:val="17"/>
                <w:szCs w:val="17"/>
                <w:color w:val="auto"/>
              </w:rPr>
              <w:t>(1)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8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Total Other income, net</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660" w:type="dxa"/>
            <w:vAlign w:val="bottom"/>
            <w:gridSpan w:val="2"/>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17. RESTRUCTURING</w:t>
      </w:r>
    </w:p>
    <w:p>
      <w:pPr>
        <w:spacing w:after="0" w:line="107" w:lineRule="exact"/>
        <w:rPr>
          <w:sz w:val="20"/>
          <w:szCs w:val="20"/>
          <w:color w:val="auto"/>
        </w:rPr>
      </w:pPr>
    </w:p>
    <w:p>
      <w:pPr>
        <w:ind w:right="60" w:firstLine="464"/>
        <w:spacing w:after="0" w:line="244" w:lineRule="auto"/>
        <w:rPr>
          <w:sz w:val="20"/>
          <w:szCs w:val="20"/>
          <w:color w:val="auto"/>
        </w:rPr>
      </w:pPr>
      <w:r>
        <w:rPr>
          <w:rFonts w:ascii="Arial" w:cs="Arial" w:eastAsia="Arial" w:hAnsi="Arial"/>
          <w:sz w:val="17"/>
          <w:szCs w:val="17"/>
          <w:color w:val="auto"/>
        </w:rPr>
        <w:t>During the first quarter of 2022, Wabtec announced a three-year strategic initiative (“Integration 2.0”) to review and consolidate our operating footprint, reduce headcount, streamline the end-to-end manufacturing process, restructure the North America distribution channels, expand operations in low-cost countries, and simplify the business through systems enablement. Through this initiative, Management will also evaluate additional capital investments to further simplify and streamline the business. The Company anticipates that it will incur one-time restructuring charges related to Integration 2.0 of approximately $135 million to $165 million.</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summary of restructuring charges related to the Integration 2.0 initiative is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jc w:val="right"/>
              <w:ind w:right="316"/>
              <w:spacing w:after="0"/>
              <w:rPr>
                <w:sz w:val="20"/>
                <w:szCs w:val="20"/>
                <w:color w:val="auto"/>
              </w:rPr>
            </w:pPr>
            <w:r>
              <w:rPr>
                <w:rFonts w:ascii="Arial" w:cs="Arial" w:eastAsia="Arial" w:hAnsi="Arial"/>
                <w:sz w:val="15"/>
                <w:szCs w:val="15"/>
                <w:b w:val="1"/>
                <w:bCs w:val="1"/>
                <w:color w:val="auto"/>
              </w:rPr>
              <w:t>Six Months Ended</w:t>
            </w:r>
          </w:p>
        </w:tc>
      </w:tr>
      <w:tr>
        <w:trPr>
          <w:trHeight w:val="155"/>
        </w:trPr>
        <w:tc>
          <w:tcPr>
            <w:tcW w:w="6720" w:type="dxa"/>
            <w:vAlign w:val="bottom"/>
            <w:gridSpan w:val="3"/>
          </w:tcPr>
          <w:p>
            <w:pPr>
              <w:ind w:left="20"/>
              <w:spacing w:after="0" w:line="135" w:lineRule="exact"/>
              <w:rPr>
                <w:sz w:val="20"/>
                <w:szCs w:val="20"/>
                <w:color w:val="auto"/>
              </w:rPr>
            </w:pPr>
            <w:r>
              <w:rPr>
                <w:rFonts w:ascii="Arial" w:cs="Arial" w:eastAsia="Arial" w:hAnsi="Arial"/>
                <w:sz w:val="14"/>
                <w:szCs w:val="14"/>
                <w:b w:val="1"/>
                <w:bCs w:val="1"/>
                <w:i w:val="1"/>
                <w:iCs w:val="1"/>
                <w:color w:val="auto"/>
              </w:rPr>
              <w:t>In millions</w:t>
            </w:r>
          </w:p>
        </w:tc>
        <w:tc>
          <w:tcPr>
            <w:tcW w:w="1740" w:type="dxa"/>
            <w:vAlign w:val="bottom"/>
          </w:tcPr>
          <w:p>
            <w:pPr>
              <w:jc w:val="right"/>
              <w:ind w:right="197"/>
              <w:spacing w:after="0" w:line="135" w:lineRule="exact"/>
              <w:rPr>
                <w:sz w:val="20"/>
                <w:szCs w:val="20"/>
                <w:color w:val="auto"/>
              </w:rPr>
            </w:pPr>
            <w:r>
              <w:rPr>
                <w:rFonts w:ascii="Arial" w:cs="Arial" w:eastAsia="Arial" w:hAnsi="Arial"/>
                <w:sz w:val="15"/>
                <w:szCs w:val="15"/>
                <w:b w:val="1"/>
                <w:bCs w:val="1"/>
                <w:color w:val="auto"/>
              </w:rPr>
              <w:t>June 30, 2023</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80" w:type="dxa"/>
            <w:vAlign w:val="bottom"/>
          </w:tcPr>
          <w:p>
            <w:pPr>
              <w:jc w:val="right"/>
              <w:ind w:right="476"/>
              <w:spacing w:after="0" w:line="135" w:lineRule="exact"/>
              <w:rPr>
                <w:sz w:val="20"/>
                <w:szCs w:val="20"/>
                <w:color w:val="auto"/>
              </w:rPr>
            </w:pPr>
            <w:r>
              <w:rPr>
                <w:rFonts w:ascii="Arial" w:cs="Arial" w:eastAsia="Arial" w:hAnsi="Arial"/>
                <w:sz w:val="15"/>
                <w:szCs w:val="15"/>
                <w:b w:val="1"/>
                <w:bCs w:val="1"/>
                <w:color w:val="auto"/>
              </w:rPr>
              <w:t>June 30, 2023</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60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99"/>
        </w:trPr>
        <w:tc>
          <w:tcPr>
            <w:tcW w:w="67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Freight Segment:</w:t>
            </w:r>
          </w:p>
        </w:tc>
        <w:tc>
          <w:tcPr>
            <w:tcW w:w="1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6700" w:type="dxa"/>
            <w:vAlign w:val="bottom"/>
            <w:gridSpan w:val="2"/>
          </w:tcPr>
          <w:p>
            <w:pPr>
              <w:ind w:left="100"/>
              <w:spacing w:after="0"/>
              <w:rPr>
                <w:sz w:val="20"/>
                <w:szCs w:val="20"/>
                <w:color w:val="auto"/>
              </w:rPr>
            </w:pPr>
            <w:r>
              <w:rPr>
                <w:rFonts w:ascii="Arial" w:cs="Arial" w:eastAsia="Arial" w:hAnsi="Arial"/>
                <w:sz w:val="17"/>
                <w:szCs w:val="17"/>
                <w:color w:val="auto"/>
              </w:rPr>
              <w:t>Cost of goods sold</w:t>
            </w:r>
          </w:p>
        </w:tc>
        <w:tc>
          <w:tcPr>
            <w:tcW w:w="1740" w:type="dxa"/>
            <w:vAlign w:val="bottom"/>
          </w:tcPr>
          <w:p>
            <w:pPr>
              <w:jc w:val="right"/>
              <w:ind w:right="1557"/>
              <w:spacing w:after="0"/>
              <w:rPr>
                <w:sz w:val="20"/>
                <w:szCs w:val="20"/>
                <w:color w:val="auto"/>
              </w:rPr>
            </w:pPr>
            <w:r>
              <w:rPr>
                <w:rFonts w:ascii="Arial" w:cs="Arial" w:eastAsia="Arial" w:hAnsi="Arial"/>
                <w:sz w:val="17"/>
                <w:szCs w:val="17"/>
                <w:color w:val="auto"/>
                <w:w w:val="84"/>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1</w:t>
            </w:r>
          </w:p>
        </w:tc>
        <w:tc>
          <w:tcPr>
            <w:tcW w:w="40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26"/>
        </w:trPr>
        <w:tc>
          <w:tcPr>
            <w:tcW w:w="20" w:type="dxa"/>
            <w:vAlign w:val="bottom"/>
            <w:tcBorders>
              <w:bottom w:val="single" w:sz="8" w:color="CCEEFF"/>
            </w:tcBorders>
            <w:shd w:val="clear" w:color="auto" w:fill="CCEEFF"/>
          </w:tcPr>
          <w:p>
            <w:pPr>
              <w:spacing w:after="0"/>
              <w:rPr>
                <w:sz w:val="19"/>
                <w:szCs w:val="19"/>
                <w:color w:val="auto"/>
              </w:rPr>
            </w:pPr>
          </w:p>
        </w:tc>
        <w:tc>
          <w:tcPr>
            <w:tcW w:w="67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Selling, general and administrative expenses</w:t>
            </w:r>
          </w:p>
        </w:tc>
        <w:tc>
          <w:tcPr>
            <w:tcW w:w="17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2"/>
        </w:trPr>
        <w:tc>
          <w:tcPr>
            <w:tcW w:w="20" w:type="dxa"/>
            <w:vAlign w:val="bottom"/>
          </w:tcPr>
          <w:p>
            <w:pPr>
              <w:spacing w:after="0"/>
              <w:rPr>
                <w:sz w:val="18"/>
                <w:szCs w:val="18"/>
                <w:color w:val="auto"/>
              </w:rPr>
            </w:pPr>
          </w:p>
        </w:tc>
        <w:tc>
          <w:tcPr>
            <w:tcW w:w="6700" w:type="dxa"/>
            <w:vAlign w:val="bottom"/>
            <w:gridSpan w:val="2"/>
          </w:tcPr>
          <w:p>
            <w:pPr>
              <w:ind w:left="200"/>
              <w:spacing w:after="0"/>
              <w:rPr>
                <w:sz w:val="20"/>
                <w:szCs w:val="20"/>
                <w:color w:val="auto"/>
              </w:rPr>
            </w:pPr>
            <w:r>
              <w:rPr>
                <w:rFonts w:ascii="Arial" w:cs="Arial" w:eastAsia="Arial" w:hAnsi="Arial"/>
                <w:sz w:val="17"/>
                <w:szCs w:val="17"/>
                <w:color w:val="auto"/>
              </w:rPr>
              <w:t>Total Freight Segment</w:t>
            </w:r>
          </w:p>
        </w:tc>
        <w:tc>
          <w:tcPr>
            <w:tcW w:w="1740" w:type="dxa"/>
            <w:vAlign w:val="bottom"/>
          </w:tcPr>
          <w:p>
            <w:pPr>
              <w:jc w:val="right"/>
              <w:ind w:right="1557"/>
              <w:spacing w:after="0"/>
              <w:rPr>
                <w:sz w:val="20"/>
                <w:szCs w:val="20"/>
                <w:color w:val="auto"/>
              </w:rPr>
            </w:pPr>
            <w:r>
              <w:rPr>
                <w:rFonts w:ascii="Arial" w:cs="Arial" w:eastAsia="Arial" w:hAnsi="Arial"/>
                <w:sz w:val="17"/>
                <w:szCs w:val="17"/>
                <w:color w:val="auto"/>
                <w:w w:val="84"/>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2</w:t>
            </w:r>
          </w:p>
        </w:tc>
        <w:tc>
          <w:tcPr>
            <w:tcW w:w="40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104"/>
        </w:trPr>
        <w:tc>
          <w:tcPr>
            <w:tcW w:w="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8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780" w:type="dxa"/>
            <w:vAlign w:val="bottom"/>
            <w:shd w:val="clear" w:color="auto" w:fill="CCEEFF"/>
          </w:tcPr>
          <w:p>
            <w:pPr>
              <w:spacing w:after="0"/>
              <w:rPr>
                <w:sz w:val="9"/>
                <w:szCs w:val="9"/>
                <w:color w:val="auto"/>
              </w:rPr>
            </w:pPr>
          </w:p>
        </w:tc>
      </w:tr>
      <w:tr>
        <w:trPr>
          <w:trHeight w:val="225"/>
        </w:trPr>
        <w:tc>
          <w:tcPr>
            <w:tcW w:w="6720" w:type="dxa"/>
            <w:vAlign w:val="bottom"/>
            <w:gridSpan w:val="3"/>
          </w:tcPr>
          <w:p>
            <w:pPr>
              <w:ind w:left="20"/>
              <w:spacing w:after="0"/>
              <w:rPr>
                <w:sz w:val="20"/>
                <w:szCs w:val="20"/>
                <w:color w:val="auto"/>
              </w:rPr>
            </w:pPr>
            <w:r>
              <w:rPr>
                <w:rFonts w:ascii="Arial" w:cs="Arial" w:eastAsia="Arial" w:hAnsi="Arial"/>
                <w:sz w:val="17"/>
                <w:szCs w:val="17"/>
                <w:color w:val="auto"/>
              </w:rPr>
              <w:t>Transit Segment:</w:t>
            </w:r>
          </w:p>
        </w:tc>
        <w:tc>
          <w:tcPr>
            <w:tcW w:w="1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6"/>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Cost of goods sold</w:t>
            </w:r>
          </w:p>
        </w:tc>
        <w:tc>
          <w:tcPr>
            <w:tcW w:w="1740" w:type="dxa"/>
            <w:vAlign w:val="bottom"/>
            <w:shd w:val="clear" w:color="auto" w:fill="CCEEFF"/>
          </w:tcPr>
          <w:p>
            <w:pPr>
              <w:jc w:val="right"/>
              <w:ind w:right="1557"/>
              <w:spacing w:after="0"/>
              <w:rPr>
                <w:sz w:val="20"/>
                <w:szCs w:val="20"/>
                <w:color w:val="auto"/>
              </w:rPr>
            </w:pPr>
            <w:r>
              <w:rPr>
                <w:rFonts w:ascii="Arial" w:cs="Arial" w:eastAsia="Arial" w:hAnsi="Arial"/>
                <w:sz w:val="17"/>
                <w:szCs w:val="17"/>
                <w:color w:val="auto"/>
                <w:w w:val="84"/>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40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18"/>
        </w:trPr>
        <w:tc>
          <w:tcPr>
            <w:tcW w:w="20" w:type="dxa"/>
            <w:vAlign w:val="bottom"/>
          </w:tcPr>
          <w:p>
            <w:pPr>
              <w:spacing w:after="0"/>
              <w:rPr>
                <w:sz w:val="18"/>
                <w:szCs w:val="18"/>
                <w:color w:val="auto"/>
              </w:rPr>
            </w:pPr>
          </w:p>
        </w:tc>
        <w:tc>
          <w:tcPr>
            <w:tcW w:w="6700" w:type="dxa"/>
            <w:vAlign w:val="bottom"/>
            <w:gridSpan w:val="2"/>
          </w:tcPr>
          <w:p>
            <w:pPr>
              <w:ind w:left="100"/>
              <w:spacing w:after="0"/>
              <w:rPr>
                <w:sz w:val="20"/>
                <w:szCs w:val="20"/>
                <w:color w:val="auto"/>
              </w:rPr>
            </w:pPr>
            <w:r>
              <w:rPr>
                <w:rFonts w:ascii="Arial" w:cs="Arial" w:eastAsia="Arial" w:hAnsi="Arial"/>
                <w:sz w:val="17"/>
                <w:szCs w:val="17"/>
                <w:color w:val="auto"/>
              </w:rPr>
              <w:t>Selling, general and administrative expenses</w:t>
            </w:r>
          </w:p>
        </w:tc>
        <w:tc>
          <w:tcPr>
            <w:tcW w:w="17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33"/>
        </w:trPr>
        <w:tc>
          <w:tcPr>
            <w:tcW w:w="20" w:type="dxa"/>
            <w:vAlign w:val="bottom"/>
            <w:shd w:val="clear" w:color="auto" w:fill="CCEEFF"/>
          </w:tcPr>
          <w:p>
            <w:pPr>
              <w:spacing w:after="0"/>
              <w:rPr>
                <w:sz w:val="20"/>
                <w:szCs w:val="20"/>
                <w:color w:val="auto"/>
              </w:rPr>
            </w:pPr>
          </w:p>
        </w:tc>
        <w:tc>
          <w:tcPr>
            <w:tcW w:w="67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Amortization expense</w:t>
            </w:r>
          </w:p>
        </w:tc>
        <w:tc>
          <w:tcPr>
            <w:tcW w:w="174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1"/>
        </w:trPr>
        <w:tc>
          <w:tcPr>
            <w:tcW w:w="20" w:type="dxa"/>
            <w:vAlign w:val="bottom"/>
            <w:tcBorders>
              <w:bottom w:val="single" w:sz="8" w:color="CCEEFF"/>
            </w:tcBorders>
          </w:tcPr>
          <w:p>
            <w:pPr>
              <w:spacing w:after="0"/>
              <w:rPr>
                <w:sz w:val="18"/>
                <w:szCs w:val="18"/>
                <w:color w:val="auto"/>
              </w:rPr>
            </w:pPr>
          </w:p>
        </w:tc>
        <w:tc>
          <w:tcPr>
            <w:tcW w:w="670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Total Transit Segment</w:t>
            </w:r>
          </w:p>
        </w:tc>
        <w:tc>
          <w:tcPr>
            <w:tcW w:w="1740" w:type="dxa"/>
            <w:vAlign w:val="bottom"/>
            <w:tcBorders>
              <w:bottom w:val="single" w:sz="8" w:color="auto"/>
            </w:tcBorders>
          </w:tcPr>
          <w:p>
            <w:pPr>
              <w:jc w:val="right"/>
              <w:ind w:right="1557"/>
              <w:spacing w:after="0"/>
              <w:rPr>
                <w:sz w:val="20"/>
                <w:szCs w:val="20"/>
                <w:color w:val="auto"/>
              </w:rPr>
            </w:pPr>
            <w:r>
              <w:rPr>
                <w:rFonts w:ascii="Arial" w:cs="Arial" w:eastAsia="Arial" w:hAnsi="Arial"/>
                <w:sz w:val="17"/>
                <w:szCs w:val="17"/>
                <w:color w:val="auto"/>
                <w:w w:val="84"/>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r>
      <w:tr>
        <w:trPr>
          <w:trHeight w:val="233"/>
        </w:trPr>
        <w:tc>
          <w:tcPr>
            <w:tcW w:w="67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Total Integration 2.0 restructuring charges</w:t>
            </w:r>
          </w:p>
        </w:tc>
        <w:tc>
          <w:tcPr>
            <w:tcW w:w="1740" w:type="dxa"/>
            <w:vAlign w:val="bottom"/>
            <w:shd w:val="clear" w:color="auto" w:fill="CCEEFF"/>
          </w:tcPr>
          <w:p>
            <w:pPr>
              <w:jc w:val="right"/>
              <w:ind w:right="1557"/>
              <w:spacing w:after="0"/>
              <w:rPr>
                <w:sz w:val="20"/>
                <w:szCs w:val="20"/>
                <w:color w:val="auto"/>
              </w:rPr>
            </w:pPr>
            <w:r>
              <w:rPr>
                <w:rFonts w:ascii="Arial" w:cs="Arial" w:eastAsia="Arial" w:hAnsi="Arial"/>
                <w:sz w:val="17"/>
                <w:szCs w:val="17"/>
                <w:color w:val="auto"/>
                <w:w w:val="84"/>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40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7"/>
          <w:szCs w:val="17"/>
          <w:color w:val="auto"/>
        </w:rPr>
        <w:t>These charges are primarily for employee-related costs and asset write downs associated with site consolidations in Europe.</w:t>
      </w:r>
    </w:p>
    <w:p>
      <w:pPr>
        <w:spacing w:after="0" w:line="101" w:lineRule="exact"/>
        <w:rPr>
          <w:sz w:val="20"/>
          <w:szCs w:val="20"/>
          <w:color w:val="auto"/>
        </w:rPr>
      </w:pPr>
    </w:p>
    <w:p>
      <w:pPr>
        <w:jc w:val="both"/>
        <w:ind w:firstLine="464"/>
        <w:spacing w:after="0" w:line="300" w:lineRule="auto"/>
        <w:rPr>
          <w:sz w:val="20"/>
          <w:szCs w:val="20"/>
          <w:color w:val="auto"/>
        </w:rPr>
      </w:pPr>
      <w:r>
        <w:rPr>
          <w:rFonts w:ascii="Arial" w:cs="Arial" w:eastAsia="Arial" w:hAnsi="Arial"/>
          <w:sz w:val="15"/>
          <w:szCs w:val="15"/>
          <w:color w:val="auto"/>
        </w:rPr>
        <w:t>Total one-time restructuring charges related to Integration 2.0 to date are approximately $86 million, which includes amounts recorded in the fourth quarter 2021 and the year ended December 31, 2022, primarily for similar actions in Europe. Programs approved to date are expected to result in approximately 15 facility closures and impact approximately 1,100 employees. Cash payments made during three and six months ended June 30, 2023 or 2022 were not material.</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 significant programs related to Integration 2.0 were initiated during the three and six months ended June 30, 2022.</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23" w:name="page24"/>
    <w:bookmarkEnd w:id="23"/>
    <w:p>
      <w:pPr>
        <w:spacing w:after="0"/>
        <w:tabs>
          <w:tab w:leader="none" w:pos="680" w:val="left"/>
        </w:tabs>
        <w:rPr>
          <w:sz w:val="20"/>
          <w:szCs w:val="20"/>
          <w:color w:val="auto"/>
        </w:rPr>
      </w:pPr>
      <w:r>
        <w:rPr>
          <w:rFonts w:ascii="Arial" w:cs="Arial" w:eastAsia="Arial" w:hAnsi="Arial"/>
          <w:sz w:val="17"/>
          <w:szCs w:val="17"/>
          <w:b w:val="1"/>
          <w:bCs w:val="1"/>
          <w:color w:val="auto"/>
        </w:rPr>
        <w:t>Item 2.</w:t>
        <w:tab/>
        <w:t>MANAGEMENT’S DISCUSSION AND ANALYSIS OF FINANCIAL CONDITION AND RESULTS OF OPERATIONS</w:t>
      </w:r>
    </w:p>
    <w:p>
      <w:pPr>
        <w:spacing w:after="0" w:line="124" w:lineRule="exact"/>
        <w:rPr>
          <w:sz w:val="20"/>
          <w:szCs w:val="20"/>
          <w:color w:val="auto"/>
        </w:rPr>
      </w:pPr>
    </w:p>
    <w:p>
      <w:pPr>
        <w:ind w:right="100" w:firstLine="464"/>
        <w:spacing w:after="0" w:line="304" w:lineRule="auto"/>
        <w:rPr>
          <w:sz w:val="20"/>
          <w:szCs w:val="20"/>
          <w:color w:val="auto"/>
        </w:rPr>
      </w:pPr>
      <w:r>
        <w:rPr>
          <w:rFonts w:ascii="Arial" w:cs="Arial" w:eastAsia="Arial" w:hAnsi="Arial"/>
          <w:sz w:val="14"/>
          <w:szCs w:val="14"/>
          <w:i w:val="1"/>
          <w:iCs w:val="1"/>
          <w:color w:val="auto"/>
        </w:rPr>
        <w:t>The following discussion should be read in conjunction with the information in the unaudited condensed consolidated financial statements and notes thereto included herein and Westinghouse Air Brake Technologies Corporation’s Financial Statements and Management’s Discussion and Analysis of Financial Condition and Results of Operations included in its Annual Report on Form 10-K for the year ended December 31, 2022, filed with the Securities and Exchange Commission on February 15, 2023.</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0" w:lineRule="exact"/>
        <w:rPr>
          <w:sz w:val="20"/>
          <w:szCs w:val="20"/>
          <w:color w:val="auto"/>
        </w:rPr>
      </w:pPr>
    </w:p>
    <w:p>
      <w:pPr>
        <w:ind w:firstLine="464"/>
        <w:spacing w:after="0" w:line="258" w:lineRule="auto"/>
        <w:rPr>
          <w:sz w:val="20"/>
          <w:szCs w:val="20"/>
          <w:color w:val="auto"/>
        </w:rPr>
      </w:pPr>
      <w:r>
        <w:rPr>
          <w:rFonts w:ascii="Arial" w:cs="Arial" w:eastAsia="Arial" w:hAnsi="Arial"/>
          <w:sz w:val="17"/>
          <w:szCs w:val="17"/>
          <w:color w:val="auto"/>
        </w:rPr>
        <w:t>Wabtec is one of the world’s largest providers of value-added, technology-based locomotives, equipment, systems, and services for the global freight rail and passenger transit industries, as well as the mining, marine and industrial markets. Our highly engineered products, which are intended to enhance safety, improve productivity and reduce maintenance costs for customers, can be found on most locomotives, freight cars, passenger transit cars and buses around the world. Our core products and services are essential in the safe and efficient operation of freight rail and passenger transit vehicles. Wabtec is a global company with operations in over 50 countries and our products can be found in more than 100 countries throughout the world. In the first six months of 2023, approximately 55% of the Company’s net sales came from customers outside the United States.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Business Update</w:t>
      </w:r>
    </w:p>
    <w:p>
      <w:pPr>
        <w:spacing w:after="0" w:line="114" w:lineRule="exact"/>
        <w:rPr>
          <w:sz w:val="20"/>
          <w:szCs w:val="20"/>
          <w:color w:val="auto"/>
        </w:rPr>
      </w:pPr>
    </w:p>
    <w:p>
      <w:pPr>
        <w:ind w:right="40" w:firstLine="464"/>
        <w:spacing w:after="0" w:line="297" w:lineRule="auto"/>
        <w:rPr>
          <w:sz w:val="20"/>
          <w:szCs w:val="20"/>
          <w:color w:val="auto"/>
        </w:rPr>
      </w:pPr>
      <w:r>
        <w:rPr>
          <w:rFonts w:ascii="Arial" w:cs="Arial" w:eastAsia="Arial" w:hAnsi="Arial"/>
          <w:sz w:val="15"/>
          <w:szCs w:val="15"/>
          <w:color w:val="auto"/>
        </w:rPr>
        <w:t>During the six months of 2023, Wabtec continued to execute on our value creation framework by signing strategic orders for 30 new locomotives with a North American railroad, new locomotives in Brazil, and mining drive systems in high altitude applications. We announced our largest certified pre-owned order for 69 locomotives for a North American customer and won a contract to supply pantograph and Passenger Information Systems for up to 504 Stadler cars. Wabtec completed the strategic acquisition of L&amp;M Radiator, Inc., a leading manufacturer of heavy-duty equipment radiators and heat exchangers for the mining sector. We delivered our 500th locomotive to Indian Railways which was a significant milestone in our 10-year contract. Our senior unsecured debt was upgraded by Moody's, which reflects resiliency of the business, our balance sheet strength and strong cash generation. Additionally, Wabtec rebranded our Digital Electronics product line to Digital Intelligence; a change that more accurately reflects the complete digital products and services portfolio offered to our customers.</w:t>
      </w:r>
    </w:p>
    <w:p>
      <w:pPr>
        <w:spacing w:after="0" w:line="53" w:lineRule="exact"/>
        <w:rPr>
          <w:sz w:val="20"/>
          <w:szCs w:val="20"/>
          <w:color w:val="auto"/>
        </w:rPr>
      </w:pPr>
    </w:p>
    <w:p>
      <w:pPr>
        <w:ind w:right="40" w:firstLine="464"/>
        <w:spacing w:after="0" w:line="273" w:lineRule="auto"/>
        <w:rPr>
          <w:sz w:val="20"/>
          <w:szCs w:val="20"/>
          <w:color w:val="auto"/>
        </w:rPr>
      </w:pPr>
      <w:r>
        <w:rPr>
          <w:rFonts w:ascii="Arial" w:cs="Arial" w:eastAsia="Arial" w:hAnsi="Arial"/>
          <w:sz w:val="16"/>
          <w:szCs w:val="16"/>
          <w:color w:val="auto"/>
        </w:rPr>
        <w:t>During the first quarter of 2022, Wabtec announced Integration 2.0, a three-year strategic initiative to target incremental run rate synergies estimated to be between $75 million and $90 million in 2025. The scope of the review includes consolidating our operating footprint, reducing headcount, streamlining the end-to-end manufacturing process, restructuring the North America distribution channels, expanding operations in low-cost countries and simplifying the business through systems enablement, including the source-to-pay process. Management will also consider additional capital investments to further simplify and streamline the business. The Company anticipates that it will incur one-time restructuring charges of approximately $135 million to $165 million related to this initiative, of which approximately $86 million has been incurred through June 30, 2023. Total estimated initiative charges could change based on the specific programs approved or changes to the scope of the review. During the three and six months ended June 30, 2023, the Company incurred one-time restructuring charges for programs included in the initiative of approximately $8 million and $17 million, respectively, primarily for employee-related costs and asset write downs associated with site consolidations in Europe. Programs approved to date are expected to result in approximately 15 facility closures and impact approximately 1,100 employees. No significant charges related to Integration 2.0 were recorded during the six months ended June 30, 2022.</w:t>
      </w:r>
    </w:p>
    <w:p>
      <w:pPr>
        <w:spacing w:after="0" w:line="73" w:lineRule="exact"/>
        <w:rPr>
          <w:sz w:val="20"/>
          <w:szCs w:val="20"/>
          <w:color w:val="auto"/>
        </w:rPr>
      </w:pPr>
    </w:p>
    <w:p>
      <w:pPr>
        <w:jc w:val="both"/>
        <w:ind w:right="180" w:firstLine="464"/>
        <w:spacing w:after="0" w:line="292" w:lineRule="auto"/>
        <w:rPr>
          <w:sz w:val="20"/>
          <w:szCs w:val="20"/>
          <w:color w:val="auto"/>
        </w:rPr>
      </w:pPr>
      <w:r>
        <w:rPr>
          <w:rFonts w:ascii="Arial" w:cs="Arial" w:eastAsia="Arial" w:hAnsi="Arial"/>
          <w:sz w:val="15"/>
          <w:szCs w:val="15"/>
          <w:color w:val="auto"/>
        </w:rPr>
        <w:t>The Company continues to navigate macroeconomic volatility which is impacting our supply chain, results of operations and business results. Impacts for the three and six months ended June 30, 2023 and 2022 are discussed in more detail in the Results of Operations section below. Future supply chain disruptions and labor availability could cause component and raw material shortages resulting in an adverse effect on the timing of the Company’s revenue and cash flows.</w:t>
      </w:r>
    </w:p>
    <w:p>
      <w:pPr>
        <w:jc w:val="both"/>
        <w:ind w:right="180"/>
        <w:spacing w:after="0" w:line="266" w:lineRule="auto"/>
        <w:rPr>
          <w:sz w:val="20"/>
          <w:szCs w:val="20"/>
          <w:color w:val="auto"/>
        </w:rPr>
      </w:pPr>
      <w:r>
        <w:rPr>
          <w:rFonts w:ascii="Arial" w:cs="Arial" w:eastAsia="Arial" w:hAnsi="Arial"/>
          <w:sz w:val="17"/>
          <w:szCs w:val="17"/>
          <w:color w:val="auto"/>
        </w:rPr>
        <w:t>Additionally, broad-based inflation, metals, energy and other commodity costs, transportation and logistics costs, labor costs, and foreign currency exchange rate fluctuations all continue to impact our results.</w:t>
      </w:r>
    </w:p>
    <w:p>
      <w:pPr>
        <w:spacing w:after="0" w:line="72" w:lineRule="exact"/>
        <w:rPr>
          <w:sz w:val="20"/>
          <w:szCs w:val="20"/>
          <w:color w:val="auto"/>
        </w:rPr>
      </w:pPr>
    </w:p>
    <w:p>
      <w:pPr>
        <w:ind w:right="40" w:firstLine="464"/>
        <w:spacing w:after="0" w:line="257" w:lineRule="auto"/>
        <w:rPr>
          <w:sz w:val="20"/>
          <w:szCs w:val="20"/>
          <w:color w:val="auto"/>
        </w:rPr>
      </w:pPr>
      <w:r>
        <w:rPr>
          <w:rFonts w:ascii="Arial" w:cs="Arial" w:eastAsia="Arial" w:hAnsi="Arial"/>
          <w:sz w:val="17"/>
          <w:szCs w:val="17"/>
          <w:color w:val="auto"/>
        </w:rPr>
        <w:t>The Russian invasion of Ukraine and the resultant sanctions related to Russia and Belarus have further impacted our supply and distribution channels and caused significant price inflation which had, and are expected to continue to have, adverse effects on Wabtec’s business results. During the second quarter of 2023, based on changes in facts and circumstances, management determined that assets related to Russian operations, excluding cash, were not expected to be recoverable and, as a result, a charge of approximately $3 million was recorded. As of June 30, 2023, Wabtec had approximately $8 million of cash related to Russian operations which will be utilized to settle remaining obligations in Russia. Management determined that inventory related to operations in Ukraine were not expected to be recoverable and were written off resulting in an insignificant charge during the first quarter of 2022. Remaining assets related to Ukraine and those in Belarus were not significant.</w:t>
      </w:r>
    </w:p>
    <w:p>
      <w:pPr>
        <w:spacing w:after="0" w:line="82" w:lineRule="exact"/>
        <w:rPr>
          <w:sz w:val="20"/>
          <w:szCs w:val="20"/>
          <w:color w:val="auto"/>
        </w:rPr>
      </w:pPr>
    </w:p>
    <w:p>
      <w:pPr>
        <w:ind w:right="460" w:firstLine="464"/>
        <w:spacing w:after="0" w:line="279" w:lineRule="auto"/>
        <w:rPr>
          <w:sz w:val="20"/>
          <w:szCs w:val="20"/>
          <w:color w:val="auto"/>
        </w:rPr>
      </w:pPr>
      <w:r>
        <w:rPr>
          <w:rFonts w:ascii="Arial" w:cs="Arial" w:eastAsia="Arial" w:hAnsi="Arial"/>
          <w:sz w:val="17"/>
          <w:szCs w:val="17"/>
          <w:color w:val="auto"/>
        </w:rPr>
        <w:t>The Company utilizes various mitigating actions intended to lessen the impact of macroeconomic volatility. These actions include implementing price escalations and surcharges, driving operational efficiencies through various cost mitigation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spacing w:after="0" w:line="279" w:lineRule="auto"/>
        <w:rPr>
          <w:sz w:val="20"/>
          <w:szCs w:val="20"/>
          <w:color w:val="auto"/>
        </w:rPr>
      </w:pPr>
      <w:r>
        <w:rPr>
          <w:rFonts w:ascii="Arial" w:cs="Arial" w:eastAsia="Arial" w:hAnsi="Arial"/>
          <w:sz w:val="17"/>
          <w:szCs w:val="17"/>
          <w:color w:val="auto"/>
        </w:rPr>
        <w:t>efforts and discretionary spend management, strategically sourcing materials, reviewing and modifying distribution logistics, and accelerating integration synergies through Integration 2.0.</w:t>
      </w:r>
    </w:p>
    <w:p>
      <w:pPr>
        <w:spacing w:after="0" w:line="61" w:lineRule="exact"/>
        <w:rPr>
          <w:sz w:val="20"/>
          <w:szCs w:val="20"/>
          <w:color w:val="auto"/>
        </w:rPr>
      </w:pPr>
    </w:p>
    <w:p>
      <w:pPr>
        <w:ind w:firstLine="464"/>
        <w:spacing w:after="0" w:line="259" w:lineRule="auto"/>
        <w:rPr>
          <w:sz w:val="20"/>
          <w:szCs w:val="20"/>
          <w:color w:val="auto"/>
        </w:rPr>
      </w:pPr>
      <w:r>
        <w:rPr>
          <w:rFonts w:ascii="Arial" w:cs="Arial" w:eastAsia="Arial" w:hAnsi="Arial"/>
          <w:sz w:val="17"/>
          <w:szCs w:val="17"/>
          <w:color w:val="auto"/>
        </w:rPr>
        <w:t>A portion of our workers are represented by labor unions. The United Electrical, Radio and Machine Workers of America (UE), Locals 506 and 618 collective bargaining agreement, covering approximately 1,400 locomotive manufacturing workers in Erie, Pennsylvania, expired on June 9, 2023. Negotiations with UE officially began on April 27, 2023 and an agreement between the Company and the UE was not reached before the contract expired. On June 22, 2023, the UE voted against ratification of the Company's proposed agreement and authorized a strike. The Company and the UE are continuing negotiations with the assistance of a federal mediator. The Company continuously monitors its labor activity.</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Cyber Incident</w:t>
      </w:r>
    </w:p>
    <w:p>
      <w:pPr>
        <w:spacing w:after="0" w:line="114" w:lineRule="exact"/>
        <w:rPr>
          <w:sz w:val="20"/>
          <w:szCs w:val="20"/>
          <w:color w:val="auto"/>
        </w:rPr>
      </w:pPr>
    </w:p>
    <w:p>
      <w:pPr>
        <w:ind w:right="100" w:firstLine="464"/>
        <w:spacing w:after="0" w:line="266" w:lineRule="auto"/>
        <w:rPr>
          <w:sz w:val="20"/>
          <w:szCs w:val="20"/>
          <w:color w:val="auto"/>
        </w:rPr>
      </w:pPr>
      <w:r>
        <w:rPr>
          <w:rFonts w:ascii="Arial" w:cs="Arial" w:eastAsia="Arial" w:hAnsi="Arial"/>
          <w:sz w:val="17"/>
          <w:szCs w:val="17"/>
          <w:color w:val="auto"/>
        </w:rPr>
        <w:t>As previously announced, on June 26, 2022, we detected a cyber security incident which impacted the Company’s network. The Company promptly activated incident response protocols, which included shutting down certain systems, and commenced an investigation of the incident. The Company also notified law enforcement and engaged legal counsel and other third-party incident response and cybersecurity professionals.</w:t>
      </w:r>
    </w:p>
    <w:p>
      <w:pPr>
        <w:spacing w:after="0" w:line="72" w:lineRule="exact"/>
        <w:rPr>
          <w:sz w:val="20"/>
          <w:szCs w:val="20"/>
          <w:color w:val="auto"/>
        </w:rPr>
      </w:pPr>
    </w:p>
    <w:p>
      <w:pPr>
        <w:jc w:val="both"/>
        <w:ind w:right="440" w:firstLine="464"/>
        <w:spacing w:after="0" w:line="266" w:lineRule="auto"/>
        <w:rPr>
          <w:sz w:val="20"/>
          <w:szCs w:val="20"/>
          <w:color w:val="auto"/>
        </w:rPr>
      </w:pPr>
      <w:r>
        <w:rPr>
          <w:rFonts w:ascii="Arial" w:cs="Arial" w:eastAsia="Arial" w:hAnsi="Arial"/>
          <w:sz w:val="17"/>
          <w:szCs w:val="17"/>
          <w:color w:val="auto"/>
        </w:rPr>
        <w:t>Based on the Company's assessment, the incident has not had a significant financial impact and the Company does not believe the incident will have a material impact on its business, operations or financial results. The Company maintains cyber insurance, subject to certain deductibles and policy limitations typical for its size and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SECOND QUARTER 2023 COMPARED TO SECOND QUARTER 2022</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our Condensed Consolidated Statements of Operations for the periods indicated.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0" w:type="dxa"/>
            <w:vAlign w:val="bottom"/>
            <w:gridSpan w:val="4"/>
          </w:tcPr>
          <w:p>
            <w:pPr>
              <w:jc w:val="right"/>
              <w:ind w:right="795"/>
              <w:spacing w:after="0"/>
              <w:rPr>
                <w:sz w:val="20"/>
                <w:szCs w:val="20"/>
                <w:color w:val="auto"/>
              </w:rPr>
            </w:pPr>
            <w:r>
              <w:rPr>
                <w:rFonts w:ascii="Arial" w:cs="Arial" w:eastAsia="Arial" w:hAnsi="Arial"/>
                <w:sz w:val="15"/>
                <w:szCs w:val="15"/>
                <w:b w:val="1"/>
                <w:bCs w:val="1"/>
                <w:color w:val="auto"/>
              </w:rPr>
              <w:t>Three Months Ended</w:t>
            </w:r>
          </w:p>
        </w:tc>
      </w:tr>
      <w:tr>
        <w:trPr>
          <w:trHeight w:val="204"/>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5"/>
                <w:szCs w:val="15"/>
                <w:b w:val="1"/>
                <w:bCs w:val="1"/>
                <w:color w:val="auto"/>
              </w:rPr>
              <w:t>June 30,</w:t>
            </w:r>
          </w:p>
        </w:tc>
        <w:tc>
          <w:tcPr>
            <w:tcW w:w="1100" w:type="dxa"/>
            <w:vAlign w:val="bottom"/>
            <w:tcBorders>
              <w:bottom w:val="single" w:sz="8" w:color="auto"/>
            </w:tcBorders>
          </w:tcPr>
          <w:p>
            <w:pPr>
              <w:spacing w:after="0"/>
              <w:rPr>
                <w:sz w:val="17"/>
                <w:szCs w:val="17"/>
                <w:color w:val="auto"/>
              </w:rPr>
            </w:pPr>
          </w:p>
        </w:tc>
      </w:tr>
      <w:tr>
        <w:trPr>
          <w:trHeight w:val="150"/>
        </w:trPr>
        <w:tc>
          <w:tcPr>
            <w:tcW w:w="8060" w:type="dxa"/>
            <w:vAlign w:val="bottom"/>
            <w:gridSpan w:val="3"/>
          </w:tcPr>
          <w:p>
            <w:pPr>
              <w:ind w:left="20"/>
              <w:spacing w:after="0"/>
              <w:rPr>
                <w:sz w:val="20"/>
                <w:szCs w:val="20"/>
                <w:color w:val="auto"/>
              </w:rPr>
            </w:pPr>
            <w:r>
              <w:rPr>
                <w:rFonts w:ascii="Arial" w:cs="Arial" w:eastAsia="Arial" w:hAnsi="Arial"/>
                <w:sz w:val="13"/>
                <w:szCs w:val="13"/>
                <w:b w:val="1"/>
                <w:bCs w:val="1"/>
                <w:i w:val="1"/>
                <w:iCs w:val="1"/>
                <w:color w:val="auto"/>
              </w:rPr>
              <w:t>In millions</w:t>
            </w:r>
          </w:p>
        </w:tc>
        <w:tc>
          <w:tcPr>
            <w:tcW w:w="380" w:type="dxa"/>
            <w:vAlign w:val="bottom"/>
          </w:tcPr>
          <w:p>
            <w:pPr>
              <w:spacing w:after="0"/>
              <w:rPr>
                <w:sz w:val="13"/>
                <w:szCs w:val="13"/>
                <w:color w:val="auto"/>
              </w:rPr>
            </w:pPr>
          </w:p>
        </w:tc>
        <w:tc>
          <w:tcPr>
            <w:tcW w:w="1160" w:type="dxa"/>
            <w:vAlign w:val="bottom"/>
          </w:tcPr>
          <w:p>
            <w:pPr>
              <w:jc w:val="right"/>
              <w:ind w:right="556"/>
              <w:spacing w:after="0" w:line="150" w:lineRule="exact"/>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00" w:type="dxa"/>
            <w:vAlign w:val="bottom"/>
          </w:tcPr>
          <w:p>
            <w:pPr>
              <w:jc w:val="right"/>
              <w:ind w:right="535"/>
              <w:spacing w:after="0" w:line="150" w:lineRule="exact"/>
              <w:rPr>
                <w:sz w:val="20"/>
                <w:szCs w:val="20"/>
                <w:color w:val="auto"/>
              </w:rPr>
            </w:pPr>
            <w:r>
              <w:rPr>
                <w:rFonts w:ascii="Arial" w:cs="Arial" w:eastAsia="Arial" w:hAnsi="Arial"/>
                <w:sz w:val="14"/>
                <w:szCs w:val="14"/>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74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8"/>
        </w:trPr>
        <w:tc>
          <w:tcPr>
            <w:tcW w:w="80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8040" w:type="dxa"/>
            <w:vAlign w:val="bottom"/>
            <w:gridSpan w:val="2"/>
          </w:tcPr>
          <w:p>
            <w:pPr>
              <w:ind w:left="200"/>
              <w:spacing w:after="0"/>
              <w:rPr>
                <w:sz w:val="20"/>
                <w:szCs w:val="20"/>
                <w:color w:val="auto"/>
              </w:rPr>
            </w:pPr>
            <w:r>
              <w:rPr>
                <w:rFonts w:ascii="Arial" w:cs="Arial" w:eastAsia="Arial" w:hAnsi="Arial"/>
                <w:sz w:val="17"/>
                <w:szCs w:val="17"/>
                <w:color w:val="auto"/>
              </w:rPr>
              <w:t>Sales of goods</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1,899</w:t>
            </w:r>
          </w:p>
        </w:tc>
        <w:tc>
          <w:tcPr>
            <w:tcW w:w="5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1,584</w:t>
            </w:r>
          </w:p>
        </w:tc>
      </w:tr>
      <w:tr>
        <w:trPr>
          <w:trHeight w:val="226"/>
        </w:trPr>
        <w:tc>
          <w:tcPr>
            <w:tcW w:w="20" w:type="dxa"/>
            <w:vAlign w:val="bottom"/>
            <w:tcBorders>
              <w:bottom w:val="single" w:sz="8" w:color="CCEEFF"/>
            </w:tcBorders>
            <w:shd w:val="clear" w:color="auto" w:fill="CCEEFF"/>
          </w:tcPr>
          <w:p>
            <w:pPr>
              <w:spacing w:after="0"/>
              <w:rPr>
                <w:sz w:val="19"/>
                <w:szCs w:val="19"/>
                <w:color w:val="auto"/>
              </w:rPr>
            </w:pPr>
          </w:p>
        </w:tc>
        <w:tc>
          <w:tcPr>
            <w:tcW w:w="80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Sales of services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508</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w:t>
            </w:r>
          </w:p>
        </w:tc>
      </w:tr>
      <w:tr>
        <w:trPr>
          <w:trHeight w:val="212"/>
        </w:trPr>
        <w:tc>
          <w:tcPr>
            <w:tcW w:w="20" w:type="dxa"/>
            <w:vAlign w:val="bottom"/>
          </w:tcPr>
          <w:p>
            <w:pPr>
              <w:spacing w:after="0"/>
              <w:rPr>
                <w:sz w:val="18"/>
                <w:szCs w:val="18"/>
                <w:color w:val="auto"/>
              </w:rPr>
            </w:pPr>
          </w:p>
        </w:tc>
        <w:tc>
          <w:tcPr>
            <w:tcW w:w="8040" w:type="dxa"/>
            <w:vAlign w:val="bottom"/>
            <w:gridSpan w:val="2"/>
          </w:tcPr>
          <w:p>
            <w:pPr>
              <w:ind w:left="320"/>
              <w:spacing w:after="0"/>
              <w:rPr>
                <w:sz w:val="20"/>
                <w:szCs w:val="20"/>
                <w:color w:val="auto"/>
              </w:rPr>
            </w:pPr>
            <w:r>
              <w:rPr>
                <w:rFonts w:ascii="Arial" w:cs="Arial" w:eastAsia="Arial" w:hAnsi="Arial"/>
                <w:sz w:val="17"/>
                <w:szCs w:val="17"/>
                <w:color w:val="auto"/>
              </w:rPr>
              <w:t>Total net sales</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2,407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2,048</w:t>
            </w:r>
          </w:p>
        </w:tc>
      </w:tr>
      <w:tr>
        <w:trPr>
          <w:trHeight w:val="233"/>
        </w:trPr>
        <w:tc>
          <w:tcPr>
            <w:tcW w:w="80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Cost of sales:</w:t>
            </w: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18"/>
        </w:trPr>
        <w:tc>
          <w:tcPr>
            <w:tcW w:w="20" w:type="dxa"/>
            <w:vAlign w:val="bottom"/>
          </w:tcPr>
          <w:p>
            <w:pPr>
              <w:spacing w:after="0"/>
              <w:rPr>
                <w:sz w:val="18"/>
                <w:szCs w:val="18"/>
                <w:color w:val="auto"/>
              </w:rPr>
            </w:pPr>
          </w:p>
        </w:tc>
        <w:tc>
          <w:tcPr>
            <w:tcW w:w="8040" w:type="dxa"/>
            <w:vAlign w:val="bottom"/>
            <w:gridSpan w:val="2"/>
          </w:tcPr>
          <w:p>
            <w:pPr>
              <w:ind w:left="200"/>
              <w:spacing w:after="0"/>
              <w:rPr>
                <w:sz w:val="20"/>
                <w:szCs w:val="20"/>
                <w:color w:val="auto"/>
              </w:rPr>
            </w:pPr>
            <w:r>
              <w:rPr>
                <w:rFonts w:ascii="Arial" w:cs="Arial" w:eastAsia="Arial" w:hAnsi="Arial"/>
                <w:sz w:val="17"/>
                <w:szCs w:val="17"/>
                <w:color w:val="auto"/>
              </w:rPr>
              <w:t>Cost of goods</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(1,400)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(1,147)</w:t>
            </w:r>
          </w:p>
        </w:tc>
      </w:tr>
      <w:tr>
        <w:trPr>
          <w:trHeight w:val="220"/>
        </w:trPr>
        <w:tc>
          <w:tcPr>
            <w:tcW w:w="20" w:type="dxa"/>
            <w:vAlign w:val="bottom"/>
            <w:tcBorders>
              <w:bottom w:val="single" w:sz="8" w:color="CCEEFF"/>
            </w:tcBorders>
            <w:shd w:val="clear" w:color="auto" w:fill="CCEEFF"/>
          </w:tcPr>
          <w:p>
            <w:pPr>
              <w:spacing w:after="0"/>
              <w:rPr>
                <w:sz w:val="19"/>
                <w:szCs w:val="19"/>
                <w:color w:val="auto"/>
              </w:rPr>
            </w:pPr>
          </w:p>
        </w:tc>
        <w:tc>
          <w:tcPr>
            <w:tcW w:w="80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Cost of services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w:t>
            </w:r>
          </w:p>
        </w:tc>
      </w:tr>
      <w:tr>
        <w:trPr>
          <w:trHeight w:val="224"/>
        </w:trPr>
        <w:tc>
          <w:tcPr>
            <w:tcW w:w="20" w:type="dxa"/>
            <w:vAlign w:val="bottom"/>
            <w:tcBorders>
              <w:bottom w:val="single" w:sz="8" w:color="CCEEFF"/>
            </w:tcBorders>
          </w:tcPr>
          <w:p>
            <w:pPr>
              <w:spacing w:after="0"/>
              <w:rPr>
                <w:sz w:val="19"/>
                <w:szCs w:val="19"/>
                <w:color w:val="auto"/>
              </w:rPr>
            </w:pPr>
          </w:p>
        </w:tc>
        <w:tc>
          <w:tcPr>
            <w:tcW w:w="8040" w:type="dxa"/>
            <w:vAlign w:val="bottom"/>
            <w:tcBorders>
              <w:bottom w:val="single" w:sz="8" w:color="CCEEFF"/>
            </w:tcBorders>
            <w:gridSpan w:val="2"/>
          </w:tcPr>
          <w:p>
            <w:pPr>
              <w:ind w:left="320"/>
              <w:spacing w:after="0"/>
              <w:rPr>
                <w:sz w:val="20"/>
                <w:szCs w:val="20"/>
                <w:color w:val="auto"/>
              </w:rPr>
            </w:pPr>
            <w:r>
              <w:rPr>
                <w:rFonts w:ascii="Arial" w:cs="Arial" w:eastAsia="Arial" w:hAnsi="Arial"/>
                <w:sz w:val="17"/>
                <w:szCs w:val="17"/>
                <w:color w:val="auto"/>
              </w:rPr>
              <w:t>Total cost of sales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(1,403)</w:t>
            </w:r>
          </w:p>
        </w:tc>
      </w:tr>
      <w:tr>
        <w:trPr>
          <w:trHeight w:val="213"/>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Gross profit</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645</w:t>
            </w:r>
          </w:p>
        </w:tc>
      </w:tr>
      <w:tr>
        <w:trPr>
          <w:trHeight w:val="218"/>
        </w:trPr>
        <w:tc>
          <w:tcPr>
            <w:tcW w:w="8060" w:type="dxa"/>
            <w:vAlign w:val="bottom"/>
            <w:gridSpan w:val="3"/>
          </w:tcPr>
          <w:p>
            <w:pPr>
              <w:ind w:left="20"/>
              <w:spacing w:after="0"/>
              <w:rPr>
                <w:sz w:val="20"/>
                <w:szCs w:val="20"/>
                <w:color w:val="auto"/>
              </w:rPr>
            </w:pPr>
            <w:r>
              <w:rPr>
                <w:rFonts w:ascii="Arial" w:cs="Arial" w:eastAsia="Arial" w:hAnsi="Arial"/>
                <w:sz w:val="17"/>
                <w:szCs w:val="17"/>
                <w:color w:val="auto"/>
              </w:rPr>
              <w:t>Operating expenses:</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3"/>
        </w:trPr>
        <w:tc>
          <w:tcPr>
            <w:tcW w:w="20" w:type="dxa"/>
            <w:vAlign w:val="bottom"/>
            <w:shd w:val="clear" w:color="auto" w:fill="CCEEFF"/>
          </w:tcPr>
          <w:p>
            <w:pPr>
              <w:spacing w:after="0"/>
              <w:rPr>
                <w:sz w:val="20"/>
                <w:szCs w:val="20"/>
                <w:color w:val="auto"/>
              </w:rPr>
            </w:pPr>
          </w:p>
        </w:tc>
        <w:tc>
          <w:tcPr>
            <w:tcW w:w="80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Selling, general and administrative expenses</w:t>
            </w: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r>
      <w:tr>
        <w:trPr>
          <w:trHeight w:val="218"/>
        </w:trPr>
        <w:tc>
          <w:tcPr>
            <w:tcW w:w="20" w:type="dxa"/>
            <w:vAlign w:val="bottom"/>
          </w:tcPr>
          <w:p>
            <w:pPr>
              <w:spacing w:after="0"/>
              <w:rPr>
                <w:sz w:val="18"/>
                <w:szCs w:val="18"/>
                <w:color w:val="auto"/>
              </w:rPr>
            </w:pPr>
          </w:p>
        </w:tc>
        <w:tc>
          <w:tcPr>
            <w:tcW w:w="8040" w:type="dxa"/>
            <w:vAlign w:val="bottom"/>
            <w:gridSpan w:val="2"/>
          </w:tcPr>
          <w:p>
            <w:pPr>
              <w:ind w:left="200"/>
              <w:spacing w:after="0"/>
              <w:rPr>
                <w:sz w:val="20"/>
                <w:szCs w:val="20"/>
                <w:color w:val="auto"/>
              </w:rPr>
            </w:pPr>
            <w:r>
              <w:rPr>
                <w:rFonts w:ascii="Arial" w:cs="Arial" w:eastAsia="Arial" w:hAnsi="Arial"/>
                <w:sz w:val="17"/>
                <w:szCs w:val="17"/>
                <w:color w:val="auto"/>
              </w:rPr>
              <w:t>Engineering expenses</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20"/>
        </w:trPr>
        <w:tc>
          <w:tcPr>
            <w:tcW w:w="20" w:type="dxa"/>
            <w:vAlign w:val="bottom"/>
            <w:tcBorders>
              <w:bottom w:val="single" w:sz="8" w:color="CCEEFF"/>
            </w:tcBorders>
            <w:shd w:val="clear" w:color="auto" w:fill="CCEEFF"/>
          </w:tcPr>
          <w:p>
            <w:pPr>
              <w:spacing w:after="0"/>
              <w:rPr>
                <w:sz w:val="19"/>
                <w:szCs w:val="19"/>
                <w:color w:val="auto"/>
              </w:rPr>
            </w:pPr>
          </w:p>
        </w:tc>
        <w:tc>
          <w:tcPr>
            <w:tcW w:w="80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Amortization expense</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w:t>
            </w:r>
          </w:p>
        </w:tc>
      </w:tr>
      <w:tr>
        <w:trPr>
          <w:trHeight w:val="224"/>
        </w:trPr>
        <w:tc>
          <w:tcPr>
            <w:tcW w:w="20" w:type="dxa"/>
            <w:vAlign w:val="bottom"/>
            <w:tcBorders>
              <w:bottom w:val="single" w:sz="8" w:color="CCEEFF"/>
            </w:tcBorders>
          </w:tcPr>
          <w:p>
            <w:pPr>
              <w:spacing w:after="0"/>
              <w:rPr>
                <w:sz w:val="19"/>
                <w:szCs w:val="19"/>
                <w:color w:val="auto"/>
              </w:rPr>
            </w:pPr>
          </w:p>
        </w:tc>
        <w:tc>
          <w:tcPr>
            <w:tcW w:w="8040" w:type="dxa"/>
            <w:vAlign w:val="bottom"/>
            <w:tcBorders>
              <w:bottom w:val="single" w:sz="8" w:color="CCEEFF"/>
            </w:tcBorders>
            <w:gridSpan w:val="2"/>
          </w:tcPr>
          <w:p>
            <w:pPr>
              <w:ind w:left="320"/>
              <w:spacing w:after="0"/>
              <w:rPr>
                <w:sz w:val="20"/>
                <w:szCs w:val="20"/>
                <w:color w:val="auto"/>
              </w:rPr>
            </w:pPr>
            <w:r>
              <w:rPr>
                <w:rFonts w:ascii="Arial" w:cs="Arial" w:eastAsia="Arial" w:hAnsi="Arial"/>
                <w:sz w:val="17"/>
                <w:szCs w:val="17"/>
                <w:color w:val="auto"/>
              </w:rPr>
              <w:t>Total operating expenses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(381)</w:t>
            </w:r>
          </w:p>
        </w:tc>
      </w:tr>
      <w:tr>
        <w:trPr>
          <w:trHeight w:val="213"/>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Income from operations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w:t>
            </w:r>
          </w:p>
        </w:tc>
      </w:tr>
      <w:tr>
        <w:trPr>
          <w:trHeight w:val="218"/>
        </w:trPr>
        <w:tc>
          <w:tcPr>
            <w:tcW w:w="8060" w:type="dxa"/>
            <w:vAlign w:val="bottom"/>
            <w:gridSpan w:val="3"/>
          </w:tcPr>
          <w:p>
            <w:pPr>
              <w:ind w:left="20"/>
              <w:spacing w:after="0"/>
              <w:rPr>
                <w:sz w:val="20"/>
                <w:szCs w:val="20"/>
                <w:color w:val="auto"/>
              </w:rPr>
            </w:pPr>
            <w:r>
              <w:rPr>
                <w:rFonts w:ascii="Arial" w:cs="Arial" w:eastAsia="Arial" w:hAnsi="Arial"/>
                <w:sz w:val="17"/>
                <w:szCs w:val="17"/>
                <w:color w:val="auto"/>
              </w:rPr>
              <w:t>Other income and expenses:</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3"/>
        </w:trPr>
        <w:tc>
          <w:tcPr>
            <w:tcW w:w="20" w:type="dxa"/>
            <w:vAlign w:val="bottom"/>
            <w:shd w:val="clear" w:color="auto" w:fill="CCEEFF"/>
          </w:tcPr>
          <w:p>
            <w:pPr>
              <w:spacing w:after="0"/>
              <w:rPr>
                <w:sz w:val="20"/>
                <w:szCs w:val="20"/>
                <w:color w:val="auto"/>
              </w:rPr>
            </w:pPr>
          </w:p>
        </w:tc>
        <w:tc>
          <w:tcPr>
            <w:tcW w:w="80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Interest expense, net</w:t>
            </w: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r>
      <w:tr>
        <w:trPr>
          <w:trHeight w:val="218"/>
        </w:trPr>
        <w:tc>
          <w:tcPr>
            <w:tcW w:w="20" w:type="dxa"/>
            <w:vAlign w:val="bottom"/>
          </w:tcPr>
          <w:p>
            <w:pPr>
              <w:spacing w:after="0"/>
              <w:rPr>
                <w:sz w:val="18"/>
                <w:szCs w:val="18"/>
                <w:color w:val="auto"/>
              </w:rPr>
            </w:pPr>
          </w:p>
        </w:tc>
        <w:tc>
          <w:tcPr>
            <w:tcW w:w="8040" w:type="dxa"/>
            <w:vAlign w:val="bottom"/>
            <w:gridSpan w:val="2"/>
          </w:tcPr>
          <w:p>
            <w:pPr>
              <w:ind w:left="200"/>
              <w:spacing w:after="0"/>
              <w:rPr>
                <w:sz w:val="20"/>
                <w:szCs w:val="20"/>
                <w:color w:val="auto"/>
              </w:rPr>
            </w:pPr>
            <w:r>
              <w:rPr>
                <w:rFonts w:ascii="Arial" w:cs="Arial" w:eastAsia="Arial" w:hAnsi="Arial"/>
                <w:sz w:val="17"/>
                <w:szCs w:val="17"/>
                <w:color w:val="auto"/>
              </w:rPr>
              <w:t>Other income, net</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r>
      <w:tr>
        <w:trPr>
          <w:trHeight w:val="213"/>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Income before income taxes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w:t>
            </w:r>
          </w:p>
        </w:tc>
      </w:tr>
      <w:tr>
        <w:trPr>
          <w:trHeight w:val="231"/>
        </w:trPr>
        <w:tc>
          <w:tcPr>
            <w:tcW w:w="20" w:type="dxa"/>
            <w:vAlign w:val="bottom"/>
            <w:tcBorders>
              <w:bottom w:val="single" w:sz="8" w:color="CCEEFF"/>
            </w:tcBorders>
          </w:tcPr>
          <w:p>
            <w:pPr>
              <w:spacing w:after="0"/>
              <w:rPr>
                <w:sz w:val="20"/>
                <w:szCs w:val="20"/>
                <w:color w:val="auto"/>
              </w:rPr>
            </w:pPr>
          </w:p>
        </w:tc>
        <w:tc>
          <w:tcPr>
            <w:tcW w:w="804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Income tax expense</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w:t>
            </w:r>
          </w:p>
        </w:tc>
      </w:tr>
      <w:tr>
        <w:trPr>
          <w:trHeight w:val="213"/>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income</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w:t>
            </w:r>
          </w:p>
        </w:tc>
      </w:tr>
      <w:tr>
        <w:trPr>
          <w:trHeight w:val="219"/>
        </w:trPr>
        <w:tc>
          <w:tcPr>
            <w:tcW w:w="20" w:type="dxa"/>
            <w:vAlign w:val="bottom"/>
          </w:tcPr>
          <w:p>
            <w:pPr>
              <w:spacing w:after="0"/>
              <w:rPr>
                <w:sz w:val="19"/>
                <w:szCs w:val="19"/>
                <w:color w:val="auto"/>
              </w:rPr>
            </w:pPr>
          </w:p>
        </w:tc>
        <w:tc>
          <w:tcPr>
            <w:tcW w:w="8040" w:type="dxa"/>
            <w:vAlign w:val="bottom"/>
            <w:gridSpan w:val="2"/>
          </w:tcPr>
          <w:p>
            <w:pPr>
              <w:ind w:left="200"/>
              <w:spacing w:after="0"/>
              <w:rPr>
                <w:sz w:val="20"/>
                <w:szCs w:val="20"/>
                <w:color w:val="auto"/>
              </w:rPr>
            </w:pPr>
            <w:r>
              <w:rPr>
                <w:rFonts w:ascii="Arial" w:cs="Arial" w:eastAsia="Arial" w:hAnsi="Arial"/>
                <w:sz w:val="17"/>
                <w:szCs w:val="17"/>
                <w:color w:val="auto"/>
              </w:rPr>
              <w:t>Less: Net income attributable to noncontrolling interest</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r>
      <w:tr>
        <w:trPr>
          <w:trHeight w:val="245"/>
        </w:trPr>
        <w:tc>
          <w:tcPr>
            <w:tcW w:w="20" w:type="dxa"/>
            <w:vAlign w:val="bottom"/>
            <w:shd w:val="clear" w:color="auto" w:fill="CCEEFF"/>
          </w:tcPr>
          <w:p>
            <w:pPr>
              <w:spacing w:after="0"/>
              <w:rPr>
                <w:sz w:val="21"/>
                <w:szCs w:val="21"/>
                <w:color w:val="auto"/>
              </w:rPr>
            </w:pPr>
          </w:p>
        </w:tc>
        <w:tc>
          <w:tcPr>
            <w:tcW w:w="80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income attributable to Wabtec shareholders</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shows the major components of the change in Net sales in the three months ended June 30, 2023 from the three months ended June 30,</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2022:</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4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4"/>
                <w:szCs w:val="14"/>
                <w:color w:val="auto"/>
              </w:rPr>
            </w:pPr>
          </w:p>
        </w:tc>
        <w:tc>
          <w:tcPr>
            <w:tcW w:w="1340" w:type="dxa"/>
            <w:vAlign w:val="bottom"/>
          </w:tcPr>
          <w:p>
            <w:pPr>
              <w:jc w:val="right"/>
              <w:ind w:right="197"/>
              <w:spacing w:after="0"/>
              <w:rPr>
                <w:sz w:val="20"/>
                <w:szCs w:val="20"/>
                <w:color w:val="auto"/>
              </w:rPr>
            </w:pPr>
            <w:r>
              <w:rPr>
                <w:rFonts w:ascii="Arial" w:cs="Arial" w:eastAsia="Arial" w:hAnsi="Arial"/>
                <w:sz w:val="14"/>
                <w:szCs w:val="14"/>
                <w:b w:val="1"/>
                <w:bCs w:val="1"/>
                <w:color w:val="auto"/>
                <w:w w:val="94"/>
              </w:rPr>
              <w:t>Freight Segment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197"/>
              <w:spacing w:after="0"/>
              <w:rPr>
                <w:sz w:val="20"/>
                <w:szCs w:val="20"/>
                <w:color w:val="auto"/>
              </w:rPr>
            </w:pPr>
            <w:r>
              <w:rPr>
                <w:rFonts w:ascii="Arial" w:cs="Arial" w:eastAsia="Arial" w:hAnsi="Arial"/>
                <w:sz w:val="14"/>
                <w:szCs w:val="14"/>
                <w:b w:val="1"/>
                <w:bCs w:val="1"/>
                <w:color w:val="auto"/>
                <w:w w:val="94"/>
              </w:rPr>
              <w:t>Transit Segment</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537"/>
              <w:spacing w:after="0"/>
              <w:rPr>
                <w:sz w:val="20"/>
                <w:szCs w:val="20"/>
                <w:color w:val="auto"/>
              </w:rPr>
            </w:pPr>
            <w:r>
              <w:rPr>
                <w:rFonts w:ascii="Arial" w:cs="Arial" w:eastAsia="Arial" w:hAnsi="Arial"/>
                <w:sz w:val="14"/>
                <w:szCs w:val="14"/>
                <w:b w:val="1"/>
                <w:bCs w:val="1"/>
                <w:color w:val="auto"/>
              </w:rPr>
              <w:t>Total</w:t>
            </w: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1"/>
        </w:trPr>
        <w:tc>
          <w:tcPr>
            <w:tcW w:w="64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Second Quarter 2022 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2,048</w:t>
            </w:r>
          </w:p>
        </w:tc>
      </w:tr>
      <w:tr>
        <w:trPr>
          <w:trHeight w:val="225"/>
        </w:trPr>
        <w:tc>
          <w:tcPr>
            <w:tcW w:w="20" w:type="dxa"/>
            <w:vAlign w:val="bottom"/>
          </w:tcPr>
          <w:p>
            <w:pPr>
              <w:spacing w:after="0"/>
              <w:rPr>
                <w:sz w:val="19"/>
                <w:szCs w:val="19"/>
                <w:color w:val="auto"/>
              </w:rPr>
            </w:pPr>
          </w:p>
        </w:tc>
        <w:tc>
          <w:tcPr>
            <w:tcW w:w="6420" w:type="dxa"/>
            <w:vAlign w:val="bottom"/>
            <w:gridSpan w:val="2"/>
          </w:tcPr>
          <w:p>
            <w:pPr>
              <w:ind w:left="100"/>
              <w:spacing w:after="0"/>
              <w:rPr>
                <w:sz w:val="20"/>
                <w:szCs w:val="20"/>
                <w:color w:val="auto"/>
              </w:rPr>
            </w:pPr>
            <w:r>
              <w:rPr>
                <w:rFonts w:ascii="Arial" w:cs="Arial" w:eastAsia="Arial" w:hAnsi="Arial"/>
                <w:sz w:val="17"/>
                <w:szCs w:val="17"/>
                <w:color w:val="auto"/>
              </w:rPr>
              <w:t>Acquisitions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26"/>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Foreign Exchange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19"/>
        </w:trPr>
        <w:tc>
          <w:tcPr>
            <w:tcW w:w="20" w:type="dxa"/>
            <w:vAlign w:val="bottom"/>
          </w:tcPr>
          <w:p>
            <w:pPr>
              <w:spacing w:after="0"/>
              <w:rPr>
                <w:sz w:val="19"/>
                <w:szCs w:val="19"/>
                <w:color w:val="auto"/>
              </w:rPr>
            </w:pPr>
          </w:p>
        </w:tc>
        <w:tc>
          <w:tcPr>
            <w:tcW w:w="6420" w:type="dxa"/>
            <w:vAlign w:val="bottom"/>
            <w:gridSpan w:val="2"/>
          </w:tcPr>
          <w:p>
            <w:pPr>
              <w:ind w:left="100"/>
              <w:spacing w:after="0"/>
              <w:rPr>
                <w:sz w:val="20"/>
                <w:szCs w:val="20"/>
                <w:color w:val="auto"/>
              </w:rPr>
            </w:pPr>
            <w:r>
              <w:rPr>
                <w:rFonts w:ascii="Arial" w:cs="Arial" w:eastAsia="Arial" w:hAnsi="Arial"/>
                <w:sz w:val="17"/>
                <w:szCs w:val="17"/>
                <w:color w:val="auto"/>
              </w:rPr>
              <w:t>Organic</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355</w:t>
            </w:r>
          </w:p>
        </w:tc>
      </w:tr>
      <w:tr>
        <w:trPr>
          <w:trHeight w:val="245"/>
        </w:trPr>
        <w:tc>
          <w:tcPr>
            <w:tcW w:w="64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Second Quarter 2023 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Net sales</w:t>
      </w:r>
    </w:p>
    <w:p>
      <w:pPr>
        <w:spacing w:after="0" w:line="120" w:lineRule="exact"/>
        <w:rPr>
          <w:sz w:val="20"/>
          <w:szCs w:val="20"/>
          <w:color w:val="auto"/>
        </w:rPr>
      </w:pPr>
    </w:p>
    <w:p>
      <w:pPr>
        <w:ind w:right="60" w:firstLine="464"/>
        <w:spacing w:after="0" w:line="297" w:lineRule="auto"/>
        <w:rPr>
          <w:sz w:val="20"/>
          <w:szCs w:val="20"/>
          <w:color w:val="auto"/>
        </w:rPr>
      </w:pPr>
      <w:r>
        <w:rPr>
          <w:rFonts w:ascii="Arial" w:cs="Arial" w:eastAsia="Arial" w:hAnsi="Arial"/>
          <w:sz w:val="15"/>
          <w:szCs w:val="15"/>
          <w:color w:val="auto"/>
        </w:rPr>
        <w:t>Net sales for the three months ended June 30, 2023 increased by $359 million, or 17.5%, to $2.41 billion compared to the same period in 2022. Organic sales increased $355 million which was attributable to both Freight and Transit Segments driven by an increase across all product lines. Services sales increased from higher deliveries of locomotive modernizations and higher parts sales. Components sales increased from higher original equipment railcar build and increased market share for certain products due to product availability and growth in industrial end-markets. Equipment sales increased from higher locomotive sales and Digital Intelligence sales increased due to higher demand for on-board locomotive solutions and international Positive Train Control (PTC) sales. Transit sales increased from higher demand for Original Equipment and Aftermarket products driven by increased infrastructure investment. Sales from acquisitions contributed $11 million in the Freight Segment and unfavorable changes in foreign exchange rates decreased sales by $7 million.</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sales</w:t>
      </w:r>
    </w:p>
    <w:p>
      <w:pPr>
        <w:spacing w:after="0" w:line="18" w:lineRule="exact"/>
        <w:rPr>
          <w:sz w:val="20"/>
          <w:szCs w:val="20"/>
          <w:color w:val="auto"/>
        </w:rPr>
      </w:pPr>
    </w:p>
    <w:p>
      <w:pPr>
        <w:ind w:right="60" w:firstLine="464"/>
        <w:spacing w:after="0" w:line="253" w:lineRule="auto"/>
        <w:rPr>
          <w:sz w:val="20"/>
          <w:szCs w:val="20"/>
          <w:color w:val="auto"/>
        </w:rPr>
      </w:pPr>
      <w:r>
        <w:rPr>
          <w:rFonts w:ascii="Arial" w:cs="Arial" w:eastAsia="Arial" w:hAnsi="Arial"/>
          <w:sz w:val="16"/>
          <w:szCs w:val="16"/>
          <w:color w:val="auto"/>
        </w:rPr>
        <w:t>Cost of sales for the three months ended June 30, 2023 increased by $281 million, or 20.0%, to $1.68 billion compared to the same period in 2022. The increase is primarily due to the increase in sales. Cost of sales as a percentage of net sales was 69.9% and 68.5% for the three months ended June 30, 2023 and 2022, respectively. The increase was due to unfavorable product mix between and within business groups, manufacturing inefficiencies primarily related to labor, and higher restructuring costs, partially offset by benefits from structured cost actions taken through Integration 2.0 and prior years’ restructuring and integration projects. Costs of sales for the three months ended June 30, 2023 and 2022 included $8 million and $2 million, respectively, of restructuring costs, primarily for headcount actions and footprint rationalization, with the amounts in 2023 primarily being related to Integration 2.0. The amounts in 2023 also include the write off of non-cash assets in Russia that were determined to not be recoverable in the second quarter.</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expenses</w:t>
      </w:r>
    </w:p>
    <w:p>
      <w:pPr>
        <w:spacing w:after="0" w:line="18" w:lineRule="exact"/>
        <w:rPr>
          <w:sz w:val="20"/>
          <w:szCs w:val="20"/>
          <w:color w:val="auto"/>
        </w:rPr>
      </w:pPr>
    </w:p>
    <w:p>
      <w:pPr>
        <w:ind w:firstLine="464"/>
        <w:spacing w:after="0" w:line="256" w:lineRule="auto"/>
        <w:rPr>
          <w:sz w:val="20"/>
          <w:szCs w:val="20"/>
          <w:color w:val="auto"/>
        </w:rPr>
      </w:pPr>
      <w:r>
        <w:rPr>
          <w:rFonts w:ascii="Arial" w:cs="Arial" w:eastAsia="Arial" w:hAnsi="Arial"/>
          <w:sz w:val="16"/>
          <w:szCs w:val="16"/>
          <w:color w:val="auto"/>
        </w:rPr>
        <w:t>Total operating expenses increased $30 million, or 7.9%, for the three months ended June 30, 2023 compared to the same period in 2022. Operating expenses as a percentage of sales was 17.1% and 18.6% for the three months ended June 30, 2023 and 2022, respectively. Selling, general and administrative expenses ("SG&amp;A") increased $26 million for the three months ended June 30, 2023 compared to the same period in 2022. The increase is primarily from costs incurred to support the higher sales volume, higher employee compensation and benefit costs and higher professional services spend, partially offset by the impacts of Integration 2.0 and prior years’ restructuring actions. Restructuring costs included in SG&amp;A were $2 million for both the three months ended June 30, 2023 and 2022, and were primarily for headcount actions and footprint rationalization programs, with the amounts in 2023 primarily related to Integration 2.0. Engineering expense increased $3 million primarily due to investments in new technology.</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 net</w:t>
      </w:r>
    </w:p>
    <w:p>
      <w:pPr>
        <w:spacing w:after="0" w:line="120" w:lineRule="exact"/>
        <w:rPr>
          <w:sz w:val="20"/>
          <w:szCs w:val="20"/>
          <w:color w:val="auto"/>
        </w:rPr>
      </w:pPr>
    </w:p>
    <w:p>
      <w:pPr>
        <w:ind w:right="120" w:firstLine="464"/>
        <w:spacing w:after="0" w:line="279" w:lineRule="auto"/>
        <w:rPr>
          <w:sz w:val="20"/>
          <w:szCs w:val="20"/>
          <w:color w:val="auto"/>
        </w:rPr>
      </w:pPr>
      <w:r>
        <w:rPr>
          <w:rFonts w:ascii="Arial" w:cs="Arial" w:eastAsia="Arial" w:hAnsi="Arial"/>
          <w:sz w:val="17"/>
          <w:szCs w:val="17"/>
          <w:color w:val="auto"/>
        </w:rPr>
        <w:t>Interest expense, net, increased $11 million for the three months ended June 30, 2023 compared to the same period in 2022 primarily due to higher average overall debt balances and higher effective interest rates in the current period.</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net</w:t>
      </w:r>
    </w:p>
    <w:p>
      <w:pPr>
        <w:spacing w:after="0" w:line="120" w:lineRule="exact"/>
        <w:rPr>
          <w:sz w:val="20"/>
          <w:szCs w:val="20"/>
          <w:color w:val="auto"/>
        </w:rPr>
      </w:pPr>
    </w:p>
    <w:p>
      <w:pPr>
        <w:ind w:right="220" w:firstLine="619"/>
        <w:spacing w:after="0" w:line="279" w:lineRule="auto"/>
        <w:rPr>
          <w:sz w:val="20"/>
          <w:szCs w:val="20"/>
          <w:color w:val="auto"/>
        </w:rPr>
      </w:pPr>
      <w:r>
        <w:rPr>
          <w:rFonts w:ascii="Arial" w:cs="Arial" w:eastAsia="Arial" w:hAnsi="Arial"/>
          <w:sz w:val="17"/>
          <w:szCs w:val="17"/>
          <w:color w:val="auto"/>
        </w:rPr>
        <w:t>Other income, net, decreased $5 million for the three months ended June 30, 2023 compared to the same period in 2022 primarily due to higher foreign exchange losses in the current year compared to the prior year.</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effective income tax rate for the three months ended June 30, 2023 was 25.5% consistent with the same period in 2022.</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6"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Freight Segment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our Condensed Consolidated Statements of Operations for our Freight Segment for the periods indicated:</w:t>
      </w:r>
    </w:p>
    <w:p>
      <w:pPr>
        <w:spacing w:after="0" w:line="48" w:lineRule="exact"/>
        <w:rPr>
          <w:sz w:val="20"/>
          <w:szCs w:val="20"/>
          <w:color w:val="auto"/>
        </w:rPr>
      </w:pPr>
    </w:p>
    <w:p>
      <w:pPr>
        <w:jc w:val="center"/>
        <w:ind w:left="1380"/>
        <w:spacing w:after="0"/>
        <w:rPr>
          <w:sz w:val="20"/>
          <w:szCs w:val="20"/>
          <w:color w:val="auto"/>
        </w:rPr>
      </w:pPr>
      <w:r>
        <w:rPr>
          <w:rFonts w:ascii="Arial" w:cs="Arial" w:eastAsia="Arial" w:hAnsi="Arial"/>
          <w:sz w:val="15"/>
          <w:szCs w:val="15"/>
          <w:b w:val="1"/>
          <w:bCs w:val="1"/>
          <w:color w:val="auto"/>
        </w:rPr>
        <w:t>Three Months Ended</w:t>
      </w:r>
    </w:p>
    <w:p>
      <w:pPr>
        <w:jc w:val="center"/>
        <w:ind w:left="1380"/>
        <w:spacing w:after="0"/>
        <w:rPr>
          <w:sz w:val="20"/>
          <w:szCs w:val="20"/>
          <w:color w:val="auto"/>
        </w:rPr>
      </w:pPr>
      <w:r>
        <w:rPr>
          <w:rFonts w:ascii="Arial" w:cs="Arial" w:eastAsia="Arial" w:hAnsi="Arial"/>
          <w:sz w:val="15"/>
          <w:szCs w:val="15"/>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6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555"/>
              <w:spacing w:after="0" w:line="167" w:lineRule="exact"/>
              <w:rPr>
                <w:sz w:val="20"/>
                <w:szCs w:val="20"/>
                <w:color w:val="auto"/>
              </w:rPr>
            </w:pPr>
            <w:r>
              <w:rPr>
                <w:rFonts w:ascii="Arial" w:cs="Arial" w:eastAsia="Arial" w:hAnsi="Arial"/>
                <w:sz w:val="15"/>
                <w:szCs w:val="15"/>
                <w:b w:val="1"/>
                <w:bCs w:val="1"/>
                <w:color w:val="auto"/>
              </w:rPr>
              <w:t>2023</w:t>
            </w:r>
          </w:p>
        </w:tc>
        <w:tc>
          <w:tcPr>
            <w:tcW w:w="1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595"/>
              <w:spacing w:after="0" w:line="167" w:lineRule="exact"/>
              <w:rPr>
                <w:sz w:val="20"/>
                <w:szCs w:val="20"/>
                <w:color w:val="auto"/>
              </w:rPr>
            </w:pPr>
            <w:r>
              <w:rPr>
                <w:rFonts w:ascii="Arial" w:cs="Arial" w:eastAsia="Arial" w:hAnsi="Arial"/>
                <w:sz w:val="15"/>
                <w:szCs w:val="15"/>
                <w:b w:val="1"/>
                <w:bCs w:val="1"/>
                <w:color w:val="auto"/>
              </w:rPr>
              <w:t>2022</w:t>
            </w:r>
          </w:p>
        </w:tc>
        <w:tc>
          <w:tcPr>
            <w:tcW w:w="3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ind w:right="675"/>
              <w:spacing w:after="0" w:line="167" w:lineRule="exact"/>
              <w:rPr>
                <w:sz w:val="20"/>
                <w:szCs w:val="20"/>
                <w:color w:val="auto"/>
              </w:rPr>
            </w:pPr>
            <w:r>
              <w:rPr>
                <w:rFonts w:ascii="Arial" w:cs="Arial" w:eastAsia="Arial" w:hAnsi="Arial"/>
                <w:sz w:val="15"/>
                <w:szCs w:val="15"/>
                <w:b w:val="1"/>
                <w:bCs w:val="1"/>
                <w:color w:val="auto"/>
              </w:rPr>
              <w:t>Change</w:t>
            </w:r>
          </w:p>
        </w:tc>
        <w:tc>
          <w:tcPr>
            <w:tcW w:w="1420" w:type="dxa"/>
            <w:vAlign w:val="bottom"/>
            <w:tcBorders>
              <w:top w:val="single" w:sz="8" w:color="auto"/>
            </w:tcBorders>
          </w:tcPr>
          <w:p>
            <w:pPr>
              <w:jc w:val="right"/>
              <w:ind w:right="355"/>
              <w:spacing w:after="0" w:line="167" w:lineRule="exact"/>
              <w:rPr>
                <w:sz w:val="20"/>
                <w:szCs w:val="20"/>
                <w:color w:val="auto"/>
              </w:rPr>
            </w:pPr>
            <w:r>
              <w:rPr>
                <w:rFonts w:ascii="Arial" w:cs="Arial" w:eastAsia="Arial" w:hAnsi="Arial"/>
                <w:sz w:val="15"/>
                <w:szCs w:val="15"/>
                <w:b w:val="1"/>
                <w:bCs w:val="1"/>
                <w:color w:val="auto"/>
              </w:rPr>
              <w:t>% Change</w:t>
            </w: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1"/>
        </w:trPr>
        <w:tc>
          <w:tcPr>
            <w:tcW w:w="4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tcPr>
          <w:p>
            <w:pPr>
              <w:ind w:left="200"/>
              <w:spacing w:after="0"/>
              <w:rPr>
                <w:sz w:val="20"/>
                <w:szCs w:val="20"/>
                <w:color w:val="auto"/>
              </w:rPr>
            </w:pPr>
            <w:r>
              <w:rPr>
                <w:rFonts w:ascii="Arial" w:cs="Arial" w:eastAsia="Arial" w:hAnsi="Arial"/>
                <w:sz w:val="17"/>
                <w:szCs w:val="17"/>
                <w:color w:val="auto"/>
              </w:rPr>
              <w:t>Sales of goods</w:t>
            </w: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15"/>
              <w:spacing w:after="0"/>
              <w:rPr>
                <w:sz w:val="20"/>
                <w:szCs w:val="20"/>
                <w:color w:val="auto"/>
              </w:rPr>
            </w:pPr>
            <w:r>
              <w:rPr>
                <w:rFonts w:ascii="Arial" w:cs="Arial" w:eastAsia="Arial" w:hAnsi="Arial"/>
                <w:sz w:val="17"/>
                <w:szCs w:val="17"/>
                <w:color w:val="auto"/>
              </w:rPr>
              <w:t>1,203</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55"/>
              <w:spacing w:after="0"/>
              <w:rPr>
                <w:sz w:val="20"/>
                <w:szCs w:val="20"/>
                <w:color w:val="auto"/>
              </w:rPr>
            </w:pPr>
            <w:r>
              <w:rPr>
                <w:rFonts w:ascii="Arial" w:cs="Arial" w:eastAsia="Arial" w:hAnsi="Arial"/>
                <w:sz w:val="17"/>
                <w:szCs w:val="17"/>
                <w:color w:val="auto"/>
              </w:rPr>
              <w:t>1,031</w:t>
            </w:r>
          </w:p>
        </w:tc>
        <w:tc>
          <w:tcPr>
            <w:tcW w:w="34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255"/>
              <w:spacing w:after="0"/>
              <w:rPr>
                <w:sz w:val="20"/>
                <w:szCs w:val="20"/>
                <w:color w:val="auto"/>
              </w:rPr>
            </w:pPr>
            <w:r>
              <w:rPr>
                <w:rFonts w:ascii="Arial" w:cs="Arial" w:eastAsia="Arial" w:hAnsi="Arial"/>
                <w:sz w:val="17"/>
                <w:szCs w:val="17"/>
                <w:color w:val="auto"/>
              </w:rPr>
              <w:t>172</w:t>
            </w:r>
          </w:p>
        </w:tc>
        <w:tc>
          <w:tcPr>
            <w:tcW w:w="1420" w:type="dxa"/>
            <w:vAlign w:val="bottom"/>
          </w:tcPr>
          <w:p>
            <w:pPr>
              <w:jc w:val="right"/>
              <w:spacing w:after="0"/>
              <w:rPr>
                <w:sz w:val="20"/>
                <w:szCs w:val="20"/>
                <w:color w:val="auto"/>
              </w:rPr>
            </w:pPr>
            <w:r>
              <w:rPr>
                <w:rFonts w:ascii="Arial" w:cs="Arial" w:eastAsia="Arial" w:hAnsi="Arial"/>
                <w:sz w:val="17"/>
                <w:szCs w:val="17"/>
                <w:color w:val="auto"/>
              </w:rPr>
              <w:t>16.7 %</w:t>
            </w:r>
          </w:p>
        </w:tc>
      </w:tr>
      <w:tr>
        <w:trPr>
          <w:trHeight w:val="220"/>
        </w:trPr>
        <w:tc>
          <w:tcPr>
            <w:tcW w:w="20" w:type="dxa"/>
            <w:vAlign w:val="bottom"/>
            <w:tcBorders>
              <w:bottom w:val="single" w:sz="8" w:color="CCEEFF"/>
            </w:tcBorders>
            <w:shd w:val="clear" w:color="auto" w:fill="CCEEFF"/>
          </w:tcPr>
          <w:p>
            <w:pPr>
              <w:spacing w:after="0"/>
              <w:rPr>
                <w:sz w:val="19"/>
                <w:szCs w:val="19"/>
                <w:color w:val="auto"/>
              </w:rPr>
            </w:pPr>
          </w:p>
        </w:tc>
        <w:tc>
          <w:tcPr>
            <w:tcW w:w="46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Sales of services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505</w:t>
            </w:r>
          </w:p>
        </w:tc>
        <w:tc>
          <w:tcPr>
            <w:tcW w:w="1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459</w:t>
            </w:r>
          </w:p>
        </w:tc>
        <w:tc>
          <w:tcPr>
            <w:tcW w:w="3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46</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18"/>
        </w:trPr>
        <w:tc>
          <w:tcPr>
            <w:tcW w:w="20" w:type="dxa"/>
            <w:vAlign w:val="bottom"/>
          </w:tcPr>
          <w:p>
            <w:pPr>
              <w:spacing w:after="0"/>
              <w:rPr>
                <w:sz w:val="18"/>
                <w:szCs w:val="18"/>
                <w:color w:val="auto"/>
              </w:rPr>
            </w:pPr>
          </w:p>
        </w:tc>
        <w:tc>
          <w:tcPr>
            <w:tcW w:w="4620" w:type="dxa"/>
            <w:vAlign w:val="bottom"/>
            <w:gridSpan w:val="2"/>
          </w:tcPr>
          <w:p>
            <w:pPr>
              <w:ind w:left="320"/>
              <w:spacing w:after="0"/>
              <w:rPr>
                <w:sz w:val="20"/>
                <w:szCs w:val="20"/>
                <w:color w:val="auto"/>
              </w:rPr>
            </w:pPr>
            <w:r>
              <w:rPr>
                <w:rFonts w:ascii="Arial" w:cs="Arial" w:eastAsia="Arial" w:hAnsi="Arial"/>
                <w:sz w:val="17"/>
                <w:szCs w:val="17"/>
                <w:color w:val="auto"/>
              </w:rPr>
              <w:t>Total net sales</w:t>
            </w: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15"/>
              <w:spacing w:after="0"/>
              <w:rPr>
                <w:sz w:val="20"/>
                <w:szCs w:val="20"/>
                <w:color w:val="auto"/>
              </w:rPr>
            </w:pPr>
            <w:r>
              <w:rPr>
                <w:rFonts w:ascii="Arial" w:cs="Arial" w:eastAsia="Arial" w:hAnsi="Arial"/>
                <w:sz w:val="17"/>
                <w:szCs w:val="17"/>
                <w:color w:val="auto"/>
              </w:rPr>
              <w:t>1,708</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55"/>
              <w:spacing w:after="0"/>
              <w:rPr>
                <w:sz w:val="20"/>
                <w:szCs w:val="20"/>
                <w:color w:val="auto"/>
              </w:rPr>
            </w:pPr>
            <w:r>
              <w:rPr>
                <w:rFonts w:ascii="Arial" w:cs="Arial" w:eastAsia="Arial" w:hAnsi="Arial"/>
                <w:sz w:val="17"/>
                <w:szCs w:val="17"/>
                <w:color w:val="auto"/>
              </w:rPr>
              <w:t>1,490</w:t>
            </w:r>
          </w:p>
        </w:tc>
        <w:tc>
          <w:tcPr>
            <w:tcW w:w="34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255"/>
              <w:spacing w:after="0"/>
              <w:rPr>
                <w:sz w:val="20"/>
                <w:szCs w:val="20"/>
                <w:color w:val="auto"/>
              </w:rPr>
            </w:pPr>
            <w:r>
              <w:rPr>
                <w:rFonts w:ascii="Arial" w:cs="Arial" w:eastAsia="Arial" w:hAnsi="Arial"/>
                <w:sz w:val="17"/>
                <w:szCs w:val="17"/>
                <w:color w:val="auto"/>
              </w:rPr>
              <w:t>218</w:t>
            </w:r>
          </w:p>
        </w:tc>
        <w:tc>
          <w:tcPr>
            <w:tcW w:w="1420" w:type="dxa"/>
            <w:vAlign w:val="bottom"/>
          </w:tcPr>
          <w:p>
            <w:pPr>
              <w:jc w:val="right"/>
              <w:spacing w:after="0"/>
              <w:rPr>
                <w:sz w:val="20"/>
                <w:szCs w:val="20"/>
                <w:color w:val="auto"/>
              </w:rPr>
            </w:pPr>
            <w:r>
              <w:rPr>
                <w:rFonts w:ascii="Arial" w:cs="Arial" w:eastAsia="Arial" w:hAnsi="Arial"/>
                <w:sz w:val="17"/>
                <w:szCs w:val="17"/>
                <w:color w:val="auto"/>
              </w:rPr>
              <w:t>14.6 %</w:t>
            </w:r>
          </w:p>
        </w:tc>
      </w:tr>
      <w:tr>
        <w:trPr>
          <w:trHeight w:val="226"/>
        </w:trPr>
        <w:tc>
          <w:tcPr>
            <w:tcW w:w="4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Cost of sales: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tcPr>
          <w:p>
            <w:pPr>
              <w:ind w:left="200"/>
              <w:spacing w:after="0"/>
              <w:rPr>
                <w:sz w:val="20"/>
                <w:szCs w:val="20"/>
                <w:color w:val="auto"/>
              </w:rPr>
            </w:pPr>
            <w:r>
              <w:rPr>
                <w:rFonts w:ascii="Arial" w:cs="Arial" w:eastAsia="Arial" w:hAnsi="Arial"/>
                <w:sz w:val="17"/>
                <w:szCs w:val="17"/>
                <w:color w:val="auto"/>
              </w:rPr>
              <w:t>Cost of goods</w:t>
            </w: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(886)</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15"/>
              <w:spacing w:after="0"/>
              <w:rPr>
                <w:sz w:val="20"/>
                <w:szCs w:val="20"/>
                <w:color w:val="auto"/>
              </w:rPr>
            </w:pPr>
            <w:r>
              <w:rPr>
                <w:rFonts w:ascii="Arial" w:cs="Arial" w:eastAsia="Arial" w:hAnsi="Arial"/>
                <w:sz w:val="17"/>
                <w:szCs w:val="17"/>
                <w:color w:val="auto"/>
              </w:rPr>
              <w:t>(745)</w:t>
            </w:r>
          </w:p>
        </w:tc>
        <w:tc>
          <w:tcPr>
            <w:tcW w:w="34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255"/>
              <w:spacing w:after="0"/>
              <w:rPr>
                <w:sz w:val="20"/>
                <w:szCs w:val="20"/>
                <w:color w:val="auto"/>
              </w:rPr>
            </w:pPr>
            <w:r>
              <w:rPr>
                <w:rFonts w:ascii="Arial" w:cs="Arial" w:eastAsia="Arial" w:hAnsi="Arial"/>
                <w:sz w:val="17"/>
                <w:szCs w:val="17"/>
                <w:color w:val="auto"/>
              </w:rPr>
              <w:t>141</w:t>
            </w:r>
          </w:p>
        </w:tc>
        <w:tc>
          <w:tcPr>
            <w:tcW w:w="1420" w:type="dxa"/>
            <w:vAlign w:val="bottom"/>
          </w:tcPr>
          <w:p>
            <w:pPr>
              <w:jc w:val="right"/>
              <w:spacing w:after="0"/>
              <w:rPr>
                <w:sz w:val="20"/>
                <w:szCs w:val="20"/>
                <w:color w:val="auto"/>
              </w:rPr>
            </w:pPr>
            <w:r>
              <w:rPr>
                <w:rFonts w:ascii="Arial" w:cs="Arial" w:eastAsia="Arial" w:hAnsi="Arial"/>
                <w:sz w:val="17"/>
                <w:szCs w:val="17"/>
                <w:color w:val="auto"/>
              </w:rPr>
              <w:t>18.9 %</w:t>
            </w:r>
          </w:p>
        </w:tc>
      </w:tr>
      <w:tr>
        <w:trPr>
          <w:trHeight w:val="233"/>
        </w:trPr>
        <w:tc>
          <w:tcPr>
            <w:tcW w:w="20" w:type="dxa"/>
            <w:vAlign w:val="bottom"/>
            <w:shd w:val="clear" w:color="auto" w:fill="CCEEFF"/>
          </w:tcPr>
          <w:p>
            <w:pPr>
              <w:spacing w:after="0"/>
              <w:rPr>
                <w:sz w:val="20"/>
                <w:szCs w:val="20"/>
                <w:color w:val="auto"/>
              </w:rPr>
            </w:pPr>
          </w:p>
        </w:tc>
        <w:tc>
          <w:tcPr>
            <w:tcW w:w="46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Cost of services</w:t>
            </w: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(281)</w:t>
            </w:r>
          </w:p>
        </w:tc>
        <w:tc>
          <w:tcPr>
            <w:tcW w:w="12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(252)</w:t>
            </w:r>
          </w:p>
        </w:tc>
        <w:tc>
          <w:tcPr>
            <w:tcW w:w="3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29</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11.5 %</w:t>
            </w:r>
          </w:p>
        </w:tc>
      </w:tr>
      <w:tr>
        <w:trPr>
          <w:trHeight w:val="211"/>
        </w:trPr>
        <w:tc>
          <w:tcPr>
            <w:tcW w:w="20" w:type="dxa"/>
            <w:vAlign w:val="bottom"/>
          </w:tcPr>
          <w:p>
            <w:pPr>
              <w:spacing w:after="0"/>
              <w:rPr>
                <w:sz w:val="18"/>
                <w:szCs w:val="18"/>
                <w:color w:val="auto"/>
              </w:rPr>
            </w:pPr>
          </w:p>
        </w:tc>
        <w:tc>
          <w:tcPr>
            <w:tcW w:w="4620" w:type="dxa"/>
            <w:vAlign w:val="bottom"/>
            <w:gridSpan w:val="2"/>
          </w:tcPr>
          <w:p>
            <w:pPr>
              <w:ind w:left="320"/>
              <w:spacing w:after="0"/>
              <w:rPr>
                <w:sz w:val="20"/>
                <w:szCs w:val="20"/>
                <w:color w:val="auto"/>
              </w:rPr>
            </w:pPr>
            <w:r>
              <w:rPr>
                <w:rFonts w:ascii="Arial" w:cs="Arial" w:eastAsia="Arial" w:hAnsi="Arial"/>
                <w:sz w:val="17"/>
                <w:szCs w:val="17"/>
                <w:color w:val="auto"/>
              </w:rPr>
              <w:t>Total cost of sales</w:t>
            </w: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(1,167)</w:t>
            </w:r>
          </w:p>
        </w:tc>
        <w:tc>
          <w:tcPr>
            <w:tcW w:w="4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(997)</w:t>
            </w:r>
          </w:p>
        </w:tc>
        <w:tc>
          <w:tcPr>
            <w:tcW w:w="3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170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17.1 %</w:t>
            </w:r>
          </w:p>
        </w:tc>
      </w:tr>
      <w:tr>
        <w:trPr>
          <w:trHeight w:val="213"/>
        </w:trPr>
        <w:tc>
          <w:tcPr>
            <w:tcW w:w="4640" w:type="dxa"/>
            <w:vAlign w:val="bottom"/>
            <w:gridSpan w:val="3"/>
            <w:shd w:val="clear" w:color="auto" w:fill="CCEEFF"/>
          </w:tcPr>
          <w:p>
            <w:pPr>
              <w:ind w:left="20"/>
              <w:spacing w:after="0"/>
              <w:rPr>
                <w:sz w:val="20"/>
                <w:szCs w:val="20"/>
                <w:color w:val="auto"/>
              </w:rPr>
            </w:pPr>
            <w:r>
              <w:rPr>
                <w:rFonts w:ascii="Arial" w:cs="Arial" w:eastAsia="Arial" w:hAnsi="Arial"/>
                <w:sz w:val="17"/>
                <w:szCs w:val="17"/>
                <w:i w:val="1"/>
                <w:iCs w:val="1"/>
                <w:color w:val="auto"/>
              </w:rPr>
              <w:t>Cost of Sales (% of net sales)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68.3 %</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66.9 %</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95"/>
              <w:spacing w:after="0"/>
              <w:rPr>
                <w:sz w:val="20"/>
                <w:szCs w:val="20"/>
                <w:color w:val="auto"/>
              </w:rPr>
            </w:pPr>
            <w:r>
              <w:rPr>
                <w:rFonts w:ascii="Arial" w:cs="Arial" w:eastAsia="Arial" w:hAnsi="Arial"/>
                <w:sz w:val="17"/>
                <w:szCs w:val="17"/>
                <w:i w:val="1"/>
                <w:iCs w:val="1"/>
                <w:color w:val="auto"/>
              </w:rPr>
              <w:t>1.4</w:t>
            </w:r>
          </w:p>
        </w:tc>
        <w:tc>
          <w:tcPr>
            <w:tcW w:w="1420" w:type="dxa"/>
            <w:vAlign w:val="bottom"/>
            <w:shd w:val="clear" w:color="auto" w:fill="CCEEFF"/>
          </w:tcPr>
          <w:p>
            <w:pPr>
              <w:spacing w:after="0"/>
              <w:rPr>
                <w:sz w:val="18"/>
                <w:szCs w:val="18"/>
                <w:color w:val="auto"/>
              </w:rPr>
            </w:pP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420" w:type="dxa"/>
            <w:vAlign w:val="bottom"/>
          </w:tcPr>
          <w:p>
            <w:pPr>
              <w:spacing w:after="0"/>
              <w:rPr>
                <w:sz w:val="8"/>
                <w:szCs w:val="8"/>
                <w:color w:val="auto"/>
              </w:rPr>
            </w:pPr>
          </w:p>
        </w:tc>
      </w:tr>
      <w:tr>
        <w:trPr>
          <w:trHeight w:val="232"/>
        </w:trPr>
        <w:tc>
          <w:tcPr>
            <w:tcW w:w="4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541</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493</w:t>
            </w:r>
          </w:p>
        </w:tc>
        <w:tc>
          <w:tcPr>
            <w:tcW w:w="3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48</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9.7 %</w:t>
            </w: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420" w:type="dxa"/>
            <w:vAlign w:val="bottom"/>
          </w:tcPr>
          <w:p>
            <w:pPr>
              <w:spacing w:after="0"/>
              <w:rPr>
                <w:sz w:val="8"/>
                <w:szCs w:val="8"/>
                <w:color w:val="auto"/>
              </w:rPr>
            </w:pPr>
          </w:p>
        </w:tc>
      </w:tr>
      <w:tr>
        <w:trPr>
          <w:trHeight w:val="218"/>
        </w:trPr>
        <w:tc>
          <w:tcPr>
            <w:tcW w:w="4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(270)</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(260)</w:t>
            </w:r>
          </w:p>
        </w:tc>
        <w:tc>
          <w:tcPr>
            <w:tcW w:w="3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10</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3.8 %</w:t>
            </w:r>
          </w:p>
        </w:tc>
      </w:tr>
      <w:tr>
        <w:trPr>
          <w:trHeight w:val="97"/>
        </w:trPr>
        <w:tc>
          <w:tcPr>
            <w:tcW w:w="20" w:type="dxa"/>
            <w:vAlign w:val="bottom"/>
            <w:tcBorders>
              <w:top w:val="single" w:sz="8" w:color="CCEEFF"/>
            </w:tcBorders>
          </w:tcPr>
          <w:p>
            <w:pPr>
              <w:spacing w:after="0"/>
              <w:rPr>
                <w:sz w:val="8"/>
                <w:szCs w:val="8"/>
                <w:color w:val="auto"/>
              </w:rPr>
            </w:pPr>
          </w:p>
        </w:tc>
        <w:tc>
          <w:tcPr>
            <w:tcW w:w="620" w:type="dxa"/>
            <w:vAlign w:val="bottom"/>
            <w:tcBorders>
              <w:top w:val="single" w:sz="8" w:color="CCEEFF"/>
            </w:tcBorders>
          </w:tcPr>
          <w:p>
            <w:pPr>
              <w:spacing w:after="0"/>
              <w:rPr>
                <w:sz w:val="8"/>
                <w:szCs w:val="8"/>
                <w:color w:val="auto"/>
              </w:rPr>
            </w:pPr>
          </w:p>
        </w:tc>
        <w:tc>
          <w:tcPr>
            <w:tcW w:w="4000" w:type="dxa"/>
            <w:vAlign w:val="bottom"/>
            <w:tcBorders>
              <w:top w:val="single" w:sz="8" w:color="CCEEFF"/>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460" w:type="dxa"/>
            <w:vAlign w:val="bottom"/>
            <w:tcBorders>
              <w:top w:val="single" w:sz="8" w:color="auto"/>
            </w:tcBorders>
          </w:tcPr>
          <w:p>
            <w:pPr>
              <w:spacing w:after="0"/>
              <w:rPr>
                <w:sz w:val="8"/>
                <w:szCs w:val="8"/>
                <w:color w:val="auto"/>
              </w:rPr>
            </w:pPr>
          </w:p>
        </w:tc>
        <w:tc>
          <w:tcPr>
            <w:tcW w:w="1420" w:type="dxa"/>
            <w:vAlign w:val="bottom"/>
            <w:tcBorders>
              <w:top w:val="single" w:sz="8" w:color="auto"/>
            </w:tcBorders>
          </w:tcPr>
          <w:p>
            <w:pPr>
              <w:spacing w:after="0"/>
              <w:rPr>
                <w:sz w:val="8"/>
                <w:szCs w:val="8"/>
                <w:color w:val="auto"/>
              </w:rPr>
            </w:pPr>
          </w:p>
        </w:tc>
      </w:tr>
      <w:tr>
        <w:trPr>
          <w:trHeight w:val="244"/>
        </w:trPr>
        <w:tc>
          <w:tcPr>
            <w:tcW w:w="46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271</w:t>
            </w:r>
          </w:p>
        </w:tc>
        <w:tc>
          <w:tcPr>
            <w:tcW w:w="4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233</w:t>
            </w:r>
          </w:p>
        </w:tc>
        <w:tc>
          <w:tcPr>
            <w:tcW w:w="3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38</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4640" w:type="dxa"/>
            <w:vAlign w:val="bottom"/>
            <w:gridSpan w:val="3"/>
          </w:tcPr>
          <w:p>
            <w:pPr>
              <w:ind w:left="20"/>
              <w:spacing w:after="0" w:line="191" w:lineRule="exact"/>
              <w:rPr>
                <w:sz w:val="20"/>
                <w:szCs w:val="20"/>
                <w:color w:val="auto"/>
              </w:rPr>
            </w:pPr>
            <w:r>
              <w:rPr>
                <w:rFonts w:ascii="Arial" w:cs="Arial" w:eastAsia="Arial" w:hAnsi="Arial"/>
                <w:sz w:val="17"/>
                <w:szCs w:val="17"/>
                <w:color w:val="auto"/>
              </w:rPr>
              <w:t>Income from operations (% of net sales)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15.9 %</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15.7 %</w:t>
            </w: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95"/>
              <w:spacing w:after="0" w:line="191" w:lineRule="exact"/>
              <w:rPr>
                <w:sz w:val="20"/>
                <w:szCs w:val="20"/>
                <w:color w:val="auto"/>
              </w:rPr>
            </w:pPr>
            <w:r>
              <w:rPr>
                <w:rFonts w:ascii="Arial" w:cs="Arial" w:eastAsia="Arial" w:hAnsi="Arial"/>
                <w:sz w:val="17"/>
                <w:szCs w:val="17"/>
                <w:color w:val="auto"/>
              </w:rPr>
              <w:t>0.2</w:t>
            </w:r>
          </w:p>
        </w:tc>
        <w:tc>
          <w:tcPr>
            <w:tcW w:w="1420" w:type="dxa"/>
            <w:vAlign w:val="bottom"/>
            <w:tcBorders>
              <w:bottom w:val="single" w:sz="8" w:color="auto"/>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right="160" w:firstLine="464"/>
        <w:spacing w:after="0" w:line="273" w:lineRule="auto"/>
        <w:rPr>
          <w:sz w:val="20"/>
          <w:szCs w:val="20"/>
          <w:color w:val="auto"/>
        </w:rPr>
      </w:pPr>
      <w:r>
        <w:rPr>
          <w:rFonts w:ascii="Arial" w:cs="Arial" w:eastAsia="Arial" w:hAnsi="Arial"/>
          <w:sz w:val="17"/>
          <w:szCs w:val="17"/>
          <w:color w:val="auto"/>
        </w:rPr>
        <w:t>The following table shows the major components of the change in Net sales for the Freight Segment in the second quarter of 2023 from the second quarter of 2022:</w:t>
      </w:r>
    </w:p>
    <w:tbl>
      <w:tblPr>
        <w:tblLayout w:type="fixed"/>
        <w:tblInd w:w="0" w:type="dxa"/>
        <w:tblCellMar>
          <w:top w:w="0" w:type="dxa"/>
          <w:left w:w="0" w:type="dxa"/>
          <w:bottom w:w="0" w:type="dxa"/>
          <w:right w:w="0" w:type="dxa"/>
        </w:tblCellMar>
      </w:tblPr>
      <w:tr>
        <w:trPr>
          <w:trHeight w:val="148"/>
        </w:trPr>
        <w:tc>
          <w:tcPr>
            <w:tcW w:w="9720" w:type="dxa"/>
            <w:vAlign w:val="bottom"/>
            <w:gridSpan w:val="3"/>
          </w:tcPr>
          <w:p>
            <w:pPr>
              <w:ind w:left="20"/>
              <w:spacing w:after="0" w:line="148" w:lineRule="exact"/>
              <w:rPr>
                <w:sz w:val="20"/>
                <w:szCs w:val="20"/>
                <w:color w:val="auto"/>
              </w:rPr>
            </w:pPr>
            <w:r>
              <w:rPr>
                <w:rFonts w:ascii="Arial" w:cs="Arial" w:eastAsia="Arial" w:hAnsi="Arial"/>
                <w:sz w:val="14"/>
                <w:szCs w:val="14"/>
                <w:b w:val="1"/>
                <w:bCs w:val="1"/>
                <w:i w:val="1"/>
                <w:iCs w:val="1"/>
                <w:color w:val="auto"/>
              </w:rPr>
              <w:t>In millions</w:t>
            </w: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9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9"/>
        </w:trPr>
        <w:tc>
          <w:tcPr>
            <w:tcW w:w="97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Second Quarter 2022 Net sales</w:t>
            </w:r>
          </w:p>
        </w:tc>
        <w:tc>
          <w:tcPr>
            <w:tcW w:w="580" w:type="dxa"/>
            <w:vAlign w:val="bottom"/>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1,490</w:t>
            </w:r>
          </w:p>
        </w:tc>
      </w:tr>
      <w:tr>
        <w:trPr>
          <w:trHeight w:val="218"/>
        </w:trPr>
        <w:tc>
          <w:tcPr>
            <w:tcW w:w="20" w:type="dxa"/>
            <w:vAlign w:val="bottom"/>
          </w:tcPr>
          <w:p>
            <w:pPr>
              <w:spacing w:after="0"/>
              <w:rPr>
                <w:sz w:val="18"/>
                <w:szCs w:val="18"/>
                <w:color w:val="auto"/>
              </w:rPr>
            </w:pPr>
          </w:p>
        </w:tc>
        <w:tc>
          <w:tcPr>
            <w:tcW w:w="9700" w:type="dxa"/>
            <w:vAlign w:val="bottom"/>
            <w:gridSpan w:val="2"/>
          </w:tcPr>
          <w:p>
            <w:pPr>
              <w:ind w:left="100"/>
              <w:spacing w:after="0"/>
              <w:rPr>
                <w:sz w:val="20"/>
                <w:szCs w:val="20"/>
                <w:color w:val="auto"/>
              </w:rPr>
            </w:pPr>
            <w:r>
              <w:rPr>
                <w:rFonts w:ascii="Arial" w:cs="Arial" w:eastAsia="Arial" w:hAnsi="Arial"/>
                <w:sz w:val="17"/>
                <w:szCs w:val="17"/>
                <w:color w:val="auto"/>
              </w:rPr>
              <w:t>Acquisitions</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33"/>
        </w:trPr>
        <w:tc>
          <w:tcPr>
            <w:tcW w:w="20" w:type="dxa"/>
            <w:vAlign w:val="bottom"/>
            <w:shd w:val="clear" w:color="auto" w:fill="CCEEFF"/>
          </w:tcPr>
          <w:p>
            <w:pPr>
              <w:spacing w:after="0"/>
              <w:rPr>
                <w:sz w:val="20"/>
                <w:szCs w:val="20"/>
                <w:color w:val="auto"/>
              </w:rPr>
            </w:pPr>
          </w:p>
        </w:tc>
        <w:tc>
          <w:tcPr>
            <w:tcW w:w="97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Foreign Exchange</w:t>
            </w:r>
          </w:p>
        </w:tc>
        <w:tc>
          <w:tcPr>
            <w:tcW w:w="5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218"/>
        </w:trPr>
        <w:tc>
          <w:tcPr>
            <w:tcW w:w="20" w:type="dxa"/>
            <w:vAlign w:val="bottom"/>
          </w:tcPr>
          <w:p>
            <w:pPr>
              <w:spacing w:after="0"/>
              <w:rPr>
                <w:sz w:val="18"/>
                <w:szCs w:val="18"/>
                <w:color w:val="auto"/>
              </w:rPr>
            </w:pPr>
          </w:p>
        </w:tc>
        <w:tc>
          <w:tcPr>
            <w:tcW w:w="9700" w:type="dxa"/>
            <w:vAlign w:val="bottom"/>
            <w:gridSpan w:val="2"/>
          </w:tcPr>
          <w:p>
            <w:pPr>
              <w:ind w:left="100"/>
              <w:spacing w:after="0"/>
              <w:rPr>
                <w:sz w:val="20"/>
                <w:szCs w:val="20"/>
                <w:color w:val="auto"/>
              </w:rPr>
            </w:pPr>
            <w:r>
              <w:rPr>
                <w:rFonts w:ascii="Arial" w:cs="Arial" w:eastAsia="Arial" w:hAnsi="Arial"/>
                <w:sz w:val="17"/>
                <w:szCs w:val="17"/>
                <w:color w:val="auto"/>
              </w:rPr>
              <w:t>Organic changes in Net sales by Product Line:</w:t>
            </w: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Services</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225"/>
        </w:trPr>
        <w:tc>
          <w:tcPr>
            <w:tcW w:w="20" w:type="dxa"/>
            <w:vAlign w:val="bottom"/>
          </w:tcPr>
          <w:p>
            <w:pPr>
              <w:spacing w:after="0"/>
              <w:rPr>
                <w:sz w:val="19"/>
                <w:szCs w:val="19"/>
                <w:color w:val="auto"/>
              </w:rPr>
            </w:pPr>
          </w:p>
        </w:tc>
        <w:tc>
          <w:tcPr>
            <w:tcW w:w="9700" w:type="dxa"/>
            <w:vAlign w:val="bottom"/>
            <w:gridSpan w:val="2"/>
          </w:tcPr>
          <w:p>
            <w:pPr>
              <w:ind w:left="200"/>
              <w:spacing w:after="0"/>
              <w:rPr>
                <w:sz w:val="20"/>
                <w:szCs w:val="20"/>
                <w:color w:val="auto"/>
              </w:rPr>
            </w:pPr>
            <w:r>
              <w:rPr>
                <w:rFonts w:ascii="Arial" w:cs="Arial" w:eastAsia="Arial" w:hAnsi="Arial"/>
                <w:sz w:val="17"/>
                <w:szCs w:val="17"/>
                <w:color w:val="auto"/>
              </w:rPr>
              <w:t>Components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26"/>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Equipment</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218"/>
        </w:trPr>
        <w:tc>
          <w:tcPr>
            <w:tcW w:w="2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7"/>
                <w:szCs w:val="17"/>
                <w:color w:val="auto"/>
              </w:rPr>
              <w:t>Digital Intelligence</w:t>
            </w: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r>
      <w:tr>
        <w:trPr>
          <w:trHeight w:val="251"/>
        </w:trPr>
        <w:tc>
          <w:tcPr>
            <w:tcW w:w="9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Second Quarter 2023 Net sales</w:t>
            </w:r>
          </w:p>
        </w:tc>
        <w:tc>
          <w:tcPr>
            <w:tcW w:w="580" w:type="dxa"/>
            <w:vAlign w:val="bottom"/>
            <w:tcBorders>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90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sales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Freight Segment organic sales increased across all product lines by $216 million driven primarily by:</w:t>
      </w:r>
    </w:p>
    <w:p>
      <w:pPr>
        <w:spacing w:after="0" w:line="49" w:lineRule="exact"/>
        <w:rPr>
          <w:sz w:val="20"/>
          <w:szCs w:val="20"/>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Services sales from higher deliveries of locomotive modernizations and higher parts sales</w:t>
      </w:r>
    </w:p>
    <w:p>
      <w:pPr>
        <w:spacing w:after="0" w:line="49" w:lineRule="exact"/>
        <w:rPr>
          <w:rFonts w:ascii="Arial" w:cs="Arial" w:eastAsia="Arial" w:hAnsi="Arial"/>
          <w:sz w:val="17"/>
          <w:szCs w:val="17"/>
          <w:color w:val="auto"/>
        </w:rPr>
      </w:pPr>
    </w:p>
    <w:p>
      <w:pPr>
        <w:ind w:left="620" w:right="140" w:hanging="307"/>
        <w:spacing w:after="0" w:line="269"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Components sales from higher original equipment railcar build and increased market share for certain products due to product availability and growth in industrial end-markets</w:t>
      </w: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Equipment sales from higher locomotive sales</w:t>
      </w:r>
    </w:p>
    <w:p>
      <w:pPr>
        <w:spacing w:after="0" w:line="49"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Digital Intelligence sales due to higher demand for on-board locomotive solutions and international PTC sales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sales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Freight Segment Cost of sales increased $170 million and Cost of sales as a percentage of Net sales increased 1.4 percentage points due to:</w:t>
      </w:r>
    </w:p>
    <w:p>
      <w:pPr>
        <w:spacing w:after="0" w:line="37" w:lineRule="exact"/>
        <w:rPr>
          <w:sz w:val="20"/>
          <w:szCs w:val="20"/>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Higher sales volume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28" w:name="page29"/>
    <w:bookmarkEnd w:id="28"/>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Unfavorable mix within the Freight Segment product lines</w:t>
      </w:r>
    </w:p>
    <w:p>
      <w:pPr>
        <w:spacing w:after="0" w:line="21" w:lineRule="exact"/>
        <w:rPr>
          <w:rFonts w:ascii="Arial" w:cs="Arial" w:eastAsia="Arial" w:hAnsi="Arial"/>
          <w:sz w:val="17"/>
          <w:szCs w:val="17"/>
          <w:color w:val="auto"/>
        </w:rPr>
      </w:pPr>
    </w:p>
    <w:p>
      <w:pPr>
        <w:ind w:left="620" w:hanging="307"/>
        <w:spacing w:after="0" w:line="230" w:lineRule="auto"/>
        <w:tabs>
          <w:tab w:leader="none" w:pos="620" w:val="left"/>
        </w:tabs>
        <w:numPr>
          <w:ilvl w:val="0"/>
          <w:numId w:val="5"/>
        </w:numPr>
        <w:rPr>
          <w:rFonts w:ascii="Arial" w:cs="Arial" w:eastAsia="Arial" w:hAnsi="Arial"/>
          <w:sz w:val="21"/>
          <w:szCs w:val="21"/>
          <w:color w:val="auto"/>
        </w:rPr>
      </w:pPr>
      <w:r>
        <w:rPr>
          <w:rFonts w:ascii="Arial" w:cs="Arial" w:eastAsia="Arial" w:hAnsi="Arial"/>
          <w:sz w:val="17"/>
          <w:szCs w:val="17"/>
          <w:color w:val="auto"/>
        </w:rPr>
        <w:t>Manufacturing inefficiencies primarily related to labor negotiations at our Erie facility</w:t>
      </w:r>
    </w:p>
    <w:p>
      <w:pPr>
        <w:spacing w:after="0" w:line="12" w:lineRule="exact"/>
        <w:rPr>
          <w:rFonts w:ascii="Arial" w:cs="Arial" w:eastAsia="Arial" w:hAnsi="Arial"/>
          <w:sz w:val="21"/>
          <w:szCs w:val="21"/>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Higher restructuring costs</w:t>
      </w:r>
    </w:p>
    <w:p>
      <w:pPr>
        <w:spacing w:after="0" w:line="91"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Cost of sales for the three months ended June 30, 2023 and 2022 included $5 million and $1 million, respectively, of restructuring costs, with the amounts in 2023 primarily related to the write off of non-cash assets in Russia that were determined to not be recoverable in the second quarter.</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Freight Segment operating expenses increased by $10 million primarily driven by:</w:t>
      </w:r>
    </w:p>
    <w:p>
      <w:pPr>
        <w:spacing w:after="0" w:line="62" w:lineRule="exact"/>
        <w:rPr>
          <w:sz w:val="20"/>
          <w:szCs w:val="20"/>
          <w:color w:val="auto"/>
        </w:rPr>
      </w:pPr>
    </w:p>
    <w:p>
      <w:pPr>
        <w:ind w:left="620" w:hanging="307"/>
        <w:spacing w:after="0"/>
        <w:tabs>
          <w:tab w:leader="none" w:pos="62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Higher SG&amp;A expenses of $6 million resulting from higher costs to support increased sales volume and higher professional services spend</w:t>
      </w:r>
    </w:p>
    <w:p>
      <w:pPr>
        <w:spacing w:after="0" w:line="76" w:lineRule="exact"/>
        <w:rPr>
          <w:rFonts w:ascii="Arial" w:cs="Arial" w:eastAsia="Arial" w:hAnsi="Arial"/>
          <w:sz w:val="17"/>
          <w:szCs w:val="17"/>
          <w:b w:val="1"/>
          <w:bCs w:val="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Arial" w:cs="Arial" w:eastAsia="Arial" w:hAnsi="Arial"/>
          <w:sz w:val="17"/>
          <w:szCs w:val="17"/>
          <w:color w:val="auto"/>
        </w:rPr>
        <w:t>Higher employee compensation and benefit costs</w:t>
      </w:r>
    </w:p>
    <w:p>
      <w:pPr>
        <w:spacing w:after="0" w:line="40"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Higher investments in new technology increasing Engineering expense by $2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926" w:right="41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Transit Segment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our Condensed Consolidated Statements of Operations for our Transit Segment for the periods indicated:</w:t>
      </w:r>
    </w:p>
    <w:p>
      <w:pPr>
        <w:spacing w:after="0" w:line="48" w:lineRule="exact"/>
        <w:rPr>
          <w:sz w:val="20"/>
          <w:szCs w:val="20"/>
          <w:color w:val="auto"/>
        </w:rPr>
      </w:pPr>
    </w:p>
    <w:p>
      <w:pPr>
        <w:jc w:val="center"/>
        <w:ind w:left="1380"/>
        <w:spacing w:after="0"/>
        <w:rPr>
          <w:sz w:val="20"/>
          <w:szCs w:val="20"/>
          <w:color w:val="auto"/>
        </w:rPr>
      </w:pPr>
      <w:r>
        <w:rPr>
          <w:rFonts w:ascii="Arial" w:cs="Arial" w:eastAsia="Arial" w:hAnsi="Arial"/>
          <w:sz w:val="15"/>
          <w:szCs w:val="15"/>
          <w:b w:val="1"/>
          <w:bCs w:val="1"/>
          <w:color w:val="auto"/>
        </w:rPr>
        <w:t>Three Months Ended</w:t>
      </w:r>
    </w:p>
    <w:p>
      <w:pPr>
        <w:jc w:val="center"/>
        <w:ind w:left="1380"/>
        <w:spacing w:after="0"/>
        <w:rPr>
          <w:sz w:val="20"/>
          <w:szCs w:val="20"/>
          <w:color w:val="auto"/>
        </w:rPr>
      </w:pPr>
      <w:r>
        <w:rPr>
          <w:rFonts w:ascii="Arial" w:cs="Arial" w:eastAsia="Arial" w:hAnsi="Arial"/>
          <w:sz w:val="15"/>
          <w:szCs w:val="15"/>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6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555"/>
              <w:spacing w:after="0" w:line="167" w:lineRule="exact"/>
              <w:rPr>
                <w:sz w:val="20"/>
                <w:szCs w:val="20"/>
                <w:color w:val="auto"/>
              </w:rPr>
            </w:pPr>
            <w:r>
              <w:rPr>
                <w:rFonts w:ascii="Arial" w:cs="Arial" w:eastAsia="Arial" w:hAnsi="Arial"/>
                <w:sz w:val="15"/>
                <w:szCs w:val="15"/>
                <w:b w:val="1"/>
                <w:bCs w:val="1"/>
                <w:color w:val="auto"/>
              </w:rPr>
              <w:t>2023</w:t>
            </w:r>
          </w:p>
        </w:tc>
        <w:tc>
          <w:tcPr>
            <w:tcW w:w="1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575"/>
              <w:spacing w:after="0" w:line="167" w:lineRule="exact"/>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ind w:right="675"/>
              <w:spacing w:after="0" w:line="167" w:lineRule="exact"/>
              <w:rPr>
                <w:sz w:val="20"/>
                <w:szCs w:val="20"/>
                <w:color w:val="auto"/>
              </w:rPr>
            </w:pPr>
            <w:r>
              <w:rPr>
                <w:rFonts w:ascii="Arial" w:cs="Arial" w:eastAsia="Arial" w:hAnsi="Arial"/>
                <w:sz w:val="15"/>
                <w:szCs w:val="15"/>
                <w:b w:val="1"/>
                <w:bCs w:val="1"/>
                <w:color w:val="auto"/>
              </w:rPr>
              <w:t>Change</w:t>
            </w:r>
          </w:p>
        </w:tc>
        <w:tc>
          <w:tcPr>
            <w:tcW w:w="1420" w:type="dxa"/>
            <w:vAlign w:val="bottom"/>
            <w:tcBorders>
              <w:top w:val="single" w:sz="8" w:color="auto"/>
            </w:tcBorders>
          </w:tcPr>
          <w:p>
            <w:pPr>
              <w:jc w:val="right"/>
              <w:ind w:right="356"/>
              <w:spacing w:after="0" w:line="167" w:lineRule="exact"/>
              <w:rPr>
                <w:sz w:val="20"/>
                <w:szCs w:val="20"/>
                <w:color w:val="auto"/>
              </w:rPr>
            </w:pPr>
            <w:r>
              <w:rPr>
                <w:rFonts w:ascii="Arial" w:cs="Arial" w:eastAsia="Arial" w:hAnsi="Arial"/>
                <w:sz w:val="15"/>
                <w:szCs w:val="15"/>
                <w:b w:val="1"/>
                <w:bCs w:val="1"/>
                <w:color w:val="auto"/>
              </w:rPr>
              <w: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1"/>
        </w:trPr>
        <w:tc>
          <w:tcPr>
            <w:tcW w:w="46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699</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558</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141</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25.3 %</w:t>
            </w:r>
          </w:p>
        </w:tc>
      </w:tr>
      <w:tr>
        <w:trPr>
          <w:trHeight w:val="231"/>
        </w:trPr>
        <w:tc>
          <w:tcPr>
            <w:tcW w:w="466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Cost of sales</w:t>
            </w: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(517)</w:t>
            </w:r>
          </w:p>
        </w:tc>
        <w:tc>
          <w:tcPr>
            <w:tcW w:w="4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(406)</w:t>
            </w:r>
          </w:p>
        </w:tc>
        <w:tc>
          <w:tcPr>
            <w:tcW w:w="3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111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27.3 %</w:t>
            </w:r>
          </w:p>
        </w:tc>
      </w:tr>
      <w:tr>
        <w:trPr>
          <w:trHeight w:val="213"/>
        </w:trPr>
        <w:tc>
          <w:tcPr>
            <w:tcW w:w="4660" w:type="dxa"/>
            <w:vAlign w:val="bottom"/>
            <w:gridSpan w:val="3"/>
            <w:shd w:val="clear" w:color="auto" w:fill="CCEEFF"/>
          </w:tcPr>
          <w:p>
            <w:pPr>
              <w:ind w:left="20"/>
              <w:spacing w:after="0"/>
              <w:rPr>
                <w:sz w:val="20"/>
                <w:szCs w:val="20"/>
                <w:color w:val="auto"/>
              </w:rPr>
            </w:pPr>
            <w:r>
              <w:rPr>
                <w:rFonts w:ascii="Arial" w:cs="Arial" w:eastAsia="Arial" w:hAnsi="Arial"/>
                <w:sz w:val="17"/>
                <w:szCs w:val="17"/>
                <w:i w:val="1"/>
                <w:iCs w:val="1"/>
                <w:color w:val="auto"/>
              </w:rPr>
              <w:t>Cost of sales (% of net sales)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74.0 %</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72.7 %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95"/>
              <w:spacing w:after="0"/>
              <w:rPr>
                <w:sz w:val="20"/>
                <w:szCs w:val="20"/>
                <w:color w:val="auto"/>
              </w:rPr>
            </w:pPr>
            <w:r>
              <w:rPr>
                <w:rFonts w:ascii="Arial" w:cs="Arial" w:eastAsia="Arial" w:hAnsi="Arial"/>
                <w:sz w:val="17"/>
                <w:szCs w:val="17"/>
                <w:i w:val="1"/>
                <w:iCs w:val="1"/>
                <w:color w:val="auto"/>
              </w:rPr>
              <w:t>1.3</w:t>
            </w:r>
          </w:p>
        </w:tc>
        <w:tc>
          <w:tcPr>
            <w:tcW w:w="1420" w:type="dxa"/>
            <w:vAlign w:val="bottom"/>
            <w:shd w:val="clear" w:color="auto" w:fill="CCEEFF"/>
          </w:tcPr>
          <w:p>
            <w:pPr>
              <w:spacing w:after="0"/>
              <w:rPr>
                <w:sz w:val="18"/>
                <w:szCs w:val="18"/>
                <w:color w:val="auto"/>
              </w:rPr>
            </w:pP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420" w:type="dxa"/>
            <w:vAlign w:val="bottom"/>
          </w:tcPr>
          <w:p>
            <w:pPr>
              <w:spacing w:after="0"/>
              <w:rPr>
                <w:sz w:val="8"/>
                <w:szCs w:val="8"/>
                <w:color w:val="auto"/>
              </w:rPr>
            </w:pPr>
          </w:p>
        </w:tc>
      </w:tr>
      <w:tr>
        <w:trPr>
          <w:trHeight w:val="219"/>
        </w:trPr>
        <w:tc>
          <w:tcPr>
            <w:tcW w:w="46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182</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152</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30</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19.7 %</w:t>
            </w: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420" w:type="dxa"/>
            <w:vAlign w:val="bottom"/>
          </w:tcPr>
          <w:p>
            <w:pPr>
              <w:spacing w:after="0"/>
              <w:rPr>
                <w:sz w:val="8"/>
                <w:szCs w:val="8"/>
                <w:color w:val="auto"/>
              </w:rPr>
            </w:pPr>
          </w:p>
        </w:tc>
      </w:tr>
      <w:tr>
        <w:trPr>
          <w:trHeight w:val="231"/>
        </w:trPr>
        <w:tc>
          <w:tcPr>
            <w:tcW w:w="46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(116)</w:t>
            </w:r>
          </w:p>
        </w:tc>
        <w:tc>
          <w:tcPr>
            <w:tcW w:w="4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(102)</w:t>
            </w:r>
          </w:p>
        </w:tc>
        <w:tc>
          <w:tcPr>
            <w:tcW w:w="3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14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13.7 %</w:t>
            </w:r>
          </w:p>
        </w:tc>
      </w:tr>
      <w:tr>
        <w:trPr>
          <w:trHeight w:val="84"/>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420" w:type="dxa"/>
            <w:vAlign w:val="bottom"/>
          </w:tcPr>
          <w:p>
            <w:pPr>
              <w:spacing w:after="0"/>
              <w:rPr>
                <w:sz w:val="7"/>
                <w:szCs w:val="7"/>
                <w:color w:val="auto"/>
              </w:rPr>
            </w:pPr>
          </w:p>
        </w:tc>
      </w:tr>
      <w:tr>
        <w:trPr>
          <w:trHeight w:val="244"/>
        </w:trPr>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66</w:t>
            </w:r>
          </w:p>
        </w:tc>
        <w:tc>
          <w:tcPr>
            <w:tcW w:w="4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50</w:t>
            </w:r>
          </w:p>
        </w:tc>
        <w:tc>
          <w:tcPr>
            <w:tcW w:w="3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16</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660" w:type="dxa"/>
            <w:vAlign w:val="bottom"/>
            <w:gridSpan w:val="3"/>
          </w:tcPr>
          <w:p>
            <w:pPr>
              <w:ind w:left="20"/>
              <w:spacing w:after="0"/>
              <w:rPr>
                <w:sz w:val="20"/>
                <w:szCs w:val="20"/>
                <w:color w:val="auto"/>
              </w:rPr>
            </w:pPr>
            <w:r>
              <w:rPr>
                <w:rFonts w:ascii="Arial" w:cs="Arial" w:eastAsia="Arial" w:hAnsi="Arial"/>
                <w:sz w:val="17"/>
                <w:szCs w:val="17"/>
                <w:color w:val="auto"/>
              </w:rPr>
              <w:t>Income from operations (% of net sales)</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9.5 %</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9.0 %</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0.5</w:t>
            </w:r>
          </w:p>
        </w:tc>
        <w:tc>
          <w:tcPr>
            <w:tcW w:w="1420" w:type="dxa"/>
            <w:vAlign w:val="bottom"/>
            <w:tcBorders>
              <w:bottom w:val="single" w:sz="8" w:color="auto"/>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right="160" w:firstLine="464"/>
        <w:spacing w:after="0" w:line="273" w:lineRule="auto"/>
        <w:rPr>
          <w:sz w:val="20"/>
          <w:szCs w:val="20"/>
          <w:color w:val="auto"/>
        </w:rPr>
      </w:pPr>
      <w:r>
        <w:rPr>
          <w:rFonts w:ascii="Arial" w:cs="Arial" w:eastAsia="Arial" w:hAnsi="Arial"/>
          <w:sz w:val="17"/>
          <w:szCs w:val="17"/>
          <w:color w:val="auto"/>
        </w:rPr>
        <w:t>The following table shows the major components of the change in Net sales for the Transit Segment in the second quarter of 2023 from the second quarter of 2022:</w:t>
      </w:r>
    </w:p>
    <w:tbl>
      <w:tblPr>
        <w:tblLayout w:type="fixed"/>
        <w:tblInd w:w="0" w:type="dxa"/>
        <w:tblCellMar>
          <w:top w:w="0" w:type="dxa"/>
          <w:left w:w="0" w:type="dxa"/>
          <w:bottom w:w="0" w:type="dxa"/>
          <w:right w:w="0" w:type="dxa"/>
        </w:tblCellMar>
      </w:tblPr>
      <w:tr>
        <w:trPr>
          <w:trHeight w:val="148"/>
        </w:trPr>
        <w:tc>
          <w:tcPr>
            <w:tcW w:w="9720" w:type="dxa"/>
            <w:vAlign w:val="bottom"/>
            <w:gridSpan w:val="3"/>
          </w:tcPr>
          <w:p>
            <w:pPr>
              <w:ind w:left="20"/>
              <w:spacing w:after="0" w:line="148" w:lineRule="exact"/>
              <w:rPr>
                <w:sz w:val="20"/>
                <w:szCs w:val="20"/>
                <w:color w:val="auto"/>
              </w:rPr>
            </w:pPr>
            <w:r>
              <w:rPr>
                <w:rFonts w:ascii="Arial" w:cs="Arial" w:eastAsia="Arial" w:hAnsi="Arial"/>
                <w:sz w:val="14"/>
                <w:szCs w:val="14"/>
                <w:b w:val="1"/>
                <w:bCs w:val="1"/>
                <w:i w:val="1"/>
                <w:iCs w:val="1"/>
                <w:color w:val="auto"/>
              </w:rPr>
              <w:t>In millions</w:t>
            </w: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9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9"/>
        </w:trPr>
        <w:tc>
          <w:tcPr>
            <w:tcW w:w="97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Second Quarter 2022 Net sales</w:t>
            </w:r>
          </w:p>
        </w:tc>
        <w:tc>
          <w:tcPr>
            <w:tcW w:w="640" w:type="dxa"/>
            <w:vAlign w:val="bottom"/>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w:t>
            </w:r>
          </w:p>
        </w:tc>
      </w:tr>
      <w:tr>
        <w:trPr>
          <w:trHeight w:val="225"/>
        </w:trPr>
        <w:tc>
          <w:tcPr>
            <w:tcW w:w="20" w:type="dxa"/>
            <w:vAlign w:val="bottom"/>
          </w:tcPr>
          <w:p>
            <w:pPr>
              <w:spacing w:after="0"/>
              <w:rPr>
                <w:sz w:val="19"/>
                <w:szCs w:val="19"/>
                <w:color w:val="auto"/>
              </w:rPr>
            </w:pPr>
          </w:p>
        </w:tc>
        <w:tc>
          <w:tcPr>
            <w:tcW w:w="9700" w:type="dxa"/>
            <w:vAlign w:val="bottom"/>
            <w:gridSpan w:val="2"/>
          </w:tcPr>
          <w:p>
            <w:pPr>
              <w:ind w:left="100"/>
              <w:spacing w:after="0"/>
              <w:rPr>
                <w:sz w:val="20"/>
                <w:szCs w:val="20"/>
                <w:color w:val="auto"/>
              </w:rPr>
            </w:pPr>
            <w:r>
              <w:rPr>
                <w:rFonts w:ascii="Arial" w:cs="Arial" w:eastAsia="Arial" w:hAnsi="Arial"/>
                <w:sz w:val="17"/>
                <w:szCs w:val="17"/>
                <w:color w:val="auto"/>
              </w:rPr>
              <w:t>Foreign Exchange</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26"/>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Organic changes in Net sales by Product Line:</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7"/>
                <w:szCs w:val="17"/>
                <w:color w:val="auto"/>
              </w:rPr>
              <w:t>Original Equipment Manufacturing</w:t>
            </w:r>
          </w:p>
        </w:tc>
        <w:tc>
          <w:tcPr>
            <w:tcW w:w="6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82</w:t>
            </w:r>
          </w:p>
        </w:tc>
      </w:tr>
      <w:tr>
        <w:trPr>
          <w:trHeight w:val="232"/>
        </w:trPr>
        <w:tc>
          <w:tcPr>
            <w:tcW w:w="20" w:type="dxa"/>
            <w:vAlign w:val="bottom"/>
            <w:shd w:val="clear" w:color="auto" w:fill="CCEEFF"/>
          </w:tcPr>
          <w:p>
            <w:pPr>
              <w:spacing w:after="0"/>
              <w:rPr>
                <w:sz w:val="20"/>
                <w:szCs w:val="20"/>
                <w:color w:val="auto"/>
              </w:rPr>
            </w:pPr>
          </w:p>
        </w:tc>
        <w:tc>
          <w:tcPr>
            <w:tcW w:w="97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Aftermarket</w:t>
            </w:r>
          </w:p>
        </w:tc>
        <w:tc>
          <w:tcPr>
            <w:tcW w:w="6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w:t>
            </w:r>
          </w:p>
        </w:tc>
      </w:tr>
      <w:tr>
        <w:trPr>
          <w:trHeight w:val="213"/>
        </w:trPr>
        <w:tc>
          <w:tcPr>
            <w:tcW w:w="9720" w:type="dxa"/>
            <w:vAlign w:val="bottom"/>
            <w:gridSpan w:val="3"/>
          </w:tcPr>
          <w:p>
            <w:pPr>
              <w:ind w:left="20"/>
              <w:spacing w:after="0"/>
              <w:rPr>
                <w:sz w:val="20"/>
                <w:szCs w:val="20"/>
                <w:color w:val="auto"/>
              </w:rPr>
            </w:pPr>
            <w:r>
              <w:rPr>
                <w:rFonts w:ascii="Arial" w:cs="Arial" w:eastAsia="Arial" w:hAnsi="Arial"/>
                <w:sz w:val="17"/>
                <w:szCs w:val="17"/>
                <w:color w:val="auto"/>
              </w:rPr>
              <w:t>Second Quarter 2023 Net sales</w:t>
            </w:r>
          </w:p>
        </w:tc>
        <w:tc>
          <w:tcPr>
            <w:tcW w:w="640" w:type="dxa"/>
            <w:vAlign w:val="bottom"/>
            <w:tcBorders>
              <w:bottom w:val="single" w:sz="8" w:color="auto"/>
            </w:tcBorders>
          </w:tcPr>
          <w:p>
            <w:pPr>
              <w:jc w:val="right"/>
              <w:ind w:right="4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699</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sales</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Transit Segment organic sales increased by $139 million driven by strong Original Equipment Manufacturing and Aftermarket sales primarily as a result of increased demand for original equipment door, heating, ventilation and air conditioning (HVAC) and brake systems and increased infrastructure investment. Additionally, sales for the second quarter of 2022 were negatively impacted by a manufacturing disruption caused by a cyber incident which decreased net sales by approximately 5%.</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sales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Transit Segment Cost of sales increased by $111 million and Costs of sales as a percentage of sales increased by 1.3 percentage points primarily due to:</w:t>
      </w:r>
    </w:p>
    <w:p>
      <w:pPr>
        <w:spacing w:after="0" w:line="48" w:lineRule="exact"/>
        <w:rPr>
          <w:sz w:val="20"/>
          <w:szCs w:val="20"/>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Higher sales volume</w:t>
      </w:r>
    </w:p>
    <w:p>
      <w:pPr>
        <w:spacing w:after="0" w:line="49"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Unfavorable mix within product lines</w:t>
      </w:r>
    </w:p>
    <w:p>
      <w:pPr>
        <w:spacing w:after="0" w:line="49"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Increased manufacturing costs</w:t>
      </w:r>
    </w:p>
    <w:p>
      <w:pPr>
        <w:spacing w:after="0" w:line="36"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Higher restructuring costs</w:t>
      </w:r>
    </w:p>
    <w:p>
      <w:pPr>
        <w:spacing w:after="0" w:line="294" w:lineRule="exact"/>
        <w:rPr>
          <w:sz w:val="20"/>
          <w:szCs w:val="20"/>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Benefits from structured cost actions taken through Integration 2.0 and prior years' restructuring and integration projects</w:t>
      </w:r>
    </w:p>
    <w:p>
      <w:pPr>
        <w:spacing w:after="0" w:line="165"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Transit Cost of sales for the three months ended June 30, 2023 and 2022 includes $3 million and $1 million, respectively, of restructuring costs, primarily for footprint rationalization and headcount actions in Europe, with the amounts in 2023 related to Integration 2.0.</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Transit Segment operating expenses increased by $14 million primarily driven by:</w:t>
      </w:r>
    </w:p>
    <w:p>
      <w:pPr>
        <w:spacing w:after="0" w:line="62" w:lineRule="exact"/>
        <w:rPr>
          <w:sz w:val="20"/>
          <w:szCs w:val="20"/>
          <w:color w:val="auto"/>
        </w:rPr>
      </w:pPr>
    </w:p>
    <w:p>
      <w:pPr>
        <w:ind w:left="620" w:hanging="30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Higher SG&amp;A expenses of $11 million to support higher sales volume and higher employee compensation and benefit costs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Higher Engineering expenses of $3 million for investments in new technology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i w:val="1"/>
          <w:iCs w:val="1"/>
          <w:color w:val="auto"/>
        </w:rPr>
        <w:t>Partially offset by:</w:t>
      </w:r>
    </w:p>
    <w:p>
      <w:pPr>
        <w:spacing w:after="0" w:line="62" w:lineRule="exact"/>
        <w:rPr>
          <w:sz w:val="20"/>
          <w:szCs w:val="20"/>
          <w:color w:val="auto"/>
        </w:rPr>
      </w:pPr>
    </w:p>
    <w:p>
      <w:pPr>
        <w:ind w:left="620" w:hanging="307"/>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Benefits from structured cost actions taken through restructuring actions</w:t>
      </w:r>
    </w:p>
    <w:p>
      <w:pPr>
        <w:spacing w:after="0" w:line="101"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Transit Operating expenses for the three months ended June 30, 2023 and 2022 includes $3 million and $2 million, respectively, of restructuring costs, primarily for footprint rationalization and headcount actions in Europe, with the amounts in 2023 related to Integration 2.0.</w:t>
      </w:r>
    </w:p>
    <w:p>
      <w:pPr>
        <w:spacing w:after="0" w:line="200" w:lineRule="exact"/>
        <w:rPr>
          <w:sz w:val="20"/>
          <w:szCs w:val="20"/>
          <w:color w:val="auto"/>
        </w:rPr>
      </w:pPr>
    </w:p>
    <w:p>
      <w:pPr>
        <w:spacing w:after="0" w:line="337"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20"/>
          </w:cols>
          <w:pgMar w:left="320" w:top="952" w:right="55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FIRST SIX MONTHS OF 2023 COMPARED TO FIRST SIX MONTHS OF 2022</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our Condensed Consolidated Statements of Operations for the periods indicated.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3"/>
          </w:tcPr>
          <w:p>
            <w:pPr>
              <w:jc w:val="right"/>
              <w:spacing w:after="0"/>
              <w:rPr>
                <w:sz w:val="20"/>
                <w:szCs w:val="20"/>
                <w:color w:val="auto"/>
              </w:rPr>
            </w:pPr>
            <w:r>
              <w:rPr>
                <w:rFonts w:ascii="Arial" w:cs="Arial" w:eastAsia="Arial" w:hAnsi="Arial"/>
                <w:sz w:val="15"/>
                <w:szCs w:val="15"/>
                <w:b w:val="1"/>
                <w:bCs w:val="1"/>
                <w:color w:val="auto"/>
              </w:rPr>
              <w:t>Six Months Ended</w:t>
            </w:r>
          </w:p>
        </w:tc>
        <w:tc>
          <w:tcPr>
            <w:tcW w:w="940" w:type="dxa"/>
            <w:vAlign w:val="bottom"/>
          </w:tcPr>
          <w:p>
            <w:pPr>
              <w:spacing w:after="0"/>
              <w:rPr>
                <w:sz w:val="14"/>
                <w:szCs w:val="14"/>
                <w:color w:val="auto"/>
              </w:rPr>
            </w:pPr>
          </w:p>
        </w:tc>
      </w:tr>
      <w:tr>
        <w:trPr>
          <w:trHeight w:val="204"/>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5"/>
                <w:szCs w:val="15"/>
                <w:b w:val="1"/>
                <w:bCs w:val="1"/>
                <w:color w:val="auto"/>
              </w:rPr>
              <w:t>June 30,</w:t>
            </w:r>
          </w:p>
        </w:tc>
        <w:tc>
          <w:tcPr>
            <w:tcW w:w="940" w:type="dxa"/>
            <w:vAlign w:val="bottom"/>
            <w:tcBorders>
              <w:bottom w:val="single" w:sz="8" w:color="auto"/>
            </w:tcBorders>
          </w:tcPr>
          <w:p>
            <w:pPr>
              <w:spacing w:after="0"/>
              <w:rPr>
                <w:sz w:val="17"/>
                <w:szCs w:val="17"/>
                <w:color w:val="auto"/>
              </w:rPr>
            </w:pPr>
          </w:p>
        </w:tc>
      </w:tr>
      <w:tr>
        <w:trPr>
          <w:trHeight w:val="150"/>
        </w:trPr>
        <w:tc>
          <w:tcPr>
            <w:tcW w:w="6440" w:type="dxa"/>
            <w:vAlign w:val="bottom"/>
            <w:gridSpan w:val="4"/>
          </w:tcPr>
          <w:p>
            <w:pPr>
              <w:ind w:left="20"/>
              <w:spacing w:after="0"/>
              <w:rPr>
                <w:sz w:val="20"/>
                <w:szCs w:val="20"/>
                <w:color w:val="auto"/>
              </w:rPr>
            </w:pPr>
            <w:r>
              <w:rPr>
                <w:rFonts w:ascii="Arial" w:cs="Arial" w:eastAsia="Arial" w:hAnsi="Arial"/>
                <w:sz w:val="13"/>
                <w:szCs w:val="13"/>
                <w:b w:val="1"/>
                <w:bCs w:val="1"/>
                <w:i w:val="1"/>
                <w:iCs w:val="1"/>
                <w:color w:val="auto"/>
              </w:rPr>
              <w:t>In millions</w:t>
            </w: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jc w:val="right"/>
              <w:ind w:right="556"/>
              <w:spacing w:after="0" w:line="150" w:lineRule="exact"/>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jc w:val="right"/>
              <w:ind w:right="535"/>
              <w:spacing w:after="0" w:line="150" w:lineRule="exact"/>
              <w:rPr>
                <w:sz w:val="20"/>
                <w:szCs w:val="20"/>
                <w:color w:val="auto"/>
              </w:rPr>
            </w:pPr>
            <w:r>
              <w:rPr>
                <w:rFonts w:ascii="Arial" w:cs="Arial" w:eastAsia="Arial" w:hAnsi="Arial"/>
                <w:sz w:val="14"/>
                <w:szCs w:val="14"/>
                <w:b w:val="1"/>
                <w:bCs w:val="1"/>
                <w:color w:val="auto"/>
                <w:w w:val="96"/>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8"/>
        </w:trPr>
        <w:tc>
          <w:tcPr>
            <w:tcW w:w="644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6420" w:type="dxa"/>
            <w:vAlign w:val="bottom"/>
            <w:gridSpan w:val="3"/>
          </w:tcPr>
          <w:p>
            <w:pPr>
              <w:ind w:left="200"/>
              <w:spacing w:after="0"/>
              <w:rPr>
                <w:sz w:val="20"/>
                <w:szCs w:val="20"/>
                <w:color w:val="auto"/>
              </w:rPr>
            </w:pPr>
            <w:r>
              <w:rPr>
                <w:rFonts w:ascii="Arial" w:cs="Arial" w:eastAsia="Arial" w:hAnsi="Arial"/>
                <w:sz w:val="17"/>
                <w:szCs w:val="17"/>
                <w:color w:val="auto"/>
              </w:rPr>
              <w:t>Sales of goods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3,583</w:t>
            </w:r>
          </w:p>
        </w:tc>
        <w:tc>
          <w:tcPr>
            <w:tcW w:w="700" w:type="dxa"/>
            <w:vAlign w:val="bottom"/>
            <w:gridSpan w:val="2"/>
          </w:tcPr>
          <w:p>
            <w:pPr>
              <w:jc w:val="right"/>
              <w:ind w:right="394"/>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3,089</w:t>
            </w:r>
          </w:p>
        </w:tc>
      </w:tr>
      <w:tr>
        <w:trPr>
          <w:trHeight w:val="226"/>
        </w:trPr>
        <w:tc>
          <w:tcPr>
            <w:tcW w:w="20" w:type="dxa"/>
            <w:vAlign w:val="bottom"/>
            <w:tcBorders>
              <w:bottom w:val="single" w:sz="8" w:color="CCEEFF"/>
            </w:tcBorders>
            <w:shd w:val="clear" w:color="auto" w:fill="CCEEFF"/>
          </w:tcPr>
          <w:p>
            <w:pPr>
              <w:spacing w:after="0"/>
              <w:rPr>
                <w:sz w:val="19"/>
                <w:szCs w:val="19"/>
                <w:color w:val="auto"/>
              </w:rPr>
            </w:pPr>
          </w:p>
        </w:tc>
        <w:tc>
          <w:tcPr>
            <w:tcW w:w="64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7"/>
                <w:szCs w:val="17"/>
                <w:color w:val="auto"/>
              </w:rPr>
              <w:t>Sales of services</w:t>
            </w:r>
          </w:p>
        </w:tc>
        <w:tc>
          <w:tcPr>
            <w:tcW w:w="1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1,018</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886</w:t>
            </w:r>
          </w:p>
        </w:tc>
      </w:tr>
      <w:tr>
        <w:trPr>
          <w:trHeight w:val="212"/>
        </w:trPr>
        <w:tc>
          <w:tcPr>
            <w:tcW w:w="20" w:type="dxa"/>
            <w:vAlign w:val="bottom"/>
          </w:tcPr>
          <w:p>
            <w:pPr>
              <w:spacing w:after="0"/>
              <w:rPr>
                <w:sz w:val="18"/>
                <w:szCs w:val="18"/>
                <w:color w:val="auto"/>
              </w:rPr>
            </w:pPr>
          </w:p>
        </w:tc>
        <w:tc>
          <w:tcPr>
            <w:tcW w:w="6420" w:type="dxa"/>
            <w:vAlign w:val="bottom"/>
            <w:gridSpan w:val="3"/>
          </w:tcPr>
          <w:p>
            <w:pPr>
              <w:ind w:left="320"/>
              <w:spacing w:after="0"/>
              <w:rPr>
                <w:sz w:val="20"/>
                <w:szCs w:val="20"/>
                <w:color w:val="auto"/>
              </w:rPr>
            </w:pPr>
            <w:r>
              <w:rPr>
                <w:rFonts w:ascii="Arial" w:cs="Arial" w:eastAsia="Arial" w:hAnsi="Arial"/>
                <w:sz w:val="17"/>
                <w:szCs w:val="17"/>
                <w:color w:val="auto"/>
              </w:rPr>
              <w:t>Total net sales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4,601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3,975</w:t>
            </w:r>
          </w:p>
        </w:tc>
      </w:tr>
      <w:tr>
        <w:trPr>
          <w:trHeight w:val="233"/>
        </w:trPr>
        <w:tc>
          <w:tcPr>
            <w:tcW w:w="644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Cost of sales:</w:t>
            </w: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18"/>
        </w:trPr>
        <w:tc>
          <w:tcPr>
            <w:tcW w:w="20" w:type="dxa"/>
            <w:vAlign w:val="bottom"/>
          </w:tcPr>
          <w:p>
            <w:pPr>
              <w:spacing w:after="0"/>
              <w:rPr>
                <w:sz w:val="18"/>
                <w:szCs w:val="18"/>
                <w:color w:val="auto"/>
              </w:rPr>
            </w:pPr>
          </w:p>
        </w:tc>
        <w:tc>
          <w:tcPr>
            <w:tcW w:w="6420" w:type="dxa"/>
            <w:vAlign w:val="bottom"/>
            <w:gridSpan w:val="3"/>
          </w:tcPr>
          <w:p>
            <w:pPr>
              <w:ind w:left="200"/>
              <w:spacing w:after="0"/>
              <w:rPr>
                <w:sz w:val="20"/>
                <w:szCs w:val="20"/>
                <w:color w:val="auto"/>
              </w:rPr>
            </w:pPr>
            <w:r>
              <w:rPr>
                <w:rFonts w:ascii="Arial" w:cs="Arial" w:eastAsia="Arial" w:hAnsi="Arial"/>
                <w:sz w:val="17"/>
                <w:szCs w:val="17"/>
                <w:color w:val="auto"/>
              </w:rPr>
              <w:t>Cost of goods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(2,657)</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(2,231)</w:t>
            </w:r>
          </w:p>
        </w:tc>
      </w:tr>
      <w:tr>
        <w:trPr>
          <w:trHeight w:val="220"/>
        </w:trPr>
        <w:tc>
          <w:tcPr>
            <w:tcW w:w="20" w:type="dxa"/>
            <w:vAlign w:val="bottom"/>
            <w:tcBorders>
              <w:bottom w:val="single" w:sz="8" w:color="CCEEFF"/>
            </w:tcBorders>
            <w:shd w:val="clear" w:color="auto" w:fill="CCEEFF"/>
          </w:tcPr>
          <w:p>
            <w:pPr>
              <w:spacing w:after="0"/>
              <w:rPr>
                <w:sz w:val="19"/>
                <w:szCs w:val="19"/>
                <w:color w:val="auto"/>
              </w:rPr>
            </w:pPr>
          </w:p>
        </w:tc>
        <w:tc>
          <w:tcPr>
            <w:tcW w:w="64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7"/>
                <w:szCs w:val="17"/>
                <w:color w:val="auto"/>
              </w:rPr>
              <w:t>Cost of services</w:t>
            </w:r>
          </w:p>
        </w:tc>
        <w:tc>
          <w:tcPr>
            <w:tcW w:w="1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(556)</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(504)</w:t>
            </w:r>
          </w:p>
        </w:tc>
      </w:tr>
      <w:tr>
        <w:trPr>
          <w:trHeight w:val="224"/>
        </w:trPr>
        <w:tc>
          <w:tcPr>
            <w:tcW w:w="20" w:type="dxa"/>
            <w:vAlign w:val="bottom"/>
            <w:tcBorders>
              <w:bottom w:val="single" w:sz="8" w:color="CCEEFF"/>
            </w:tcBorders>
          </w:tcPr>
          <w:p>
            <w:pPr>
              <w:spacing w:after="0"/>
              <w:rPr>
                <w:sz w:val="19"/>
                <w:szCs w:val="19"/>
                <w:color w:val="auto"/>
              </w:rPr>
            </w:pPr>
          </w:p>
        </w:tc>
        <w:tc>
          <w:tcPr>
            <w:tcW w:w="6420" w:type="dxa"/>
            <w:vAlign w:val="bottom"/>
            <w:tcBorders>
              <w:bottom w:val="single" w:sz="8" w:color="CCEEFF"/>
            </w:tcBorders>
            <w:gridSpan w:val="3"/>
          </w:tcPr>
          <w:p>
            <w:pPr>
              <w:ind w:left="320"/>
              <w:spacing w:after="0"/>
              <w:rPr>
                <w:sz w:val="20"/>
                <w:szCs w:val="20"/>
                <w:color w:val="auto"/>
              </w:rPr>
            </w:pPr>
            <w:r>
              <w:rPr>
                <w:rFonts w:ascii="Arial" w:cs="Arial" w:eastAsia="Arial" w:hAnsi="Arial"/>
                <w:sz w:val="17"/>
                <w:szCs w:val="17"/>
                <w:color w:val="auto"/>
              </w:rPr>
              <w:t>Total cost of sales</w:t>
            </w:r>
          </w:p>
        </w:tc>
        <w:tc>
          <w:tcPr>
            <w:tcW w:w="1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(3,213)</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(2,735)</w:t>
            </w:r>
          </w:p>
        </w:tc>
      </w:tr>
      <w:tr>
        <w:trPr>
          <w:trHeight w:val="213"/>
        </w:trPr>
        <w:tc>
          <w:tcPr>
            <w:tcW w:w="20" w:type="dxa"/>
            <w:vAlign w:val="bottom"/>
            <w:shd w:val="clear" w:color="auto" w:fill="CCEEFF"/>
          </w:tcPr>
          <w:p>
            <w:pPr>
              <w:spacing w:after="0"/>
              <w:rPr>
                <w:sz w:val="18"/>
                <w:szCs w:val="18"/>
                <w:color w:val="auto"/>
              </w:rPr>
            </w:pPr>
          </w:p>
        </w:tc>
        <w:tc>
          <w:tcPr>
            <w:tcW w:w="64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Gross profit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1,388</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1,240</w:t>
            </w:r>
          </w:p>
        </w:tc>
      </w:tr>
      <w:tr>
        <w:trPr>
          <w:trHeight w:val="218"/>
        </w:trPr>
        <w:tc>
          <w:tcPr>
            <w:tcW w:w="6440" w:type="dxa"/>
            <w:vAlign w:val="bottom"/>
            <w:gridSpan w:val="4"/>
          </w:tcPr>
          <w:p>
            <w:pPr>
              <w:ind w:left="20"/>
              <w:spacing w:after="0"/>
              <w:rPr>
                <w:sz w:val="20"/>
                <w:szCs w:val="20"/>
                <w:color w:val="auto"/>
              </w:rPr>
            </w:pPr>
            <w:r>
              <w:rPr>
                <w:rFonts w:ascii="Arial" w:cs="Arial" w:eastAsia="Arial" w:hAnsi="Arial"/>
                <w:sz w:val="17"/>
                <w:szCs w:val="17"/>
                <w:color w:val="auto"/>
              </w:rPr>
              <w:t>Operating expenses: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3"/>
        </w:trPr>
        <w:tc>
          <w:tcPr>
            <w:tcW w:w="20" w:type="dxa"/>
            <w:vAlign w:val="bottom"/>
            <w:shd w:val="clear" w:color="auto" w:fill="CCEEFF"/>
          </w:tcPr>
          <w:p>
            <w:pPr>
              <w:spacing w:after="0"/>
              <w:rPr>
                <w:sz w:val="20"/>
                <w:szCs w:val="20"/>
                <w:color w:val="auto"/>
              </w:rPr>
            </w:pPr>
          </w:p>
        </w:tc>
        <w:tc>
          <w:tcPr>
            <w:tcW w:w="642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Selling, general and administrative expenses</w:t>
            </w: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w:t>
            </w:r>
          </w:p>
        </w:tc>
      </w:tr>
      <w:tr>
        <w:trPr>
          <w:trHeight w:val="218"/>
        </w:trPr>
        <w:tc>
          <w:tcPr>
            <w:tcW w:w="20" w:type="dxa"/>
            <w:vAlign w:val="bottom"/>
          </w:tcPr>
          <w:p>
            <w:pPr>
              <w:spacing w:after="0"/>
              <w:rPr>
                <w:sz w:val="18"/>
                <w:szCs w:val="18"/>
                <w:color w:val="auto"/>
              </w:rPr>
            </w:pPr>
          </w:p>
        </w:tc>
        <w:tc>
          <w:tcPr>
            <w:tcW w:w="6420" w:type="dxa"/>
            <w:vAlign w:val="bottom"/>
            <w:gridSpan w:val="3"/>
          </w:tcPr>
          <w:p>
            <w:pPr>
              <w:ind w:left="200"/>
              <w:spacing w:after="0"/>
              <w:rPr>
                <w:sz w:val="20"/>
                <w:szCs w:val="20"/>
                <w:color w:val="auto"/>
              </w:rPr>
            </w:pPr>
            <w:r>
              <w:rPr>
                <w:rFonts w:ascii="Arial" w:cs="Arial" w:eastAsia="Arial" w:hAnsi="Arial"/>
                <w:sz w:val="17"/>
                <w:szCs w:val="17"/>
                <w:color w:val="auto"/>
              </w:rPr>
              <w:t>Engineering expenses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(104)</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(95)</w:t>
            </w:r>
          </w:p>
        </w:tc>
      </w:tr>
      <w:tr>
        <w:trPr>
          <w:trHeight w:val="220"/>
        </w:trPr>
        <w:tc>
          <w:tcPr>
            <w:tcW w:w="20" w:type="dxa"/>
            <w:vAlign w:val="bottom"/>
            <w:tcBorders>
              <w:bottom w:val="single" w:sz="8" w:color="CCEEFF"/>
            </w:tcBorders>
            <w:shd w:val="clear" w:color="auto" w:fill="CCEEFF"/>
          </w:tcPr>
          <w:p>
            <w:pPr>
              <w:spacing w:after="0"/>
              <w:rPr>
                <w:sz w:val="19"/>
                <w:szCs w:val="19"/>
                <w:color w:val="auto"/>
              </w:rPr>
            </w:pPr>
          </w:p>
        </w:tc>
        <w:tc>
          <w:tcPr>
            <w:tcW w:w="64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7"/>
                <w:szCs w:val="17"/>
                <w:color w:val="auto"/>
              </w:rPr>
              <w:t>Amortization expense</w:t>
            </w:r>
          </w:p>
        </w:tc>
        <w:tc>
          <w:tcPr>
            <w:tcW w:w="1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w:t>
            </w:r>
          </w:p>
        </w:tc>
      </w:tr>
      <w:tr>
        <w:trPr>
          <w:trHeight w:val="224"/>
        </w:trPr>
        <w:tc>
          <w:tcPr>
            <w:tcW w:w="20" w:type="dxa"/>
            <w:vAlign w:val="bottom"/>
            <w:tcBorders>
              <w:bottom w:val="single" w:sz="8" w:color="CCEEFF"/>
            </w:tcBorders>
          </w:tcPr>
          <w:p>
            <w:pPr>
              <w:spacing w:after="0"/>
              <w:rPr>
                <w:sz w:val="19"/>
                <w:szCs w:val="19"/>
                <w:color w:val="auto"/>
              </w:rPr>
            </w:pPr>
          </w:p>
        </w:tc>
        <w:tc>
          <w:tcPr>
            <w:tcW w:w="6420" w:type="dxa"/>
            <w:vAlign w:val="bottom"/>
            <w:tcBorders>
              <w:bottom w:val="single" w:sz="8" w:color="CCEEFF"/>
            </w:tcBorders>
            <w:gridSpan w:val="3"/>
          </w:tcPr>
          <w:p>
            <w:pPr>
              <w:ind w:left="320"/>
              <w:spacing w:after="0"/>
              <w:rPr>
                <w:sz w:val="20"/>
                <w:szCs w:val="20"/>
                <w:color w:val="auto"/>
              </w:rPr>
            </w:pPr>
            <w:r>
              <w:rPr>
                <w:rFonts w:ascii="Arial" w:cs="Arial" w:eastAsia="Arial" w:hAnsi="Arial"/>
                <w:sz w:val="17"/>
                <w:szCs w:val="17"/>
                <w:color w:val="auto"/>
              </w:rPr>
              <w:t>Total operating expenses</w:t>
            </w:r>
          </w:p>
        </w:tc>
        <w:tc>
          <w:tcPr>
            <w:tcW w:w="1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(737)</w:t>
            </w:r>
          </w:p>
        </w:tc>
      </w:tr>
      <w:tr>
        <w:trPr>
          <w:trHeight w:val="213"/>
        </w:trPr>
        <w:tc>
          <w:tcPr>
            <w:tcW w:w="20" w:type="dxa"/>
            <w:vAlign w:val="bottom"/>
            <w:shd w:val="clear" w:color="auto" w:fill="CCEEFF"/>
          </w:tcPr>
          <w:p>
            <w:pPr>
              <w:spacing w:after="0"/>
              <w:rPr>
                <w:sz w:val="18"/>
                <w:szCs w:val="18"/>
                <w:color w:val="auto"/>
              </w:rPr>
            </w:pPr>
          </w:p>
        </w:tc>
        <w:tc>
          <w:tcPr>
            <w:tcW w:w="64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Income from operations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w:t>
            </w:r>
          </w:p>
        </w:tc>
      </w:tr>
      <w:tr>
        <w:trPr>
          <w:trHeight w:val="218"/>
        </w:trPr>
        <w:tc>
          <w:tcPr>
            <w:tcW w:w="6440" w:type="dxa"/>
            <w:vAlign w:val="bottom"/>
            <w:gridSpan w:val="4"/>
          </w:tcPr>
          <w:p>
            <w:pPr>
              <w:ind w:left="20"/>
              <w:spacing w:after="0"/>
              <w:rPr>
                <w:sz w:val="20"/>
                <w:szCs w:val="20"/>
                <w:color w:val="auto"/>
              </w:rPr>
            </w:pPr>
            <w:r>
              <w:rPr>
                <w:rFonts w:ascii="Arial" w:cs="Arial" w:eastAsia="Arial" w:hAnsi="Arial"/>
                <w:sz w:val="17"/>
                <w:szCs w:val="17"/>
                <w:color w:val="auto"/>
              </w:rPr>
              <w:t>Other income and expenses: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3"/>
        </w:trPr>
        <w:tc>
          <w:tcPr>
            <w:tcW w:w="20" w:type="dxa"/>
            <w:vAlign w:val="bottom"/>
            <w:shd w:val="clear" w:color="auto" w:fill="CCEEFF"/>
          </w:tcPr>
          <w:p>
            <w:pPr>
              <w:spacing w:after="0"/>
              <w:rPr>
                <w:sz w:val="20"/>
                <w:szCs w:val="20"/>
                <w:color w:val="auto"/>
              </w:rPr>
            </w:pPr>
          </w:p>
        </w:tc>
        <w:tc>
          <w:tcPr>
            <w:tcW w:w="642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Interest expense, net</w:t>
            </w: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r>
      <w:tr>
        <w:trPr>
          <w:trHeight w:val="218"/>
        </w:trPr>
        <w:tc>
          <w:tcPr>
            <w:tcW w:w="20" w:type="dxa"/>
            <w:vAlign w:val="bottom"/>
          </w:tcPr>
          <w:p>
            <w:pPr>
              <w:spacing w:after="0"/>
              <w:rPr>
                <w:sz w:val="18"/>
                <w:szCs w:val="18"/>
                <w:color w:val="auto"/>
              </w:rPr>
            </w:pPr>
          </w:p>
        </w:tc>
        <w:tc>
          <w:tcPr>
            <w:tcW w:w="6420" w:type="dxa"/>
            <w:vAlign w:val="bottom"/>
            <w:gridSpan w:val="3"/>
          </w:tcPr>
          <w:p>
            <w:pPr>
              <w:ind w:left="200"/>
              <w:spacing w:after="0"/>
              <w:rPr>
                <w:sz w:val="20"/>
                <w:szCs w:val="20"/>
                <w:color w:val="auto"/>
              </w:rPr>
            </w:pPr>
            <w:r>
              <w:rPr>
                <w:rFonts w:ascii="Arial" w:cs="Arial" w:eastAsia="Arial" w:hAnsi="Arial"/>
                <w:sz w:val="17"/>
                <w:szCs w:val="17"/>
                <w:color w:val="auto"/>
              </w:rPr>
              <w:t>Other income, net</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r>
      <w:tr>
        <w:trPr>
          <w:trHeight w:val="213"/>
        </w:trPr>
        <w:tc>
          <w:tcPr>
            <w:tcW w:w="20" w:type="dxa"/>
            <w:vAlign w:val="bottom"/>
            <w:shd w:val="clear" w:color="auto" w:fill="CCEEFF"/>
          </w:tcPr>
          <w:p>
            <w:pPr>
              <w:spacing w:after="0"/>
              <w:rPr>
                <w:sz w:val="18"/>
                <w:szCs w:val="18"/>
                <w:color w:val="auto"/>
              </w:rPr>
            </w:pPr>
          </w:p>
        </w:tc>
        <w:tc>
          <w:tcPr>
            <w:tcW w:w="64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Income before income taxes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w:t>
            </w:r>
          </w:p>
        </w:tc>
      </w:tr>
      <w:tr>
        <w:trPr>
          <w:trHeight w:val="231"/>
        </w:trPr>
        <w:tc>
          <w:tcPr>
            <w:tcW w:w="20" w:type="dxa"/>
            <w:vAlign w:val="bottom"/>
            <w:tcBorders>
              <w:bottom w:val="single" w:sz="8" w:color="CCEEFF"/>
            </w:tcBorders>
          </w:tcPr>
          <w:p>
            <w:pPr>
              <w:spacing w:after="0"/>
              <w:rPr>
                <w:sz w:val="20"/>
                <w:szCs w:val="20"/>
                <w:color w:val="auto"/>
              </w:rPr>
            </w:pPr>
          </w:p>
        </w:tc>
        <w:tc>
          <w:tcPr>
            <w:tcW w:w="6420" w:type="dxa"/>
            <w:vAlign w:val="bottom"/>
            <w:tcBorders>
              <w:bottom w:val="single" w:sz="8" w:color="CCEEFF"/>
            </w:tcBorders>
            <w:gridSpan w:val="3"/>
          </w:tcPr>
          <w:p>
            <w:pPr>
              <w:ind w:left="200"/>
              <w:spacing w:after="0"/>
              <w:rPr>
                <w:sz w:val="20"/>
                <w:szCs w:val="20"/>
                <w:color w:val="auto"/>
              </w:rPr>
            </w:pPr>
            <w:r>
              <w:rPr>
                <w:rFonts w:ascii="Arial" w:cs="Arial" w:eastAsia="Arial" w:hAnsi="Arial"/>
                <w:sz w:val="17"/>
                <w:szCs w:val="17"/>
                <w:color w:val="auto"/>
              </w:rPr>
              <w:t>Income tax expense</w:t>
            </w:r>
          </w:p>
        </w:tc>
        <w:tc>
          <w:tcPr>
            <w:tcW w:w="18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w:t>
            </w:r>
          </w:p>
        </w:tc>
        <w:tc>
          <w:tcPr>
            <w:tcW w:w="12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w:t>
            </w:r>
          </w:p>
        </w:tc>
      </w:tr>
      <w:tr>
        <w:trPr>
          <w:trHeight w:val="213"/>
        </w:trPr>
        <w:tc>
          <w:tcPr>
            <w:tcW w:w="20" w:type="dxa"/>
            <w:vAlign w:val="bottom"/>
            <w:shd w:val="clear" w:color="auto" w:fill="CCEEFF"/>
          </w:tcPr>
          <w:p>
            <w:pPr>
              <w:spacing w:after="0"/>
              <w:rPr>
                <w:sz w:val="18"/>
                <w:szCs w:val="18"/>
                <w:color w:val="auto"/>
              </w:rPr>
            </w:pPr>
          </w:p>
        </w:tc>
        <w:tc>
          <w:tcPr>
            <w:tcW w:w="64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Net income</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w:t>
            </w:r>
          </w:p>
        </w:tc>
      </w:tr>
      <w:tr>
        <w:trPr>
          <w:trHeight w:val="219"/>
        </w:trPr>
        <w:tc>
          <w:tcPr>
            <w:tcW w:w="20" w:type="dxa"/>
            <w:vAlign w:val="bottom"/>
          </w:tcPr>
          <w:p>
            <w:pPr>
              <w:spacing w:after="0"/>
              <w:rPr>
                <w:sz w:val="19"/>
                <w:szCs w:val="19"/>
                <w:color w:val="auto"/>
              </w:rPr>
            </w:pPr>
          </w:p>
        </w:tc>
        <w:tc>
          <w:tcPr>
            <w:tcW w:w="6420" w:type="dxa"/>
            <w:vAlign w:val="bottom"/>
            <w:gridSpan w:val="3"/>
          </w:tcPr>
          <w:p>
            <w:pPr>
              <w:ind w:left="200"/>
              <w:spacing w:after="0"/>
              <w:rPr>
                <w:sz w:val="20"/>
                <w:szCs w:val="20"/>
                <w:color w:val="auto"/>
              </w:rPr>
            </w:pPr>
            <w:r>
              <w:rPr>
                <w:rFonts w:ascii="Arial" w:cs="Arial" w:eastAsia="Arial" w:hAnsi="Arial"/>
                <w:sz w:val="17"/>
                <w:szCs w:val="17"/>
                <w:color w:val="auto"/>
              </w:rPr>
              <w:t>Less: Net income attributable to noncontrolling interest</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r>
      <w:tr>
        <w:trPr>
          <w:trHeight w:val="245"/>
        </w:trPr>
        <w:tc>
          <w:tcPr>
            <w:tcW w:w="20" w:type="dxa"/>
            <w:vAlign w:val="bottom"/>
            <w:tcBorders>
              <w:bottom w:val="single" w:sz="8" w:color="CCEEFF"/>
            </w:tcBorders>
            <w:shd w:val="clear" w:color="auto" w:fill="CCEEFF"/>
          </w:tcPr>
          <w:p>
            <w:pPr>
              <w:spacing w:after="0"/>
              <w:rPr>
                <w:sz w:val="21"/>
                <w:szCs w:val="21"/>
                <w:color w:val="auto"/>
              </w:rPr>
            </w:pPr>
          </w:p>
        </w:tc>
        <w:tc>
          <w:tcPr>
            <w:tcW w:w="64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7"/>
                <w:szCs w:val="17"/>
                <w:color w:val="auto"/>
              </w:rPr>
              <w:t>Net income attributable to Wabtec shareholders</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r>
      <w:tr>
        <w:trPr>
          <w:trHeight w:val="397"/>
        </w:trPr>
        <w:tc>
          <w:tcPr>
            <w:tcW w:w="20" w:type="dxa"/>
            <w:vAlign w:val="bottom"/>
          </w:tcPr>
          <w:p>
            <w:pPr>
              <w:spacing w:after="0"/>
              <w:rPr>
                <w:sz w:val="24"/>
                <w:szCs w:val="24"/>
                <w:color w:val="auto"/>
              </w:rPr>
            </w:pPr>
          </w:p>
        </w:tc>
        <w:tc>
          <w:tcPr>
            <w:tcW w:w="11220" w:type="dxa"/>
            <w:vAlign w:val="bottom"/>
            <w:gridSpan w:val="12"/>
          </w:tcPr>
          <w:p>
            <w:pPr>
              <w:jc w:val="right"/>
              <w:ind w:right="315"/>
              <w:spacing w:after="0"/>
              <w:rPr>
                <w:sz w:val="20"/>
                <w:szCs w:val="20"/>
                <w:color w:val="auto"/>
              </w:rPr>
            </w:pPr>
            <w:r>
              <w:rPr>
                <w:rFonts w:ascii="Arial" w:cs="Arial" w:eastAsia="Arial" w:hAnsi="Arial"/>
                <w:sz w:val="17"/>
                <w:szCs w:val="17"/>
                <w:color w:val="auto"/>
                <w:w w:val="94"/>
              </w:rPr>
              <w:t>The following table shows the major components of the change in Net sales in the six months ended June 30, 2023 from the six months ended June 30,</w:t>
            </w:r>
          </w:p>
        </w:tc>
      </w:tr>
      <w:tr>
        <w:trPr>
          <w:trHeight w:val="217"/>
        </w:trPr>
        <w:tc>
          <w:tcPr>
            <w:tcW w:w="600" w:type="dxa"/>
            <w:vAlign w:val="bottom"/>
            <w:gridSpan w:val="2"/>
          </w:tcPr>
          <w:p>
            <w:pPr>
              <w:spacing w:after="0"/>
              <w:rPr>
                <w:sz w:val="20"/>
                <w:szCs w:val="20"/>
                <w:color w:val="auto"/>
              </w:rPr>
            </w:pPr>
            <w:r>
              <w:rPr>
                <w:rFonts w:ascii="Arial" w:cs="Arial" w:eastAsia="Arial" w:hAnsi="Arial"/>
                <w:sz w:val="17"/>
                <w:szCs w:val="17"/>
                <w:color w:val="auto"/>
              </w:rPr>
              <w:t>2022:</w:t>
            </w:r>
          </w:p>
        </w:tc>
        <w:tc>
          <w:tcPr>
            <w:tcW w:w="4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82"/>
        </w:trPr>
        <w:tc>
          <w:tcPr>
            <w:tcW w:w="6440" w:type="dxa"/>
            <w:vAlign w:val="bottom"/>
            <w:gridSpan w:val="4"/>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5"/>
                <w:szCs w:val="15"/>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Freight Segment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ind w:right="196"/>
              <w:spacing w:after="0"/>
              <w:rPr>
                <w:sz w:val="20"/>
                <w:szCs w:val="20"/>
                <w:color w:val="auto"/>
              </w:rPr>
            </w:pPr>
            <w:r>
              <w:rPr>
                <w:rFonts w:ascii="Arial" w:cs="Arial" w:eastAsia="Arial" w:hAnsi="Arial"/>
                <w:sz w:val="14"/>
                <w:szCs w:val="14"/>
                <w:b w:val="1"/>
                <w:bCs w:val="1"/>
                <w:color w:val="auto"/>
                <w:w w:val="94"/>
              </w:rPr>
              <w:t>Transit Segment</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jc w:val="right"/>
              <w:ind w:right="535"/>
              <w:spacing w:after="0"/>
              <w:rPr>
                <w:sz w:val="20"/>
                <w:szCs w:val="20"/>
                <w:color w:val="auto"/>
              </w:rPr>
            </w:pPr>
            <w:r>
              <w:rPr>
                <w:rFonts w:ascii="Arial" w:cs="Arial" w:eastAsia="Arial" w:hAnsi="Arial"/>
                <w:sz w:val="14"/>
                <w:szCs w:val="14"/>
                <w:b w:val="1"/>
                <w:bCs w:val="1"/>
                <w:color w:val="auto"/>
                <w:w w:val="89"/>
              </w:rPr>
              <w:t>Total</w:t>
            </w: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1"/>
        </w:trPr>
        <w:tc>
          <w:tcPr>
            <w:tcW w:w="644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First Six Months of 2022 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2,812</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1,163</w:t>
            </w:r>
          </w:p>
        </w:tc>
        <w:tc>
          <w:tcPr>
            <w:tcW w:w="700" w:type="dxa"/>
            <w:vAlign w:val="bottom"/>
            <w:gridSpan w:val="2"/>
            <w:shd w:val="clear" w:color="auto" w:fill="CCEEFF"/>
          </w:tcPr>
          <w:p>
            <w:pPr>
              <w:jc w:val="right"/>
              <w:ind w:right="394"/>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3,975</w:t>
            </w:r>
          </w:p>
        </w:tc>
      </w:tr>
      <w:tr>
        <w:trPr>
          <w:trHeight w:val="225"/>
        </w:trPr>
        <w:tc>
          <w:tcPr>
            <w:tcW w:w="20" w:type="dxa"/>
            <w:vAlign w:val="bottom"/>
          </w:tcPr>
          <w:p>
            <w:pPr>
              <w:spacing w:after="0"/>
              <w:rPr>
                <w:sz w:val="19"/>
                <w:szCs w:val="19"/>
                <w:color w:val="auto"/>
              </w:rPr>
            </w:pPr>
          </w:p>
        </w:tc>
        <w:tc>
          <w:tcPr>
            <w:tcW w:w="6420" w:type="dxa"/>
            <w:vAlign w:val="bottom"/>
            <w:gridSpan w:val="3"/>
          </w:tcPr>
          <w:p>
            <w:pPr>
              <w:ind w:left="100"/>
              <w:spacing w:after="0"/>
              <w:rPr>
                <w:sz w:val="20"/>
                <w:szCs w:val="20"/>
                <w:color w:val="auto"/>
              </w:rPr>
            </w:pPr>
            <w:r>
              <w:rPr>
                <w:rFonts w:ascii="Arial" w:cs="Arial" w:eastAsia="Arial" w:hAnsi="Arial"/>
                <w:sz w:val="17"/>
                <w:szCs w:val="17"/>
                <w:color w:val="auto"/>
              </w:rPr>
              <w:t>Acquisitions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26"/>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Foreign Exchange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r>
      <w:tr>
        <w:trPr>
          <w:trHeight w:val="219"/>
        </w:trPr>
        <w:tc>
          <w:tcPr>
            <w:tcW w:w="20" w:type="dxa"/>
            <w:vAlign w:val="bottom"/>
          </w:tcPr>
          <w:p>
            <w:pPr>
              <w:spacing w:after="0"/>
              <w:rPr>
                <w:sz w:val="19"/>
                <w:szCs w:val="19"/>
                <w:color w:val="auto"/>
              </w:rPr>
            </w:pPr>
          </w:p>
        </w:tc>
        <w:tc>
          <w:tcPr>
            <w:tcW w:w="6420" w:type="dxa"/>
            <w:vAlign w:val="bottom"/>
            <w:gridSpan w:val="3"/>
          </w:tcPr>
          <w:p>
            <w:pPr>
              <w:ind w:left="100"/>
              <w:spacing w:after="0"/>
              <w:rPr>
                <w:sz w:val="20"/>
                <w:szCs w:val="20"/>
                <w:color w:val="auto"/>
              </w:rPr>
            </w:pPr>
            <w:r>
              <w:rPr>
                <w:rFonts w:ascii="Arial" w:cs="Arial" w:eastAsia="Arial" w:hAnsi="Arial"/>
                <w:sz w:val="17"/>
                <w:szCs w:val="17"/>
                <w:color w:val="auto"/>
              </w:rPr>
              <w:t>Organic</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w:t>
            </w:r>
          </w:p>
        </w:tc>
        <w:tc>
          <w:tcPr>
            <w:tcW w:w="1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657</w:t>
            </w:r>
          </w:p>
        </w:tc>
      </w:tr>
      <w:tr>
        <w:trPr>
          <w:trHeight w:val="245"/>
        </w:trPr>
        <w:tc>
          <w:tcPr>
            <w:tcW w:w="644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First Six Months of 2023 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3,274</w:t>
            </w:r>
          </w:p>
        </w:tc>
        <w:tc>
          <w:tcPr>
            <w:tcW w:w="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1,327</w:t>
            </w:r>
          </w:p>
        </w:tc>
        <w:tc>
          <w:tcPr>
            <w:tcW w:w="700" w:type="dxa"/>
            <w:vAlign w:val="bottom"/>
            <w:gridSpan w:val="2"/>
            <w:shd w:val="clear" w:color="auto" w:fill="CCEEFF"/>
          </w:tcPr>
          <w:p>
            <w:pPr>
              <w:jc w:val="right"/>
              <w:ind w:right="394"/>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33"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Net sales</w:t>
      </w:r>
    </w:p>
    <w:p>
      <w:pPr>
        <w:spacing w:after="0" w:line="120" w:lineRule="exact"/>
        <w:rPr>
          <w:sz w:val="20"/>
          <w:szCs w:val="20"/>
          <w:color w:val="auto"/>
        </w:rPr>
      </w:pPr>
    </w:p>
    <w:p>
      <w:pPr>
        <w:ind w:right="120" w:firstLine="464"/>
        <w:spacing w:after="0" w:line="275" w:lineRule="auto"/>
        <w:rPr>
          <w:sz w:val="20"/>
          <w:szCs w:val="20"/>
          <w:color w:val="auto"/>
        </w:rPr>
      </w:pPr>
      <w:r>
        <w:rPr>
          <w:rFonts w:ascii="Arial" w:cs="Arial" w:eastAsia="Arial" w:hAnsi="Arial"/>
          <w:sz w:val="16"/>
          <w:szCs w:val="16"/>
          <w:color w:val="auto"/>
        </w:rPr>
        <w:t>Net sales for the six months ended June 30, 2023 increased by $626 million, or 15.7%, to $4.60 billion compared to the same period in 2022. Organic sales increased $657 million which was primarily attributable to both the Freight and Transit Segments driven by an increase across all product lines. Equipment sales increased due to higher locomotive and mining sales and Services sales increased from a larger active locomotive fleet and higher deliveries of locomotive modernizations. In addition, Components sales increased due to a higher railcar build, increased railcars in operation, and growth in industrial end-markets, and Digital Intelligence sales increased due to higher demand for on-board locomotive and mining solutions, international Positive Train Control (PTC) sales and technology upgrades. Transit Segment organic sales increased by $197 million primarily as a result of increased demand for Aftermarket and Original Equipment Manufacturing products driven by increased infrastructure investment. Sales from acquisitions contributed $32 million in the Freight Segment and unfavorable changes in foreign exchange rates decreased sales by $63 million.</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sales</w:t>
      </w:r>
    </w:p>
    <w:p>
      <w:pPr>
        <w:spacing w:after="0" w:line="120" w:lineRule="exact"/>
        <w:rPr>
          <w:sz w:val="20"/>
          <w:szCs w:val="20"/>
          <w:color w:val="auto"/>
        </w:rPr>
      </w:pPr>
    </w:p>
    <w:p>
      <w:pPr>
        <w:ind w:firstLine="464"/>
        <w:spacing w:after="0" w:line="275" w:lineRule="auto"/>
        <w:rPr>
          <w:sz w:val="20"/>
          <w:szCs w:val="20"/>
          <w:color w:val="auto"/>
        </w:rPr>
      </w:pPr>
      <w:r>
        <w:rPr>
          <w:rFonts w:ascii="Arial" w:cs="Arial" w:eastAsia="Arial" w:hAnsi="Arial"/>
          <w:sz w:val="16"/>
          <w:szCs w:val="16"/>
          <w:color w:val="auto"/>
        </w:rPr>
        <w:t>Cost of sales for the six months ended June 30, 2023 increased by $478 million, or 17.5%, to $3.2 billion compared to the same period in 2022. The increase is primarily due to the increase in sales. Cost of sales as a percentage of net sales was 69.8% and 68.8% for the six months ended June 30, 2023 and 2022, respectively. The increase was due to unfavorable product mix between and within business groups, higher next generation product development costs in Digital Intelligence, manufacturing inefficiencies primarily related to labor, and increased restructuring costs in the current year, partially offset by benefits from structured cost actions taken through Integration 2.0 and prior years' restructuring and integration projects, and the effects of foreign exchange rates. Costs of sales for the six months ended June 30, 2023 and 2022 included $12 million and $7 million, respectively, of restructuring costs, primarily for headcount actions and footprint rationalization, with the amounts in 2023 being related to Integration 2.0. The amounts in 2023 also include the write-off of non-cash assets in Russia that were determined to not be recoverable in the second quarter.</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expenses</w:t>
      </w:r>
    </w:p>
    <w:p>
      <w:pPr>
        <w:spacing w:after="0" w:line="120" w:lineRule="exact"/>
        <w:rPr>
          <w:sz w:val="20"/>
          <w:szCs w:val="20"/>
          <w:color w:val="auto"/>
        </w:rPr>
      </w:pPr>
    </w:p>
    <w:p>
      <w:pPr>
        <w:ind w:right="40" w:firstLine="464"/>
        <w:spacing w:after="0" w:line="257" w:lineRule="auto"/>
        <w:rPr>
          <w:sz w:val="20"/>
          <w:szCs w:val="20"/>
          <w:color w:val="auto"/>
        </w:rPr>
      </w:pPr>
      <w:r>
        <w:rPr>
          <w:rFonts w:ascii="Arial" w:cs="Arial" w:eastAsia="Arial" w:hAnsi="Arial"/>
          <w:sz w:val="17"/>
          <w:szCs w:val="17"/>
          <w:color w:val="auto"/>
        </w:rPr>
        <w:t>Total operating expenses increased $63 million, or 8.5%, for the six months ended June 30, 2023 compared to the same period in 2022. Operating expenses as a percentage of sales was 17.4% and 18.5% for the six months ended June 30, 2023 and 2022, respectively. SG&amp;A increased $51 million primarily from costs incurred to support the higher sales volume, higher employee compensation and benefit costs, and higher professional services spend, partially offset by the effects of foreign exchange rates. Restructuring costs included in SG&amp;A were $7 million and $4 million for the six months ended June 30, 2023 and 2022, respectively, and were primarily for headcount actions and footprint rationalization programs, with the amounts in 2023 primarily related to Integration 2.0. Engineering expenses increased $9 million primarily due to investments in new technology. Amortization expense increased $3 million primarily due to accelerated amortization related to restructuring actions.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 net</w:t>
      </w:r>
    </w:p>
    <w:p>
      <w:pPr>
        <w:spacing w:after="0" w:line="120" w:lineRule="exact"/>
        <w:rPr>
          <w:sz w:val="20"/>
          <w:szCs w:val="20"/>
          <w:color w:val="auto"/>
        </w:rPr>
      </w:pPr>
    </w:p>
    <w:p>
      <w:pPr>
        <w:ind w:right="240" w:firstLine="464"/>
        <w:spacing w:after="0" w:line="279" w:lineRule="auto"/>
        <w:rPr>
          <w:sz w:val="20"/>
          <w:szCs w:val="20"/>
          <w:color w:val="auto"/>
        </w:rPr>
      </w:pPr>
      <w:r>
        <w:rPr>
          <w:rFonts w:ascii="Arial" w:cs="Arial" w:eastAsia="Arial" w:hAnsi="Arial"/>
          <w:sz w:val="17"/>
          <w:szCs w:val="17"/>
          <w:color w:val="auto"/>
        </w:rPr>
        <w:t>Interest expense, net, increased $16 million for the six months ended June 30, 2023 compared to the same period in 2022 primarily due to higher average overall debt balances and higher effective interest rates in the current period.</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net</w:t>
      </w:r>
    </w:p>
    <w:p>
      <w:pPr>
        <w:spacing w:after="0" w:line="120" w:lineRule="exact"/>
        <w:rPr>
          <w:sz w:val="20"/>
          <w:szCs w:val="20"/>
          <w:color w:val="auto"/>
        </w:rPr>
      </w:pPr>
    </w:p>
    <w:p>
      <w:pPr>
        <w:ind w:right="360" w:firstLine="619"/>
        <w:spacing w:after="0" w:line="279" w:lineRule="auto"/>
        <w:rPr>
          <w:sz w:val="20"/>
          <w:szCs w:val="20"/>
          <w:color w:val="auto"/>
        </w:rPr>
      </w:pPr>
      <w:r>
        <w:rPr>
          <w:rFonts w:ascii="Arial" w:cs="Arial" w:eastAsia="Arial" w:hAnsi="Arial"/>
          <w:sz w:val="17"/>
          <w:szCs w:val="17"/>
          <w:color w:val="auto"/>
        </w:rPr>
        <w:t>Other income, net, decreased $4 million for the six months ended June 30, 2023 compared to the same period in 2022 primarily due to higher foreign exchange losses in the current year compared to the prior year.</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20" w:lineRule="exact"/>
        <w:rPr>
          <w:sz w:val="20"/>
          <w:szCs w:val="20"/>
          <w:color w:val="auto"/>
        </w:rPr>
      </w:pPr>
    </w:p>
    <w:p>
      <w:pPr>
        <w:ind w:right="180" w:firstLine="464"/>
        <w:spacing w:after="0" w:line="279" w:lineRule="auto"/>
        <w:rPr>
          <w:sz w:val="20"/>
          <w:szCs w:val="20"/>
          <w:color w:val="auto"/>
        </w:rPr>
      </w:pPr>
      <w:r>
        <w:rPr>
          <w:rFonts w:ascii="Arial" w:cs="Arial" w:eastAsia="Arial" w:hAnsi="Arial"/>
          <w:sz w:val="17"/>
          <w:szCs w:val="17"/>
          <w:color w:val="auto"/>
        </w:rPr>
        <w:t>The effective income tax rate was 25.5% and 25.3% for the six months ended June 30, 2023 and 2022, respectively. The increase in the quarterly effective tax rate is primarily the result of a change in the mix of earnings across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6"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t>Freight Segment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our Condensed Consolidated Statements of Operations for our Freight Segment for the periods indicated:</w:t>
      </w:r>
    </w:p>
    <w:p>
      <w:pPr>
        <w:spacing w:after="0" w:line="48" w:lineRule="exact"/>
        <w:rPr>
          <w:sz w:val="20"/>
          <w:szCs w:val="20"/>
          <w:color w:val="auto"/>
        </w:rPr>
      </w:pPr>
    </w:p>
    <w:p>
      <w:pPr>
        <w:jc w:val="center"/>
        <w:ind w:left="1360"/>
        <w:spacing w:after="0"/>
        <w:rPr>
          <w:sz w:val="20"/>
          <w:szCs w:val="20"/>
          <w:color w:val="auto"/>
        </w:rPr>
      </w:pPr>
      <w:r>
        <w:rPr>
          <w:rFonts w:ascii="Arial" w:cs="Arial" w:eastAsia="Arial" w:hAnsi="Arial"/>
          <w:sz w:val="15"/>
          <w:szCs w:val="15"/>
          <w:b w:val="1"/>
          <w:bCs w:val="1"/>
          <w:color w:val="auto"/>
        </w:rPr>
        <w:t>Six Months Ended</w:t>
      </w:r>
    </w:p>
    <w:p>
      <w:pPr>
        <w:jc w:val="center"/>
        <w:ind w:left="1360"/>
        <w:spacing w:after="0"/>
        <w:rPr>
          <w:sz w:val="20"/>
          <w:szCs w:val="20"/>
          <w:color w:val="auto"/>
        </w:rPr>
      </w:pPr>
      <w:r>
        <w:rPr>
          <w:rFonts w:ascii="Arial" w:cs="Arial" w:eastAsia="Arial" w:hAnsi="Arial"/>
          <w:sz w:val="15"/>
          <w:szCs w:val="15"/>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6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575"/>
              <w:spacing w:after="0" w:line="167" w:lineRule="exact"/>
              <w:rPr>
                <w:sz w:val="20"/>
                <w:szCs w:val="20"/>
                <w:color w:val="auto"/>
              </w:rPr>
            </w:pPr>
            <w:r>
              <w:rPr>
                <w:rFonts w:ascii="Arial" w:cs="Arial" w:eastAsia="Arial" w:hAnsi="Arial"/>
                <w:sz w:val="15"/>
                <w:szCs w:val="15"/>
                <w:b w:val="1"/>
                <w:bCs w:val="1"/>
                <w:color w:val="auto"/>
              </w:rPr>
              <w:t>2023</w:t>
            </w:r>
          </w:p>
        </w:tc>
        <w:tc>
          <w:tcPr>
            <w:tcW w:w="1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595"/>
              <w:spacing w:after="0" w:line="167" w:lineRule="exact"/>
              <w:rPr>
                <w:sz w:val="20"/>
                <w:szCs w:val="20"/>
                <w:color w:val="auto"/>
              </w:rPr>
            </w:pPr>
            <w:r>
              <w:rPr>
                <w:rFonts w:ascii="Arial" w:cs="Arial" w:eastAsia="Arial" w:hAnsi="Arial"/>
                <w:sz w:val="15"/>
                <w:szCs w:val="15"/>
                <w:b w:val="1"/>
                <w:bCs w:val="1"/>
                <w:color w:val="auto"/>
              </w:rPr>
              <w:t>2022</w:t>
            </w:r>
          </w:p>
        </w:tc>
        <w:tc>
          <w:tcPr>
            <w:tcW w:w="3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ind w:right="675"/>
              <w:spacing w:after="0" w:line="167" w:lineRule="exact"/>
              <w:rPr>
                <w:sz w:val="20"/>
                <w:szCs w:val="20"/>
                <w:color w:val="auto"/>
              </w:rPr>
            </w:pPr>
            <w:r>
              <w:rPr>
                <w:rFonts w:ascii="Arial" w:cs="Arial" w:eastAsia="Arial" w:hAnsi="Arial"/>
                <w:sz w:val="15"/>
                <w:szCs w:val="15"/>
                <w:b w:val="1"/>
                <w:bCs w:val="1"/>
                <w:color w:val="auto"/>
              </w:rPr>
              <w:t>Change</w:t>
            </w:r>
          </w:p>
        </w:tc>
        <w:tc>
          <w:tcPr>
            <w:tcW w:w="1420" w:type="dxa"/>
            <w:vAlign w:val="bottom"/>
            <w:tcBorders>
              <w:top w:val="single" w:sz="8" w:color="auto"/>
            </w:tcBorders>
          </w:tcPr>
          <w:p>
            <w:pPr>
              <w:jc w:val="right"/>
              <w:ind w:right="355"/>
              <w:spacing w:after="0" w:line="167" w:lineRule="exact"/>
              <w:rPr>
                <w:sz w:val="20"/>
                <w:szCs w:val="20"/>
                <w:color w:val="auto"/>
              </w:rPr>
            </w:pPr>
            <w:r>
              <w:rPr>
                <w:rFonts w:ascii="Arial" w:cs="Arial" w:eastAsia="Arial" w:hAnsi="Arial"/>
                <w:sz w:val="15"/>
                <w:szCs w:val="15"/>
                <w:b w:val="1"/>
                <w:bCs w:val="1"/>
                <w:color w:val="auto"/>
              </w:rPr>
              <w:t>% Change</w:t>
            </w: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1"/>
        </w:trPr>
        <w:tc>
          <w:tcPr>
            <w:tcW w:w="4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tcPr>
          <w:p>
            <w:pPr>
              <w:ind w:left="200"/>
              <w:spacing w:after="0"/>
              <w:rPr>
                <w:sz w:val="20"/>
                <w:szCs w:val="20"/>
                <w:color w:val="auto"/>
              </w:rPr>
            </w:pPr>
            <w:r>
              <w:rPr>
                <w:rFonts w:ascii="Arial" w:cs="Arial" w:eastAsia="Arial" w:hAnsi="Arial"/>
                <w:sz w:val="17"/>
                <w:szCs w:val="17"/>
                <w:color w:val="auto"/>
              </w:rPr>
              <w:t>Sales of goods</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15"/>
              <w:spacing w:after="0"/>
              <w:rPr>
                <w:sz w:val="20"/>
                <w:szCs w:val="20"/>
                <w:color w:val="auto"/>
              </w:rPr>
            </w:pPr>
            <w:r>
              <w:rPr>
                <w:rFonts w:ascii="Arial" w:cs="Arial" w:eastAsia="Arial" w:hAnsi="Arial"/>
                <w:sz w:val="17"/>
                <w:szCs w:val="17"/>
                <w:color w:val="auto"/>
              </w:rPr>
              <w:t>2,263</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55"/>
              <w:spacing w:after="0"/>
              <w:rPr>
                <w:sz w:val="20"/>
                <w:szCs w:val="20"/>
                <w:color w:val="auto"/>
              </w:rPr>
            </w:pPr>
            <w:r>
              <w:rPr>
                <w:rFonts w:ascii="Arial" w:cs="Arial" w:eastAsia="Arial" w:hAnsi="Arial"/>
                <w:sz w:val="17"/>
                <w:szCs w:val="17"/>
                <w:color w:val="auto"/>
              </w:rPr>
              <w:t>1,935</w:t>
            </w:r>
          </w:p>
        </w:tc>
        <w:tc>
          <w:tcPr>
            <w:tcW w:w="34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255"/>
              <w:spacing w:after="0"/>
              <w:rPr>
                <w:sz w:val="20"/>
                <w:szCs w:val="20"/>
                <w:color w:val="auto"/>
              </w:rPr>
            </w:pPr>
            <w:r>
              <w:rPr>
                <w:rFonts w:ascii="Arial" w:cs="Arial" w:eastAsia="Arial" w:hAnsi="Arial"/>
                <w:sz w:val="17"/>
                <w:szCs w:val="17"/>
                <w:color w:val="auto"/>
              </w:rPr>
              <w:t>328</w:t>
            </w:r>
          </w:p>
        </w:tc>
        <w:tc>
          <w:tcPr>
            <w:tcW w:w="1420" w:type="dxa"/>
            <w:vAlign w:val="bottom"/>
          </w:tcPr>
          <w:p>
            <w:pPr>
              <w:jc w:val="right"/>
              <w:spacing w:after="0"/>
              <w:rPr>
                <w:sz w:val="20"/>
                <w:szCs w:val="20"/>
                <w:color w:val="auto"/>
              </w:rPr>
            </w:pPr>
            <w:r>
              <w:rPr>
                <w:rFonts w:ascii="Arial" w:cs="Arial" w:eastAsia="Arial" w:hAnsi="Arial"/>
                <w:sz w:val="17"/>
                <w:szCs w:val="17"/>
                <w:color w:val="auto"/>
              </w:rPr>
              <w:t>17.0 %</w:t>
            </w:r>
          </w:p>
        </w:tc>
      </w:tr>
      <w:tr>
        <w:trPr>
          <w:trHeight w:val="220"/>
        </w:trPr>
        <w:tc>
          <w:tcPr>
            <w:tcW w:w="20" w:type="dxa"/>
            <w:vAlign w:val="bottom"/>
            <w:tcBorders>
              <w:bottom w:val="single" w:sz="8" w:color="CCEEFF"/>
            </w:tcBorders>
            <w:shd w:val="clear" w:color="auto" w:fill="CCEEFF"/>
          </w:tcPr>
          <w:p>
            <w:pPr>
              <w:spacing w:after="0"/>
              <w:rPr>
                <w:sz w:val="19"/>
                <w:szCs w:val="19"/>
                <w:color w:val="auto"/>
              </w:rPr>
            </w:pPr>
          </w:p>
        </w:tc>
        <w:tc>
          <w:tcPr>
            <w:tcW w:w="46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Sales of services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1,011</w:t>
            </w:r>
          </w:p>
        </w:tc>
        <w:tc>
          <w:tcPr>
            <w:tcW w:w="1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877</w:t>
            </w:r>
          </w:p>
        </w:tc>
        <w:tc>
          <w:tcPr>
            <w:tcW w:w="3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134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15.3 %</w:t>
            </w:r>
          </w:p>
        </w:tc>
      </w:tr>
      <w:tr>
        <w:trPr>
          <w:trHeight w:val="218"/>
        </w:trPr>
        <w:tc>
          <w:tcPr>
            <w:tcW w:w="20" w:type="dxa"/>
            <w:vAlign w:val="bottom"/>
          </w:tcPr>
          <w:p>
            <w:pPr>
              <w:spacing w:after="0"/>
              <w:rPr>
                <w:sz w:val="18"/>
                <w:szCs w:val="18"/>
                <w:color w:val="auto"/>
              </w:rPr>
            </w:pPr>
          </w:p>
        </w:tc>
        <w:tc>
          <w:tcPr>
            <w:tcW w:w="4620" w:type="dxa"/>
            <w:vAlign w:val="bottom"/>
            <w:gridSpan w:val="2"/>
          </w:tcPr>
          <w:p>
            <w:pPr>
              <w:ind w:left="320"/>
              <w:spacing w:after="0"/>
              <w:rPr>
                <w:sz w:val="20"/>
                <w:szCs w:val="20"/>
                <w:color w:val="auto"/>
              </w:rPr>
            </w:pPr>
            <w:r>
              <w:rPr>
                <w:rFonts w:ascii="Arial" w:cs="Arial" w:eastAsia="Arial" w:hAnsi="Arial"/>
                <w:sz w:val="17"/>
                <w:szCs w:val="17"/>
                <w:color w:val="auto"/>
              </w:rPr>
              <w:t>Total Net sales</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15"/>
              <w:spacing w:after="0"/>
              <w:rPr>
                <w:sz w:val="20"/>
                <w:szCs w:val="20"/>
                <w:color w:val="auto"/>
              </w:rPr>
            </w:pPr>
            <w:r>
              <w:rPr>
                <w:rFonts w:ascii="Arial" w:cs="Arial" w:eastAsia="Arial" w:hAnsi="Arial"/>
                <w:sz w:val="17"/>
                <w:szCs w:val="17"/>
                <w:color w:val="auto"/>
              </w:rPr>
              <w:t>3,274</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55"/>
              <w:spacing w:after="0"/>
              <w:rPr>
                <w:sz w:val="20"/>
                <w:szCs w:val="20"/>
                <w:color w:val="auto"/>
              </w:rPr>
            </w:pPr>
            <w:r>
              <w:rPr>
                <w:rFonts w:ascii="Arial" w:cs="Arial" w:eastAsia="Arial" w:hAnsi="Arial"/>
                <w:sz w:val="17"/>
                <w:szCs w:val="17"/>
                <w:color w:val="auto"/>
              </w:rPr>
              <w:t>2,812</w:t>
            </w:r>
          </w:p>
        </w:tc>
        <w:tc>
          <w:tcPr>
            <w:tcW w:w="34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255"/>
              <w:spacing w:after="0"/>
              <w:rPr>
                <w:sz w:val="20"/>
                <w:szCs w:val="20"/>
                <w:color w:val="auto"/>
              </w:rPr>
            </w:pPr>
            <w:r>
              <w:rPr>
                <w:rFonts w:ascii="Arial" w:cs="Arial" w:eastAsia="Arial" w:hAnsi="Arial"/>
                <w:sz w:val="17"/>
                <w:szCs w:val="17"/>
                <w:color w:val="auto"/>
              </w:rPr>
              <w:t>462</w:t>
            </w:r>
          </w:p>
        </w:tc>
        <w:tc>
          <w:tcPr>
            <w:tcW w:w="1420" w:type="dxa"/>
            <w:vAlign w:val="bottom"/>
          </w:tcPr>
          <w:p>
            <w:pPr>
              <w:jc w:val="right"/>
              <w:spacing w:after="0"/>
              <w:rPr>
                <w:sz w:val="20"/>
                <w:szCs w:val="20"/>
                <w:color w:val="auto"/>
              </w:rPr>
            </w:pPr>
            <w:r>
              <w:rPr>
                <w:rFonts w:ascii="Arial" w:cs="Arial" w:eastAsia="Arial" w:hAnsi="Arial"/>
                <w:sz w:val="17"/>
                <w:szCs w:val="17"/>
                <w:color w:val="auto"/>
              </w:rPr>
              <w:t>16.4 %</w:t>
            </w:r>
          </w:p>
        </w:tc>
      </w:tr>
      <w:tr>
        <w:trPr>
          <w:trHeight w:val="226"/>
        </w:trPr>
        <w:tc>
          <w:tcPr>
            <w:tcW w:w="4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Cost of sales: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tcPr>
          <w:p>
            <w:pPr>
              <w:ind w:left="200"/>
              <w:spacing w:after="0"/>
              <w:rPr>
                <w:sz w:val="20"/>
                <w:szCs w:val="20"/>
                <w:color w:val="auto"/>
              </w:rPr>
            </w:pPr>
            <w:r>
              <w:rPr>
                <w:rFonts w:ascii="Arial" w:cs="Arial" w:eastAsia="Arial" w:hAnsi="Arial"/>
                <w:sz w:val="17"/>
                <w:szCs w:val="17"/>
                <w:color w:val="auto"/>
              </w:rPr>
              <w:t>Cost of goods</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(1,703)</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15"/>
              <w:spacing w:after="0"/>
              <w:rPr>
                <w:sz w:val="20"/>
                <w:szCs w:val="20"/>
                <w:color w:val="auto"/>
              </w:rPr>
            </w:pPr>
            <w:r>
              <w:rPr>
                <w:rFonts w:ascii="Arial" w:cs="Arial" w:eastAsia="Arial" w:hAnsi="Arial"/>
                <w:sz w:val="17"/>
                <w:szCs w:val="17"/>
                <w:color w:val="auto"/>
              </w:rPr>
              <w:t>(1,398)</w:t>
            </w:r>
          </w:p>
        </w:tc>
        <w:tc>
          <w:tcPr>
            <w:tcW w:w="34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255"/>
              <w:spacing w:after="0"/>
              <w:rPr>
                <w:sz w:val="20"/>
                <w:szCs w:val="20"/>
                <w:color w:val="auto"/>
              </w:rPr>
            </w:pPr>
            <w:r>
              <w:rPr>
                <w:rFonts w:ascii="Arial" w:cs="Arial" w:eastAsia="Arial" w:hAnsi="Arial"/>
                <w:sz w:val="17"/>
                <w:szCs w:val="17"/>
                <w:color w:val="auto"/>
              </w:rPr>
              <w:t>305</w:t>
            </w:r>
          </w:p>
        </w:tc>
        <w:tc>
          <w:tcPr>
            <w:tcW w:w="1420" w:type="dxa"/>
            <w:vAlign w:val="bottom"/>
          </w:tcPr>
          <w:p>
            <w:pPr>
              <w:jc w:val="right"/>
              <w:spacing w:after="0"/>
              <w:rPr>
                <w:sz w:val="20"/>
                <w:szCs w:val="20"/>
                <w:color w:val="auto"/>
              </w:rPr>
            </w:pPr>
            <w:r>
              <w:rPr>
                <w:rFonts w:ascii="Arial" w:cs="Arial" w:eastAsia="Arial" w:hAnsi="Arial"/>
                <w:sz w:val="17"/>
                <w:szCs w:val="17"/>
                <w:color w:val="auto"/>
              </w:rPr>
              <w:t>21.8 %</w:t>
            </w:r>
          </w:p>
        </w:tc>
      </w:tr>
      <w:tr>
        <w:trPr>
          <w:trHeight w:val="233"/>
        </w:trPr>
        <w:tc>
          <w:tcPr>
            <w:tcW w:w="20" w:type="dxa"/>
            <w:vAlign w:val="bottom"/>
            <w:shd w:val="clear" w:color="auto" w:fill="CCEEFF"/>
          </w:tcPr>
          <w:p>
            <w:pPr>
              <w:spacing w:after="0"/>
              <w:rPr>
                <w:sz w:val="20"/>
                <w:szCs w:val="20"/>
                <w:color w:val="auto"/>
              </w:rPr>
            </w:pPr>
          </w:p>
        </w:tc>
        <w:tc>
          <w:tcPr>
            <w:tcW w:w="46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Cost of services</w:t>
            </w: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(550)</w:t>
            </w:r>
          </w:p>
        </w:tc>
        <w:tc>
          <w:tcPr>
            <w:tcW w:w="12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(497)</w:t>
            </w:r>
          </w:p>
        </w:tc>
        <w:tc>
          <w:tcPr>
            <w:tcW w:w="3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53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10.7 %</w:t>
            </w:r>
          </w:p>
        </w:tc>
      </w:tr>
      <w:tr>
        <w:trPr>
          <w:trHeight w:val="211"/>
        </w:trPr>
        <w:tc>
          <w:tcPr>
            <w:tcW w:w="20" w:type="dxa"/>
            <w:vAlign w:val="bottom"/>
          </w:tcPr>
          <w:p>
            <w:pPr>
              <w:spacing w:after="0"/>
              <w:rPr>
                <w:sz w:val="18"/>
                <w:szCs w:val="18"/>
                <w:color w:val="auto"/>
              </w:rPr>
            </w:pPr>
          </w:p>
        </w:tc>
        <w:tc>
          <w:tcPr>
            <w:tcW w:w="4620" w:type="dxa"/>
            <w:vAlign w:val="bottom"/>
            <w:gridSpan w:val="2"/>
          </w:tcPr>
          <w:p>
            <w:pPr>
              <w:ind w:left="320"/>
              <w:spacing w:after="0"/>
              <w:rPr>
                <w:sz w:val="20"/>
                <w:szCs w:val="20"/>
                <w:color w:val="auto"/>
              </w:rPr>
            </w:pPr>
            <w:r>
              <w:rPr>
                <w:rFonts w:ascii="Arial" w:cs="Arial" w:eastAsia="Arial" w:hAnsi="Arial"/>
                <w:sz w:val="17"/>
                <w:szCs w:val="17"/>
                <w:color w:val="auto"/>
              </w:rPr>
              <w:t>Total cost of sales</w:t>
            </w: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(2,253)</w:t>
            </w:r>
          </w:p>
        </w:tc>
        <w:tc>
          <w:tcPr>
            <w:tcW w:w="4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(1,895)</w:t>
            </w:r>
          </w:p>
        </w:tc>
        <w:tc>
          <w:tcPr>
            <w:tcW w:w="3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358</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18.9 %</w:t>
            </w:r>
          </w:p>
        </w:tc>
      </w:tr>
      <w:tr>
        <w:trPr>
          <w:trHeight w:val="213"/>
        </w:trPr>
        <w:tc>
          <w:tcPr>
            <w:tcW w:w="4640" w:type="dxa"/>
            <w:vAlign w:val="bottom"/>
            <w:gridSpan w:val="3"/>
            <w:shd w:val="clear" w:color="auto" w:fill="CCEEFF"/>
          </w:tcPr>
          <w:p>
            <w:pPr>
              <w:ind w:left="20"/>
              <w:spacing w:after="0"/>
              <w:rPr>
                <w:sz w:val="20"/>
                <w:szCs w:val="20"/>
                <w:color w:val="auto"/>
              </w:rPr>
            </w:pPr>
            <w:r>
              <w:rPr>
                <w:rFonts w:ascii="Arial" w:cs="Arial" w:eastAsia="Arial" w:hAnsi="Arial"/>
                <w:sz w:val="17"/>
                <w:szCs w:val="17"/>
                <w:i w:val="1"/>
                <w:iCs w:val="1"/>
                <w:color w:val="auto"/>
              </w:rPr>
              <w:t>Cost of Sales (% of net sales)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68.8 %</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67.4 %</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95"/>
              <w:spacing w:after="0"/>
              <w:rPr>
                <w:sz w:val="20"/>
                <w:szCs w:val="20"/>
                <w:color w:val="auto"/>
              </w:rPr>
            </w:pPr>
            <w:r>
              <w:rPr>
                <w:rFonts w:ascii="Arial" w:cs="Arial" w:eastAsia="Arial" w:hAnsi="Arial"/>
                <w:sz w:val="17"/>
                <w:szCs w:val="17"/>
                <w:i w:val="1"/>
                <w:iCs w:val="1"/>
                <w:color w:val="auto"/>
              </w:rPr>
              <w:t>1.4</w:t>
            </w:r>
          </w:p>
        </w:tc>
        <w:tc>
          <w:tcPr>
            <w:tcW w:w="1420" w:type="dxa"/>
            <w:vAlign w:val="bottom"/>
            <w:shd w:val="clear" w:color="auto" w:fill="CCEEFF"/>
          </w:tcPr>
          <w:p>
            <w:pPr>
              <w:spacing w:after="0"/>
              <w:rPr>
                <w:sz w:val="18"/>
                <w:szCs w:val="18"/>
                <w:color w:val="auto"/>
              </w:rPr>
            </w:pP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420" w:type="dxa"/>
            <w:vAlign w:val="bottom"/>
          </w:tcPr>
          <w:p>
            <w:pPr>
              <w:spacing w:after="0"/>
              <w:rPr>
                <w:sz w:val="8"/>
                <w:szCs w:val="8"/>
                <w:color w:val="auto"/>
              </w:rPr>
            </w:pPr>
          </w:p>
        </w:tc>
      </w:tr>
      <w:tr>
        <w:trPr>
          <w:trHeight w:val="232"/>
        </w:trPr>
        <w:tc>
          <w:tcPr>
            <w:tcW w:w="4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1,021</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917</w:t>
            </w:r>
          </w:p>
        </w:tc>
        <w:tc>
          <w:tcPr>
            <w:tcW w:w="3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104</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11.3 %</w:t>
            </w: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420" w:type="dxa"/>
            <w:vAlign w:val="bottom"/>
          </w:tcPr>
          <w:p>
            <w:pPr>
              <w:spacing w:after="0"/>
              <w:rPr>
                <w:sz w:val="8"/>
                <w:szCs w:val="8"/>
                <w:color w:val="auto"/>
              </w:rPr>
            </w:pPr>
          </w:p>
        </w:tc>
      </w:tr>
      <w:tr>
        <w:trPr>
          <w:trHeight w:val="218"/>
        </w:trPr>
        <w:tc>
          <w:tcPr>
            <w:tcW w:w="4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(523)</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(495)</w:t>
            </w:r>
          </w:p>
        </w:tc>
        <w:tc>
          <w:tcPr>
            <w:tcW w:w="3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28</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5.7 %</w:t>
            </w:r>
          </w:p>
        </w:tc>
      </w:tr>
      <w:tr>
        <w:trPr>
          <w:trHeight w:val="97"/>
        </w:trPr>
        <w:tc>
          <w:tcPr>
            <w:tcW w:w="20" w:type="dxa"/>
            <w:vAlign w:val="bottom"/>
            <w:tcBorders>
              <w:top w:val="single" w:sz="8" w:color="CCEEFF"/>
            </w:tcBorders>
          </w:tcPr>
          <w:p>
            <w:pPr>
              <w:spacing w:after="0"/>
              <w:rPr>
                <w:sz w:val="8"/>
                <w:szCs w:val="8"/>
                <w:color w:val="auto"/>
              </w:rPr>
            </w:pPr>
          </w:p>
        </w:tc>
        <w:tc>
          <w:tcPr>
            <w:tcW w:w="620" w:type="dxa"/>
            <w:vAlign w:val="bottom"/>
            <w:tcBorders>
              <w:top w:val="single" w:sz="8" w:color="CCEEFF"/>
            </w:tcBorders>
          </w:tcPr>
          <w:p>
            <w:pPr>
              <w:spacing w:after="0"/>
              <w:rPr>
                <w:sz w:val="8"/>
                <w:szCs w:val="8"/>
                <w:color w:val="auto"/>
              </w:rPr>
            </w:pPr>
          </w:p>
        </w:tc>
        <w:tc>
          <w:tcPr>
            <w:tcW w:w="4000" w:type="dxa"/>
            <w:vAlign w:val="bottom"/>
            <w:tcBorders>
              <w:top w:val="single" w:sz="8" w:color="CCEEFF"/>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460" w:type="dxa"/>
            <w:vAlign w:val="bottom"/>
            <w:tcBorders>
              <w:top w:val="single" w:sz="8" w:color="auto"/>
            </w:tcBorders>
          </w:tcPr>
          <w:p>
            <w:pPr>
              <w:spacing w:after="0"/>
              <w:rPr>
                <w:sz w:val="8"/>
                <w:szCs w:val="8"/>
                <w:color w:val="auto"/>
              </w:rPr>
            </w:pPr>
          </w:p>
        </w:tc>
        <w:tc>
          <w:tcPr>
            <w:tcW w:w="1420" w:type="dxa"/>
            <w:vAlign w:val="bottom"/>
            <w:tcBorders>
              <w:top w:val="single" w:sz="8" w:color="auto"/>
            </w:tcBorders>
          </w:tcPr>
          <w:p>
            <w:pPr>
              <w:spacing w:after="0"/>
              <w:rPr>
                <w:sz w:val="8"/>
                <w:szCs w:val="8"/>
                <w:color w:val="auto"/>
              </w:rPr>
            </w:pPr>
          </w:p>
        </w:tc>
      </w:tr>
      <w:tr>
        <w:trPr>
          <w:trHeight w:val="244"/>
        </w:trPr>
        <w:tc>
          <w:tcPr>
            <w:tcW w:w="46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498</w:t>
            </w:r>
          </w:p>
        </w:tc>
        <w:tc>
          <w:tcPr>
            <w:tcW w:w="4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422</w:t>
            </w:r>
          </w:p>
        </w:tc>
        <w:tc>
          <w:tcPr>
            <w:tcW w:w="3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76</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4640" w:type="dxa"/>
            <w:vAlign w:val="bottom"/>
            <w:gridSpan w:val="3"/>
          </w:tcPr>
          <w:p>
            <w:pPr>
              <w:ind w:left="20"/>
              <w:spacing w:after="0" w:line="191" w:lineRule="exact"/>
              <w:rPr>
                <w:sz w:val="20"/>
                <w:szCs w:val="20"/>
                <w:color w:val="auto"/>
              </w:rPr>
            </w:pPr>
            <w:r>
              <w:rPr>
                <w:rFonts w:ascii="Arial" w:cs="Arial" w:eastAsia="Arial" w:hAnsi="Arial"/>
                <w:sz w:val="17"/>
                <w:szCs w:val="17"/>
                <w:color w:val="auto"/>
              </w:rPr>
              <w:t>Income from operations (% of net sales)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15.2 %</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15.0 %</w:t>
            </w: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95"/>
              <w:spacing w:after="0" w:line="191" w:lineRule="exact"/>
              <w:rPr>
                <w:sz w:val="20"/>
                <w:szCs w:val="20"/>
                <w:color w:val="auto"/>
              </w:rPr>
            </w:pPr>
            <w:r>
              <w:rPr>
                <w:rFonts w:ascii="Arial" w:cs="Arial" w:eastAsia="Arial" w:hAnsi="Arial"/>
                <w:sz w:val="17"/>
                <w:szCs w:val="17"/>
                <w:color w:val="auto"/>
              </w:rPr>
              <w:t>0.2</w:t>
            </w:r>
          </w:p>
        </w:tc>
        <w:tc>
          <w:tcPr>
            <w:tcW w:w="1420" w:type="dxa"/>
            <w:vAlign w:val="bottom"/>
            <w:tcBorders>
              <w:bottom w:val="single" w:sz="8" w:color="auto"/>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right="20" w:firstLine="464"/>
        <w:spacing w:after="0" w:line="273" w:lineRule="auto"/>
        <w:rPr>
          <w:sz w:val="20"/>
          <w:szCs w:val="20"/>
          <w:color w:val="auto"/>
        </w:rPr>
      </w:pPr>
      <w:r>
        <w:rPr>
          <w:rFonts w:ascii="Arial" w:cs="Arial" w:eastAsia="Arial" w:hAnsi="Arial"/>
          <w:sz w:val="17"/>
          <w:szCs w:val="17"/>
          <w:color w:val="auto"/>
        </w:rPr>
        <w:t>The following table shows the major components of the change in Net sales for the Freight Segment in the first six months of 2023 from the first six months of 2022:</w:t>
      </w:r>
    </w:p>
    <w:tbl>
      <w:tblPr>
        <w:tblLayout w:type="fixed"/>
        <w:tblInd w:w="0" w:type="dxa"/>
        <w:tblCellMar>
          <w:top w:w="0" w:type="dxa"/>
          <w:left w:w="0" w:type="dxa"/>
          <w:bottom w:w="0" w:type="dxa"/>
          <w:right w:w="0" w:type="dxa"/>
        </w:tblCellMar>
      </w:tblPr>
      <w:tr>
        <w:trPr>
          <w:trHeight w:val="148"/>
        </w:trPr>
        <w:tc>
          <w:tcPr>
            <w:tcW w:w="9720" w:type="dxa"/>
            <w:vAlign w:val="bottom"/>
            <w:gridSpan w:val="3"/>
          </w:tcPr>
          <w:p>
            <w:pPr>
              <w:ind w:left="20"/>
              <w:spacing w:after="0" w:line="148" w:lineRule="exact"/>
              <w:rPr>
                <w:sz w:val="20"/>
                <w:szCs w:val="20"/>
                <w:color w:val="auto"/>
              </w:rPr>
            </w:pPr>
            <w:r>
              <w:rPr>
                <w:rFonts w:ascii="Arial" w:cs="Arial" w:eastAsia="Arial" w:hAnsi="Arial"/>
                <w:sz w:val="14"/>
                <w:szCs w:val="14"/>
                <w:b w:val="1"/>
                <w:bCs w:val="1"/>
                <w:i w:val="1"/>
                <w:iCs w:val="1"/>
                <w:color w:val="auto"/>
              </w:rPr>
              <w:t>In millions</w:t>
            </w: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9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9"/>
        </w:trPr>
        <w:tc>
          <w:tcPr>
            <w:tcW w:w="97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First Six Months of 2022 Net Sales</w:t>
            </w:r>
          </w:p>
        </w:tc>
        <w:tc>
          <w:tcPr>
            <w:tcW w:w="580" w:type="dxa"/>
            <w:vAlign w:val="bottom"/>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2,812</w:t>
            </w:r>
          </w:p>
        </w:tc>
      </w:tr>
      <w:tr>
        <w:trPr>
          <w:trHeight w:val="218"/>
        </w:trPr>
        <w:tc>
          <w:tcPr>
            <w:tcW w:w="20" w:type="dxa"/>
            <w:vAlign w:val="bottom"/>
          </w:tcPr>
          <w:p>
            <w:pPr>
              <w:spacing w:after="0"/>
              <w:rPr>
                <w:sz w:val="18"/>
                <w:szCs w:val="18"/>
                <w:color w:val="auto"/>
              </w:rPr>
            </w:pPr>
          </w:p>
        </w:tc>
        <w:tc>
          <w:tcPr>
            <w:tcW w:w="9700" w:type="dxa"/>
            <w:vAlign w:val="bottom"/>
            <w:gridSpan w:val="2"/>
          </w:tcPr>
          <w:p>
            <w:pPr>
              <w:ind w:left="100"/>
              <w:spacing w:after="0"/>
              <w:rPr>
                <w:sz w:val="20"/>
                <w:szCs w:val="20"/>
                <w:color w:val="auto"/>
              </w:rPr>
            </w:pPr>
            <w:r>
              <w:rPr>
                <w:rFonts w:ascii="Arial" w:cs="Arial" w:eastAsia="Arial" w:hAnsi="Arial"/>
                <w:sz w:val="17"/>
                <w:szCs w:val="17"/>
                <w:color w:val="auto"/>
              </w:rPr>
              <w:t>Acquisitions</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33"/>
        </w:trPr>
        <w:tc>
          <w:tcPr>
            <w:tcW w:w="20" w:type="dxa"/>
            <w:vAlign w:val="bottom"/>
            <w:shd w:val="clear" w:color="auto" w:fill="CCEEFF"/>
          </w:tcPr>
          <w:p>
            <w:pPr>
              <w:spacing w:after="0"/>
              <w:rPr>
                <w:sz w:val="20"/>
                <w:szCs w:val="20"/>
                <w:color w:val="auto"/>
              </w:rPr>
            </w:pPr>
          </w:p>
        </w:tc>
        <w:tc>
          <w:tcPr>
            <w:tcW w:w="97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Foreign Exchange</w:t>
            </w:r>
          </w:p>
        </w:tc>
        <w:tc>
          <w:tcPr>
            <w:tcW w:w="5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18"/>
        </w:trPr>
        <w:tc>
          <w:tcPr>
            <w:tcW w:w="20" w:type="dxa"/>
            <w:vAlign w:val="bottom"/>
          </w:tcPr>
          <w:p>
            <w:pPr>
              <w:spacing w:after="0"/>
              <w:rPr>
                <w:sz w:val="18"/>
                <w:szCs w:val="18"/>
                <w:color w:val="auto"/>
              </w:rPr>
            </w:pPr>
          </w:p>
        </w:tc>
        <w:tc>
          <w:tcPr>
            <w:tcW w:w="9700" w:type="dxa"/>
            <w:vAlign w:val="bottom"/>
            <w:gridSpan w:val="2"/>
          </w:tcPr>
          <w:p>
            <w:pPr>
              <w:ind w:left="100"/>
              <w:spacing w:after="0"/>
              <w:rPr>
                <w:sz w:val="20"/>
                <w:szCs w:val="20"/>
                <w:color w:val="auto"/>
              </w:rPr>
            </w:pPr>
            <w:r>
              <w:rPr>
                <w:rFonts w:ascii="Arial" w:cs="Arial" w:eastAsia="Arial" w:hAnsi="Arial"/>
                <w:sz w:val="17"/>
                <w:szCs w:val="17"/>
                <w:color w:val="auto"/>
              </w:rPr>
              <w:t>Organic changes in Net sales by Product Line:</w:t>
            </w: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Equipment</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w:t>
            </w:r>
          </w:p>
        </w:tc>
      </w:tr>
      <w:tr>
        <w:trPr>
          <w:trHeight w:val="225"/>
        </w:trPr>
        <w:tc>
          <w:tcPr>
            <w:tcW w:w="20" w:type="dxa"/>
            <w:vAlign w:val="bottom"/>
          </w:tcPr>
          <w:p>
            <w:pPr>
              <w:spacing w:after="0"/>
              <w:rPr>
                <w:sz w:val="19"/>
                <w:szCs w:val="19"/>
                <w:color w:val="auto"/>
              </w:rPr>
            </w:pPr>
          </w:p>
        </w:tc>
        <w:tc>
          <w:tcPr>
            <w:tcW w:w="9700" w:type="dxa"/>
            <w:vAlign w:val="bottom"/>
            <w:gridSpan w:val="2"/>
          </w:tcPr>
          <w:p>
            <w:pPr>
              <w:ind w:left="200"/>
              <w:spacing w:after="0"/>
              <w:rPr>
                <w:sz w:val="20"/>
                <w:szCs w:val="20"/>
                <w:color w:val="auto"/>
              </w:rPr>
            </w:pPr>
            <w:r>
              <w:rPr>
                <w:rFonts w:ascii="Arial" w:cs="Arial" w:eastAsia="Arial" w:hAnsi="Arial"/>
                <w:sz w:val="17"/>
                <w:szCs w:val="17"/>
                <w:color w:val="auto"/>
              </w:rPr>
              <w:t>Services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144</w:t>
            </w:r>
          </w:p>
        </w:tc>
      </w:tr>
      <w:tr>
        <w:trPr>
          <w:trHeight w:val="226"/>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Components</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r>
      <w:tr>
        <w:trPr>
          <w:trHeight w:val="218"/>
        </w:trPr>
        <w:tc>
          <w:tcPr>
            <w:tcW w:w="2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7"/>
                <w:szCs w:val="17"/>
                <w:color w:val="auto"/>
              </w:rPr>
              <w:t>Digital Intelligence</w:t>
            </w: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r>
      <w:tr>
        <w:trPr>
          <w:trHeight w:val="251"/>
        </w:trPr>
        <w:tc>
          <w:tcPr>
            <w:tcW w:w="9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First Six Months of 2023 Net Sales</w:t>
            </w:r>
          </w:p>
        </w:tc>
        <w:tc>
          <w:tcPr>
            <w:tcW w:w="580" w:type="dxa"/>
            <w:vAlign w:val="bottom"/>
            <w:tcBorders>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3,274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90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sales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Freight Segment organic sales increased across all product lines by $460 million driven primarily by:</w:t>
      </w:r>
    </w:p>
    <w:p>
      <w:pPr>
        <w:spacing w:after="0" w:line="49" w:lineRule="exact"/>
        <w:rPr>
          <w:sz w:val="20"/>
          <w:szCs w:val="20"/>
          <w:color w:val="auto"/>
        </w:rPr>
      </w:pPr>
    </w:p>
    <w:p>
      <w:pPr>
        <w:ind w:left="620" w:hanging="307"/>
        <w:spacing w:after="0"/>
        <w:tabs>
          <w:tab w:leader="none" w:pos="62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Equipment sales increased due to higher locomotive and mining sales</w:t>
      </w:r>
    </w:p>
    <w:p>
      <w:pPr>
        <w:spacing w:after="0" w:line="49" w:lineRule="exact"/>
        <w:rPr>
          <w:rFonts w:ascii="Arial" w:cs="Arial" w:eastAsia="Arial" w:hAnsi="Arial"/>
          <w:sz w:val="17"/>
          <w:szCs w:val="17"/>
          <w:b w:val="1"/>
          <w:bCs w:val="1"/>
          <w:color w:val="auto"/>
        </w:rPr>
      </w:pPr>
    </w:p>
    <w:p>
      <w:pPr>
        <w:ind w:left="620" w:right="840" w:hanging="307"/>
        <w:spacing w:after="0" w:line="265" w:lineRule="auto"/>
        <w:tabs>
          <w:tab w:leader="none" w:pos="62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Services sales increased from a larger active locomotive fleet which drives higher parts and services sales, and higher deliveries of locomotive modernizations</w:t>
      </w:r>
    </w:p>
    <w:p>
      <w:pPr>
        <w:spacing w:after="0" w:line="6" w:lineRule="exact"/>
        <w:rPr>
          <w:rFonts w:ascii="Arial" w:cs="Arial" w:eastAsia="Arial" w:hAnsi="Arial"/>
          <w:sz w:val="17"/>
          <w:szCs w:val="17"/>
          <w:b w:val="1"/>
          <w:bCs w:val="1"/>
          <w:color w:val="auto"/>
        </w:rPr>
      </w:pPr>
    </w:p>
    <w:p>
      <w:pPr>
        <w:ind w:left="620" w:hanging="307"/>
        <w:spacing w:after="0"/>
        <w:tabs>
          <w:tab w:leader="none" w:pos="62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Components sales increased due to a higher railcar build, increased railcars in operation, and growth in industrial end-markets</w:t>
      </w:r>
    </w:p>
    <w:p>
      <w:pPr>
        <w:spacing w:after="0" w:line="49" w:lineRule="exact"/>
        <w:rPr>
          <w:rFonts w:ascii="Arial" w:cs="Arial" w:eastAsia="Arial" w:hAnsi="Arial"/>
          <w:sz w:val="17"/>
          <w:szCs w:val="17"/>
          <w:b w:val="1"/>
          <w:bCs w:val="1"/>
          <w:color w:val="auto"/>
        </w:rPr>
      </w:pPr>
    </w:p>
    <w:p>
      <w:pPr>
        <w:ind w:left="620" w:right="100" w:hanging="307"/>
        <w:spacing w:after="0" w:line="279" w:lineRule="auto"/>
        <w:tabs>
          <w:tab w:leader="none" w:pos="62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Digital Intelligence sales increased due to higher demand for on-board locomotive and mining solutions, international Positive Train Control (PTC) sales and technology upgrades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sales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Freight Segment Cost of sales increased $358 million and Cost of sales as a percentage of sales increased 1.4 percentage points due to:</w:t>
      </w:r>
    </w:p>
    <w:p>
      <w:pPr>
        <w:spacing w:after="0" w:line="37" w:lineRule="exact"/>
        <w:rPr>
          <w:sz w:val="20"/>
          <w:szCs w:val="20"/>
          <w:color w:val="auto"/>
        </w:rPr>
      </w:pP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Higher sales volume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34" w:name="page35"/>
    <w:bookmarkEnd w:id="34"/>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Unfavorable mix within the Freight Segment product lines</w:t>
      </w:r>
    </w:p>
    <w:p>
      <w:pPr>
        <w:spacing w:after="0" w:line="23" w:lineRule="exact"/>
        <w:rPr>
          <w:rFonts w:ascii="Arial" w:cs="Arial" w:eastAsia="Arial" w:hAnsi="Arial"/>
          <w:sz w:val="17"/>
          <w:szCs w:val="17"/>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Higher next generation product development costs in Digital Intelligence</w:t>
      </w:r>
    </w:p>
    <w:p>
      <w:pPr>
        <w:spacing w:after="0" w:line="36" w:lineRule="exact"/>
        <w:rPr>
          <w:rFonts w:ascii="Arial" w:cs="Arial" w:eastAsia="Arial" w:hAnsi="Arial"/>
          <w:sz w:val="17"/>
          <w:szCs w:val="17"/>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Operational inefficiencies, including increased costs from labor negotiations at our Erie operations</w:t>
      </w:r>
    </w:p>
    <w:p>
      <w:pPr>
        <w:spacing w:after="0" w:line="23" w:lineRule="exact"/>
        <w:rPr>
          <w:rFonts w:ascii="Arial" w:cs="Arial" w:eastAsia="Arial" w:hAnsi="Arial"/>
          <w:sz w:val="17"/>
          <w:szCs w:val="17"/>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Higher restructuring costs</w:t>
      </w:r>
    </w:p>
    <w:p>
      <w:pPr>
        <w:spacing w:after="0" w:line="101"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Cost of sales for the six months ended June 30, 2023 and 2022 included $6 million and $3 million, respectively, of restructuring costs, primarily for headcount actions and footprint rationalization, with a portion of the amounts in 2023 related to Integration 2.0. The amounts in 2023 also include the write-off of non-cash assets in Russia that were determined to not be recoverable in the second quarter.</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Freight Segment operating expenses increased by $28 million primarily driven by:</w:t>
      </w:r>
    </w:p>
    <w:p>
      <w:pPr>
        <w:spacing w:after="0" w:line="62" w:lineRule="exact"/>
        <w:rPr>
          <w:sz w:val="20"/>
          <w:szCs w:val="20"/>
          <w:color w:val="auto"/>
        </w:rPr>
      </w:pPr>
    </w:p>
    <w:p>
      <w:pPr>
        <w:ind w:left="620" w:right="80" w:hanging="307"/>
        <w:spacing w:after="0" w:line="279" w:lineRule="auto"/>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Higher Selling, general and administrative expenses of $20 million resulting from higher costs to support increased sales volume and higher employee compensation and benefits costs</w:t>
      </w:r>
    </w:p>
    <w:p>
      <w:pPr>
        <w:spacing w:after="0" w:line="9" w:lineRule="exact"/>
        <w:rPr>
          <w:rFonts w:ascii="Arial" w:cs="Arial" w:eastAsia="Arial" w:hAnsi="Arial"/>
          <w:sz w:val="17"/>
          <w:szCs w:val="17"/>
          <w:color w:val="auto"/>
        </w:rPr>
      </w:pPr>
    </w:p>
    <w:p>
      <w:pPr>
        <w:ind w:left="620" w:hanging="307"/>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Higher investments in new technology increasing Engineering expense by $6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40"/>
          </w:cols>
          <w:pgMar w:left="320" w:top="926" w:right="5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Transit Segment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our Condensed Consolidated Statements of Operations for our Transit Segment for the periods indicated:</w:t>
      </w:r>
    </w:p>
    <w:p>
      <w:pPr>
        <w:spacing w:after="0" w:line="48" w:lineRule="exact"/>
        <w:rPr>
          <w:sz w:val="20"/>
          <w:szCs w:val="20"/>
          <w:color w:val="auto"/>
        </w:rPr>
      </w:pPr>
    </w:p>
    <w:p>
      <w:pPr>
        <w:jc w:val="center"/>
        <w:ind w:left="1360"/>
        <w:spacing w:after="0"/>
        <w:rPr>
          <w:sz w:val="20"/>
          <w:szCs w:val="20"/>
          <w:color w:val="auto"/>
        </w:rPr>
      </w:pPr>
      <w:r>
        <w:rPr>
          <w:rFonts w:ascii="Arial" w:cs="Arial" w:eastAsia="Arial" w:hAnsi="Arial"/>
          <w:sz w:val="15"/>
          <w:szCs w:val="15"/>
          <w:b w:val="1"/>
          <w:bCs w:val="1"/>
          <w:color w:val="auto"/>
        </w:rPr>
        <w:t>Six Months Ended</w:t>
      </w:r>
    </w:p>
    <w:p>
      <w:pPr>
        <w:jc w:val="center"/>
        <w:ind w:left="1360"/>
        <w:spacing w:after="0"/>
        <w:rPr>
          <w:sz w:val="20"/>
          <w:szCs w:val="20"/>
          <w:color w:val="auto"/>
        </w:rPr>
      </w:pPr>
      <w:r>
        <w:rPr>
          <w:rFonts w:ascii="Arial" w:cs="Arial" w:eastAsia="Arial" w:hAnsi="Arial"/>
          <w:sz w:val="15"/>
          <w:szCs w:val="15"/>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6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575"/>
              <w:spacing w:after="0" w:line="167" w:lineRule="exact"/>
              <w:rPr>
                <w:sz w:val="20"/>
                <w:szCs w:val="20"/>
                <w:color w:val="auto"/>
              </w:rPr>
            </w:pPr>
            <w:r>
              <w:rPr>
                <w:rFonts w:ascii="Arial" w:cs="Arial" w:eastAsia="Arial" w:hAnsi="Arial"/>
                <w:sz w:val="15"/>
                <w:szCs w:val="15"/>
                <w:b w:val="1"/>
                <w:bCs w:val="1"/>
                <w:color w:val="auto"/>
              </w:rPr>
              <w:t>2023</w:t>
            </w:r>
          </w:p>
        </w:tc>
        <w:tc>
          <w:tcPr>
            <w:tcW w:w="1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575"/>
              <w:spacing w:after="0" w:line="167" w:lineRule="exact"/>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ind w:right="675"/>
              <w:spacing w:after="0" w:line="167" w:lineRule="exact"/>
              <w:rPr>
                <w:sz w:val="20"/>
                <w:szCs w:val="20"/>
                <w:color w:val="auto"/>
              </w:rPr>
            </w:pPr>
            <w:r>
              <w:rPr>
                <w:rFonts w:ascii="Arial" w:cs="Arial" w:eastAsia="Arial" w:hAnsi="Arial"/>
                <w:sz w:val="15"/>
                <w:szCs w:val="15"/>
                <w:b w:val="1"/>
                <w:bCs w:val="1"/>
                <w:color w:val="auto"/>
              </w:rPr>
              <w:t>Change</w:t>
            </w:r>
          </w:p>
        </w:tc>
        <w:tc>
          <w:tcPr>
            <w:tcW w:w="1420" w:type="dxa"/>
            <w:vAlign w:val="bottom"/>
            <w:tcBorders>
              <w:top w:val="single" w:sz="8" w:color="auto"/>
            </w:tcBorders>
          </w:tcPr>
          <w:p>
            <w:pPr>
              <w:jc w:val="right"/>
              <w:ind w:right="356"/>
              <w:spacing w:after="0" w:line="167" w:lineRule="exact"/>
              <w:rPr>
                <w:sz w:val="20"/>
                <w:szCs w:val="20"/>
                <w:color w:val="auto"/>
              </w:rPr>
            </w:pPr>
            <w:r>
              <w:rPr>
                <w:rFonts w:ascii="Arial" w:cs="Arial" w:eastAsia="Arial" w:hAnsi="Arial"/>
                <w:sz w:val="15"/>
                <w:szCs w:val="15"/>
                <w:b w:val="1"/>
                <w:bCs w:val="1"/>
                <w:color w:val="auto"/>
              </w:rPr>
              <w: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1"/>
        </w:trPr>
        <w:tc>
          <w:tcPr>
            <w:tcW w:w="4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1,327</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1,163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164</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14.1 %</w:t>
            </w:r>
          </w:p>
        </w:tc>
      </w:tr>
      <w:tr>
        <w:trPr>
          <w:trHeight w:val="231"/>
        </w:trPr>
        <w:tc>
          <w:tcPr>
            <w:tcW w:w="464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Cost of sales</w:t>
            </w: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(960)</w:t>
            </w:r>
          </w:p>
        </w:tc>
        <w:tc>
          <w:tcPr>
            <w:tcW w:w="4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(840)</w:t>
            </w:r>
          </w:p>
        </w:tc>
        <w:tc>
          <w:tcPr>
            <w:tcW w:w="3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120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14.3 %</w:t>
            </w:r>
          </w:p>
        </w:tc>
      </w:tr>
      <w:tr>
        <w:trPr>
          <w:trHeight w:val="213"/>
        </w:trPr>
        <w:tc>
          <w:tcPr>
            <w:tcW w:w="4640" w:type="dxa"/>
            <w:vAlign w:val="bottom"/>
            <w:gridSpan w:val="3"/>
            <w:shd w:val="clear" w:color="auto" w:fill="CCEEFF"/>
          </w:tcPr>
          <w:p>
            <w:pPr>
              <w:ind w:left="20"/>
              <w:spacing w:after="0"/>
              <w:rPr>
                <w:sz w:val="20"/>
                <w:szCs w:val="20"/>
                <w:color w:val="auto"/>
              </w:rPr>
            </w:pPr>
            <w:r>
              <w:rPr>
                <w:rFonts w:ascii="Arial" w:cs="Arial" w:eastAsia="Arial" w:hAnsi="Arial"/>
                <w:sz w:val="17"/>
                <w:szCs w:val="17"/>
                <w:i w:val="1"/>
                <w:iCs w:val="1"/>
                <w:color w:val="auto"/>
              </w:rPr>
              <w:t>Cost of sales (% of net sales)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72.3 %</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72.2 %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95"/>
              <w:spacing w:after="0"/>
              <w:rPr>
                <w:sz w:val="20"/>
                <w:szCs w:val="20"/>
                <w:color w:val="auto"/>
              </w:rPr>
            </w:pPr>
            <w:r>
              <w:rPr>
                <w:rFonts w:ascii="Arial" w:cs="Arial" w:eastAsia="Arial" w:hAnsi="Arial"/>
                <w:sz w:val="17"/>
                <w:szCs w:val="17"/>
                <w:i w:val="1"/>
                <w:iCs w:val="1"/>
                <w:color w:val="auto"/>
              </w:rPr>
              <w:t>0.1</w:t>
            </w:r>
          </w:p>
        </w:tc>
        <w:tc>
          <w:tcPr>
            <w:tcW w:w="1420" w:type="dxa"/>
            <w:vAlign w:val="bottom"/>
            <w:shd w:val="clear" w:color="auto" w:fill="CCEEFF"/>
          </w:tcPr>
          <w:p>
            <w:pPr>
              <w:spacing w:after="0"/>
              <w:rPr>
                <w:sz w:val="18"/>
                <w:szCs w:val="18"/>
                <w:color w:val="auto"/>
              </w:rPr>
            </w:pP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420" w:type="dxa"/>
            <w:vAlign w:val="bottom"/>
          </w:tcPr>
          <w:p>
            <w:pPr>
              <w:spacing w:after="0"/>
              <w:rPr>
                <w:sz w:val="8"/>
                <w:szCs w:val="8"/>
                <w:color w:val="auto"/>
              </w:rPr>
            </w:pPr>
          </w:p>
        </w:tc>
      </w:tr>
      <w:tr>
        <w:trPr>
          <w:trHeight w:val="219"/>
        </w:trPr>
        <w:tc>
          <w:tcPr>
            <w:tcW w:w="4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367</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323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44</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13.6 %</w:t>
            </w: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420" w:type="dxa"/>
            <w:vAlign w:val="bottom"/>
          </w:tcPr>
          <w:p>
            <w:pPr>
              <w:spacing w:after="0"/>
              <w:rPr>
                <w:sz w:val="8"/>
                <w:szCs w:val="8"/>
                <w:color w:val="auto"/>
              </w:rPr>
            </w:pPr>
          </w:p>
        </w:tc>
      </w:tr>
      <w:tr>
        <w:trPr>
          <w:trHeight w:val="231"/>
        </w:trPr>
        <w:tc>
          <w:tcPr>
            <w:tcW w:w="4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(232)</w:t>
            </w:r>
          </w:p>
        </w:tc>
        <w:tc>
          <w:tcPr>
            <w:tcW w:w="4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(208)</w:t>
            </w:r>
          </w:p>
        </w:tc>
        <w:tc>
          <w:tcPr>
            <w:tcW w:w="3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11.5 %</w:t>
            </w:r>
          </w:p>
        </w:tc>
      </w:tr>
      <w:tr>
        <w:trPr>
          <w:trHeight w:val="84"/>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420" w:type="dxa"/>
            <w:vAlign w:val="bottom"/>
          </w:tcPr>
          <w:p>
            <w:pPr>
              <w:spacing w:after="0"/>
              <w:rPr>
                <w:sz w:val="7"/>
                <w:szCs w:val="7"/>
                <w:color w:val="auto"/>
              </w:rPr>
            </w:pPr>
          </w:p>
        </w:tc>
      </w:tr>
      <w:tr>
        <w:trPr>
          <w:trHeight w:val="244"/>
        </w:trPr>
        <w:tc>
          <w:tcPr>
            <w:tcW w:w="46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135</w:t>
            </w:r>
          </w:p>
        </w:tc>
        <w:tc>
          <w:tcPr>
            <w:tcW w:w="4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115</w:t>
            </w:r>
          </w:p>
        </w:tc>
        <w:tc>
          <w:tcPr>
            <w:tcW w:w="3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20</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640" w:type="dxa"/>
            <w:vAlign w:val="bottom"/>
            <w:gridSpan w:val="3"/>
          </w:tcPr>
          <w:p>
            <w:pPr>
              <w:ind w:left="20"/>
              <w:spacing w:after="0"/>
              <w:rPr>
                <w:sz w:val="20"/>
                <w:szCs w:val="20"/>
                <w:color w:val="auto"/>
              </w:rPr>
            </w:pPr>
            <w:r>
              <w:rPr>
                <w:rFonts w:ascii="Arial" w:cs="Arial" w:eastAsia="Arial" w:hAnsi="Arial"/>
                <w:sz w:val="17"/>
                <w:szCs w:val="17"/>
                <w:color w:val="auto"/>
              </w:rPr>
              <w:t>Income from operations (% of net sales)</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10.2 %</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9.9 %</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0.3</w:t>
            </w:r>
          </w:p>
        </w:tc>
        <w:tc>
          <w:tcPr>
            <w:tcW w:w="1420" w:type="dxa"/>
            <w:vAlign w:val="bottom"/>
            <w:tcBorders>
              <w:bottom w:val="single" w:sz="8" w:color="auto"/>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right="80" w:firstLine="464"/>
        <w:spacing w:after="0" w:line="273" w:lineRule="auto"/>
        <w:rPr>
          <w:sz w:val="20"/>
          <w:szCs w:val="20"/>
          <w:color w:val="auto"/>
        </w:rPr>
      </w:pPr>
      <w:r>
        <w:rPr>
          <w:rFonts w:ascii="Arial" w:cs="Arial" w:eastAsia="Arial" w:hAnsi="Arial"/>
          <w:sz w:val="17"/>
          <w:szCs w:val="17"/>
          <w:color w:val="auto"/>
        </w:rPr>
        <w:t>The following table shows the major components of the change in net sales for the Transit Segment in the first six months of 2023 from the first six months of 2022:</w:t>
      </w:r>
    </w:p>
    <w:tbl>
      <w:tblPr>
        <w:tblLayout w:type="fixed"/>
        <w:tblInd w:w="0" w:type="dxa"/>
        <w:tblCellMar>
          <w:top w:w="0" w:type="dxa"/>
          <w:left w:w="0" w:type="dxa"/>
          <w:bottom w:w="0" w:type="dxa"/>
          <w:right w:w="0" w:type="dxa"/>
        </w:tblCellMar>
      </w:tblPr>
      <w:tr>
        <w:trPr>
          <w:trHeight w:val="148"/>
        </w:trPr>
        <w:tc>
          <w:tcPr>
            <w:tcW w:w="9720" w:type="dxa"/>
            <w:vAlign w:val="bottom"/>
            <w:gridSpan w:val="3"/>
          </w:tcPr>
          <w:p>
            <w:pPr>
              <w:ind w:left="20"/>
              <w:spacing w:after="0" w:line="148" w:lineRule="exact"/>
              <w:rPr>
                <w:sz w:val="20"/>
                <w:szCs w:val="20"/>
                <w:color w:val="auto"/>
              </w:rPr>
            </w:pPr>
            <w:r>
              <w:rPr>
                <w:rFonts w:ascii="Arial" w:cs="Arial" w:eastAsia="Arial" w:hAnsi="Arial"/>
                <w:sz w:val="14"/>
                <w:szCs w:val="14"/>
                <w:b w:val="1"/>
                <w:bCs w:val="1"/>
                <w:i w:val="1"/>
                <w:iCs w:val="1"/>
                <w:color w:val="auto"/>
              </w:rPr>
              <w:t>In millions</w:t>
            </w: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9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9"/>
        </w:trPr>
        <w:tc>
          <w:tcPr>
            <w:tcW w:w="97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First Six Months of 2022 Net Sales</w:t>
            </w:r>
          </w:p>
        </w:tc>
        <w:tc>
          <w:tcPr>
            <w:tcW w:w="580" w:type="dxa"/>
            <w:vAlign w:val="bottom"/>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1,163</w:t>
            </w:r>
          </w:p>
        </w:tc>
      </w:tr>
      <w:tr>
        <w:trPr>
          <w:trHeight w:val="225"/>
        </w:trPr>
        <w:tc>
          <w:tcPr>
            <w:tcW w:w="20" w:type="dxa"/>
            <w:vAlign w:val="bottom"/>
          </w:tcPr>
          <w:p>
            <w:pPr>
              <w:spacing w:after="0"/>
              <w:rPr>
                <w:sz w:val="19"/>
                <w:szCs w:val="19"/>
                <w:color w:val="auto"/>
              </w:rPr>
            </w:pPr>
          </w:p>
        </w:tc>
        <w:tc>
          <w:tcPr>
            <w:tcW w:w="9700" w:type="dxa"/>
            <w:vAlign w:val="bottom"/>
            <w:gridSpan w:val="2"/>
          </w:tcPr>
          <w:p>
            <w:pPr>
              <w:ind w:left="100"/>
              <w:spacing w:after="0"/>
              <w:rPr>
                <w:sz w:val="20"/>
                <w:szCs w:val="20"/>
                <w:color w:val="auto"/>
              </w:rPr>
            </w:pPr>
            <w:r>
              <w:rPr>
                <w:rFonts w:ascii="Arial" w:cs="Arial" w:eastAsia="Arial" w:hAnsi="Arial"/>
                <w:sz w:val="17"/>
                <w:szCs w:val="17"/>
                <w:color w:val="auto"/>
              </w:rPr>
              <w:t>Foreign Exchange</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26"/>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Changes in Sales by Product Line:</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7"/>
                <w:szCs w:val="17"/>
                <w:color w:val="auto"/>
              </w:rPr>
              <w:t>Original Equipment Manufacturing</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232"/>
        </w:trPr>
        <w:tc>
          <w:tcPr>
            <w:tcW w:w="20" w:type="dxa"/>
            <w:vAlign w:val="bottom"/>
            <w:shd w:val="clear" w:color="auto" w:fill="CCEEFF"/>
          </w:tcPr>
          <w:p>
            <w:pPr>
              <w:spacing w:after="0"/>
              <w:rPr>
                <w:sz w:val="20"/>
                <w:szCs w:val="20"/>
                <w:color w:val="auto"/>
              </w:rPr>
            </w:pPr>
          </w:p>
        </w:tc>
        <w:tc>
          <w:tcPr>
            <w:tcW w:w="97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Aftermarket</w:t>
            </w:r>
          </w:p>
        </w:tc>
        <w:tc>
          <w:tcPr>
            <w:tcW w:w="5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w:t>
            </w:r>
          </w:p>
        </w:tc>
      </w:tr>
      <w:tr>
        <w:trPr>
          <w:trHeight w:val="213"/>
        </w:trPr>
        <w:tc>
          <w:tcPr>
            <w:tcW w:w="9720" w:type="dxa"/>
            <w:vAlign w:val="bottom"/>
            <w:gridSpan w:val="3"/>
          </w:tcPr>
          <w:p>
            <w:pPr>
              <w:ind w:left="20"/>
              <w:spacing w:after="0"/>
              <w:rPr>
                <w:sz w:val="20"/>
                <w:szCs w:val="20"/>
                <w:color w:val="auto"/>
              </w:rPr>
            </w:pPr>
            <w:r>
              <w:rPr>
                <w:rFonts w:ascii="Arial" w:cs="Arial" w:eastAsia="Arial" w:hAnsi="Arial"/>
                <w:sz w:val="17"/>
                <w:szCs w:val="17"/>
                <w:color w:val="auto"/>
              </w:rPr>
              <w:t>First Six Months of 2023 Net Sales</w:t>
            </w:r>
          </w:p>
        </w:tc>
        <w:tc>
          <w:tcPr>
            <w:tcW w:w="580" w:type="dxa"/>
            <w:vAlign w:val="bottom"/>
            <w:tcBorders>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1,327</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sales</w:t>
      </w:r>
    </w:p>
    <w:p>
      <w:pPr>
        <w:spacing w:after="0" w:line="17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Transit Segment organic sales increased by $197 million primarily driven by strong Aftermarket and Original Equipment Manufacturing sales primarily as a result of increased infrastructure investment and demand for original equipment door, HVAC and brake systems.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sales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Transit Segment Cost of sales increased by $120 million and Cost of sales as a percentage of sales increased by 0.1 percentage points due to:</w:t>
      </w:r>
    </w:p>
    <w:p>
      <w:pPr>
        <w:spacing w:after="0" w:line="37" w:lineRule="exact"/>
        <w:rPr>
          <w:sz w:val="20"/>
          <w:szCs w:val="20"/>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Higher sales volume</w:t>
      </w:r>
    </w:p>
    <w:p>
      <w:pPr>
        <w:spacing w:after="0" w:line="49"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Unfavorable mix within product lines</w:t>
      </w:r>
    </w:p>
    <w:p>
      <w:pPr>
        <w:spacing w:after="0" w:line="49"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Increased manufacturing costs</w:t>
      </w:r>
    </w:p>
    <w:p>
      <w:pPr>
        <w:spacing w:after="0" w:line="36"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Higher restructuring costs</w:t>
      </w:r>
    </w:p>
    <w:p>
      <w:pPr>
        <w:spacing w:after="0" w:line="294" w:lineRule="exact"/>
        <w:rPr>
          <w:sz w:val="20"/>
          <w:szCs w:val="20"/>
          <w:color w:val="auto"/>
        </w:rPr>
      </w:pPr>
    </w:p>
    <w:p>
      <w:pPr>
        <w:ind w:left="620" w:hanging="307"/>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Benefits from structured cost actions taken through Integration 2.0 and prior years' restructuring and integration projects</w:t>
      </w:r>
    </w:p>
    <w:p>
      <w:pPr>
        <w:spacing w:after="0" w:line="49" w:lineRule="exact"/>
        <w:rPr>
          <w:rFonts w:ascii="Arial" w:cs="Arial" w:eastAsia="Arial" w:hAnsi="Arial"/>
          <w:sz w:val="17"/>
          <w:szCs w:val="17"/>
          <w:color w:val="auto"/>
        </w:rPr>
      </w:pPr>
    </w:p>
    <w:p>
      <w:pPr>
        <w:ind w:left="620" w:hanging="307"/>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effects of foreign exchange rates</w:t>
      </w:r>
    </w:p>
    <w:p>
      <w:pPr>
        <w:spacing w:after="0" w:line="165" w:lineRule="exact"/>
        <w:rPr>
          <w:sz w:val="20"/>
          <w:szCs w:val="20"/>
          <w:color w:val="auto"/>
        </w:rPr>
      </w:pPr>
    </w:p>
    <w:p>
      <w:pPr>
        <w:ind w:right="580"/>
        <w:spacing w:after="0" w:line="279" w:lineRule="auto"/>
        <w:rPr>
          <w:sz w:val="20"/>
          <w:szCs w:val="20"/>
          <w:color w:val="auto"/>
        </w:rPr>
      </w:pPr>
      <w:r>
        <w:rPr>
          <w:rFonts w:ascii="Arial" w:cs="Arial" w:eastAsia="Arial" w:hAnsi="Arial"/>
          <w:sz w:val="17"/>
          <w:szCs w:val="17"/>
          <w:color w:val="auto"/>
        </w:rPr>
        <w:t>Transit Cost of sales for the six months ended June 30, 2023 and 2022 includes $6 million and $4 million, respectively, of restructuring costs, primarily for footprint rationalization and headcount actions in Europe, with the amounts in 2023 related to Integration 2.0.</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Transit Segment operating expenses increased by $24 million primarily driven by:</w:t>
      </w:r>
    </w:p>
    <w:p>
      <w:pPr>
        <w:spacing w:after="0" w:line="62" w:lineRule="exact"/>
        <w:rPr>
          <w:sz w:val="20"/>
          <w:szCs w:val="20"/>
          <w:color w:val="auto"/>
        </w:rPr>
      </w:pPr>
    </w:p>
    <w:p>
      <w:pPr>
        <w:ind w:left="620" w:hanging="307"/>
        <w:spacing w:after="0"/>
        <w:tabs>
          <w:tab w:leader="none" w:pos="620" w:val="left"/>
        </w:tabs>
        <w:numPr>
          <w:ilvl w:val="0"/>
          <w:numId w:val="17"/>
        </w:numPr>
        <w:rPr>
          <w:rFonts w:ascii="Arial" w:cs="Arial" w:eastAsia="Arial" w:hAnsi="Arial"/>
          <w:sz w:val="17"/>
          <w:szCs w:val="17"/>
          <w:b w:val="1"/>
          <w:bCs w:val="1"/>
          <w:color w:val="auto"/>
        </w:rPr>
      </w:pPr>
      <w:r>
        <w:rPr>
          <w:rFonts w:ascii="Arial" w:cs="Arial" w:eastAsia="Arial" w:hAnsi="Arial"/>
          <w:sz w:val="17"/>
          <w:szCs w:val="17"/>
          <w:color w:val="auto"/>
        </w:rPr>
        <w:t>Higher SG&amp;A expenses of $19 million to support higher sales volume and higher employee compensation and benefit costs</w:t>
      </w:r>
    </w:p>
    <w:p>
      <w:pPr>
        <w:spacing w:after="0" w:line="62" w:lineRule="exact"/>
        <w:rPr>
          <w:rFonts w:ascii="Arial" w:cs="Arial" w:eastAsia="Arial" w:hAnsi="Arial"/>
          <w:sz w:val="17"/>
          <w:szCs w:val="17"/>
          <w:b w:val="1"/>
          <w:bCs w:val="1"/>
          <w:color w:val="auto"/>
        </w:rPr>
      </w:pPr>
    </w:p>
    <w:p>
      <w:pPr>
        <w:ind w:left="620" w:hanging="30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Higher Engineering expenses of $4 million for investments in new technology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i w:val="1"/>
          <w:iCs w:val="1"/>
          <w:color w:val="auto"/>
        </w:rPr>
        <w:t>Partially offset by:</w:t>
      </w:r>
    </w:p>
    <w:p>
      <w:pPr>
        <w:spacing w:after="0" w:line="62" w:lineRule="exact"/>
        <w:rPr>
          <w:sz w:val="20"/>
          <w:szCs w:val="20"/>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Benefits from structured cost actions taken through restructuring actions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effects of foreign currency</w:t>
      </w:r>
    </w:p>
    <w:p>
      <w:pPr>
        <w:spacing w:after="0" w:line="101"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Transit Operating expenses for the six months ended June 30, 2023 and 2022 includes $7 million and $3 million, respectively, of restructuring costs, primarily for footprint rationalization and headcount actions in Europe, with the amounts in 2023 related to Integration 2.0.</w:t>
      </w: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952" w:right="45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0" w:lineRule="exact"/>
        <w:rPr>
          <w:sz w:val="20"/>
          <w:szCs w:val="20"/>
          <w:color w:val="auto"/>
        </w:rPr>
      </w:pPr>
    </w:p>
    <w:p>
      <w:pPr>
        <w:ind w:right="60" w:firstLine="464"/>
        <w:spacing w:after="0" w:line="262" w:lineRule="auto"/>
        <w:rPr>
          <w:sz w:val="20"/>
          <w:szCs w:val="20"/>
          <w:color w:val="auto"/>
        </w:rPr>
      </w:pPr>
      <w:r>
        <w:rPr>
          <w:rFonts w:ascii="Arial" w:cs="Arial" w:eastAsia="Arial" w:hAnsi="Arial"/>
          <w:sz w:val="17"/>
          <w:szCs w:val="17"/>
          <w:color w:val="auto"/>
        </w:rPr>
        <w:t>Liquidity is provided by operating cash flows and borrowings under the Company’s Senior Notes and unsecured credit facility with a consortium of commercial banks. Additionally, the Company utilizes the revolving receivables program and supply chain financing program described below, as well as other short-term financing agreements with certain banks for added flexibility as part of our liquidity management strategy. The following is a summary of selected cash flow information and other relevant data:</w:t>
      </w: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gridSpan w:val="3"/>
          </w:tcPr>
          <w:p>
            <w:pPr>
              <w:ind w:left="20"/>
              <w:spacing w:after="0" w:line="164" w:lineRule="exact"/>
              <w:rPr>
                <w:sz w:val="20"/>
                <w:szCs w:val="20"/>
                <w:color w:val="auto"/>
              </w:rPr>
            </w:pPr>
            <w:r>
              <w:rPr>
                <w:rFonts w:ascii="Arial" w:cs="Arial" w:eastAsia="Arial" w:hAnsi="Arial"/>
                <w:sz w:val="15"/>
                <w:szCs w:val="15"/>
                <w:b w:val="1"/>
                <w:bCs w:val="1"/>
                <w:color w:val="auto"/>
                <w:w w:val="95"/>
              </w:rPr>
              <w:t>Six Months Ended</w:t>
            </w:r>
          </w:p>
        </w:tc>
        <w:tc>
          <w:tcPr>
            <w:tcW w:w="940" w:type="dxa"/>
            <w:vAlign w:val="bottom"/>
          </w:tcPr>
          <w:p>
            <w:pPr>
              <w:spacing w:after="0"/>
              <w:rPr>
                <w:sz w:val="14"/>
                <w:szCs w:val="14"/>
                <w:color w:val="auto"/>
              </w:rPr>
            </w:pPr>
          </w:p>
        </w:tc>
      </w:tr>
      <w:tr>
        <w:trPr>
          <w:trHeight w:val="204"/>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ind w:left="360"/>
              <w:spacing w:after="0"/>
              <w:rPr>
                <w:sz w:val="20"/>
                <w:szCs w:val="20"/>
                <w:color w:val="auto"/>
              </w:rPr>
            </w:pPr>
            <w:r>
              <w:rPr>
                <w:rFonts w:ascii="Arial" w:cs="Arial" w:eastAsia="Arial" w:hAnsi="Arial"/>
                <w:sz w:val="15"/>
                <w:szCs w:val="15"/>
                <w:b w:val="1"/>
                <w:bCs w:val="1"/>
                <w:color w:val="auto"/>
              </w:rPr>
              <w:t>June 30,</w:t>
            </w:r>
          </w:p>
        </w:tc>
        <w:tc>
          <w:tcPr>
            <w:tcW w:w="940" w:type="dxa"/>
            <w:vAlign w:val="bottom"/>
            <w:tcBorders>
              <w:bottom w:val="single" w:sz="8" w:color="auto"/>
            </w:tcBorders>
          </w:tcPr>
          <w:p>
            <w:pPr>
              <w:spacing w:after="0"/>
              <w:rPr>
                <w:sz w:val="17"/>
                <w:szCs w:val="17"/>
                <w:color w:val="auto"/>
              </w:rPr>
            </w:pPr>
          </w:p>
        </w:tc>
      </w:tr>
      <w:tr>
        <w:trPr>
          <w:trHeight w:val="163"/>
        </w:trPr>
        <w:tc>
          <w:tcPr>
            <w:tcW w:w="80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960" w:type="dxa"/>
            <w:vAlign w:val="bottom"/>
          </w:tcPr>
          <w:p>
            <w:pPr>
              <w:jc w:val="right"/>
              <w:spacing w:after="0" w:line="163" w:lineRule="exact"/>
              <w:rPr>
                <w:sz w:val="20"/>
                <w:szCs w:val="20"/>
                <w:color w:val="auto"/>
              </w:rPr>
            </w:pPr>
            <w:r>
              <w:rPr>
                <w:rFonts w:ascii="Arial" w:cs="Arial" w:eastAsia="Arial" w:hAnsi="Arial"/>
                <w:sz w:val="15"/>
                <w:szCs w:val="15"/>
                <w:b w:val="1"/>
                <w:bCs w:val="1"/>
                <w:color w:val="auto"/>
              </w:rPr>
              <w:t>2023</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jc w:val="right"/>
              <w:ind w:right="516"/>
              <w:spacing w:after="0" w:line="163" w:lineRule="exact"/>
              <w:rPr>
                <w:sz w:val="20"/>
                <w:szCs w:val="20"/>
                <w:color w:val="auto"/>
              </w:rPr>
            </w:pPr>
            <w:r>
              <w:rPr>
                <w:rFonts w:ascii="Arial" w:cs="Arial" w:eastAsia="Arial" w:hAnsi="Arial"/>
                <w:sz w:val="15"/>
                <w:szCs w:val="15"/>
                <w:b w:val="1"/>
                <w:bCs w:val="1"/>
                <w:color w:val="auto"/>
                <w:w w:val="95"/>
              </w:rPr>
              <w:t>2022</w:t>
            </w: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1"/>
        </w:trPr>
        <w:tc>
          <w:tcPr>
            <w:tcW w:w="80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Cash provided by (used for):</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8040" w:type="dxa"/>
            <w:vAlign w:val="bottom"/>
            <w:gridSpan w:val="2"/>
          </w:tcPr>
          <w:p>
            <w:pPr>
              <w:ind w:left="240"/>
              <w:spacing w:after="0"/>
              <w:rPr>
                <w:sz w:val="20"/>
                <w:szCs w:val="20"/>
                <w:color w:val="auto"/>
              </w:rPr>
            </w:pPr>
            <w:r>
              <w:rPr>
                <w:rFonts w:ascii="Arial" w:cs="Arial" w:eastAsia="Arial" w:hAnsi="Arial"/>
                <w:sz w:val="17"/>
                <w:szCs w:val="17"/>
                <w:color w:val="auto"/>
              </w:rPr>
              <w:t>Operating activities</w:t>
            </w:r>
          </w:p>
        </w:tc>
        <w:tc>
          <w:tcPr>
            <w:tcW w:w="960" w:type="dxa"/>
            <w:vAlign w:val="bottom"/>
          </w:tcPr>
          <w:p>
            <w:pPr>
              <w:jc w:val="right"/>
              <w:ind w:right="776"/>
              <w:spacing w:after="0"/>
              <w:rPr>
                <w:sz w:val="20"/>
                <w:szCs w:val="20"/>
                <w:color w:val="auto"/>
              </w:rPr>
            </w:pPr>
            <w:r>
              <w:rPr>
                <w:rFonts w:ascii="Arial" w:cs="Arial" w:eastAsia="Arial" w:hAnsi="Arial"/>
                <w:sz w:val="17"/>
                <w:szCs w:val="17"/>
                <w:color w:val="auto"/>
                <w:w w:val="84"/>
              </w:rPr>
              <w:t>$</w:t>
            </w:r>
          </w:p>
        </w:tc>
        <w:tc>
          <w:tcPr>
            <w:tcW w:w="580" w:type="dxa"/>
            <w:vAlign w:val="bottom"/>
          </w:tcPr>
          <w:p>
            <w:pPr>
              <w:ind w:left="340"/>
              <w:spacing w:after="0"/>
              <w:rPr>
                <w:sz w:val="20"/>
                <w:szCs w:val="20"/>
                <w:color w:val="auto"/>
              </w:rPr>
            </w:pPr>
            <w:r>
              <w:rPr>
                <w:rFonts w:ascii="Arial" w:cs="Arial" w:eastAsia="Arial" w:hAnsi="Arial"/>
                <w:sz w:val="17"/>
                <w:szCs w:val="17"/>
                <w:color w:val="auto"/>
              </w:rPr>
              <w:t>90</w:t>
            </w:r>
          </w:p>
        </w:tc>
        <w:tc>
          <w:tcPr>
            <w:tcW w:w="70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940" w:type="dxa"/>
            <w:vAlign w:val="bottom"/>
          </w:tcPr>
          <w:p>
            <w:pPr>
              <w:jc w:val="center"/>
              <w:ind w:left="476"/>
              <w:spacing w:after="0"/>
              <w:rPr>
                <w:sz w:val="20"/>
                <w:szCs w:val="20"/>
                <w:color w:val="auto"/>
              </w:rPr>
            </w:pPr>
            <w:r>
              <w:rPr>
                <w:rFonts w:ascii="Arial" w:cs="Arial" w:eastAsia="Arial" w:hAnsi="Arial"/>
                <w:sz w:val="17"/>
                <w:szCs w:val="17"/>
                <w:color w:val="auto"/>
                <w:w w:val="91"/>
              </w:rPr>
              <w:t>424</w:t>
            </w:r>
          </w:p>
        </w:tc>
      </w:tr>
      <w:tr>
        <w:trPr>
          <w:trHeight w:val="220"/>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Investing activities</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5"/>
              </w:rPr>
              <w:t>(293)</w:t>
            </w:r>
          </w:p>
        </w:tc>
        <w:tc>
          <w:tcPr>
            <w:tcW w:w="7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center"/>
              <w:ind w:left="456"/>
              <w:spacing w:after="0"/>
              <w:rPr>
                <w:sz w:val="20"/>
                <w:szCs w:val="20"/>
                <w:color w:val="auto"/>
              </w:rPr>
            </w:pPr>
            <w:r>
              <w:rPr>
                <w:rFonts w:ascii="Arial" w:cs="Arial" w:eastAsia="Arial" w:hAnsi="Arial"/>
                <w:sz w:val="17"/>
                <w:szCs w:val="17"/>
                <w:color w:val="auto"/>
                <w:w w:val="90"/>
              </w:rPr>
              <w:t>(117)</w:t>
            </w:r>
          </w:p>
        </w:tc>
      </w:tr>
      <w:tr>
        <w:trPr>
          <w:trHeight w:val="218"/>
        </w:trPr>
        <w:tc>
          <w:tcPr>
            <w:tcW w:w="20" w:type="dxa"/>
            <w:vAlign w:val="bottom"/>
          </w:tcPr>
          <w:p>
            <w:pPr>
              <w:spacing w:after="0"/>
              <w:rPr>
                <w:sz w:val="18"/>
                <w:szCs w:val="18"/>
                <w:color w:val="auto"/>
              </w:rPr>
            </w:pPr>
          </w:p>
        </w:tc>
        <w:tc>
          <w:tcPr>
            <w:tcW w:w="8040" w:type="dxa"/>
            <w:vAlign w:val="bottom"/>
            <w:gridSpan w:val="2"/>
          </w:tcPr>
          <w:p>
            <w:pPr>
              <w:ind w:left="240"/>
              <w:spacing w:after="0"/>
              <w:rPr>
                <w:sz w:val="20"/>
                <w:szCs w:val="20"/>
                <w:color w:val="auto"/>
              </w:rPr>
            </w:pPr>
            <w:r>
              <w:rPr>
                <w:rFonts w:ascii="Arial" w:cs="Arial" w:eastAsia="Arial" w:hAnsi="Arial"/>
                <w:sz w:val="17"/>
                <w:szCs w:val="17"/>
                <w:color w:val="auto"/>
              </w:rPr>
              <w:t>Financing activities</w:t>
            </w:r>
          </w:p>
        </w:tc>
        <w:tc>
          <w:tcPr>
            <w:tcW w:w="960" w:type="dxa"/>
            <w:vAlign w:val="bottom"/>
          </w:tcPr>
          <w:p>
            <w:pPr>
              <w:jc w:val="right"/>
              <w:ind w:right="776"/>
              <w:spacing w:after="0"/>
              <w:rPr>
                <w:sz w:val="20"/>
                <w:szCs w:val="20"/>
                <w:color w:val="auto"/>
              </w:rPr>
            </w:pPr>
            <w:r>
              <w:rPr>
                <w:rFonts w:ascii="Arial" w:cs="Arial" w:eastAsia="Arial" w:hAnsi="Arial"/>
                <w:sz w:val="17"/>
                <w:szCs w:val="17"/>
                <w:color w:val="auto"/>
                <w:w w:val="84"/>
              </w:rPr>
              <w:t>$</w:t>
            </w:r>
          </w:p>
        </w:tc>
        <w:tc>
          <w:tcPr>
            <w:tcW w:w="580" w:type="dxa"/>
            <w:vAlign w:val="bottom"/>
          </w:tcPr>
          <w:p>
            <w:pPr>
              <w:ind w:left="340"/>
              <w:spacing w:after="0"/>
              <w:rPr>
                <w:sz w:val="20"/>
                <w:szCs w:val="20"/>
                <w:color w:val="auto"/>
              </w:rPr>
            </w:pPr>
            <w:r>
              <w:rPr>
                <w:rFonts w:ascii="Arial" w:cs="Arial" w:eastAsia="Arial" w:hAnsi="Arial"/>
                <w:sz w:val="17"/>
                <w:szCs w:val="17"/>
                <w:color w:val="auto"/>
              </w:rPr>
              <w:t>30</w:t>
            </w:r>
          </w:p>
        </w:tc>
        <w:tc>
          <w:tcPr>
            <w:tcW w:w="70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940" w:type="dxa"/>
            <w:vAlign w:val="bottom"/>
          </w:tcPr>
          <w:p>
            <w:pPr>
              <w:jc w:val="center"/>
              <w:ind w:left="436"/>
              <w:spacing w:after="0"/>
              <w:rPr>
                <w:sz w:val="20"/>
                <w:szCs w:val="20"/>
                <w:color w:val="auto"/>
              </w:rPr>
            </w:pPr>
            <w:r>
              <w:rPr>
                <w:rFonts w:ascii="Arial" w:cs="Arial" w:eastAsia="Arial" w:hAnsi="Arial"/>
                <w:sz w:val="17"/>
                <w:szCs w:val="17"/>
                <w:color w:val="auto"/>
                <w:w w:val="95"/>
              </w:rPr>
              <w:t>(256)</w:t>
            </w:r>
          </w:p>
        </w:tc>
      </w:tr>
    </w:tbl>
    <w:p>
      <w:pPr>
        <w:spacing w:after="0" w:line="234" w:lineRule="exact"/>
        <w:rPr>
          <w:sz w:val="20"/>
          <w:szCs w:val="20"/>
          <w:color w:val="auto"/>
        </w:rPr>
      </w:pPr>
    </w:p>
    <w:p>
      <w:pPr>
        <w:ind w:right="140" w:firstLine="464"/>
        <w:spacing w:after="0" w:line="312"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In the first six months of 2023, cash provided by operating activities was $90 million compared to $424 million in the first six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2022, resulting in a decrease of $334 million. Significant changes to the sources and (uses) of cash causing the decrease include the following:</w:t>
      </w:r>
    </w:p>
    <w:p>
      <w:pPr>
        <w:spacing w:after="0" w:line="37" w:lineRule="exact"/>
        <w:rPr>
          <w:sz w:val="20"/>
          <w:szCs w:val="20"/>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$54 million attributable to higher Net income and other changes in the related statements of income amounts;</w:t>
      </w:r>
    </w:p>
    <w:p>
      <w:pPr>
        <w:spacing w:after="0" w:line="113" w:lineRule="exact"/>
        <w:rPr>
          <w:rFonts w:ascii="Arial" w:cs="Arial" w:eastAsia="Arial" w:hAnsi="Arial"/>
          <w:sz w:val="17"/>
          <w:szCs w:val="17"/>
          <w:color w:val="auto"/>
        </w:rPr>
      </w:pPr>
    </w:p>
    <w:p>
      <w:pPr>
        <w:jc w:val="both"/>
        <w:ind w:left="620" w:right="360" w:hanging="307"/>
        <w:spacing w:after="0" w:line="266" w:lineRule="auto"/>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$(377) million from net changes in working capital primarily driven by: $(195) million related to changes in receivables due to timing and volume of sales and the net change in the Revolving Receivables Program, $(190) million unfavorable change in Accounts payable and $8 million of favorable change in Inventory;</w:t>
      </w:r>
    </w:p>
    <w:p>
      <w:pPr>
        <w:spacing w:after="0" w:line="71"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$(45) million from changes in the timing of customer deposits; and,</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$52 million from changes to employee related benefit payments.</w:t>
      </w:r>
    </w:p>
    <w:p>
      <w:pPr>
        <w:spacing w:after="0" w:line="114" w:lineRule="exact"/>
        <w:rPr>
          <w:sz w:val="20"/>
          <w:szCs w:val="20"/>
          <w:color w:val="auto"/>
        </w:rPr>
      </w:pPr>
    </w:p>
    <w:p>
      <w:pPr>
        <w:ind w:right="60" w:firstLine="464"/>
        <w:spacing w:after="0" w:line="259" w:lineRule="auto"/>
        <w:rPr>
          <w:sz w:val="20"/>
          <w:szCs w:val="20"/>
          <w:color w:val="auto"/>
        </w:rPr>
      </w:pPr>
      <w:r>
        <w:rPr>
          <w:rFonts w:ascii="Arial" w:cs="Arial" w:eastAsia="Arial" w:hAnsi="Arial"/>
          <w:sz w:val="17"/>
          <w:szCs w:val="17"/>
          <w:b w:val="1"/>
          <w:bCs w:val="1"/>
          <w:i w:val="1"/>
          <w:iCs w:val="1"/>
          <w:color w:val="auto"/>
        </w:rPr>
        <w:t xml:space="preserve">Investing activities </w:t>
      </w:r>
      <w:r>
        <w:rPr>
          <w:rFonts w:ascii="Arial" w:cs="Arial" w:eastAsia="Arial" w:hAnsi="Arial"/>
          <w:sz w:val="17"/>
          <w:szCs w:val="17"/>
          <w:color w:val="auto"/>
        </w:rPr>
        <w:t>In the first six months of 2023 and 2022, cash used for investing activities was $(293) million and $(117) million, respectively. During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first six months of 2023, Wabtec acquired L&amp;M Radiator Inc., a leading manufacturer of heavy-duty equipment radiators and heat exchangers, for net cash of approximately $(223) million, and expended $(70) million in additions to property, plant and equipment for investments in our facilities and manufacturing processes. During the first six months of 2022, Wabtec made two strategic acquisitions for a combined purchase price of $(69) million and expended $(50) million for additions to property, plant, and equipment.</w:t>
      </w:r>
    </w:p>
    <w:p>
      <w:pPr>
        <w:spacing w:after="0" w:line="80" w:lineRule="exact"/>
        <w:rPr>
          <w:sz w:val="20"/>
          <w:szCs w:val="20"/>
          <w:color w:val="auto"/>
        </w:rPr>
      </w:pPr>
    </w:p>
    <w:p>
      <w:pPr>
        <w:ind w:right="40" w:firstLine="464"/>
        <w:spacing w:after="0" w:line="259" w:lineRule="auto"/>
        <w:rPr>
          <w:sz w:val="20"/>
          <w:szCs w:val="20"/>
          <w:color w:val="auto"/>
        </w:rPr>
      </w:pPr>
      <w:r>
        <w:rPr>
          <w:rFonts w:ascii="Arial" w:cs="Arial" w:eastAsia="Arial" w:hAnsi="Arial"/>
          <w:sz w:val="17"/>
          <w:szCs w:val="17"/>
          <w:b w:val="1"/>
          <w:bCs w:val="1"/>
          <w:i w:val="1"/>
          <w:iCs w:val="1"/>
          <w:color w:val="auto"/>
        </w:rPr>
        <w:t xml:space="preserve">Financing activities </w:t>
      </w:r>
      <w:r>
        <w:rPr>
          <w:rFonts w:ascii="Arial" w:cs="Arial" w:eastAsia="Arial" w:hAnsi="Arial"/>
          <w:sz w:val="17"/>
          <w:szCs w:val="17"/>
          <w:color w:val="auto"/>
        </w:rPr>
        <w:t>In the first six months of 2023, cash provided by financing activities was $30 million which included $374 million from net changes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debt, $(252) million in stock repurchases, $(62) million of dividend payments, $(15) million of payments for income tax withholding on share-based compensation, and $(12) million for distributions to noncontrolling interest. In the first six months of 2022, cash used for financing activities was $(256) million, which included $200 million from net changes in debt, $(399) million in stock repurchases, $(55) million of dividend payments, and $(1) million of payments for income tax withholding on share-based compensation.</w:t>
      </w:r>
    </w:p>
    <w:p>
      <w:pPr>
        <w:spacing w:after="0" w:line="80" w:lineRule="exact"/>
        <w:rPr>
          <w:sz w:val="20"/>
          <w:szCs w:val="20"/>
          <w:color w:val="auto"/>
        </w:rPr>
      </w:pPr>
    </w:p>
    <w:p>
      <w:pPr>
        <w:ind w:right="140" w:firstLine="464"/>
        <w:spacing w:after="0" w:line="262" w:lineRule="auto"/>
        <w:rPr>
          <w:sz w:val="20"/>
          <w:szCs w:val="20"/>
          <w:color w:val="auto"/>
        </w:rPr>
      </w:pPr>
      <w:r>
        <w:rPr>
          <w:rFonts w:ascii="Arial" w:cs="Arial" w:eastAsia="Arial" w:hAnsi="Arial"/>
          <w:sz w:val="17"/>
          <w:szCs w:val="17"/>
          <w:color w:val="auto"/>
        </w:rPr>
        <w:t>As of June 30, 2023, the Company held approximately $371 million of cash, cash equivalents and restricted cash, of which approximately $13 million was held within the United States and approximately $358 million was held outside of the United States, primarily in India, Europe, China, and Brazil. While repatriation of some cash held outside the United States may be restricted by local laws, most of the Company’s foreign cash could be repatriated to the United States net of any tax impacts.</w:t>
      </w:r>
    </w:p>
    <w:p>
      <w:pPr>
        <w:spacing w:after="0" w:line="75" w:lineRule="exact"/>
        <w:rPr>
          <w:sz w:val="20"/>
          <w:szCs w:val="20"/>
          <w:color w:val="auto"/>
        </w:rPr>
      </w:pPr>
    </w:p>
    <w:p>
      <w:pPr>
        <w:ind w:right="120" w:firstLine="464"/>
        <w:spacing w:after="0" w:line="259" w:lineRule="auto"/>
        <w:rPr>
          <w:sz w:val="20"/>
          <w:szCs w:val="20"/>
          <w:color w:val="auto"/>
        </w:rPr>
      </w:pPr>
      <w:r>
        <w:rPr>
          <w:rFonts w:ascii="Arial" w:cs="Arial" w:eastAsia="Arial" w:hAnsi="Arial"/>
          <w:sz w:val="17"/>
          <w:szCs w:val="17"/>
          <w:color w:val="auto"/>
        </w:rPr>
        <w:t>Beginning September 15, 2023, the effective interest rates for the 2024 Notes and the 2028 Notes will each be reduced by 0.25% due to a favorable change in Wabtec's corporate bond rating. Additionally, Management is evaluating options to refinance the $250 million of Senior Notes due on August 15, 2023, including the option to utilize the Delayed Draw Term Loan in the Restated Credit Agreement. During 2023, the Company has also entered into $250 million of interest rate contracts to manage its net exposure to interest rate changes and its overall cost of borrowing. These contracts may be utilized for future bond refinancing.</w:t>
      </w:r>
    </w:p>
    <w:p>
      <w:pPr>
        <w:spacing w:after="0" w:line="80" w:lineRule="exact"/>
        <w:rPr>
          <w:sz w:val="20"/>
          <w:szCs w:val="20"/>
          <w:color w:val="auto"/>
        </w:rPr>
      </w:pPr>
    </w:p>
    <w:p>
      <w:pPr>
        <w:jc w:val="both"/>
        <w:ind w:right="300" w:firstLine="464"/>
        <w:spacing w:after="0" w:line="266" w:lineRule="auto"/>
        <w:rPr>
          <w:sz w:val="20"/>
          <w:szCs w:val="20"/>
          <w:color w:val="auto"/>
        </w:rPr>
      </w:pPr>
      <w:r>
        <w:rPr>
          <w:rFonts w:ascii="Arial" w:cs="Arial" w:eastAsia="Arial" w:hAnsi="Arial"/>
          <w:sz w:val="17"/>
          <w:szCs w:val="17"/>
          <w:color w:val="auto"/>
        </w:rPr>
        <w:t>We or our affiliates may, from time to time, seek to retire or purchase outstanding debt through negotiated or open-market cash purchases, exchanges, or otherwise, and such transactions, if any, will be upon such terms and at such prices as we may determine, and will depend on prevailing market conditions, our liquidity requirements, contractual restrictions and other factors.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i w:val="1"/>
          <w:iCs w:val="1"/>
          <w:color w:val="auto"/>
        </w:rPr>
        <w:t>Revolving Receivables Program</w:t>
      </w:r>
    </w:p>
    <w:p>
      <w:pPr>
        <w:spacing w:after="0" w:line="114" w:lineRule="exact"/>
        <w:rPr>
          <w:sz w:val="20"/>
          <w:szCs w:val="20"/>
          <w:color w:val="auto"/>
        </w:rPr>
      </w:pPr>
    </w:p>
    <w:p>
      <w:pPr>
        <w:ind w:firstLine="464"/>
        <w:spacing w:after="0" w:line="258" w:lineRule="auto"/>
        <w:rPr>
          <w:sz w:val="20"/>
          <w:szCs w:val="20"/>
          <w:color w:val="auto"/>
        </w:rPr>
      </w:pPr>
      <w:r>
        <w:rPr>
          <w:rFonts w:ascii="Arial" w:cs="Arial" w:eastAsia="Arial" w:hAnsi="Arial"/>
          <w:sz w:val="17"/>
          <w:szCs w:val="17"/>
          <w:color w:val="auto"/>
        </w:rPr>
        <w:t>The Company utilizes a revolving receivables facility to sell up to $350 million of certain receivables through our bankruptcy-remote subsidiary to a financial institution on a recurring basis in exchange for cash equal to the gross receivables sold. As customers pay their balances, we transfer additional receivables into the program, which could result in our gross receivables sold being higher or lower than collections reinvested for any applicable periods. Net cash proceeds from the revolving receivables program were $155 million and $180 million for the six months ended June 30, 2023 and 2022, respectively. Additional information with respect to the Revolving Receivables Program is included in Note 2 of "Notes to Condensed Consolidated Financial Statements" included in Part I, Item 1 of this report.</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Supply Chain Financing Program</w:t>
      </w:r>
    </w:p>
    <w:p>
      <w:pPr>
        <w:spacing w:after="0" w:line="114" w:lineRule="exact"/>
        <w:rPr>
          <w:sz w:val="20"/>
          <w:szCs w:val="20"/>
          <w:color w:val="auto"/>
        </w:rPr>
      </w:pPr>
    </w:p>
    <w:p>
      <w:pPr>
        <w:ind w:right="140" w:firstLine="464"/>
        <w:spacing w:after="0" w:line="299" w:lineRule="auto"/>
        <w:rPr>
          <w:sz w:val="20"/>
          <w:szCs w:val="20"/>
          <w:color w:val="auto"/>
        </w:rPr>
      </w:pPr>
      <w:r>
        <w:rPr>
          <w:rFonts w:ascii="Arial" w:cs="Arial" w:eastAsia="Arial" w:hAnsi="Arial"/>
          <w:sz w:val="15"/>
          <w:szCs w:val="15"/>
          <w:color w:val="auto"/>
        </w:rPr>
        <w:t>The Company has entered into supply chain financing arrangements with third-party financial institutions to provide our vendors with enhanced payment options while providing the Company with added working capital flexibility. The Company does not provide any guarantees under these arrangements, does not have an economic interest in our supplier's voluntary participation, does not receive an economic benefit from the financial institutions, and no assets are pledged under the arrangements. The arrangements do not change the payable terms negotiated by the Company and our vendors and does not result in a change in the classification of amounts due as Accounts payable in the Condensed Consolidated Balance Sheets. Additional information with respect to the Supply Chain Financing Program is included in Note 2 of "Notes to Condensed Consolidated Financial Statements" included in Part I, Item 1 of this report.</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Guarantor Summarized Financial Information</w:t>
      </w:r>
    </w:p>
    <w:p>
      <w:pPr>
        <w:spacing w:after="0" w:line="114" w:lineRule="exact"/>
        <w:rPr>
          <w:sz w:val="20"/>
          <w:szCs w:val="20"/>
          <w:color w:val="auto"/>
        </w:rPr>
      </w:pPr>
    </w:p>
    <w:p>
      <w:pPr>
        <w:ind w:firstLine="464"/>
        <w:spacing w:after="0" w:line="262" w:lineRule="auto"/>
        <w:rPr>
          <w:sz w:val="20"/>
          <w:szCs w:val="20"/>
          <w:color w:val="auto"/>
        </w:rPr>
      </w:pPr>
      <w:r>
        <w:rPr>
          <w:rFonts w:ascii="Arial" w:cs="Arial" w:eastAsia="Arial" w:hAnsi="Arial"/>
          <w:sz w:val="17"/>
          <w:szCs w:val="17"/>
          <w:color w:val="auto"/>
        </w:rPr>
        <w:t>The obligations under the Parent Company's US Notes have been fully and unconditionally guaranteed by certain of the Parent Company's U.S. subsidiaries. Each guarantor is 100% owned by the Parent Company, with the exception of GE Transportation, a Wabtec Company, which has 15,000 shares outstanding of Class A Non-Voting Preferred Stock held by General Electric Company. The Euro Notes are issued by Wabtec Transportation Netherlands B.V. ("Wabtec Netherlands") and are fully and unconditionally guaranteed by the Parent Company.</w:t>
      </w:r>
    </w:p>
    <w:p>
      <w:pPr>
        <w:spacing w:after="0" w:line="75" w:lineRule="exact"/>
        <w:rPr>
          <w:sz w:val="20"/>
          <w:szCs w:val="20"/>
          <w:color w:val="auto"/>
        </w:rPr>
      </w:pPr>
    </w:p>
    <w:p>
      <w:pPr>
        <w:ind w:firstLine="464"/>
        <w:spacing w:after="0" w:line="283" w:lineRule="auto"/>
        <w:rPr>
          <w:sz w:val="20"/>
          <w:szCs w:val="20"/>
          <w:color w:val="auto"/>
        </w:rPr>
      </w:pPr>
      <w:r>
        <w:rPr>
          <w:rFonts w:ascii="Arial" w:cs="Arial" w:eastAsia="Arial" w:hAnsi="Arial"/>
          <w:sz w:val="16"/>
          <w:szCs w:val="16"/>
          <w:color w:val="auto"/>
        </w:rPr>
        <w:t>The following tables present summarized financial information of the Parent Company and the guarantor subsidiaries on a combined basis. The combined summarized financial information eliminates intercompany balances and transactions among the Parent Company and guarantor subsidiaries and equity in earnings and investments in any guarantor subsidiaries or non-guarantor subsidiaries. The summarized financial information is provided in accordance with the reporting requirements of Rule 13-01 under SEC Regulation S-X for the issuer and guarantor subsidiaries.</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Summarized Statement of Income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jc w:val="center"/>
              <w:ind w:right="41"/>
              <w:spacing w:after="0"/>
              <w:rPr>
                <w:sz w:val="20"/>
                <w:szCs w:val="20"/>
                <w:color w:val="auto"/>
              </w:rPr>
            </w:pPr>
            <w:r>
              <w:rPr>
                <w:rFonts w:ascii="Arial" w:cs="Arial" w:eastAsia="Arial" w:hAnsi="Arial"/>
                <w:sz w:val="14"/>
                <w:szCs w:val="14"/>
                <w:b w:val="1"/>
                <w:bCs w:val="1"/>
                <w:color w:val="auto"/>
                <w:w w:val="90"/>
              </w:rPr>
              <w:t>Unaudited</w:t>
            </w:r>
          </w:p>
        </w:tc>
      </w:tr>
      <w:tr>
        <w:trPr>
          <w:trHeight w:val="153"/>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tcPr>
          <w:p>
            <w:pPr>
              <w:jc w:val="center"/>
              <w:ind w:right="41"/>
              <w:spacing w:after="0" w:line="153" w:lineRule="exact"/>
              <w:rPr>
                <w:sz w:val="20"/>
                <w:szCs w:val="20"/>
                <w:color w:val="auto"/>
              </w:rPr>
            </w:pPr>
            <w:r>
              <w:rPr>
                <w:rFonts w:ascii="Arial" w:cs="Arial" w:eastAsia="Arial" w:hAnsi="Arial"/>
                <w:sz w:val="14"/>
                <w:szCs w:val="14"/>
                <w:b w:val="1"/>
                <w:bCs w:val="1"/>
                <w:color w:val="auto"/>
                <w:w w:val="87"/>
              </w:rPr>
              <w:t>Westinghouse Air Brake</w:t>
            </w:r>
          </w:p>
        </w:tc>
      </w:tr>
      <w:tr>
        <w:trPr>
          <w:trHeight w:val="132"/>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88"/>
              </w:rPr>
              <w:t>Technologies Corp. and Guarantor</w:t>
            </w:r>
          </w:p>
        </w:tc>
      </w:tr>
      <w:tr>
        <w:trPr>
          <w:trHeight w:val="178"/>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jc w:val="center"/>
              <w:ind w:right="61"/>
              <w:spacing w:after="0"/>
              <w:rPr>
                <w:sz w:val="20"/>
                <w:szCs w:val="20"/>
                <w:color w:val="auto"/>
              </w:rPr>
            </w:pPr>
            <w:r>
              <w:rPr>
                <w:rFonts w:ascii="Arial" w:cs="Arial" w:eastAsia="Arial" w:hAnsi="Arial"/>
                <w:sz w:val="14"/>
                <w:szCs w:val="14"/>
                <w:b w:val="1"/>
                <w:bCs w:val="1"/>
                <w:color w:val="auto"/>
                <w:w w:val="86"/>
              </w:rPr>
              <w:t>Subsidiaries</w:t>
            </w:r>
          </w:p>
        </w:tc>
      </w:tr>
      <w:tr>
        <w:trPr>
          <w:trHeight w:val="166"/>
        </w:trPr>
        <w:tc>
          <w:tcPr>
            <w:tcW w:w="44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jc w:val="center"/>
              <w:ind w:right="61"/>
              <w:spacing w:after="0"/>
              <w:rPr>
                <w:sz w:val="20"/>
                <w:szCs w:val="20"/>
                <w:color w:val="auto"/>
              </w:rPr>
            </w:pPr>
            <w:r>
              <w:rPr>
                <w:rFonts w:ascii="Arial" w:cs="Arial" w:eastAsia="Arial" w:hAnsi="Arial"/>
                <w:sz w:val="14"/>
                <w:szCs w:val="14"/>
                <w:b w:val="1"/>
                <w:bCs w:val="1"/>
                <w:color w:val="auto"/>
                <w:w w:val="88"/>
              </w:rPr>
              <w:t>Six Months Ended June 30, 2023</w:t>
            </w: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224"/>
        </w:trPr>
        <w:tc>
          <w:tcPr>
            <w:tcW w:w="44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2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2,731</w:t>
            </w:r>
          </w:p>
        </w:tc>
      </w:tr>
      <w:tr>
        <w:trPr>
          <w:trHeight w:val="218"/>
        </w:trPr>
        <w:tc>
          <w:tcPr>
            <w:tcW w:w="4400" w:type="dxa"/>
            <w:vAlign w:val="bottom"/>
            <w:gridSpan w:val="3"/>
          </w:tcPr>
          <w:p>
            <w:pPr>
              <w:ind w:left="20"/>
              <w:spacing w:after="0"/>
              <w:rPr>
                <w:sz w:val="20"/>
                <w:szCs w:val="20"/>
                <w:color w:val="auto"/>
              </w:rPr>
            </w:pPr>
            <w:r>
              <w:rPr>
                <w:rFonts w:ascii="Arial" w:cs="Arial" w:eastAsia="Arial" w:hAnsi="Arial"/>
                <w:sz w:val="17"/>
                <w:szCs w:val="17"/>
                <w:color w:val="auto"/>
              </w:rPr>
              <w:t>Gross profit</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2060" w:type="dxa"/>
            <w:vAlign w:val="bottom"/>
          </w:tcPr>
          <w:p>
            <w:pPr>
              <w:jc w:val="right"/>
              <w:spacing w:after="0"/>
              <w:rPr>
                <w:sz w:val="20"/>
                <w:szCs w:val="20"/>
                <w:color w:val="auto"/>
              </w:rPr>
            </w:pPr>
            <w:r>
              <w:rPr>
                <w:rFonts w:ascii="Arial" w:cs="Arial" w:eastAsia="Arial" w:hAnsi="Arial"/>
                <w:sz w:val="17"/>
                <w:szCs w:val="17"/>
                <w:color w:val="auto"/>
              </w:rPr>
              <w:t>698</w:t>
            </w:r>
          </w:p>
        </w:tc>
      </w:tr>
      <w:tr>
        <w:trPr>
          <w:trHeight w:val="220"/>
        </w:trPr>
        <w:tc>
          <w:tcPr>
            <w:tcW w:w="44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income attributable to Wabtec shareholders</w:t>
            </w:r>
          </w:p>
        </w:tc>
        <w:tc>
          <w:tcPr>
            <w:tcW w:w="2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w:t>
            </w:r>
          </w:p>
        </w:tc>
      </w:tr>
      <w:tr>
        <w:trPr>
          <w:trHeight w:val="450"/>
        </w:trPr>
        <w:tc>
          <w:tcPr>
            <w:tcW w:w="20" w:type="dxa"/>
            <w:vAlign w:val="bottom"/>
          </w:tcPr>
          <w:p>
            <w:pPr>
              <w:spacing w:after="0"/>
              <w:rPr>
                <w:sz w:val="24"/>
                <w:szCs w:val="24"/>
                <w:color w:val="auto"/>
              </w:rPr>
            </w:pPr>
          </w:p>
        </w:tc>
        <w:tc>
          <w:tcPr>
            <w:tcW w:w="4380" w:type="dxa"/>
            <w:vAlign w:val="bottom"/>
            <w:gridSpan w:val="2"/>
          </w:tcPr>
          <w:p>
            <w:pPr>
              <w:ind w:left="440"/>
              <w:spacing w:after="0"/>
              <w:rPr>
                <w:sz w:val="20"/>
                <w:szCs w:val="20"/>
                <w:color w:val="auto"/>
              </w:rPr>
            </w:pPr>
            <w:r>
              <w:rPr>
                <w:rFonts w:ascii="Arial" w:cs="Arial" w:eastAsia="Arial" w:hAnsi="Arial"/>
                <w:sz w:val="17"/>
                <w:szCs w:val="17"/>
                <w:b w:val="1"/>
                <w:bCs w:val="1"/>
                <w:i w:val="1"/>
                <w:iCs w:val="1"/>
                <w:color w:val="auto"/>
              </w:rPr>
              <w:t>Summarized Balance Sheet</w:t>
            </w: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60" w:type="dxa"/>
            <w:vAlign w:val="bottom"/>
            <w:gridSpan w:val="5"/>
          </w:tcPr>
          <w:p>
            <w:pPr>
              <w:jc w:val="right"/>
              <w:ind w:right="1841"/>
              <w:spacing w:after="0"/>
              <w:rPr>
                <w:sz w:val="20"/>
                <w:szCs w:val="20"/>
                <w:color w:val="auto"/>
              </w:rPr>
            </w:pPr>
            <w:r>
              <w:rPr>
                <w:rFonts w:ascii="Arial" w:cs="Arial" w:eastAsia="Arial" w:hAnsi="Arial"/>
                <w:sz w:val="14"/>
                <w:szCs w:val="14"/>
                <w:b w:val="1"/>
                <w:bCs w:val="1"/>
                <w:color w:val="auto"/>
              </w:rPr>
              <w:t>Unaudited</w:t>
            </w:r>
          </w:p>
        </w:tc>
      </w:tr>
      <w:tr>
        <w:trPr>
          <w:trHeight w:val="193"/>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60" w:type="dxa"/>
            <w:vAlign w:val="bottom"/>
            <w:gridSpan w:val="5"/>
          </w:tcPr>
          <w:p>
            <w:pPr>
              <w:jc w:val="right"/>
              <w:ind w:right="21"/>
              <w:spacing w:after="0"/>
              <w:rPr>
                <w:sz w:val="20"/>
                <w:szCs w:val="20"/>
                <w:color w:val="auto"/>
              </w:rPr>
            </w:pPr>
            <w:r>
              <w:rPr>
                <w:rFonts w:ascii="Arial" w:cs="Arial" w:eastAsia="Arial" w:hAnsi="Arial"/>
                <w:sz w:val="14"/>
                <w:szCs w:val="14"/>
                <w:b w:val="1"/>
                <w:bCs w:val="1"/>
                <w:color w:val="auto"/>
                <w:w w:val="87"/>
              </w:rPr>
              <w:t>Westinghouse Air Brake Technologies Corp. and Guarantor Subsidiaries</w:t>
            </w:r>
          </w:p>
        </w:tc>
      </w:tr>
      <w:tr>
        <w:trPr>
          <w:trHeight w:val="166"/>
        </w:trPr>
        <w:tc>
          <w:tcPr>
            <w:tcW w:w="44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tcPr>
          <w:p>
            <w:pPr>
              <w:ind w:left="600"/>
              <w:spacing w:after="0"/>
              <w:rPr>
                <w:sz w:val="20"/>
                <w:szCs w:val="20"/>
                <w:color w:val="auto"/>
              </w:rPr>
            </w:pPr>
            <w:r>
              <w:rPr>
                <w:rFonts w:ascii="Arial" w:cs="Arial" w:eastAsia="Arial" w:hAnsi="Arial"/>
                <w:sz w:val="14"/>
                <w:szCs w:val="14"/>
                <w:b w:val="1"/>
                <w:bCs w:val="1"/>
                <w:color w:val="auto"/>
              </w:rPr>
              <w:t>June 30, 2023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jc w:val="center"/>
              <w:ind w:right="41"/>
              <w:spacing w:after="0"/>
              <w:rPr>
                <w:sz w:val="20"/>
                <w:szCs w:val="20"/>
                <w:color w:val="auto"/>
              </w:rPr>
            </w:pPr>
            <w:r>
              <w:rPr>
                <w:rFonts w:ascii="Arial" w:cs="Arial" w:eastAsia="Arial" w:hAnsi="Arial"/>
                <w:sz w:val="14"/>
                <w:szCs w:val="14"/>
                <w:b w:val="1"/>
                <w:bCs w:val="1"/>
                <w:color w:val="auto"/>
                <w:w w:val="87"/>
              </w:rPr>
              <w:t>December 31, 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211"/>
        </w:trPr>
        <w:tc>
          <w:tcPr>
            <w:tcW w:w="44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Current assets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1,357</w:t>
            </w: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1,328</w:t>
            </w:r>
          </w:p>
        </w:tc>
      </w:tr>
      <w:tr>
        <w:trPr>
          <w:trHeight w:val="225"/>
        </w:trPr>
        <w:tc>
          <w:tcPr>
            <w:tcW w:w="4400" w:type="dxa"/>
            <w:vAlign w:val="bottom"/>
            <w:gridSpan w:val="3"/>
          </w:tcPr>
          <w:p>
            <w:pPr>
              <w:ind w:left="20"/>
              <w:spacing w:after="0"/>
              <w:rPr>
                <w:sz w:val="20"/>
                <w:szCs w:val="20"/>
                <w:color w:val="auto"/>
              </w:rPr>
            </w:pPr>
            <w:r>
              <w:rPr>
                <w:rFonts w:ascii="Arial" w:cs="Arial" w:eastAsia="Arial" w:hAnsi="Arial"/>
                <w:sz w:val="17"/>
                <w:szCs w:val="17"/>
                <w:color w:val="auto"/>
              </w:rPr>
              <w:t>Noncurrent assets</w:t>
            </w:r>
          </w:p>
        </w:tc>
        <w:tc>
          <w:tcPr>
            <w:tcW w:w="2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80" w:type="dxa"/>
            <w:vAlign w:val="bottom"/>
          </w:tcPr>
          <w:p>
            <w:pPr>
              <w:jc w:val="right"/>
              <w:spacing w:after="0"/>
              <w:rPr>
                <w:sz w:val="20"/>
                <w:szCs w:val="20"/>
                <w:color w:val="auto"/>
              </w:rPr>
            </w:pPr>
            <w:r>
              <w:rPr>
                <w:rFonts w:ascii="Arial" w:cs="Arial" w:eastAsia="Arial" w:hAnsi="Arial"/>
                <w:sz w:val="17"/>
                <w:szCs w:val="17"/>
                <w:color w:val="auto"/>
              </w:rPr>
              <w:t>2,362</w:t>
            </w: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60" w:type="dxa"/>
            <w:vAlign w:val="bottom"/>
          </w:tcPr>
          <w:p>
            <w:pPr>
              <w:jc w:val="right"/>
              <w:spacing w:after="0"/>
              <w:rPr>
                <w:sz w:val="20"/>
                <w:szCs w:val="20"/>
                <w:color w:val="auto"/>
              </w:rPr>
            </w:pPr>
            <w:r>
              <w:rPr>
                <w:rFonts w:ascii="Arial" w:cs="Arial" w:eastAsia="Arial" w:hAnsi="Arial"/>
                <w:sz w:val="17"/>
                <w:szCs w:val="17"/>
                <w:color w:val="auto"/>
              </w:rPr>
              <w:t>2,384</w:t>
            </w:r>
          </w:p>
        </w:tc>
      </w:tr>
      <w:tr>
        <w:trPr>
          <w:trHeight w:val="226"/>
        </w:trPr>
        <w:tc>
          <w:tcPr>
            <w:tcW w:w="44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2,747</w:t>
            </w: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1,881</w:t>
            </w:r>
          </w:p>
        </w:tc>
      </w:tr>
      <w:tr>
        <w:trPr>
          <w:trHeight w:val="218"/>
        </w:trPr>
        <w:tc>
          <w:tcPr>
            <w:tcW w:w="4400" w:type="dxa"/>
            <w:vAlign w:val="bottom"/>
            <w:gridSpan w:val="3"/>
          </w:tcPr>
          <w:p>
            <w:pPr>
              <w:ind w:left="20"/>
              <w:spacing w:after="0"/>
              <w:rPr>
                <w:sz w:val="20"/>
                <w:szCs w:val="20"/>
                <w:color w:val="auto"/>
              </w:rPr>
            </w:pPr>
            <w:r>
              <w:rPr>
                <w:rFonts w:ascii="Arial" w:cs="Arial" w:eastAsia="Arial" w:hAnsi="Arial"/>
                <w:sz w:val="17"/>
                <w:szCs w:val="17"/>
                <w:color w:val="auto"/>
              </w:rPr>
              <w:t>Long-term debt</w:t>
            </w:r>
          </w:p>
        </w:tc>
        <w:tc>
          <w:tcPr>
            <w:tcW w:w="2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80" w:type="dxa"/>
            <w:vAlign w:val="bottom"/>
          </w:tcPr>
          <w:p>
            <w:pPr>
              <w:jc w:val="right"/>
              <w:spacing w:after="0"/>
              <w:rPr>
                <w:sz w:val="20"/>
                <w:szCs w:val="20"/>
                <w:color w:val="auto"/>
              </w:rPr>
            </w:pPr>
            <w:r>
              <w:rPr>
                <w:rFonts w:ascii="Arial" w:cs="Arial" w:eastAsia="Arial" w:hAnsi="Arial"/>
                <w:sz w:val="17"/>
                <w:szCs w:val="17"/>
                <w:color w:val="auto"/>
              </w:rPr>
              <w:t>2,858</w:t>
            </w:r>
          </w:p>
        </w:tc>
        <w:tc>
          <w:tcPr>
            <w:tcW w:w="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60" w:type="dxa"/>
            <w:vAlign w:val="bottom"/>
          </w:tcPr>
          <w:p>
            <w:pPr>
              <w:jc w:val="right"/>
              <w:spacing w:after="0"/>
              <w:rPr>
                <w:sz w:val="20"/>
                <w:szCs w:val="20"/>
                <w:color w:val="auto"/>
              </w:rPr>
            </w:pPr>
            <w:r>
              <w:rPr>
                <w:rFonts w:ascii="Arial" w:cs="Arial" w:eastAsia="Arial" w:hAnsi="Arial"/>
                <w:sz w:val="17"/>
                <w:szCs w:val="17"/>
                <w:color w:val="auto"/>
              </w:rPr>
              <w:t>3,209</w:t>
            </w:r>
          </w:p>
        </w:tc>
      </w:tr>
      <w:tr>
        <w:trPr>
          <w:trHeight w:val="233"/>
        </w:trPr>
        <w:tc>
          <w:tcPr>
            <w:tcW w:w="44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Other non-current liabilities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w:t>
            </w:r>
          </w:p>
        </w:tc>
        <w:tc>
          <w:tcPr>
            <w:tcW w:w="8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w:t>
            </w:r>
          </w:p>
        </w:tc>
      </w:tr>
      <w:tr>
        <w:trPr>
          <w:trHeight w:val="849"/>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380" w:type="dxa"/>
            <w:vAlign w:val="bottom"/>
          </w:tcPr>
          <w:p>
            <w:pPr>
              <w:jc w:val="right"/>
              <w:ind w:right="994"/>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10"/>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760" w:type="dxa"/>
            <w:vAlign w:val="bottom"/>
            <w:tcBorders>
              <w:bottom w:val="single" w:sz="8" w:color="9A9A9A"/>
            </w:tcBorders>
          </w:tcPr>
          <w:p>
            <w:pPr>
              <w:spacing w:after="0"/>
              <w:rPr>
                <w:sz w:val="9"/>
                <w:szCs w:val="9"/>
                <w:color w:val="auto"/>
              </w:rPr>
            </w:pPr>
          </w:p>
        </w:tc>
        <w:tc>
          <w:tcPr>
            <w:tcW w:w="2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39" w:name="page40"/>
    <w:bookmarkEnd w:id="39"/>
    <w:p>
      <w:pPr>
        <w:ind w:left="460"/>
        <w:spacing w:after="0"/>
        <w:rPr>
          <w:sz w:val="20"/>
          <w:szCs w:val="20"/>
          <w:color w:val="auto"/>
        </w:rPr>
      </w:pPr>
      <w:r>
        <w:rPr>
          <w:rFonts w:ascii="Arial" w:cs="Arial" w:eastAsia="Arial" w:hAnsi="Arial"/>
          <w:sz w:val="16"/>
          <w:szCs w:val="16"/>
          <w:color w:val="auto"/>
        </w:rPr>
        <w:t>The following is a description of the transactions between the combined Parent Company and guarantor subsidiaries with non-guarantor subsidiaries.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jc w:val="center"/>
              <w:ind w:right="47"/>
              <w:spacing w:after="0"/>
              <w:rPr>
                <w:sz w:val="20"/>
                <w:szCs w:val="20"/>
                <w:color w:val="auto"/>
              </w:rPr>
            </w:pPr>
            <w:r>
              <w:rPr>
                <w:rFonts w:ascii="Arial" w:cs="Arial" w:eastAsia="Arial" w:hAnsi="Arial"/>
                <w:sz w:val="14"/>
                <w:szCs w:val="14"/>
                <w:b w:val="1"/>
                <w:bCs w:val="1"/>
                <w:color w:val="auto"/>
                <w:w w:val="90"/>
              </w:rPr>
              <w:t>Unaudited</w:t>
            </w:r>
          </w:p>
        </w:tc>
      </w:tr>
      <w:tr>
        <w:trPr>
          <w:trHeight w:val="153"/>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tcPr>
          <w:p>
            <w:pPr>
              <w:jc w:val="center"/>
              <w:ind w:right="47"/>
              <w:spacing w:after="0" w:line="153" w:lineRule="exact"/>
              <w:rPr>
                <w:sz w:val="20"/>
                <w:szCs w:val="20"/>
                <w:color w:val="auto"/>
              </w:rPr>
            </w:pPr>
            <w:r>
              <w:rPr>
                <w:rFonts w:ascii="Arial" w:cs="Arial" w:eastAsia="Arial" w:hAnsi="Arial"/>
                <w:sz w:val="14"/>
                <w:szCs w:val="14"/>
                <w:b w:val="1"/>
                <w:bCs w:val="1"/>
                <w:color w:val="auto"/>
                <w:w w:val="87"/>
              </w:rPr>
              <w:t>Westinghouse Air Brake</w:t>
            </w:r>
          </w:p>
        </w:tc>
      </w:tr>
      <w:tr>
        <w:trPr>
          <w:trHeight w:val="132"/>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20" w:type="dxa"/>
            <w:vAlign w:val="bottom"/>
          </w:tcPr>
          <w:p>
            <w:pPr>
              <w:spacing w:after="0"/>
              <w:rPr>
                <w:sz w:val="11"/>
                <w:szCs w:val="11"/>
                <w:color w:val="auto"/>
              </w:rPr>
            </w:pPr>
          </w:p>
        </w:tc>
        <w:tc>
          <w:tcPr>
            <w:tcW w:w="21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89"/>
              </w:rPr>
              <w:t>Technologies Corp. and Guarantor</w:t>
            </w:r>
          </w:p>
        </w:tc>
      </w:tr>
      <w:tr>
        <w:trPr>
          <w:trHeight w:val="178"/>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jc w:val="center"/>
              <w:ind w:right="67"/>
              <w:spacing w:after="0"/>
              <w:rPr>
                <w:sz w:val="20"/>
                <w:szCs w:val="20"/>
                <w:color w:val="auto"/>
              </w:rPr>
            </w:pPr>
            <w:r>
              <w:rPr>
                <w:rFonts w:ascii="Arial" w:cs="Arial" w:eastAsia="Arial" w:hAnsi="Arial"/>
                <w:sz w:val="14"/>
                <w:szCs w:val="14"/>
                <w:b w:val="1"/>
                <w:bCs w:val="1"/>
                <w:color w:val="auto"/>
                <w:w w:val="86"/>
              </w:rPr>
              <w:t>Subsidiaries</w:t>
            </w:r>
          </w:p>
        </w:tc>
      </w:tr>
      <w:tr>
        <w:trPr>
          <w:trHeight w:val="166"/>
        </w:trPr>
        <w:tc>
          <w:tcPr>
            <w:tcW w:w="90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14"/>
                <w:szCs w:val="14"/>
                <w:color w:val="auto"/>
              </w:rPr>
            </w:pPr>
          </w:p>
        </w:tc>
        <w:tc>
          <w:tcPr>
            <w:tcW w:w="2060" w:type="dxa"/>
            <w:vAlign w:val="bottom"/>
          </w:tcPr>
          <w:p>
            <w:pPr>
              <w:jc w:val="center"/>
              <w:ind w:right="67"/>
              <w:spacing w:after="0"/>
              <w:rPr>
                <w:sz w:val="20"/>
                <w:szCs w:val="20"/>
                <w:color w:val="auto"/>
              </w:rPr>
            </w:pPr>
            <w:r>
              <w:rPr>
                <w:rFonts w:ascii="Arial" w:cs="Arial" w:eastAsia="Arial" w:hAnsi="Arial"/>
                <w:sz w:val="14"/>
                <w:szCs w:val="14"/>
                <w:b w:val="1"/>
                <w:bCs w:val="1"/>
                <w:color w:val="auto"/>
                <w:w w:val="88"/>
              </w:rPr>
              <w:t>Six Months Ended June 30, 2023</w:t>
            </w: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224"/>
        </w:trPr>
        <w:tc>
          <w:tcPr>
            <w:tcW w:w="90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sales to non-guarantor subsidiaries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r>
      <w:tr>
        <w:trPr>
          <w:trHeight w:val="218"/>
        </w:trPr>
        <w:tc>
          <w:tcPr>
            <w:tcW w:w="9060" w:type="dxa"/>
            <w:vAlign w:val="bottom"/>
            <w:gridSpan w:val="3"/>
          </w:tcPr>
          <w:p>
            <w:pPr>
              <w:ind w:left="20"/>
              <w:spacing w:after="0"/>
              <w:rPr>
                <w:sz w:val="20"/>
                <w:szCs w:val="20"/>
                <w:color w:val="auto"/>
              </w:rPr>
            </w:pPr>
            <w:r>
              <w:rPr>
                <w:rFonts w:ascii="Arial" w:cs="Arial" w:eastAsia="Arial" w:hAnsi="Arial"/>
                <w:sz w:val="17"/>
                <w:szCs w:val="17"/>
                <w:color w:val="auto"/>
              </w:rPr>
              <w:t>Purchases from non-guarantor subsidiaries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060" w:type="dxa"/>
            <w:vAlign w:val="bottom"/>
          </w:tcPr>
          <w:p>
            <w:pPr>
              <w:jc w:val="right"/>
              <w:spacing w:after="0"/>
              <w:rPr>
                <w:sz w:val="20"/>
                <w:szCs w:val="20"/>
                <w:color w:val="auto"/>
              </w:rPr>
            </w:pPr>
            <w:r>
              <w:rPr>
                <w:rFonts w:ascii="Arial" w:cs="Arial" w:eastAsia="Arial" w:hAnsi="Arial"/>
                <w:sz w:val="17"/>
                <w:szCs w:val="17"/>
                <w:color w:val="auto"/>
              </w:rPr>
              <w:t>833</w:t>
            </w:r>
          </w:p>
        </w:tc>
      </w:tr>
      <w:tr>
        <w:trPr>
          <w:trHeight w:val="428"/>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jc w:val="center"/>
              <w:ind w:right="47"/>
              <w:spacing w:after="0"/>
              <w:rPr>
                <w:sz w:val="20"/>
                <w:szCs w:val="20"/>
                <w:color w:val="auto"/>
              </w:rPr>
            </w:pPr>
            <w:r>
              <w:rPr>
                <w:rFonts w:ascii="Arial" w:cs="Arial" w:eastAsia="Arial" w:hAnsi="Arial"/>
                <w:sz w:val="14"/>
                <w:szCs w:val="14"/>
                <w:b w:val="1"/>
                <w:bCs w:val="1"/>
                <w:color w:val="auto"/>
                <w:w w:val="90"/>
              </w:rPr>
              <w:t>Unaudited</w:t>
            </w:r>
          </w:p>
        </w:tc>
      </w:tr>
      <w:tr>
        <w:trPr>
          <w:trHeight w:val="153"/>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tcPr>
          <w:p>
            <w:pPr>
              <w:jc w:val="center"/>
              <w:ind w:right="47"/>
              <w:spacing w:after="0" w:line="153" w:lineRule="exact"/>
              <w:rPr>
                <w:sz w:val="20"/>
                <w:szCs w:val="20"/>
                <w:color w:val="auto"/>
              </w:rPr>
            </w:pPr>
            <w:r>
              <w:rPr>
                <w:rFonts w:ascii="Arial" w:cs="Arial" w:eastAsia="Arial" w:hAnsi="Arial"/>
                <w:sz w:val="14"/>
                <w:szCs w:val="14"/>
                <w:b w:val="1"/>
                <w:bCs w:val="1"/>
                <w:color w:val="auto"/>
                <w:w w:val="87"/>
              </w:rPr>
              <w:t>Westinghouse Air Brake</w:t>
            </w:r>
          </w:p>
        </w:tc>
      </w:tr>
      <w:tr>
        <w:trPr>
          <w:trHeight w:val="132"/>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20" w:type="dxa"/>
            <w:vAlign w:val="bottom"/>
          </w:tcPr>
          <w:p>
            <w:pPr>
              <w:spacing w:after="0"/>
              <w:rPr>
                <w:sz w:val="11"/>
                <w:szCs w:val="11"/>
                <w:color w:val="auto"/>
              </w:rPr>
            </w:pPr>
          </w:p>
        </w:tc>
        <w:tc>
          <w:tcPr>
            <w:tcW w:w="21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89"/>
              </w:rPr>
              <w:t>Technologies Corp. and Guarantor</w:t>
            </w:r>
          </w:p>
        </w:tc>
      </w:tr>
      <w:tr>
        <w:trPr>
          <w:trHeight w:val="178"/>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jc w:val="center"/>
              <w:ind w:right="67"/>
              <w:spacing w:after="0"/>
              <w:rPr>
                <w:sz w:val="20"/>
                <w:szCs w:val="20"/>
                <w:color w:val="auto"/>
              </w:rPr>
            </w:pPr>
            <w:r>
              <w:rPr>
                <w:rFonts w:ascii="Arial" w:cs="Arial" w:eastAsia="Arial" w:hAnsi="Arial"/>
                <w:sz w:val="14"/>
                <w:szCs w:val="14"/>
                <w:b w:val="1"/>
                <w:bCs w:val="1"/>
                <w:color w:val="auto"/>
                <w:w w:val="86"/>
              </w:rPr>
              <w:t>Subsidiaries</w:t>
            </w:r>
          </w:p>
        </w:tc>
      </w:tr>
      <w:tr>
        <w:trPr>
          <w:trHeight w:val="166"/>
        </w:trPr>
        <w:tc>
          <w:tcPr>
            <w:tcW w:w="90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14"/>
                <w:szCs w:val="14"/>
                <w:color w:val="auto"/>
              </w:rPr>
            </w:pPr>
          </w:p>
        </w:tc>
        <w:tc>
          <w:tcPr>
            <w:tcW w:w="2060" w:type="dxa"/>
            <w:vAlign w:val="bottom"/>
          </w:tcPr>
          <w:p>
            <w:pPr>
              <w:jc w:val="center"/>
              <w:ind w:right="67"/>
              <w:spacing w:after="0"/>
              <w:rPr>
                <w:sz w:val="20"/>
                <w:szCs w:val="20"/>
                <w:color w:val="auto"/>
              </w:rPr>
            </w:pPr>
            <w:r>
              <w:rPr>
                <w:rFonts w:ascii="Arial" w:cs="Arial" w:eastAsia="Arial" w:hAnsi="Arial"/>
                <w:sz w:val="14"/>
                <w:szCs w:val="14"/>
                <w:b w:val="1"/>
                <w:bCs w:val="1"/>
                <w:color w:val="auto"/>
                <w:w w:val="87"/>
              </w:rPr>
              <w:t>June 30, 2023</w:t>
            </w: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224"/>
        </w:trPr>
        <w:tc>
          <w:tcPr>
            <w:tcW w:w="90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Amount due from/(to) non-guarantor subsidiaries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(6,861)</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Summarized Financial Information—Euro Notes</w:t>
      </w:r>
    </w:p>
    <w:p>
      <w:pPr>
        <w:spacing w:after="0" w:line="101" w:lineRule="exact"/>
        <w:rPr>
          <w:sz w:val="20"/>
          <w:szCs w:val="20"/>
          <w:color w:val="auto"/>
        </w:rPr>
      </w:pPr>
    </w:p>
    <w:p>
      <w:pPr>
        <w:jc w:val="both"/>
        <w:ind w:right="160" w:firstLine="464"/>
        <w:spacing w:after="0" w:line="236" w:lineRule="auto"/>
        <w:rPr>
          <w:sz w:val="20"/>
          <w:szCs w:val="20"/>
          <w:color w:val="auto"/>
        </w:rPr>
      </w:pPr>
      <w:r>
        <w:rPr>
          <w:rFonts w:ascii="Arial" w:cs="Arial" w:eastAsia="Arial" w:hAnsi="Arial"/>
          <w:sz w:val="17"/>
          <w:szCs w:val="17"/>
          <w:color w:val="auto"/>
        </w:rPr>
        <w:t>The obligations under Wabtec Netherlands’ Euro Notes are fully and unconditionally guaranteed by the Parent Company. Wabtec Netherlands is a wholly-owned, indirect subsidiary of the Parent Company. Wabtec Netherlands is a holding company and does not have any independent operations. Its assets consist of its investments in subsidiaries, which are separate and distinct legal entities that are not guarantors of the Euro Notes and have no obligations to pay amounts due under Wabtec Netherlands’ obligations.</w:t>
      </w:r>
    </w:p>
    <w:p>
      <w:pPr>
        <w:spacing w:after="0" w:line="69" w:lineRule="exact"/>
        <w:rPr>
          <w:sz w:val="20"/>
          <w:szCs w:val="20"/>
          <w:color w:val="auto"/>
        </w:rPr>
      </w:pPr>
    </w:p>
    <w:p>
      <w:pPr>
        <w:ind w:right="340" w:firstLine="464"/>
        <w:spacing w:after="0" w:line="250" w:lineRule="auto"/>
        <w:rPr>
          <w:sz w:val="20"/>
          <w:szCs w:val="20"/>
          <w:color w:val="auto"/>
        </w:rPr>
      </w:pPr>
      <w:r>
        <w:rPr>
          <w:rFonts w:ascii="Arial" w:cs="Arial" w:eastAsia="Arial" w:hAnsi="Arial"/>
          <w:sz w:val="16"/>
          <w:szCs w:val="16"/>
          <w:color w:val="auto"/>
        </w:rPr>
        <w:t>The following tables present summarized financial information of Wabtec Netherlands, as the Issuer of the Euro Notes, and the Parent Company, as the parent Guarantor, on a combined basis. The combined summarized financial information eliminates all intercompany balances and transactions among Wabtec Netherlands and the Parent Company as well as all equity in earnings from and investments in any subsidiary of the Parent Company, other than Wabtec Netherlands, which we refer to below as the Non-Guarantor Subsidiaries. The summarized financial information is provided in accordance with the reporting requirements of Rule 13-01 under SEC Regulation S-X for the issuer and Parent Company guarantor.</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Summarized Statement of Income</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6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0"/>
              </w:rPr>
              <w:t>Unaudited</w:t>
            </w:r>
          </w:p>
        </w:tc>
      </w:tr>
      <w:tr>
        <w:trPr>
          <w:trHeight w:val="180"/>
        </w:trPr>
        <w:tc>
          <w:tcPr>
            <w:tcW w:w="6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0"/>
              </w:rPr>
              <w:t>Issuer and Guarantor</w:t>
            </w:r>
          </w:p>
        </w:tc>
      </w:tr>
      <w:tr>
        <w:trPr>
          <w:trHeight w:val="166"/>
        </w:trPr>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6"/>
              </w:rPr>
              <w:t>In millions</w:t>
            </w:r>
          </w:p>
        </w:tc>
        <w:tc>
          <w:tcPr>
            <w:tcW w:w="842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7"/>
              </w:rPr>
              <w:t>Six Months Ended June 30, 2023</w:t>
            </w:r>
          </w:p>
        </w:tc>
      </w:tr>
      <w:tr>
        <w:trPr>
          <w:trHeight w:val="32"/>
        </w:trPr>
        <w:tc>
          <w:tcPr>
            <w:tcW w:w="6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147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7"/>
        </w:trPr>
        <w:tc>
          <w:tcPr>
            <w:tcW w:w="6780" w:type="dxa"/>
            <w:vAlign w:val="bottom"/>
            <w:gridSpan w:val="3"/>
          </w:tcPr>
          <w:p>
            <w:pPr>
              <w:ind w:left="20"/>
              <w:spacing w:after="0"/>
              <w:rPr>
                <w:sz w:val="20"/>
                <w:szCs w:val="20"/>
                <w:color w:val="auto"/>
              </w:rPr>
            </w:pPr>
            <w:r>
              <w:rPr>
                <w:rFonts w:ascii="Arial" w:cs="Arial" w:eastAsia="Arial" w:hAnsi="Arial"/>
                <w:sz w:val="17"/>
                <w:szCs w:val="17"/>
                <w:color w:val="auto"/>
              </w:rPr>
              <w:t>Net sales</w:t>
            </w:r>
          </w:p>
        </w:tc>
        <w:tc>
          <w:tcPr>
            <w:tcW w:w="4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272</w:t>
            </w:r>
          </w:p>
        </w:tc>
      </w:tr>
      <w:tr>
        <w:trPr>
          <w:trHeight w:val="220"/>
        </w:trPr>
        <w:tc>
          <w:tcPr>
            <w:tcW w:w="6780" w:type="dxa"/>
            <w:vAlign w:val="bottom"/>
            <w:gridSpan w:val="3"/>
          </w:tcPr>
          <w:p>
            <w:pPr>
              <w:ind w:left="20"/>
              <w:spacing w:after="0"/>
              <w:rPr>
                <w:sz w:val="20"/>
                <w:szCs w:val="20"/>
                <w:color w:val="auto"/>
              </w:rPr>
            </w:pPr>
            <w:r>
              <w:rPr>
                <w:rFonts w:ascii="Arial" w:cs="Arial" w:eastAsia="Arial" w:hAnsi="Arial"/>
                <w:sz w:val="17"/>
                <w:szCs w:val="17"/>
                <w:color w:val="auto"/>
              </w:rPr>
              <w:t>Gross profit</w:t>
            </w:r>
          </w:p>
        </w:tc>
        <w:tc>
          <w:tcPr>
            <w:tcW w:w="4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33"/>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income attributable to Wabtec shareholders</w:t>
            </w:r>
          </w:p>
        </w:tc>
        <w:tc>
          <w:tcPr>
            <w:tcW w:w="40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r>
      <w:tr>
        <w:trPr>
          <w:trHeight w:val="437"/>
        </w:trPr>
        <w:tc>
          <w:tcPr>
            <w:tcW w:w="20" w:type="dxa"/>
            <w:vAlign w:val="bottom"/>
          </w:tcPr>
          <w:p>
            <w:pPr>
              <w:spacing w:after="0"/>
              <w:rPr>
                <w:sz w:val="24"/>
                <w:szCs w:val="24"/>
                <w:color w:val="auto"/>
              </w:rPr>
            </w:pPr>
          </w:p>
        </w:tc>
        <w:tc>
          <w:tcPr>
            <w:tcW w:w="6760" w:type="dxa"/>
            <w:vAlign w:val="bottom"/>
            <w:gridSpan w:val="2"/>
          </w:tcPr>
          <w:p>
            <w:pPr>
              <w:ind w:left="440"/>
              <w:spacing w:after="0"/>
              <w:rPr>
                <w:sz w:val="20"/>
                <w:szCs w:val="20"/>
                <w:color w:val="auto"/>
              </w:rPr>
            </w:pPr>
            <w:r>
              <w:rPr>
                <w:rFonts w:ascii="Arial" w:cs="Arial" w:eastAsia="Arial" w:hAnsi="Arial"/>
                <w:sz w:val="17"/>
                <w:szCs w:val="17"/>
                <w:b w:val="1"/>
                <w:bCs w:val="1"/>
                <w:i w:val="1"/>
                <w:iCs w:val="1"/>
                <w:color w:val="auto"/>
              </w:rPr>
              <w:t>Summarized Balance Sheet</w:t>
            </w: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Unaudited</w:t>
            </w:r>
          </w:p>
        </w:tc>
        <w:tc>
          <w:tcPr>
            <w:tcW w:w="178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60" w:type="dxa"/>
            <w:vAlign w:val="bottom"/>
            <w:gridSpan w:val="4"/>
          </w:tcPr>
          <w:p>
            <w:pPr>
              <w:jc w:val="right"/>
              <w:ind w:right="1496"/>
              <w:spacing w:after="0"/>
              <w:rPr>
                <w:sz w:val="20"/>
                <w:szCs w:val="20"/>
                <w:color w:val="auto"/>
              </w:rPr>
            </w:pPr>
            <w:r>
              <w:rPr>
                <w:rFonts w:ascii="Arial" w:cs="Arial" w:eastAsia="Arial" w:hAnsi="Arial"/>
                <w:sz w:val="14"/>
                <w:szCs w:val="14"/>
                <w:b w:val="1"/>
                <w:bCs w:val="1"/>
                <w:color w:val="auto"/>
              </w:rPr>
              <w:t>Issuer and Guarantor</w:t>
            </w:r>
          </w:p>
        </w:tc>
      </w:tr>
      <w:tr>
        <w:trPr>
          <w:trHeight w:val="166"/>
        </w:trPr>
        <w:tc>
          <w:tcPr>
            <w:tcW w:w="67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14"/>
                <w:szCs w:val="14"/>
                <w:color w:val="auto"/>
              </w:rPr>
            </w:pPr>
          </w:p>
        </w:tc>
        <w:tc>
          <w:tcPr>
            <w:tcW w:w="1780" w:type="dxa"/>
            <w:vAlign w:val="bottom"/>
          </w:tcPr>
          <w:p>
            <w:pPr>
              <w:jc w:val="right"/>
              <w:ind w:right="601"/>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80" w:type="dxa"/>
            <w:vAlign w:val="bottom"/>
          </w:tcPr>
          <w:p>
            <w:pPr>
              <w:jc w:val="right"/>
              <w:ind w:right="456"/>
              <w:spacing w:after="0"/>
              <w:rPr>
                <w:sz w:val="20"/>
                <w:szCs w:val="20"/>
                <w:color w:val="auto"/>
              </w:rPr>
            </w:pPr>
            <w:r>
              <w:rPr>
                <w:rFonts w:ascii="Arial" w:cs="Arial" w:eastAsia="Arial" w:hAnsi="Arial"/>
                <w:sz w:val="14"/>
                <w:szCs w:val="14"/>
                <w:b w:val="1"/>
                <w:bCs w:val="1"/>
                <w:color w:val="auto"/>
                <w:w w:val="96"/>
              </w:rPr>
              <w:t>December 31, 2022</w:t>
            </w: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4"/>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Current assets</w:t>
            </w: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w:t>
            </w:r>
          </w:p>
        </w:tc>
      </w:tr>
      <w:tr>
        <w:trPr>
          <w:trHeight w:val="218"/>
        </w:trPr>
        <w:tc>
          <w:tcPr>
            <w:tcW w:w="6780" w:type="dxa"/>
            <w:vAlign w:val="bottom"/>
            <w:gridSpan w:val="3"/>
          </w:tcPr>
          <w:p>
            <w:pPr>
              <w:ind w:left="20"/>
              <w:spacing w:after="0"/>
              <w:rPr>
                <w:sz w:val="20"/>
                <w:szCs w:val="20"/>
                <w:color w:val="auto"/>
              </w:rPr>
            </w:pPr>
            <w:r>
              <w:rPr>
                <w:rFonts w:ascii="Arial" w:cs="Arial" w:eastAsia="Arial" w:hAnsi="Arial"/>
                <w:sz w:val="17"/>
                <w:szCs w:val="17"/>
                <w:color w:val="auto"/>
              </w:rPr>
              <w:t>Noncurrent assets</w:t>
            </w: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765</w:t>
            </w:r>
          </w:p>
        </w:tc>
        <w:tc>
          <w:tcPr>
            <w:tcW w:w="5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770</w:t>
            </w:r>
          </w:p>
        </w:tc>
      </w:tr>
      <w:tr>
        <w:trPr>
          <w:trHeight w:val="220"/>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1,430</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w:t>
            </w:r>
          </w:p>
        </w:tc>
      </w:tr>
      <w:tr>
        <w:trPr>
          <w:trHeight w:val="218"/>
        </w:trPr>
        <w:tc>
          <w:tcPr>
            <w:tcW w:w="6780" w:type="dxa"/>
            <w:vAlign w:val="bottom"/>
            <w:gridSpan w:val="3"/>
          </w:tcPr>
          <w:p>
            <w:pPr>
              <w:ind w:left="20"/>
              <w:spacing w:after="0"/>
              <w:rPr>
                <w:sz w:val="20"/>
                <w:szCs w:val="20"/>
                <w:color w:val="auto"/>
              </w:rPr>
            </w:pPr>
            <w:r>
              <w:rPr>
                <w:rFonts w:ascii="Arial" w:cs="Arial" w:eastAsia="Arial" w:hAnsi="Arial"/>
                <w:sz w:val="17"/>
                <w:szCs w:val="17"/>
                <w:color w:val="auto"/>
              </w:rPr>
              <w:t>Long-term debt</w:t>
            </w: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3,399</w:t>
            </w:r>
          </w:p>
        </w:tc>
        <w:tc>
          <w:tcPr>
            <w:tcW w:w="5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3,740</w:t>
            </w:r>
          </w:p>
        </w:tc>
      </w:tr>
      <w:tr>
        <w:trPr>
          <w:trHeight w:val="233"/>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Other non-current liabilities</w:t>
            </w: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40" w:name="page41"/>
    <w:bookmarkEnd w:id="40"/>
    <w:p>
      <w:pPr>
        <w:ind w:right="220" w:firstLine="464"/>
        <w:spacing w:after="0" w:line="248" w:lineRule="auto"/>
        <w:rPr>
          <w:sz w:val="20"/>
          <w:szCs w:val="20"/>
          <w:color w:val="auto"/>
        </w:rPr>
      </w:pPr>
      <w:r>
        <w:rPr>
          <w:rFonts w:ascii="Arial" w:cs="Arial" w:eastAsia="Arial" w:hAnsi="Arial"/>
          <w:sz w:val="17"/>
          <w:szCs w:val="17"/>
          <w:color w:val="auto"/>
        </w:rPr>
        <w:t>The following is a description of the transactions between the combined Parent Company and Wabtec Netherlands, with the subsidiaries of Westinghouse Air Brake Technologies Corp., other than Wabtec Netherlands, none of which are guarantors of the Euro Notes.</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6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0"/>
              </w:rPr>
              <w:t>Unaudited</w:t>
            </w:r>
          </w:p>
        </w:tc>
      </w:tr>
      <w:tr>
        <w:trPr>
          <w:trHeight w:val="180"/>
        </w:trPr>
        <w:tc>
          <w:tcPr>
            <w:tcW w:w="6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0"/>
              </w:rPr>
              <w:t>Issuer and Guarantor</w:t>
            </w:r>
          </w:p>
        </w:tc>
      </w:tr>
      <w:tr>
        <w:trPr>
          <w:trHeight w:val="166"/>
        </w:trPr>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6"/>
              </w:rPr>
              <w:t>In millions</w:t>
            </w:r>
          </w:p>
        </w:tc>
        <w:tc>
          <w:tcPr>
            <w:tcW w:w="842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7"/>
              </w:rPr>
              <w:t>Six Months Ended June 30, 2023</w:t>
            </w:r>
          </w:p>
        </w:tc>
      </w:tr>
      <w:tr>
        <w:trPr>
          <w:trHeight w:val="32"/>
        </w:trPr>
        <w:tc>
          <w:tcPr>
            <w:tcW w:w="6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147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7"/>
        </w:trPr>
        <w:tc>
          <w:tcPr>
            <w:tcW w:w="9060" w:type="dxa"/>
            <w:vAlign w:val="bottom"/>
            <w:gridSpan w:val="3"/>
          </w:tcPr>
          <w:p>
            <w:pPr>
              <w:ind w:left="20"/>
              <w:spacing w:after="0"/>
              <w:rPr>
                <w:sz w:val="20"/>
                <w:szCs w:val="20"/>
                <w:color w:val="auto"/>
              </w:rPr>
            </w:pPr>
            <w:r>
              <w:rPr>
                <w:rFonts w:ascii="Arial" w:cs="Arial" w:eastAsia="Arial" w:hAnsi="Arial"/>
                <w:sz w:val="17"/>
                <w:szCs w:val="17"/>
                <w:color w:val="auto"/>
              </w:rPr>
              <w:t>Net sales to non-guarantor subsidiaries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90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9"/>
        </w:trPr>
        <w:tc>
          <w:tcPr>
            <w:tcW w:w="9060" w:type="dxa"/>
            <w:vAlign w:val="bottom"/>
            <w:gridSpan w:val="3"/>
          </w:tcPr>
          <w:p>
            <w:pPr>
              <w:ind w:left="20"/>
              <w:spacing w:after="0"/>
              <w:rPr>
                <w:sz w:val="20"/>
                <w:szCs w:val="20"/>
                <w:color w:val="auto"/>
              </w:rPr>
            </w:pPr>
            <w:r>
              <w:rPr>
                <w:rFonts w:ascii="Arial" w:cs="Arial" w:eastAsia="Arial" w:hAnsi="Arial"/>
                <w:sz w:val="17"/>
                <w:szCs w:val="17"/>
                <w:color w:val="auto"/>
              </w:rPr>
              <w:t>Purchases from non-guarantor subsidiaries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90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428"/>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jc w:val="center"/>
              <w:ind w:right="203"/>
              <w:spacing w:after="0"/>
              <w:rPr>
                <w:sz w:val="20"/>
                <w:szCs w:val="20"/>
                <w:color w:val="auto"/>
              </w:rPr>
            </w:pPr>
            <w:r>
              <w:rPr>
                <w:rFonts w:ascii="Arial" w:cs="Arial" w:eastAsia="Arial" w:hAnsi="Arial"/>
                <w:sz w:val="14"/>
                <w:szCs w:val="14"/>
                <w:b w:val="1"/>
                <w:bCs w:val="1"/>
                <w:color w:val="auto"/>
                <w:w w:val="90"/>
              </w:rPr>
              <w:t>Unaudited</w:t>
            </w:r>
          </w:p>
        </w:tc>
      </w:tr>
      <w:tr>
        <w:trPr>
          <w:trHeight w:val="193"/>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jc w:val="center"/>
              <w:ind w:right="223"/>
              <w:spacing w:after="0"/>
              <w:rPr>
                <w:sz w:val="20"/>
                <w:szCs w:val="20"/>
                <w:color w:val="auto"/>
              </w:rPr>
            </w:pPr>
            <w:r>
              <w:rPr>
                <w:rFonts w:ascii="Arial" w:cs="Arial" w:eastAsia="Arial" w:hAnsi="Arial"/>
                <w:sz w:val="14"/>
                <w:szCs w:val="14"/>
                <w:b w:val="1"/>
                <w:bCs w:val="1"/>
                <w:color w:val="auto"/>
                <w:w w:val="90"/>
              </w:rPr>
              <w:t>Issuer and Guarantor</w:t>
            </w:r>
          </w:p>
        </w:tc>
      </w:tr>
      <w:tr>
        <w:trPr>
          <w:trHeight w:val="166"/>
        </w:trPr>
        <w:tc>
          <w:tcPr>
            <w:tcW w:w="90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4"/>
                <w:szCs w:val="14"/>
                <w:color w:val="auto"/>
              </w:rPr>
            </w:pPr>
          </w:p>
        </w:tc>
        <w:tc>
          <w:tcPr>
            <w:tcW w:w="1900" w:type="dxa"/>
            <w:vAlign w:val="bottom"/>
          </w:tcPr>
          <w:p>
            <w:pPr>
              <w:jc w:val="center"/>
              <w:ind w:right="223"/>
              <w:spacing w:after="0"/>
              <w:rPr>
                <w:sz w:val="20"/>
                <w:szCs w:val="20"/>
                <w:color w:val="auto"/>
              </w:rPr>
            </w:pPr>
            <w:r>
              <w:rPr>
                <w:rFonts w:ascii="Arial" w:cs="Arial" w:eastAsia="Arial" w:hAnsi="Arial"/>
                <w:sz w:val="14"/>
                <w:szCs w:val="14"/>
                <w:b w:val="1"/>
                <w:bCs w:val="1"/>
                <w:color w:val="auto"/>
                <w:w w:val="87"/>
              </w:rPr>
              <w:t>June 30, 2023</w:t>
            </w: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11"/>
        </w:trPr>
        <w:tc>
          <w:tcPr>
            <w:tcW w:w="90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Amount due from/(to) non-guarantor subsidiaries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(7,704)</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Company Stock Repurchase Plan</w:t>
      </w:r>
    </w:p>
    <w:p>
      <w:pPr>
        <w:spacing w:after="0" w:line="114" w:lineRule="exact"/>
        <w:rPr>
          <w:sz w:val="20"/>
          <w:szCs w:val="20"/>
          <w:color w:val="auto"/>
        </w:rPr>
      </w:pPr>
    </w:p>
    <w:p>
      <w:pPr>
        <w:ind w:right="60" w:firstLine="619"/>
        <w:spacing w:after="0" w:line="257" w:lineRule="auto"/>
        <w:rPr>
          <w:sz w:val="20"/>
          <w:szCs w:val="20"/>
          <w:color w:val="auto"/>
        </w:rPr>
      </w:pPr>
      <w:r>
        <w:rPr>
          <w:rFonts w:ascii="Arial" w:cs="Arial" w:eastAsia="Arial" w:hAnsi="Arial"/>
          <w:sz w:val="17"/>
          <w:szCs w:val="17"/>
          <w:color w:val="auto"/>
        </w:rPr>
        <w:t>On February 14, 2023, the Board of Directors reauthorized its stock repurchase program to refresh the amount available for stock repurchases to $750 million of the Company’s outstanding shares. This new stock repurchase authorization supersedes the previous authorization of $750 million, of which approximately $232 million remained at the reauthorization date. No time limit was set for the completion of the program which conforms to the requirements under the Restated Credit Agreement and the indentures for the Senior Notes currently outstanding. The Company may repurchase shares in the future at any time, depending upon market conditions, our capital needs and other factors. Purchases of shares may be made by open market purchases or privately negotiated purchases and may be made pursuant to Rule 10b5-1 plan or otherwise. As of June 30, 2023, approximately $588 million was remaining under the stock repurchase plan.</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 Looking Statements</w:t>
      </w:r>
    </w:p>
    <w:p>
      <w:pPr>
        <w:spacing w:after="0" w:line="120" w:lineRule="exact"/>
        <w:rPr>
          <w:sz w:val="20"/>
          <w:szCs w:val="20"/>
          <w:color w:val="auto"/>
        </w:rPr>
      </w:pPr>
    </w:p>
    <w:p>
      <w:pPr>
        <w:ind w:firstLine="464"/>
        <w:spacing w:after="0" w:line="262" w:lineRule="auto"/>
        <w:rPr>
          <w:sz w:val="20"/>
          <w:szCs w:val="20"/>
          <w:color w:val="auto"/>
        </w:rPr>
      </w:pPr>
      <w:r>
        <w:rPr>
          <w:rFonts w:ascii="Arial" w:cs="Arial" w:eastAsia="Arial" w:hAnsi="Arial"/>
          <w:sz w:val="17"/>
          <w:szCs w:val="17"/>
          <w:color w:val="auto"/>
        </w:rPr>
        <w:t>We believe that all statements other than statements of historical facts included in this report, including certain statements under “Business” and “Management’s Discussion and Analysis of Financial Condition and Results of Operations,” may constitute forward-looking statements. We have based these forward-looking statements on our current expectations and projections about future events. Although we believe that our assumptions made in connection with the forward-looking statements are reasonable, we cannot assure that our assumptions and expectations are correct.</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These forward-looking statements are subject to various risks, uncertainties and assumptions about us, including, among other things: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Economic and industry conditions</w:t>
      </w:r>
    </w:p>
    <w:p>
      <w:pPr>
        <w:spacing w:after="0" w:line="55" w:lineRule="exact"/>
        <w:rPr>
          <w:sz w:val="20"/>
          <w:szCs w:val="20"/>
          <w:color w:val="auto"/>
        </w:rPr>
      </w:pPr>
    </w:p>
    <w:p>
      <w:pPr>
        <w:ind w:left="580" w:right="400" w:hanging="306"/>
        <w:spacing w:after="0" w:line="232" w:lineRule="auto"/>
        <w:tabs>
          <w:tab w:leader="none" w:pos="580" w:val="left"/>
        </w:tabs>
        <w:numPr>
          <w:ilvl w:val="0"/>
          <w:numId w:val="20"/>
        </w:numPr>
        <w:rPr>
          <w:rFonts w:ascii="Arial" w:cs="Arial" w:eastAsia="Arial" w:hAnsi="Arial"/>
          <w:sz w:val="21"/>
          <w:szCs w:val="21"/>
          <w:color w:val="auto"/>
        </w:rPr>
      </w:pPr>
      <w:r>
        <w:rPr>
          <w:rFonts w:ascii="Arial" w:cs="Arial" w:eastAsia="Arial" w:hAnsi="Arial"/>
          <w:sz w:val="17"/>
          <w:szCs w:val="17"/>
          <w:color w:val="auto"/>
        </w:rPr>
        <w:t>changes in general economic and/or industry specific conditions, including the impacts of tax and tariff programs, inflation, supply chain disruptions, foreign currency exchange, and industry consolidation;</w:t>
      </w:r>
    </w:p>
    <w:p>
      <w:pPr>
        <w:spacing w:after="0" w:line="41" w:lineRule="exact"/>
        <w:rPr>
          <w:rFonts w:ascii="Arial" w:cs="Arial" w:eastAsia="Arial" w:hAnsi="Arial"/>
          <w:sz w:val="21"/>
          <w:szCs w:val="21"/>
          <w:color w:val="auto"/>
        </w:rPr>
      </w:pPr>
    </w:p>
    <w:p>
      <w:pPr>
        <w:ind w:left="580" w:right="220" w:hanging="306"/>
        <w:spacing w:after="0" w:line="279" w:lineRule="auto"/>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prolonged unfavorable economic and industry conditions in the markets served by us, including North America, South America, Europe, Australia, Asia and Africa;</w:t>
      </w:r>
    </w:p>
    <w:p>
      <w:pPr>
        <w:spacing w:after="0" w:line="9" w:lineRule="exact"/>
        <w:rPr>
          <w:rFonts w:ascii="Arial" w:cs="Arial" w:eastAsia="Arial" w:hAnsi="Arial"/>
          <w:sz w:val="17"/>
          <w:szCs w:val="17"/>
          <w:color w:val="auto"/>
        </w:rPr>
      </w:pPr>
    </w:p>
    <w:p>
      <w:pPr>
        <w:ind w:left="580" w:hanging="306"/>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decline in demand for freight cars, locomotives, passenger transit cars, buses and related products and services;</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reliance on major original equipment manufacturer customers;</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original equipment manufacturers’ program delays;</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demand for services in the freight and passenger rail industry;</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demand for our products and services;</w:t>
      </w:r>
    </w:p>
    <w:p>
      <w:pPr>
        <w:spacing w:after="0" w:line="62" w:lineRule="exact"/>
        <w:rPr>
          <w:rFonts w:ascii="Arial" w:cs="Arial" w:eastAsia="Arial" w:hAnsi="Arial"/>
          <w:sz w:val="17"/>
          <w:szCs w:val="17"/>
          <w:color w:val="auto"/>
        </w:rPr>
      </w:pPr>
    </w:p>
    <w:p>
      <w:pPr>
        <w:ind w:left="580" w:right="40" w:hanging="306"/>
        <w:spacing w:after="0" w:line="279" w:lineRule="auto"/>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orders either being delayed, canceled, not returning to historical levels or being reduced, and/or economic conditions affecting the ability of our customers to pay timely for goods and services delivered;</w:t>
      </w:r>
    </w:p>
    <w:p>
      <w:pPr>
        <w:spacing w:after="0" w:line="9" w:lineRule="exact"/>
        <w:rPr>
          <w:rFonts w:ascii="Arial" w:cs="Arial" w:eastAsia="Arial" w:hAnsi="Arial"/>
          <w:sz w:val="17"/>
          <w:szCs w:val="17"/>
          <w:color w:val="auto"/>
        </w:rPr>
      </w:pPr>
    </w:p>
    <w:p>
      <w:pPr>
        <w:ind w:left="580" w:hanging="306"/>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consolidations in the rail industry;</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continued outsourcing by our customers;</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industry demand for faster and more efficient braking equipment;</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fluctuations in interest rates and foreign currency exchange rates;</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availability of credit or difficulty in obtaining debt or equity financing; or</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41" w:name="page42"/>
    <w:bookmarkEnd w:id="41"/>
    <w:p>
      <w:pPr>
        <w:ind w:left="580" w:right="320" w:hanging="306"/>
        <w:spacing w:after="0" w:line="279" w:lineRule="auto"/>
        <w:tabs>
          <w:tab w:leader="none" w:pos="5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market consensus as to what attributes are required for projects to be considered "green" or "sustainable" or negative perceptions regarding determinations in such regard with respect to our Green Finance Framework;</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factors</w:t>
      </w:r>
    </w:p>
    <w:p>
      <w:pPr>
        <w:spacing w:after="0" w:line="68" w:lineRule="exact"/>
        <w:rPr>
          <w:sz w:val="20"/>
          <w:szCs w:val="20"/>
          <w:color w:val="auto"/>
        </w:rPr>
      </w:pPr>
    </w:p>
    <w:p>
      <w:pPr>
        <w:ind w:left="580" w:hanging="306"/>
        <w:spacing w:after="0"/>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supply disruptions;</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technical difficulties;</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operating conditions and costs;</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increases in raw material costs;</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successful introduction of new products;</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performance under material long-term contracts;</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labor availability and relations;</w:t>
      </w:r>
    </w:p>
    <w:p>
      <w:pPr>
        <w:spacing w:after="0" w:line="62" w:lineRule="exact"/>
        <w:rPr>
          <w:rFonts w:ascii="Arial" w:cs="Arial" w:eastAsia="Arial" w:hAnsi="Arial"/>
          <w:sz w:val="17"/>
          <w:szCs w:val="17"/>
          <w:color w:val="auto"/>
        </w:rPr>
      </w:pPr>
    </w:p>
    <w:p>
      <w:pPr>
        <w:jc w:val="both"/>
        <w:ind w:left="580" w:right="500" w:hanging="306"/>
        <w:spacing w:after="0" w:line="266" w:lineRule="auto"/>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outcome of our existing or any future legal proceedings, including litigation involving our principal customers and any litigation with respect to environmental matters, asbestos-related matters, pension liabilities, warranties, product liabilities, competition and anti-trust matters or intellectual property claims;</w:t>
      </w:r>
    </w:p>
    <w:p>
      <w:pPr>
        <w:spacing w:after="0" w:line="20" w:lineRule="exact"/>
        <w:rPr>
          <w:rFonts w:ascii="Arial" w:cs="Arial" w:eastAsia="Arial" w:hAnsi="Arial"/>
          <w:sz w:val="17"/>
          <w:szCs w:val="17"/>
          <w:color w:val="auto"/>
        </w:rPr>
      </w:pPr>
    </w:p>
    <w:p>
      <w:pPr>
        <w:ind w:left="580" w:hanging="306"/>
        <w:spacing w:after="0"/>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completion and integration of acquisitions;</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development and use of new technology; or</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cybersecurity and data protection risks;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Competitive factors</w:t>
      </w:r>
    </w:p>
    <w:p>
      <w:pPr>
        <w:spacing w:after="0" w:line="68" w:lineRule="exact"/>
        <w:rPr>
          <w:sz w:val="20"/>
          <w:szCs w:val="20"/>
          <w:color w:val="auto"/>
        </w:rPr>
      </w:pPr>
    </w:p>
    <w:p>
      <w:pPr>
        <w:ind w:left="580" w:hanging="306"/>
        <w:spacing w:after="0"/>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actions of competitors; or</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outcome of negotiations with partners, suppliers, customers or others;</w:t>
      </w:r>
    </w:p>
    <w:p>
      <w:pPr>
        <w:spacing w:after="0" w:line="5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b w:val="1"/>
          <w:bCs w:val="1"/>
          <w:color w:val="auto"/>
        </w:rPr>
        <w:t>Political/governmental factors</w:t>
      </w:r>
    </w:p>
    <w:p>
      <w:pPr>
        <w:spacing w:after="0" w:line="68" w:lineRule="exact"/>
        <w:rPr>
          <w:rFonts w:ascii="Arial" w:cs="Arial" w:eastAsia="Arial" w:hAnsi="Arial"/>
          <w:sz w:val="17"/>
          <w:szCs w:val="17"/>
          <w:color w:val="auto"/>
        </w:rPr>
      </w:pPr>
    </w:p>
    <w:p>
      <w:pPr>
        <w:ind w:left="580" w:hanging="306"/>
        <w:spacing w:after="0"/>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political stability in relevant areas of the world, including the impacts of war and conflicts;</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future regulation/deregulation of our customers and/or the rail industry;</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levels of governmental funding on transit projects, including for some of our customers;</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political developments and laws and regulations, including those related to Positive Train Control;</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federal and state income tax legislation;</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sanctions imposed on countries and persons; or</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outcome of negotiations with governments;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Natural hazards / health crises</w:t>
      </w:r>
    </w:p>
    <w:p>
      <w:pPr>
        <w:spacing w:after="0" w:line="68" w:lineRule="exact"/>
        <w:rPr>
          <w:sz w:val="20"/>
          <w:szCs w:val="20"/>
          <w:color w:val="auto"/>
        </w:rPr>
      </w:pPr>
    </w:p>
    <w:p>
      <w:pPr>
        <w:ind w:left="580" w:hanging="306"/>
        <w:spacing w:after="0"/>
        <w:tabs>
          <w:tab w:leader="none" w:pos="5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impacts of climate change, including evolving climate change policy;</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disruptive natural hazards, including earthquakes, fires, floods, tornadoes, hurricanes or weather conditions;</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epidemics, pandemics (including the COVID-19 pandemic), or similar public health crises;</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deterioration of general economic conditions as a result of natural hazards or health crises;</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shutdown of one or more of our operating facilities as a result of natural hazards and health crises; or</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supply chain and sourcing disruptions as a result of natural hazards and health crises;</w:t>
      </w:r>
    </w:p>
    <w:p>
      <w:pPr>
        <w:spacing w:after="0" w:line="114" w:lineRule="exact"/>
        <w:rPr>
          <w:sz w:val="20"/>
          <w:szCs w:val="20"/>
          <w:color w:val="auto"/>
        </w:rPr>
      </w:pPr>
    </w:p>
    <w:p>
      <w:pPr>
        <w:ind w:firstLine="464"/>
        <w:spacing w:after="0" w:line="290" w:lineRule="auto"/>
        <w:rPr>
          <w:sz w:val="20"/>
          <w:szCs w:val="20"/>
          <w:color w:val="auto"/>
        </w:rPr>
      </w:pPr>
      <w:r>
        <w:rPr>
          <w:rFonts w:ascii="Arial" w:cs="Arial" w:eastAsia="Arial" w:hAnsi="Arial"/>
          <w:sz w:val="16"/>
          <w:szCs w:val="16"/>
          <w:color w:val="auto"/>
        </w:rPr>
        <w:t>Statements in this Quarterly Report on Form 10-Q apply only as of the date on which such statements are made, and we undertake no obligation to update any statement to reflect events or circumstances after the date on which the statement is made or to reflect the occurrence of unanticipated events. Reference is also made to the risk factors set forth in the Company’s Annual Report on Form 10-K for the year ended December 31, 2022.</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20" w:lineRule="exact"/>
        <w:rPr>
          <w:sz w:val="20"/>
          <w:szCs w:val="20"/>
          <w:color w:val="auto"/>
        </w:rPr>
      </w:pPr>
    </w:p>
    <w:p>
      <w:pPr>
        <w:ind w:firstLine="464"/>
        <w:spacing w:after="0" w:line="262" w:lineRule="auto"/>
        <w:rPr>
          <w:sz w:val="20"/>
          <w:szCs w:val="20"/>
          <w:color w:val="auto"/>
        </w:rPr>
      </w:pPr>
      <w:r>
        <w:rPr>
          <w:rFonts w:ascii="Arial" w:cs="Arial" w:eastAsia="Arial" w:hAnsi="Arial"/>
          <w:sz w:val="17"/>
          <w:szCs w:val="17"/>
          <w:color w:val="auto"/>
        </w:rPr>
        <w:t>A summary of critical accounting estimates is included in the Company’s Annual Report on Form 10-K for the year ended December 31, 2022. In particular, judgment is used in areas such as accounts receivable and the allowance for doubtful accounts, inventories, business combinations, goodwill and indefinite-lived intangibles, warranty reserves, income taxes, and revenue recognition. There have been no significant changes in the related accounting policies since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952" w:right="359" w:bottom="1440" w:gutter="0" w:footer="0" w:header="0"/>
        </w:sectPr>
      </w:pPr>
    </w:p>
    <w:bookmarkStart w:id="42" w:name="page43"/>
    <w:bookmarkEnd w:id="42"/>
    <w:p>
      <w:pPr>
        <w:spacing w:after="0"/>
        <w:tabs>
          <w:tab w:leader="none" w:pos="680" w:val="left"/>
        </w:tabs>
        <w:rPr>
          <w:sz w:val="20"/>
          <w:szCs w:val="20"/>
          <w:color w:val="auto"/>
        </w:rPr>
      </w:pPr>
      <w:r>
        <w:rPr>
          <w:rFonts w:ascii="Arial" w:cs="Arial" w:eastAsia="Arial" w:hAnsi="Arial"/>
          <w:sz w:val="17"/>
          <w:szCs w:val="17"/>
          <w:b w:val="1"/>
          <w:bCs w:val="1"/>
          <w:color w:val="auto"/>
        </w:rPr>
        <w:t>Item 3.</w:t>
        <w:tab/>
        <w:t>QUANTITATIVE AND QUALITATIVE DISCLOSURES ABOUT MARKET RISK</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"Quantitative and Qualitative Disclosures About Market Risk" in Item 7A of Part II of our Annual Report on Form 10-K for the year ended</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2022. Our exposure to market risk has not changed materially since December 31, 2022. Refer to Note 13 - Fair Value Measurement and Derivative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Instruments of "Notes to Condensed Consolidated Financial Statements" included in Part I, Item 1 of this report for additional information regarding interest rate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and foreign currency exchange risk.</w:t>
      </w:r>
    </w:p>
    <w:p>
      <w:pPr>
        <w:spacing w:after="0" w:line="226"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0" w:lineRule="exact"/>
        <w:rPr>
          <w:sz w:val="20"/>
          <w:szCs w:val="20"/>
          <w:color w:val="auto"/>
        </w:rPr>
      </w:pPr>
    </w:p>
    <w:p>
      <w:pPr>
        <w:ind w:firstLine="464"/>
        <w:spacing w:after="0" w:line="299" w:lineRule="auto"/>
        <w:rPr>
          <w:sz w:val="20"/>
          <w:szCs w:val="20"/>
          <w:color w:val="auto"/>
        </w:rPr>
      </w:pPr>
      <w:r>
        <w:rPr>
          <w:rFonts w:ascii="Arial" w:cs="Arial" w:eastAsia="Arial" w:hAnsi="Arial"/>
          <w:sz w:val="15"/>
          <w:szCs w:val="15"/>
          <w:color w:val="auto"/>
        </w:rPr>
        <w:t>Wabtec’s principal executive officer and its principal financial officer have evaluated the effectiveness of Wabtec’s “disclosure controls and procedures,” (as defined in Exchange Act Rule 13a-15(e)) as of June 30, 2023. Based upon their evaluation, the principal executive officer and principal financial officer concluded that Wabtec’s disclosure controls and procedures are effective to provide reasonable assurance that information required to be disclosed by Wabtec in the reports filed or submitted by it under the Exchange Act is recorded, processed, summarized and reported within the time periods specified in the SEC’s rules and forms, and to provide reasonable assurance that information required to be disclosed by Wabtec in such reports is accumulated and communicated to Wabtec’s Management, including its principal executive officer and principal financial officer, as appropriate to allow timely decisions regarding required disclosure.</w:t>
      </w:r>
    </w:p>
    <w:p>
      <w:pPr>
        <w:spacing w:after="0" w:line="180" w:lineRule="exact"/>
        <w:rPr>
          <w:sz w:val="20"/>
          <w:szCs w:val="20"/>
          <w:color w:val="auto"/>
        </w:rPr>
      </w:pPr>
    </w:p>
    <w:p>
      <w:pPr>
        <w:ind w:right="40" w:firstLine="464"/>
        <w:spacing w:after="0" w:line="312" w:lineRule="auto"/>
        <w:rPr>
          <w:sz w:val="20"/>
          <w:szCs w:val="20"/>
          <w:color w:val="auto"/>
        </w:rPr>
      </w:pPr>
      <w:r>
        <w:rPr>
          <w:rFonts w:ascii="Arial" w:cs="Arial" w:eastAsia="Arial" w:hAnsi="Arial"/>
          <w:sz w:val="16"/>
          <w:szCs w:val="16"/>
          <w:color w:val="auto"/>
        </w:rPr>
        <w:t>There was no change in Wabtec’s “internal control over financial reporting” (as defined in Rule 13a-15(f) under the Exchange Act) that occurred during the quarter ended June 30, 2023, that has materially affected, or is reasonably likely to materially affect, Wabtec’s internal control over financial reporting.</w:t>
      </w: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43" w:name="page44"/>
    <w:bookmarkEnd w:id="43"/>
    <w:p>
      <w:pPr>
        <w:jc w:val="center"/>
        <w:spacing w:after="0"/>
        <w:rPr>
          <w:sz w:val="20"/>
          <w:szCs w:val="20"/>
          <w:color w:val="auto"/>
        </w:rPr>
      </w:pPr>
      <w:r>
        <w:rPr>
          <w:rFonts w:ascii="Arial" w:cs="Arial" w:eastAsia="Arial" w:hAnsi="Arial"/>
          <w:sz w:val="17"/>
          <w:szCs w:val="17"/>
          <w:b w:val="1"/>
          <w:bCs w:val="1"/>
          <w:color w:val="auto"/>
        </w:rPr>
        <w:t>PART II—OTHER INFORMATION</w:t>
      </w:r>
    </w:p>
    <w:p>
      <w:pPr>
        <w:spacing w:after="0" w:line="217"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120" w:lineRule="exact"/>
        <w:rPr>
          <w:sz w:val="20"/>
          <w:szCs w:val="20"/>
          <w:color w:val="auto"/>
        </w:rPr>
      </w:pPr>
    </w:p>
    <w:p>
      <w:pPr>
        <w:ind w:right="320" w:firstLine="464"/>
        <w:spacing w:after="0" w:line="279" w:lineRule="auto"/>
        <w:rPr>
          <w:sz w:val="20"/>
          <w:szCs w:val="20"/>
          <w:color w:val="auto"/>
        </w:rPr>
      </w:pPr>
      <w:r>
        <w:rPr>
          <w:rFonts w:ascii="Arial" w:cs="Arial" w:eastAsia="Arial" w:hAnsi="Arial"/>
          <w:sz w:val="17"/>
          <w:szCs w:val="17"/>
          <w:color w:val="auto"/>
        </w:rPr>
        <w:t>Additional information with respect to legal proceedings is included in Note 14 of “Notes to Condensed Consolidated Financial Statements” included in Part I, Item 1 of this report.</w:t>
      </w:r>
    </w:p>
    <w:p>
      <w:pPr>
        <w:spacing w:after="0" w:line="287"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There have been no material changes in our risk factors from those disclosed in our Annual Report on Form 10-K for the year ended December 31, 2022.</w:t>
      </w:r>
    </w:p>
    <w:p>
      <w:pPr>
        <w:spacing w:after="0" w:line="260"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stock repurchase activity for the three months ended June 30, 2023:</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Issuer Purchases of Common Stock</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Borders>
              <w:top w:val="single" w:sz="8" w:color="auto"/>
            </w:tcBorders>
          </w:tcPr>
          <w:p>
            <w:pPr>
              <w:spacing w:after="0"/>
              <w:rPr>
                <w:sz w:val="11"/>
                <w:szCs w:val="11"/>
                <w:color w:val="auto"/>
              </w:rPr>
            </w:pPr>
          </w:p>
        </w:tc>
        <w:tc>
          <w:tcPr>
            <w:tcW w:w="2580" w:type="dxa"/>
            <w:vAlign w:val="bottom"/>
            <w:tcBorders>
              <w:top w:val="single" w:sz="8" w:color="auto"/>
            </w:tcBorders>
          </w:tcPr>
          <w:p>
            <w:pPr>
              <w:spacing w:after="0"/>
              <w:rPr>
                <w:sz w:val="11"/>
                <w:szCs w:val="11"/>
                <w:color w:val="auto"/>
              </w:rPr>
            </w:pPr>
          </w:p>
        </w:tc>
        <w:tc>
          <w:tcPr>
            <w:tcW w:w="2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8"/>
              </w:rPr>
              <w:t>Total Number of Shares</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jc w:val="center"/>
              <w:ind w:right="43"/>
              <w:spacing w:after="0" w:line="131" w:lineRule="exact"/>
              <w:rPr>
                <w:sz w:val="20"/>
                <w:szCs w:val="20"/>
                <w:color w:val="auto"/>
              </w:rPr>
            </w:pPr>
            <w:r>
              <w:rPr>
                <w:rFonts w:ascii="Arial" w:cs="Arial" w:eastAsia="Arial" w:hAnsi="Arial"/>
                <w:sz w:val="14"/>
                <w:szCs w:val="14"/>
                <w:color w:val="auto"/>
                <w:w w:val="92"/>
              </w:rPr>
              <w:t>Maximum Dollar Value of</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center"/>
              <w:spacing w:after="0" w:line="142" w:lineRule="exact"/>
              <w:rPr>
                <w:sz w:val="20"/>
                <w:szCs w:val="20"/>
                <w:color w:val="auto"/>
              </w:rPr>
            </w:pPr>
            <w:r>
              <w:rPr>
                <w:rFonts w:ascii="Arial" w:cs="Arial" w:eastAsia="Arial" w:hAnsi="Arial"/>
                <w:sz w:val="14"/>
                <w:szCs w:val="14"/>
                <w:color w:val="auto"/>
                <w:w w:val="85"/>
              </w:rPr>
              <w:t>Purchased as Part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center"/>
              <w:ind w:right="43"/>
              <w:spacing w:after="0" w:line="142" w:lineRule="exact"/>
              <w:rPr>
                <w:sz w:val="20"/>
                <w:szCs w:val="20"/>
                <w:color w:val="auto"/>
              </w:rPr>
            </w:pPr>
            <w:r>
              <w:rPr>
                <w:rFonts w:ascii="Arial" w:cs="Arial" w:eastAsia="Arial" w:hAnsi="Arial"/>
                <w:sz w:val="14"/>
                <w:szCs w:val="14"/>
                <w:color w:val="auto"/>
                <w:w w:val="86"/>
              </w:rPr>
              <w:t>Shares That May Yet Be</w:t>
            </w:r>
          </w:p>
        </w:tc>
        <w:tc>
          <w:tcPr>
            <w:tcW w:w="0" w:type="dxa"/>
            <w:vAlign w:val="bottom"/>
          </w:tcPr>
          <w:p>
            <w:pPr>
              <w:spacing w:after="0"/>
              <w:rPr>
                <w:sz w:val="1"/>
                <w:szCs w:val="1"/>
                <w:color w:val="auto"/>
              </w:rPr>
            </w:pPr>
          </w:p>
        </w:tc>
      </w:tr>
      <w:tr>
        <w:trPr>
          <w:trHeight w:val="134"/>
        </w:trPr>
        <w:tc>
          <w:tcPr>
            <w:tcW w:w="4700" w:type="dxa"/>
            <w:vAlign w:val="bottom"/>
            <w:gridSpan w:val="3"/>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shares and price per share</w:t>
            </w:r>
          </w:p>
        </w:tc>
        <w:tc>
          <w:tcPr>
            <w:tcW w:w="120" w:type="dxa"/>
            <w:vAlign w:val="bottom"/>
          </w:tcPr>
          <w:p>
            <w:pPr>
              <w:spacing w:after="0"/>
              <w:rPr>
                <w:sz w:val="11"/>
                <w:szCs w:val="11"/>
                <w:color w:val="auto"/>
              </w:rPr>
            </w:pPr>
          </w:p>
        </w:tc>
        <w:tc>
          <w:tcPr>
            <w:tcW w:w="1600" w:type="dxa"/>
            <w:vAlign w:val="bottom"/>
          </w:tcPr>
          <w:p>
            <w:pPr>
              <w:jc w:val="right"/>
              <w:ind w:right="63"/>
              <w:spacing w:after="0" w:line="135" w:lineRule="exact"/>
              <w:rPr>
                <w:sz w:val="20"/>
                <w:szCs w:val="20"/>
                <w:color w:val="auto"/>
              </w:rPr>
            </w:pPr>
            <w:r>
              <w:rPr>
                <w:rFonts w:ascii="Arial" w:cs="Arial" w:eastAsia="Arial" w:hAnsi="Arial"/>
                <w:sz w:val="14"/>
                <w:szCs w:val="14"/>
                <w:color w:val="auto"/>
                <w:w w:val="96"/>
              </w:rPr>
              <w:t>Total Number of Shares</w:t>
            </w:r>
          </w:p>
        </w:tc>
        <w:tc>
          <w:tcPr>
            <w:tcW w:w="120" w:type="dxa"/>
            <w:vAlign w:val="bottom"/>
          </w:tcPr>
          <w:p>
            <w:pPr>
              <w:spacing w:after="0"/>
              <w:rPr>
                <w:sz w:val="11"/>
                <w:szCs w:val="11"/>
                <w:color w:val="auto"/>
              </w:rPr>
            </w:pPr>
          </w:p>
        </w:tc>
        <w:tc>
          <w:tcPr>
            <w:tcW w:w="1240" w:type="dxa"/>
            <w:vAlign w:val="bottom"/>
            <w:gridSpan w:val="2"/>
          </w:tcPr>
          <w:p>
            <w:pPr>
              <w:jc w:val="right"/>
              <w:ind w:right="18"/>
              <w:spacing w:after="0" w:line="135" w:lineRule="exact"/>
              <w:rPr>
                <w:sz w:val="20"/>
                <w:szCs w:val="20"/>
                <w:color w:val="auto"/>
              </w:rPr>
            </w:pPr>
            <w:r>
              <w:rPr>
                <w:rFonts w:ascii="Arial" w:cs="Arial" w:eastAsia="Arial" w:hAnsi="Arial"/>
                <w:sz w:val="14"/>
                <w:szCs w:val="14"/>
                <w:color w:val="auto"/>
                <w:w w:val="93"/>
              </w:rPr>
              <w:t>Average Price Paid</w:t>
            </w:r>
          </w:p>
        </w:tc>
        <w:tc>
          <w:tcPr>
            <w:tcW w:w="120" w:type="dxa"/>
            <w:vAlign w:val="bottom"/>
          </w:tcPr>
          <w:p>
            <w:pPr>
              <w:spacing w:after="0"/>
              <w:rPr>
                <w:sz w:val="11"/>
                <w:szCs w:val="11"/>
                <w:color w:val="auto"/>
              </w:rPr>
            </w:pPr>
          </w:p>
        </w:tc>
        <w:tc>
          <w:tcPr>
            <w:tcW w:w="1560" w:type="dxa"/>
            <w:vAlign w:val="bottom"/>
          </w:tcPr>
          <w:p>
            <w:pPr>
              <w:jc w:val="center"/>
              <w:spacing w:after="0" w:line="135" w:lineRule="exact"/>
              <w:rPr>
                <w:sz w:val="20"/>
                <w:szCs w:val="20"/>
                <w:color w:val="auto"/>
              </w:rPr>
            </w:pPr>
            <w:r>
              <w:rPr>
                <w:rFonts w:ascii="Arial" w:cs="Arial" w:eastAsia="Arial" w:hAnsi="Arial"/>
                <w:sz w:val="14"/>
                <w:szCs w:val="14"/>
                <w:color w:val="auto"/>
                <w:w w:val="91"/>
              </w:rPr>
              <w:t>Publicly Announced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tcPr>
          <w:p>
            <w:pPr>
              <w:jc w:val="center"/>
              <w:ind w:right="43"/>
              <w:spacing w:after="0" w:line="135" w:lineRule="exact"/>
              <w:rPr>
                <w:sz w:val="20"/>
                <w:szCs w:val="20"/>
                <w:color w:val="auto"/>
              </w:rPr>
            </w:pPr>
            <w:r>
              <w:rPr>
                <w:rFonts w:ascii="Arial" w:cs="Arial" w:eastAsia="Arial" w:hAnsi="Arial"/>
                <w:sz w:val="14"/>
                <w:szCs w:val="14"/>
                <w:color w:val="auto"/>
                <w:w w:val="87"/>
              </w:rPr>
              <w:t>Purchased Under the</w:t>
            </w:r>
          </w:p>
        </w:tc>
        <w:tc>
          <w:tcPr>
            <w:tcW w:w="0" w:type="dxa"/>
            <w:vAlign w:val="bottom"/>
          </w:tcPr>
          <w:p>
            <w:pPr>
              <w:spacing w:after="0"/>
              <w:rPr>
                <w:sz w:val="1"/>
                <w:szCs w:val="1"/>
                <w:color w:val="auto"/>
              </w:rPr>
            </w:pPr>
          </w:p>
        </w:tc>
      </w:tr>
      <w:tr>
        <w:trPr>
          <w:trHeight w:val="142"/>
        </w:trPr>
        <w:tc>
          <w:tcPr>
            <w:tcW w:w="47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right"/>
              <w:ind w:right="443"/>
              <w:spacing w:after="0" w:line="142" w:lineRule="exact"/>
              <w:rPr>
                <w:sz w:val="20"/>
                <w:szCs w:val="20"/>
                <w:color w:val="auto"/>
              </w:rPr>
            </w:pPr>
            <w:r>
              <w:rPr>
                <w:rFonts w:ascii="Arial" w:cs="Arial" w:eastAsia="Arial" w:hAnsi="Arial"/>
                <w:sz w:val="14"/>
                <w:szCs w:val="14"/>
                <w:color w:val="auto"/>
              </w:rPr>
              <w:t>Purchased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278"/>
              <w:spacing w:after="0" w:line="142" w:lineRule="exact"/>
              <w:rPr>
                <w:sz w:val="20"/>
                <w:szCs w:val="20"/>
                <w:color w:val="auto"/>
              </w:rPr>
            </w:pPr>
            <w:r>
              <w:rPr>
                <w:rFonts w:ascii="Arial" w:cs="Arial" w:eastAsia="Arial" w:hAnsi="Arial"/>
                <w:sz w:val="14"/>
                <w:szCs w:val="14"/>
                <w:color w:val="auto"/>
              </w:rPr>
              <w:t>per Share</w:t>
            </w:r>
          </w:p>
        </w:tc>
        <w:tc>
          <w:tcPr>
            <w:tcW w:w="120" w:type="dxa"/>
            <w:vAlign w:val="bottom"/>
          </w:tcPr>
          <w:p>
            <w:pPr>
              <w:spacing w:after="0"/>
              <w:rPr>
                <w:sz w:val="12"/>
                <w:szCs w:val="12"/>
                <w:color w:val="auto"/>
              </w:rPr>
            </w:pPr>
          </w:p>
        </w:tc>
        <w:tc>
          <w:tcPr>
            <w:tcW w:w="1560" w:type="dxa"/>
            <w:vAlign w:val="bottom"/>
          </w:tcPr>
          <w:p>
            <w:pPr>
              <w:jc w:val="center"/>
              <w:spacing w:after="0" w:line="142" w:lineRule="exact"/>
              <w:rPr>
                <w:sz w:val="20"/>
                <w:szCs w:val="20"/>
                <w:color w:val="auto"/>
              </w:rPr>
            </w:pPr>
            <w:r>
              <w:rPr>
                <w:rFonts w:ascii="Arial" w:cs="Arial" w:eastAsia="Arial" w:hAnsi="Arial"/>
                <w:sz w:val="14"/>
                <w:szCs w:val="14"/>
                <w:color w:val="auto"/>
                <w:w w:val="88"/>
              </w:rPr>
              <w:t>Programs (1)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center"/>
              <w:ind w:right="43"/>
              <w:spacing w:after="0" w:line="142" w:lineRule="exact"/>
              <w:rPr>
                <w:sz w:val="20"/>
                <w:szCs w:val="20"/>
                <w:color w:val="auto"/>
              </w:rPr>
            </w:pPr>
            <w:r>
              <w:rPr>
                <w:rFonts w:ascii="Arial" w:cs="Arial" w:eastAsia="Arial" w:hAnsi="Arial"/>
                <w:sz w:val="14"/>
                <w:szCs w:val="14"/>
                <w:color w:val="auto"/>
                <w:w w:val="88"/>
              </w:rPr>
              <w:t>Programs (1)</w:t>
            </w:r>
          </w:p>
        </w:tc>
        <w:tc>
          <w:tcPr>
            <w:tcW w:w="0" w:type="dxa"/>
            <w:vAlign w:val="bottom"/>
          </w:tcPr>
          <w:p>
            <w:pPr>
              <w:spacing w:after="0"/>
              <w:rPr>
                <w:sz w:val="1"/>
                <w:szCs w:val="1"/>
                <w:color w:val="auto"/>
              </w:rPr>
            </w:pPr>
          </w:p>
        </w:tc>
      </w:tr>
      <w:tr>
        <w:trPr>
          <w:trHeight w:val="32"/>
        </w:trPr>
        <w:tc>
          <w:tcPr>
            <w:tcW w:w="20" w:type="dxa"/>
            <w:vAlign w:val="bottom"/>
            <w:tcBorders>
              <w:bottom w:val="single" w:sz="8" w:color="auto"/>
            </w:tcBorders>
          </w:tcPr>
          <w:p>
            <w:pPr>
              <w:spacing w:after="0"/>
              <w:rPr>
                <w:sz w:val="2"/>
                <w:szCs w:val="2"/>
                <w:color w:val="auto"/>
              </w:rPr>
            </w:pPr>
          </w:p>
        </w:tc>
        <w:tc>
          <w:tcPr>
            <w:tcW w:w="2580" w:type="dxa"/>
            <w:vAlign w:val="bottom"/>
            <w:tcBorders>
              <w:top w:val="single" w:sz="8" w:color="auto"/>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7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April 2023</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4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663</w:t>
            </w:r>
          </w:p>
        </w:tc>
        <w:tc>
          <w:tcPr>
            <w:tcW w:w="0" w:type="dxa"/>
            <w:vAlign w:val="bottom"/>
          </w:tcPr>
          <w:p>
            <w:pPr>
              <w:spacing w:after="0"/>
              <w:rPr>
                <w:sz w:val="1"/>
                <w:szCs w:val="1"/>
                <w:color w:val="auto"/>
              </w:rPr>
            </w:pPr>
          </w:p>
        </w:tc>
      </w:tr>
      <w:tr>
        <w:trPr>
          <w:trHeight w:val="225"/>
        </w:trPr>
        <w:tc>
          <w:tcPr>
            <w:tcW w:w="4700" w:type="dxa"/>
            <w:vAlign w:val="bottom"/>
            <w:gridSpan w:val="3"/>
          </w:tcPr>
          <w:p>
            <w:pPr>
              <w:ind w:left="20"/>
              <w:spacing w:after="0"/>
              <w:rPr>
                <w:sz w:val="20"/>
                <w:szCs w:val="20"/>
                <w:color w:val="auto"/>
              </w:rPr>
            </w:pPr>
            <w:r>
              <w:rPr>
                <w:rFonts w:ascii="Arial" w:cs="Arial" w:eastAsia="Arial" w:hAnsi="Arial"/>
                <w:sz w:val="17"/>
                <w:szCs w:val="17"/>
                <w:color w:val="auto"/>
              </w:rPr>
              <w:t>May 2023</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770,808</w:t>
            </w:r>
          </w:p>
        </w:tc>
        <w:tc>
          <w:tcPr>
            <w:tcW w:w="340" w:type="dxa"/>
            <w:vAlign w:val="bottom"/>
            <w:gridSpan w:val="2"/>
          </w:tcPr>
          <w:p>
            <w:pPr>
              <w:jc w:val="right"/>
              <w:ind w:right="4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97.28</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770,808</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60" w:type="dxa"/>
            <w:vAlign w:val="bottom"/>
          </w:tcPr>
          <w:p>
            <w:pPr>
              <w:jc w:val="right"/>
              <w:ind w:right="3"/>
              <w:spacing w:after="0"/>
              <w:rPr>
                <w:sz w:val="20"/>
                <w:szCs w:val="20"/>
                <w:color w:val="auto"/>
              </w:rPr>
            </w:pPr>
            <w:r>
              <w:rPr>
                <w:rFonts w:ascii="Arial" w:cs="Arial" w:eastAsia="Arial" w:hAnsi="Arial"/>
                <w:sz w:val="17"/>
                <w:szCs w:val="17"/>
                <w:color w:val="auto"/>
              </w:rPr>
              <w:t>588</w:t>
            </w:r>
          </w:p>
        </w:tc>
        <w:tc>
          <w:tcPr>
            <w:tcW w:w="0" w:type="dxa"/>
            <w:vAlign w:val="bottom"/>
          </w:tcPr>
          <w:p>
            <w:pPr>
              <w:spacing w:after="0"/>
              <w:rPr>
                <w:sz w:val="1"/>
                <w:szCs w:val="1"/>
                <w:color w:val="auto"/>
              </w:rPr>
            </w:pPr>
          </w:p>
        </w:tc>
      </w:tr>
      <w:tr>
        <w:trPr>
          <w:trHeight w:val="226"/>
        </w:trPr>
        <w:tc>
          <w:tcPr>
            <w:tcW w:w="47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June 2023</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588</w:t>
            </w:r>
          </w:p>
        </w:tc>
        <w:tc>
          <w:tcPr>
            <w:tcW w:w="0" w:type="dxa"/>
            <w:vAlign w:val="bottom"/>
          </w:tcPr>
          <w:p>
            <w:pPr>
              <w:spacing w:after="0"/>
              <w:rPr>
                <w:sz w:val="1"/>
                <w:szCs w:val="1"/>
                <w:color w:val="auto"/>
              </w:rPr>
            </w:pPr>
          </w:p>
        </w:tc>
      </w:tr>
      <w:tr>
        <w:trPr>
          <w:trHeight w:val="213"/>
        </w:trPr>
        <w:tc>
          <w:tcPr>
            <w:tcW w:w="4700" w:type="dxa"/>
            <w:vAlign w:val="bottom"/>
            <w:gridSpan w:val="3"/>
          </w:tcPr>
          <w:p>
            <w:pPr>
              <w:ind w:left="20"/>
              <w:spacing w:after="0"/>
              <w:rPr>
                <w:sz w:val="20"/>
                <w:szCs w:val="20"/>
                <w:color w:val="auto"/>
              </w:rPr>
            </w:pPr>
            <w:r>
              <w:rPr>
                <w:rFonts w:ascii="Arial" w:cs="Arial" w:eastAsia="Arial" w:hAnsi="Arial"/>
                <w:sz w:val="17"/>
                <w:szCs w:val="17"/>
                <w:color w:val="auto"/>
              </w:rPr>
              <w:t>Total quarter ended June 30, 2023</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770,808</w:t>
            </w:r>
          </w:p>
        </w:tc>
        <w:tc>
          <w:tcPr>
            <w:tcW w:w="340" w:type="dxa"/>
            <w:vAlign w:val="bottom"/>
            <w:gridSpan w:val="2"/>
          </w:tcPr>
          <w:p>
            <w:pPr>
              <w:jc w:val="right"/>
              <w:ind w:right="4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97.28</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770,808</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60" w:type="dxa"/>
            <w:vAlign w:val="bottom"/>
          </w:tcPr>
          <w:p>
            <w:pPr>
              <w:jc w:val="right"/>
              <w:ind w:right="3"/>
              <w:spacing w:after="0"/>
              <w:rPr>
                <w:sz w:val="20"/>
                <w:szCs w:val="20"/>
                <w:color w:val="auto"/>
              </w:rPr>
            </w:pPr>
            <w:r>
              <w:rPr>
                <w:rFonts w:ascii="Arial" w:cs="Arial" w:eastAsia="Arial" w:hAnsi="Arial"/>
                <w:sz w:val="17"/>
                <w:szCs w:val="17"/>
                <w:color w:val="auto"/>
              </w:rPr>
              <w:t>588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right="60" w:firstLine="3"/>
        <w:spacing w:after="0" w:line="257" w:lineRule="auto"/>
        <w:tabs>
          <w:tab w:leader="none" w:pos="415" w:val="left"/>
        </w:tabs>
        <w:numPr>
          <w:ilvl w:val="0"/>
          <w:numId w:val="25"/>
        </w:numPr>
        <w:rPr>
          <w:rFonts w:ascii="Arial" w:cs="Arial" w:eastAsia="Arial" w:hAnsi="Arial"/>
          <w:sz w:val="17"/>
          <w:szCs w:val="17"/>
          <w:color w:val="auto"/>
        </w:rPr>
      </w:pPr>
      <w:r>
        <w:rPr>
          <w:rFonts w:ascii="Arial" w:cs="Arial" w:eastAsia="Arial" w:hAnsi="Arial"/>
          <w:sz w:val="17"/>
          <w:szCs w:val="17"/>
          <w:color w:val="auto"/>
        </w:rPr>
        <w:t>On February 14, 2023, the Board of Directors reauthorized its stock repurchase program to refresh the amount available for stock repurchases to $750 million of the Company’s outstanding shares. This new stock repurchase authorization supersedes the previous authorization of $750 million, of which approximately $232 million remained at the reauthorization date. No time limit was set for the completion of the program which conforms to the requirements under the Restated Credit Agreement and the indentures for the Senior Notes currently outstanding. The Company may repurchase shares in the future at any time, depending upon market conditions, our capital needs and other factors. Purchases of shares may be made by open market purchases or privately negotiated purchases and may be made pursuant to Rule 10b5-1 plan or otherwise. As of June 30, 2023, approximately $588 million was remaining under the stock repurchase plan.</w:t>
      </w:r>
    </w:p>
    <w:p>
      <w:pPr>
        <w:spacing w:after="0" w:line="13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None of Wabtec's Directors or Officers have adopted, terminated, or materially modified any trading plans, whether or not the plan was intended to qualify for the affirmative defense under Rule 10b5-1, during the second quarter ended June 30, 2023.</w:t>
      </w:r>
    </w:p>
    <w:p>
      <w:pPr>
        <w:spacing w:after="0" w:line="184"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4.</w:t>
        <w:tab/>
        <w:t>MINE SAFETY DISCLOSURES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23"/>
        </w:trPr>
        <w:tc>
          <w:tcPr>
            <w:tcW w:w="680" w:type="dxa"/>
            <w:vAlign w:val="bottom"/>
          </w:tcPr>
          <w:p>
            <w:pPr>
              <w:spacing w:after="0"/>
              <w:rPr>
                <w:sz w:val="20"/>
                <w:szCs w:val="20"/>
                <w:color w:val="auto"/>
              </w:rPr>
            </w:pPr>
            <w:r>
              <w:rPr>
                <w:rFonts w:ascii="Arial" w:cs="Arial" w:eastAsia="Arial" w:hAnsi="Arial"/>
                <w:sz w:val="17"/>
                <w:szCs w:val="17"/>
                <w:b w:val="1"/>
                <w:bCs w:val="1"/>
                <w:color w:val="auto"/>
              </w:rPr>
              <w:t>Item 6.</w:t>
            </w:r>
          </w:p>
        </w:tc>
        <w:tc>
          <w:tcPr>
            <w:tcW w:w="6440" w:type="dxa"/>
            <w:vAlign w:val="bottom"/>
            <w:gridSpan w:val="5"/>
          </w:tcPr>
          <w:p>
            <w:pPr>
              <w:ind w:left="20"/>
              <w:spacing w:after="0"/>
              <w:rPr>
                <w:sz w:val="20"/>
                <w:szCs w:val="20"/>
                <w:color w:val="auto"/>
              </w:rPr>
            </w:pPr>
            <w:r>
              <w:rPr>
                <w:rFonts w:ascii="Arial" w:cs="Arial" w:eastAsia="Arial" w:hAnsi="Arial"/>
                <w:sz w:val="17"/>
                <w:szCs w:val="17"/>
                <w:b w:val="1"/>
                <w:bCs w:val="1"/>
                <w:color w:val="auto"/>
              </w:rPr>
              <w:t>EXHIBITS</w:t>
            </w:r>
          </w:p>
        </w:tc>
      </w:tr>
      <w:tr>
        <w:trPr>
          <w:trHeight w:val="309"/>
        </w:trPr>
        <w:tc>
          <w:tcPr>
            <w:tcW w:w="7120" w:type="dxa"/>
            <w:vAlign w:val="bottom"/>
            <w:gridSpan w:val="6"/>
          </w:tcPr>
          <w:p>
            <w:pPr>
              <w:ind w:left="460"/>
              <w:spacing w:after="0"/>
              <w:rPr>
                <w:sz w:val="20"/>
                <w:szCs w:val="20"/>
                <w:color w:val="auto"/>
              </w:rPr>
            </w:pPr>
            <w:r>
              <w:rPr>
                <w:rFonts w:ascii="Arial" w:cs="Arial" w:eastAsia="Arial" w:hAnsi="Arial"/>
                <w:sz w:val="17"/>
                <w:szCs w:val="17"/>
                <w:color w:val="auto"/>
              </w:rPr>
              <w:t>The following exhibits are being filed with this report:</w:t>
            </w:r>
          </w:p>
        </w:tc>
      </w:tr>
      <w:tr>
        <w:trPr>
          <w:trHeight w:val="311"/>
        </w:trPr>
        <w:tc>
          <w:tcPr>
            <w:tcW w:w="680" w:type="dxa"/>
            <w:vAlign w:val="bottom"/>
          </w:tcPr>
          <w:p>
            <w:pPr>
              <w:ind w:left="20"/>
              <w:spacing w:after="0"/>
              <w:rPr>
                <w:sz w:val="20"/>
                <w:szCs w:val="20"/>
                <w:color w:val="auto"/>
              </w:rPr>
            </w:pPr>
            <w:r>
              <w:rPr>
                <w:rFonts w:ascii="Arial" w:cs="Arial" w:eastAsia="Arial" w:hAnsi="Arial"/>
                <w:sz w:val="17"/>
                <w:szCs w:val="17"/>
                <w:color w:val="auto"/>
              </w:rPr>
              <w:t>22.1</w:t>
            </w:r>
          </w:p>
        </w:tc>
        <w:tc>
          <w:tcPr>
            <w:tcW w:w="780" w:type="dxa"/>
            <w:vAlign w:val="bottom"/>
          </w:tcPr>
          <w:p>
            <w:pPr>
              <w:spacing w:after="0"/>
              <w:rPr>
                <w:sz w:val="24"/>
                <w:szCs w:val="24"/>
                <w:color w:val="auto"/>
              </w:rPr>
            </w:pPr>
          </w:p>
        </w:tc>
        <w:tc>
          <w:tcPr>
            <w:tcW w:w="5660" w:type="dxa"/>
            <w:vAlign w:val="bottom"/>
            <w:gridSpan w:val="4"/>
          </w:tcPr>
          <w:p>
            <w:pPr>
              <w:spacing w:after="0"/>
              <w:rPr>
                <w:sz w:val="20"/>
                <w:szCs w:val="20"/>
                <w:color w:val="auto"/>
              </w:rPr>
            </w:pPr>
            <w:r>
              <w:rPr>
                <w:rFonts w:ascii="Arial" w:cs="Arial" w:eastAsia="Arial" w:hAnsi="Arial"/>
                <w:sz w:val="17"/>
                <w:szCs w:val="17"/>
                <w:color w:val="0000FF"/>
              </w:rPr>
              <w:t>List of Subsidiary Guarantors</w:t>
            </w:r>
          </w:p>
        </w:tc>
      </w:tr>
      <w:tr>
        <w:trPr>
          <w:trHeight w:val="20"/>
        </w:trPr>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51"/>
        </w:trPr>
        <w:tc>
          <w:tcPr>
            <w:tcW w:w="680" w:type="dxa"/>
            <w:vAlign w:val="bottom"/>
          </w:tcPr>
          <w:p>
            <w:pPr>
              <w:ind w:left="20"/>
              <w:spacing w:after="0"/>
              <w:rPr>
                <w:sz w:val="20"/>
                <w:szCs w:val="20"/>
                <w:color w:val="auto"/>
              </w:rPr>
            </w:pPr>
            <w:r>
              <w:rPr>
                <w:rFonts w:ascii="Arial" w:cs="Arial" w:eastAsia="Arial" w:hAnsi="Arial"/>
                <w:sz w:val="17"/>
                <w:szCs w:val="17"/>
                <w:color w:val="auto"/>
              </w:rPr>
              <w:t>31.1</w:t>
            </w:r>
          </w:p>
        </w:tc>
        <w:tc>
          <w:tcPr>
            <w:tcW w:w="780" w:type="dxa"/>
            <w:vAlign w:val="bottom"/>
          </w:tcPr>
          <w:p>
            <w:pPr>
              <w:spacing w:after="0"/>
              <w:rPr>
                <w:sz w:val="21"/>
                <w:szCs w:val="21"/>
                <w:color w:val="auto"/>
              </w:rPr>
            </w:pPr>
          </w:p>
        </w:tc>
        <w:tc>
          <w:tcPr>
            <w:tcW w:w="5660" w:type="dxa"/>
            <w:vAlign w:val="bottom"/>
            <w:gridSpan w:val="4"/>
          </w:tcPr>
          <w:p>
            <w:pPr>
              <w:spacing w:after="0"/>
              <w:rPr>
                <w:sz w:val="20"/>
                <w:szCs w:val="20"/>
                <w:color w:val="auto"/>
              </w:rPr>
            </w:pPr>
            <w:r>
              <w:rPr>
                <w:rFonts w:ascii="Arial" w:cs="Arial" w:eastAsia="Arial" w:hAnsi="Arial"/>
                <w:sz w:val="17"/>
                <w:szCs w:val="17"/>
                <w:color w:val="0000FF"/>
              </w:rPr>
              <w:t>Rule 13a-14(a) Certification of Chief Executive Officer.</w:t>
            </w:r>
          </w:p>
        </w:tc>
      </w:tr>
      <w:tr>
        <w:trPr>
          <w:trHeight w:val="264"/>
        </w:trPr>
        <w:tc>
          <w:tcPr>
            <w:tcW w:w="680" w:type="dxa"/>
            <w:vAlign w:val="bottom"/>
          </w:tcPr>
          <w:p>
            <w:pPr>
              <w:ind w:left="20"/>
              <w:spacing w:after="0"/>
              <w:rPr>
                <w:sz w:val="20"/>
                <w:szCs w:val="20"/>
                <w:color w:val="auto"/>
              </w:rPr>
            </w:pPr>
            <w:r>
              <w:rPr>
                <w:rFonts w:ascii="Arial" w:cs="Arial" w:eastAsia="Arial" w:hAnsi="Arial"/>
                <w:sz w:val="17"/>
                <w:szCs w:val="17"/>
                <w:color w:val="auto"/>
              </w:rPr>
              <w:t>31.2</w:t>
            </w:r>
          </w:p>
        </w:tc>
        <w:tc>
          <w:tcPr>
            <w:tcW w:w="780" w:type="dxa"/>
            <w:vAlign w:val="bottom"/>
          </w:tcPr>
          <w:p>
            <w:pPr>
              <w:spacing w:after="0"/>
              <w:rPr>
                <w:sz w:val="22"/>
                <w:szCs w:val="22"/>
                <w:color w:val="auto"/>
              </w:rPr>
            </w:pPr>
          </w:p>
        </w:tc>
        <w:tc>
          <w:tcPr>
            <w:tcW w:w="38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7"/>
                <w:szCs w:val="17"/>
                <w:color w:val="0000FF"/>
                <w:w w:val="94"/>
              </w:rPr>
              <w:t>Rule 13a-14(a) Certification of Chief Financial Officer.</w:t>
            </w:r>
          </w:p>
        </w:tc>
        <w:tc>
          <w:tcPr>
            <w:tcW w:w="40" w:type="dxa"/>
            <w:vAlign w:val="bottom"/>
            <w:tcBorders>
              <w:top w:val="single" w:sz="8" w:color="0000FF"/>
            </w:tcBorders>
          </w:tcPr>
          <w:p>
            <w:pPr>
              <w:spacing w:after="0"/>
              <w:rPr>
                <w:sz w:val="22"/>
                <w:szCs w:val="22"/>
                <w:color w:val="auto"/>
              </w:rPr>
            </w:pPr>
          </w:p>
        </w:tc>
        <w:tc>
          <w:tcPr>
            <w:tcW w:w="1800" w:type="dxa"/>
            <w:vAlign w:val="bottom"/>
          </w:tcPr>
          <w:p>
            <w:pPr>
              <w:spacing w:after="0"/>
              <w:rPr>
                <w:sz w:val="22"/>
                <w:szCs w:val="22"/>
                <w:color w:val="auto"/>
              </w:rPr>
            </w:pPr>
          </w:p>
        </w:tc>
      </w:tr>
      <w:tr>
        <w:trPr>
          <w:trHeight w:val="251"/>
        </w:trPr>
        <w:tc>
          <w:tcPr>
            <w:tcW w:w="680" w:type="dxa"/>
            <w:vAlign w:val="bottom"/>
          </w:tcPr>
          <w:p>
            <w:pPr>
              <w:ind w:left="20"/>
              <w:spacing w:after="0"/>
              <w:rPr>
                <w:sz w:val="20"/>
                <w:szCs w:val="20"/>
                <w:color w:val="auto"/>
              </w:rPr>
            </w:pPr>
            <w:r>
              <w:rPr>
                <w:rFonts w:ascii="Arial" w:cs="Arial" w:eastAsia="Arial" w:hAnsi="Arial"/>
                <w:sz w:val="17"/>
                <w:szCs w:val="17"/>
                <w:color w:val="auto"/>
              </w:rPr>
              <w:t>32.1</w:t>
            </w:r>
          </w:p>
        </w:tc>
        <w:tc>
          <w:tcPr>
            <w:tcW w:w="780" w:type="dxa"/>
            <w:vAlign w:val="bottom"/>
          </w:tcPr>
          <w:p>
            <w:pPr>
              <w:spacing w:after="0"/>
              <w:rPr>
                <w:sz w:val="21"/>
                <w:szCs w:val="21"/>
                <w:color w:val="auto"/>
              </w:rPr>
            </w:pPr>
          </w:p>
        </w:tc>
        <w:tc>
          <w:tcPr>
            <w:tcW w:w="566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w w:val="93"/>
              </w:rPr>
              <w:t>Section 1350 Certification of Chief Executive Officer and Chief Financial Officer.</w:t>
            </w:r>
          </w:p>
        </w:tc>
      </w:tr>
      <w:tr>
        <w:trPr>
          <w:trHeight w:val="288"/>
        </w:trPr>
        <w:tc>
          <w:tcPr>
            <w:tcW w:w="680" w:type="dxa"/>
            <w:vAlign w:val="bottom"/>
          </w:tcPr>
          <w:p>
            <w:pPr>
              <w:ind w:left="20"/>
              <w:spacing w:after="0"/>
              <w:rPr>
                <w:sz w:val="20"/>
                <w:szCs w:val="20"/>
                <w:color w:val="auto"/>
              </w:rPr>
            </w:pPr>
            <w:r>
              <w:rPr>
                <w:rFonts w:ascii="Arial" w:cs="Arial" w:eastAsia="Arial" w:hAnsi="Arial"/>
                <w:sz w:val="17"/>
                <w:szCs w:val="17"/>
                <w:color w:val="auto"/>
              </w:rPr>
              <w:t>101.INS</w:t>
            </w:r>
          </w:p>
        </w:tc>
        <w:tc>
          <w:tcPr>
            <w:tcW w:w="780" w:type="dxa"/>
            <w:vAlign w:val="bottom"/>
          </w:tcPr>
          <w:p>
            <w:pPr>
              <w:spacing w:after="0"/>
              <w:rPr>
                <w:sz w:val="24"/>
                <w:szCs w:val="24"/>
                <w:color w:val="auto"/>
              </w:rPr>
            </w:pPr>
          </w:p>
        </w:tc>
        <w:tc>
          <w:tcPr>
            <w:tcW w:w="5660" w:type="dxa"/>
            <w:vAlign w:val="bottom"/>
            <w:gridSpan w:val="4"/>
          </w:tcPr>
          <w:p>
            <w:pPr>
              <w:spacing w:after="0"/>
              <w:rPr>
                <w:sz w:val="20"/>
                <w:szCs w:val="20"/>
                <w:color w:val="auto"/>
              </w:rPr>
            </w:pPr>
            <w:r>
              <w:rPr>
                <w:rFonts w:ascii="Arial" w:cs="Arial" w:eastAsia="Arial" w:hAnsi="Arial"/>
                <w:sz w:val="17"/>
                <w:szCs w:val="17"/>
                <w:color w:val="auto"/>
              </w:rPr>
              <w:t>XBRL Instance Document.</w:t>
            </w:r>
          </w:p>
        </w:tc>
      </w:tr>
      <w:tr>
        <w:trPr>
          <w:trHeight w:val="284"/>
        </w:trPr>
        <w:tc>
          <w:tcPr>
            <w:tcW w:w="680" w:type="dxa"/>
            <w:vAlign w:val="bottom"/>
          </w:tcPr>
          <w:p>
            <w:pPr>
              <w:ind w:left="20"/>
              <w:spacing w:after="0"/>
              <w:rPr>
                <w:sz w:val="20"/>
                <w:szCs w:val="20"/>
                <w:color w:val="auto"/>
              </w:rPr>
            </w:pPr>
            <w:r>
              <w:rPr>
                <w:rFonts w:ascii="Arial" w:cs="Arial" w:eastAsia="Arial" w:hAnsi="Arial"/>
                <w:sz w:val="17"/>
                <w:szCs w:val="17"/>
                <w:color w:val="auto"/>
                <w:w w:val="92"/>
              </w:rPr>
              <w:t>101.SCH</w:t>
            </w:r>
          </w:p>
        </w:tc>
        <w:tc>
          <w:tcPr>
            <w:tcW w:w="780" w:type="dxa"/>
            <w:vAlign w:val="bottom"/>
          </w:tcPr>
          <w:p>
            <w:pPr>
              <w:spacing w:after="0"/>
              <w:rPr>
                <w:sz w:val="24"/>
                <w:szCs w:val="24"/>
                <w:color w:val="auto"/>
              </w:rPr>
            </w:pPr>
          </w:p>
        </w:tc>
        <w:tc>
          <w:tcPr>
            <w:tcW w:w="5660" w:type="dxa"/>
            <w:vAlign w:val="bottom"/>
            <w:gridSpan w:val="4"/>
          </w:tcPr>
          <w:p>
            <w:pPr>
              <w:spacing w:after="0"/>
              <w:rPr>
                <w:sz w:val="20"/>
                <w:szCs w:val="20"/>
                <w:color w:val="auto"/>
              </w:rPr>
            </w:pPr>
            <w:r>
              <w:rPr>
                <w:rFonts w:ascii="Arial" w:cs="Arial" w:eastAsia="Arial" w:hAnsi="Arial"/>
                <w:sz w:val="17"/>
                <w:szCs w:val="17"/>
                <w:color w:val="auto"/>
              </w:rPr>
              <w:t>Inline XBRL Taxonomy Extension Schema Document.</w:t>
            </w:r>
          </w:p>
        </w:tc>
      </w:tr>
      <w:tr>
        <w:trPr>
          <w:trHeight w:val="271"/>
        </w:trPr>
        <w:tc>
          <w:tcPr>
            <w:tcW w:w="680" w:type="dxa"/>
            <w:vAlign w:val="bottom"/>
          </w:tcPr>
          <w:p>
            <w:pPr>
              <w:ind w:left="20"/>
              <w:spacing w:after="0"/>
              <w:rPr>
                <w:sz w:val="20"/>
                <w:szCs w:val="20"/>
                <w:color w:val="auto"/>
              </w:rPr>
            </w:pPr>
            <w:r>
              <w:rPr>
                <w:rFonts w:ascii="Arial" w:cs="Arial" w:eastAsia="Arial" w:hAnsi="Arial"/>
                <w:sz w:val="17"/>
                <w:szCs w:val="17"/>
                <w:color w:val="auto"/>
                <w:w w:val="96"/>
              </w:rPr>
              <w:t>101.CAL</w:t>
            </w:r>
          </w:p>
        </w:tc>
        <w:tc>
          <w:tcPr>
            <w:tcW w:w="780" w:type="dxa"/>
            <w:vAlign w:val="bottom"/>
          </w:tcPr>
          <w:p>
            <w:pPr>
              <w:spacing w:after="0"/>
              <w:rPr>
                <w:sz w:val="23"/>
                <w:szCs w:val="23"/>
                <w:color w:val="auto"/>
              </w:rPr>
            </w:pPr>
          </w:p>
        </w:tc>
        <w:tc>
          <w:tcPr>
            <w:tcW w:w="5660" w:type="dxa"/>
            <w:vAlign w:val="bottom"/>
            <w:gridSpan w:val="4"/>
          </w:tcPr>
          <w:p>
            <w:pPr>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271"/>
        </w:trPr>
        <w:tc>
          <w:tcPr>
            <w:tcW w:w="680" w:type="dxa"/>
            <w:vAlign w:val="bottom"/>
          </w:tcPr>
          <w:p>
            <w:pPr>
              <w:ind w:left="20"/>
              <w:spacing w:after="0"/>
              <w:rPr>
                <w:sz w:val="20"/>
                <w:szCs w:val="20"/>
                <w:color w:val="auto"/>
              </w:rPr>
            </w:pPr>
            <w:r>
              <w:rPr>
                <w:rFonts w:ascii="Arial" w:cs="Arial" w:eastAsia="Arial" w:hAnsi="Arial"/>
                <w:sz w:val="17"/>
                <w:szCs w:val="17"/>
                <w:color w:val="auto"/>
                <w:w w:val="95"/>
              </w:rPr>
              <w:t>101.DEF</w:t>
            </w:r>
          </w:p>
        </w:tc>
        <w:tc>
          <w:tcPr>
            <w:tcW w:w="780" w:type="dxa"/>
            <w:vAlign w:val="bottom"/>
          </w:tcPr>
          <w:p>
            <w:pPr>
              <w:spacing w:after="0"/>
              <w:rPr>
                <w:sz w:val="23"/>
                <w:szCs w:val="23"/>
                <w:color w:val="auto"/>
              </w:rPr>
            </w:pPr>
          </w:p>
        </w:tc>
        <w:tc>
          <w:tcPr>
            <w:tcW w:w="5660" w:type="dxa"/>
            <w:vAlign w:val="bottom"/>
            <w:gridSpan w:val="4"/>
          </w:tcPr>
          <w:p>
            <w:pPr>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284"/>
        </w:trPr>
        <w:tc>
          <w:tcPr>
            <w:tcW w:w="680" w:type="dxa"/>
            <w:vAlign w:val="bottom"/>
          </w:tcPr>
          <w:p>
            <w:pPr>
              <w:ind w:left="20"/>
              <w:spacing w:after="0"/>
              <w:rPr>
                <w:sz w:val="20"/>
                <w:szCs w:val="20"/>
                <w:color w:val="auto"/>
              </w:rPr>
            </w:pPr>
            <w:r>
              <w:rPr>
                <w:rFonts w:ascii="Arial" w:cs="Arial" w:eastAsia="Arial" w:hAnsi="Arial"/>
                <w:sz w:val="17"/>
                <w:szCs w:val="17"/>
                <w:color w:val="auto"/>
                <w:w w:val="98"/>
              </w:rPr>
              <w:t>101.LAB</w:t>
            </w:r>
          </w:p>
        </w:tc>
        <w:tc>
          <w:tcPr>
            <w:tcW w:w="780" w:type="dxa"/>
            <w:vAlign w:val="bottom"/>
          </w:tcPr>
          <w:p>
            <w:pPr>
              <w:spacing w:after="0"/>
              <w:rPr>
                <w:sz w:val="24"/>
                <w:szCs w:val="24"/>
                <w:color w:val="auto"/>
              </w:rPr>
            </w:pPr>
          </w:p>
        </w:tc>
        <w:tc>
          <w:tcPr>
            <w:tcW w:w="5660" w:type="dxa"/>
            <w:vAlign w:val="bottom"/>
            <w:gridSpan w:val="4"/>
          </w:tcPr>
          <w:p>
            <w:pPr>
              <w:spacing w:after="0"/>
              <w:rPr>
                <w:sz w:val="20"/>
                <w:szCs w:val="20"/>
                <w:color w:val="auto"/>
              </w:rPr>
            </w:pPr>
            <w:r>
              <w:rPr>
                <w:rFonts w:ascii="Arial" w:cs="Arial" w:eastAsia="Arial" w:hAnsi="Arial"/>
                <w:sz w:val="17"/>
                <w:szCs w:val="17"/>
                <w:color w:val="auto"/>
              </w:rPr>
              <w:t>Inline XBRL Taxonomy Extension Label Linkbase Document.</w:t>
            </w:r>
          </w:p>
        </w:tc>
      </w:tr>
      <w:tr>
        <w:trPr>
          <w:trHeight w:val="271"/>
        </w:trPr>
        <w:tc>
          <w:tcPr>
            <w:tcW w:w="680" w:type="dxa"/>
            <w:vAlign w:val="bottom"/>
          </w:tcPr>
          <w:p>
            <w:pPr>
              <w:ind w:left="20"/>
              <w:spacing w:after="0"/>
              <w:rPr>
                <w:sz w:val="20"/>
                <w:szCs w:val="20"/>
                <w:color w:val="auto"/>
              </w:rPr>
            </w:pPr>
            <w:r>
              <w:rPr>
                <w:rFonts w:ascii="Arial" w:cs="Arial" w:eastAsia="Arial" w:hAnsi="Arial"/>
                <w:sz w:val="17"/>
                <w:szCs w:val="17"/>
                <w:color w:val="auto"/>
                <w:w w:val="93"/>
              </w:rPr>
              <w:t>101.PRE</w:t>
            </w:r>
          </w:p>
        </w:tc>
        <w:tc>
          <w:tcPr>
            <w:tcW w:w="780" w:type="dxa"/>
            <w:vAlign w:val="bottom"/>
          </w:tcPr>
          <w:p>
            <w:pPr>
              <w:spacing w:after="0"/>
              <w:rPr>
                <w:sz w:val="23"/>
                <w:szCs w:val="23"/>
                <w:color w:val="auto"/>
              </w:rPr>
            </w:pPr>
          </w:p>
        </w:tc>
        <w:tc>
          <w:tcPr>
            <w:tcW w:w="5660" w:type="dxa"/>
            <w:vAlign w:val="bottom"/>
            <w:gridSpan w:val="4"/>
          </w:tcPr>
          <w:p>
            <w:pPr>
              <w:spacing w:after="0"/>
              <w:rPr>
                <w:sz w:val="20"/>
                <w:szCs w:val="20"/>
                <w:color w:val="auto"/>
              </w:rPr>
            </w:pPr>
            <w:r>
              <w:rPr>
                <w:rFonts w:ascii="Arial" w:cs="Arial" w:eastAsia="Arial" w:hAnsi="Arial"/>
                <w:sz w:val="17"/>
                <w:szCs w:val="17"/>
                <w:color w:val="auto"/>
              </w:rPr>
              <w:t>Inline XBRL Taxonomy Extension Presentation Linkbase Document.</w:t>
            </w:r>
          </w:p>
        </w:tc>
      </w:tr>
    </w:tbl>
    <w:p>
      <w:pPr>
        <w:spacing w:after="0" w:line="54" w:lineRule="exact"/>
        <w:rPr>
          <w:sz w:val="20"/>
          <w:szCs w:val="20"/>
          <w:color w:val="auto"/>
        </w:rPr>
      </w:pPr>
    </w:p>
    <w:p>
      <w:pPr>
        <w:ind w:left="1460" w:hanging="1440"/>
        <w:spacing w:after="0"/>
        <w:tabs>
          <w:tab w:leader="none" w:pos="1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43"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895" w:right="1440" w:bottom="1440" w:gutter="0" w:footer="0" w:header="0"/>
        </w:sectPr>
      </w:pPr>
    </w:p>
    <w:bookmarkStart w:id="45" w:name="page46"/>
    <w:bookmarkEnd w:id="45"/>
    <w:p>
      <w:pPr>
        <w:jc w:val="center"/>
        <w:ind w:right="-79"/>
        <w:spacing w:after="0"/>
        <w:rPr>
          <w:sz w:val="20"/>
          <w:szCs w:val="20"/>
          <w:color w:val="auto"/>
        </w:rPr>
      </w:pPr>
      <w:r>
        <w:rPr>
          <w:rFonts w:ascii="Arial" w:cs="Arial" w:eastAsia="Arial" w:hAnsi="Arial"/>
          <w:sz w:val="17"/>
          <w:szCs w:val="17"/>
          <w:b w:val="1"/>
          <w:bCs w:val="1"/>
          <w:color w:val="auto"/>
        </w:rPr>
        <w:t>SIGNATURES</w:t>
      </w:r>
    </w:p>
    <w:p>
      <w:pPr>
        <w:spacing w:after="0" w:line="223" w:lineRule="exact"/>
        <w:rPr>
          <w:sz w:val="20"/>
          <w:szCs w:val="20"/>
          <w:color w:val="auto"/>
        </w:rPr>
      </w:pPr>
    </w:p>
    <w:p>
      <w:pPr>
        <w:ind w:firstLine="464"/>
        <w:spacing w:after="0" w:line="279" w:lineRule="auto"/>
        <w:rPr>
          <w:sz w:val="20"/>
          <w:szCs w:val="20"/>
          <w:color w:val="auto"/>
        </w:rPr>
      </w:pPr>
      <w:r>
        <w:rPr>
          <w:rFonts w:ascii="Arial" w:cs="Arial" w:eastAsia="Arial" w:hAnsi="Arial"/>
          <w:sz w:val="17"/>
          <w:szCs w:val="17"/>
          <w:color w:val="auto"/>
        </w:rPr>
        <w:t>Pursuant to the requirements of the Securities Exchange Act of 1934, the Company has duly caused this report to be signed on its behalf by the undersigned thereunto duly authorized.</w:t>
      </w:r>
    </w:p>
    <w:p>
      <w:pPr>
        <w:spacing w:after="0" w:line="203"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WESTINGHOUSE AIR BRAKE TECHNOLOGIES CORPORATION</w:t>
      </w:r>
    </w:p>
    <w:p>
      <w:pPr>
        <w:spacing w:after="0" w:line="75" w:lineRule="exact"/>
        <w:rPr>
          <w:sz w:val="20"/>
          <w:szCs w:val="20"/>
          <w:color w:val="auto"/>
        </w:rPr>
      </w:pPr>
    </w:p>
    <w:p>
      <w:pPr>
        <w:ind w:left="5960"/>
        <w:spacing w:after="0"/>
        <w:tabs>
          <w:tab w:leader="none" w:pos="82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/s/ JOHN A. OLIN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4283710</wp:posOffset>
            </wp:positionH>
            <wp:positionV relativeFrom="paragraph">
              <wp:posOffset>22860</wp:posOffset>
            </wp:positionV>
            <wp:extent cx="28568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56865" cy="8255"/>
                    </a:xfrm>
                    <a:prstGeom prst="rect">
                      <a:avLst/>
                    </a:prstGeom>
                    <a:noFill/>
                  </pic:spPr>
                </pic:pic>
              </a:graphicData>
            </a:graphic>
          </wp:anchor>
        </w:drawing>
      </w:r>
    </w:p>
    <w:p>
      <w:pPr>
        <w:spacing w:after="0" w:line="19"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auto"/>
        </w:rPr>
        <w:t>John A. Olin</w:t>
      </w:r>
    </w:p>
    <w:p>
      <w:pPr>
        <w:spacing w:after="0" w:line="16" w:lineRule="exact"/>
        <w:rPr>
          <w:sz w:val="20"/>
          <w:szCs w:val="20"/>
          <w:color w:val="auto"/>
        </w:rPr>
      </w:pPr>
    </w:p>
    <w:p>
      <w:pPr>
        <w:ind w:left="8140"/>
        <w:spacing w:after="0"/>
        <w:rPr>
          <w:sz w:val="20"/>
          <w:szCs w:val="20"/>
          <w:color w:val="auto"/>
        </w:rPr>
      </w:pPr>
      <w:r>
        <w:rPr>
          <w:rFonts w:ascii="Arial" w:cs="Arial" w:eastAsia="Arial" w:hAnsi="Arial"/>
          <w:sz w:val="14"/>
          <w:szCs w:val="14"/>
          <w:b w:val="1"/>
          <w:bCs w:val="1"/>
          <w:color w:val="auto"/>
        </w:rPr>
        <w:t>Executive Vice President and</w:t>
      </w:r>
    </w:p>
    <w:p>
      <w:pPr>
        <w:ind w:left="8320"/>
        <w:spacing w:after="0"/>
        <w:rPr>
          <w:sz w:val="20"/>
          <w:szCs w:val="20"/>
          <w:color w:val="auto"/>
        </w:rPr>
      </w:pPr>
      <w:r>
        <w:rPr>
          <w:rFonts w:ascii="Arial" w:cs="Arial" w:eastAsia="Arial" w:hAnsi="Arial"/>
          <w:sz w:val="14"/>
          <w:szCs w:val="14"/>
          <w:b w:val="1"/>
          <w:bCs w:val="1"/>
          <w:color w:val="auto"/>
        </w:rPr>
        <w:t>Chief Financial Officer</w:t>
      </w:r>
    </w:p>
    <w:p>
      <w:pPr>
        <w:spacing w:after="0" w:line="258"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(Duly Authorized Officer and Principal Financial Officer)</w:t>
      </w:r>
    </w:p>
    <w:p>
      <w:pPr>
        <w:spacing w:after="0" w:line="269" w:lineRule="exact"/>
        <w:rPr>
          <w:sz w:val="20"/>
          <w:szCs w:val="20"/>
          <w:color w:val="auto"/>
        </w:rPr>
      </w:pPr>
    </w:p>
    <w:p>
      <w:pPr>
        <w:ind w:left="5960"/>
        <w:spacing w:after="0"/>
        <w:tabs>
          <w:tab w:leader="none" w:pos="6740" w:val="left"/>
        </w:tabs>
        <w:rPr>
          <w:sz w:val="20"/>
          <w:szCs w:val="20"/>
          <w:color w:val="auto"/>
        </w:rPr>
      </w:pPr>
      <w:r>
        <w:rPr>
          <w:rFonts w:ascii="Arial" w:cs="Arial" w:eastAsia="Arial" w:hAnsi="Arial"/>
          <w:sz w:val="17"/>
          <w:szCs w:val="17"/>
          <w:color w:val="auto"/>
        </w:rPr>
        <w:t>DATE:</w:t>
        <w:tab/>
        <w:t>July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180"/>
          </w:cols>
          <w:pgMar w:left="320" w:top="895" w:right="399" w:bottom="1440" w:gutter="0" w:footer="0" w:header="0"/>
        </w:sectPr>
      </w:pPr>
    </w:p>
    <w:bookmarkStart w:id="46" w:name="page47"/>
    <w:bookmarkEnd w:id="46"/>
    <w:p>
      <w:pPr>
        <w:jc w:val="right"/>
        <w:spacing w:after="0"/>
        <w:rPr>
          <w:sz w:val="20"/>
          <w:szCs w:val="20"/>
          <w:color w:val="auto"/>
        </w:rPr>
      </w:pPr>
      <w:r>
        <w:rPr>
          <w:rFonts w:ascii="Arial" w:cs="Arial" w:eastAsia="Arial" w:hAnsi="Arial"/>
          <w:sz w:val="19"/>
          <w:szCs w:val="19"/>
          <w:color w:val="auto"/>
        </w:rPr>
        <w:t>Exhibit 22.1</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Guarantor Subsidiaries of Westinghouse Air Brake Technologies</w:t>
      </w:r>
    </w:p>
    <w:p>
      <w:pPr>
        <w:spacing w:after="0" w:line="140" w:lineRule="exact"/>
        <w:rPr>
          <w:sz w:val="20"/>
          <w:szCs w:val="20"/>
          <w:color w:val="auto"/>
        </w:rPr>
      </w:pPr>
    </w:p>
    <w:p>
      <w:pPr>
        <w:ind w:right="200"/>
        <w:spacing w:after="0" w:line="236" w:lineRule="auto"/>
        <w:rPr>
          <w:sz w:val="20"/>
          <w:szCs w:val="20"/>
          <w:color w:val="auto"/>
        </w:rPr>
      </w:pPr>
      <w:r>
        <w:rPr>
          <w:rFonts w:ascii="Arial" w:cs="Arial" w:eastAsia="Arial" w:hAnsi="Arial"/>
          <w:sz w:val="17"/>
          <w:szCs w:val="17"/>
          <w:color w:val="auto"/>
        </w:rPr>
        <w:t>The obligations under the Company's US Notes and the Restated Credit Agreement have been fully and unconditionally guaranteed by certain of the Company's U.S. subsidiaries. Each guarantor is 100% owned by the parent company, with the exception of GE Transportation, a Wabtec Company, which has 15,000 shares outstanding of Class A Non-Voting Preferred Stock held by General Electric Company. The Euro Notes are issued by Wabtec Netherlands and are fully and unconditionally guaranteed by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2023:</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The US Notes and Restated Credit Agreement</w:t>
      </w:r>
    </w:p>
    <w:p>
      <w:pPr>
        <w:spacing w:after="0" w:line="5"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i w:val="1"/>
          <w:iCs w:val="1"/>
          <w:u w:val="single" w:color="auto"/>
          <w:color w:val="auto"/>
        </w:rPr>
        <w:t>Issuer</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Westinghouse Air Brake Technologies Corporation</w:t>
      </w:r>
    </w:p>
    <w:p>
      <w:pPr>
        <w:spacing w:after="0" w:line="8"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i w:val="1"/>
          <w:iCs w:val="1"/>
          <w:u w:val="single" w:color="auto"/>
          <w:color w:val="auto"/>
        </w:rPr>
        <w:t>Guarantors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GE Transportation, a Wabtec Company</w:t>
      </w:r>
    </w:p>
    <w:p>
      <w:pPr>
        <w:spacing w:after="0" w:line="1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RFPC Holding Corp.</w:t>
      </w:r>
    </w:p>
    <w:p>
      <w:pPr>
        <w:ind w:left="1240"/>
        <w:spacing w:after="0" w:line="238" w:lineRule="auto"/>
        <w:rPr>
          <w:sz w:val="20"/>
          <w:szCs w:val="20"/>
          <w:color w:val="auto"/>
        </w:rPr>
      </w:pPr>
      <w:r>
        <w:rPr>
          <w:rFonts w:ascii="Arial" w:cs="Arial" w:eastAsia="Arial" w:hAnsi="Arial"/>
          <w:sz w:val="17"/>
          <w:szCs w:val="17"/>
          <w:color w:val="auto"/>
        </w:rPr>
        <w:t>Transportation IP Holdings, LLC</w:t>
      </w:r>
    </w:p>
    <w:p>
      <w:pPr>
        <w:ind w:left="1240"/>
        <w:spacing w:after="0" w:line="222" w:lineRule="auto"/>
        <w:rPr>
          <w:sz w:val="20"/>
          <w:szCs w:val="20"/>
          <w:color w:val="auto"/>
        </w:rPr>
      </w:pPr>
      <w:r>
        <w:rPr>
          <w:rFonts w:ascii="Arial" w:cs="Arial" w:eastAsia="Arial" w:hAnsi="Arial"/>
          <w:sz w:val="17"/>
          <w:szCs w:val="17"/>
          <w:color w:val="auto"/>
        </w:rPr>
        <w:t>Transportation Systems Services Operations Inc.</w:t>
      </w:r>
    </w:p>
    <w:p>
      <w:pPr>
        <w:ind w:left="1240"/>
        <w:spacing w:after="0" w:line="237" w:lineRule="auto"/>
        <w:rPr>
          <w:sz w:val="20"/>
          <w:szCs w:val="20"/>
          <w:color w:val="auto"/>
        </w:rPr>
      </w:pPr>
      <w:r>
        <w:rPr>
          <w:rFonts w:ascii="Arial" w:cs="Arial" w:eastAsia="Arial" w:hAnsi="Arial"/>
          <w:sz w:val="17"/>
          <w:szCs w:val="17"/>
          <w:color w:val="auto"/>
        </w:rPr>
        <w:t>Wabtec Components, LLC</w:t>
      </w:r>
    </w:p>
    <w:p>
      <w:pPr>
        <w:ind w:left="1240"/>
        <w:spacing w:after="0" w:line="238" w:lineRule="auto"/>
        <w:rPr>
          <w:sz w:val="20"/>
          <w:szCs w:val="20"/>
          <w:color w:val="auto"/>
        </w:rPr>
      </w:pPr>
      <w:r>
        <w:rPr>
          <w:rFonts w:ascii="Arial" w:cs="Arial" w:eastAsia="Arial" w:hAnsi="Arial"/>
          <w:sz w:val="17"/>
          <w:szCs w:val="17"/>
          <w:color w:val="auto"/>
        </w:rPr>
        <w:t>Wabtec Holding, LLC</w:t>
      </w:r>
    </w:p>
    <w:p>
      <w:pPr>
        <w:ind w:left="1240"/>
        <w:spacing w:after="0" w:line="237" w:lineRule="auto"/>
        <w:rPr>
          <w:sz w:val="20"/>
          <w:szCs w:val="20"/>
          <w:color w:val="auto"/>
        </w:rPr>
      </w:pPr>
      <w:r>
        <w:rPr>
          <w:rFonts w:ascii="Arial" w:cs="Arial" w:eastAsia="Arial" w:hAnsi="Arial"/>
          <w:sz w:val="17"/>
          <w:szCs w:val="17"/>
          <w:color w:val="auto"/>
        </w:rPr>
        <w:t>Wabtec Railway Electronics Holdings, LLC</w:t>
      </w:r>
    </w:p>
    <w:p>
      <w:pPr>
        <w:ind w:left="1240"/>
        <w:spacing w:after="0"/>
        <w:rPr>
          <w:sz w:val="20"/>
          <w:szCs w:val="20"/>
          <w:color w:val="auto"/>
        </w:rPr>
      </w:pPr>
      <w:r>
        <w:rPr>
          <w:rFonts w:ascii="Arial" w:cs="Arial" w:eastAsia="Arial" w:hAnsi="Arial"/>
          <w:sz w:val="17"/>
          <w:szCs w:val="17"/>
          <w:color w:val="auto"/>
        </w:rPr>
        <w:t>Wabtec Transportation Systems, LLC</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The Euro Notes</w:t>
      </w:r>
    </w:p>
    <w:p>
      <w:pPr>
        <w:spacing w:after="0" w:line="29"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i w:val="1"/>
          <w:iCs w:val="1"/>
          <w:u w:val="single" w:color="auto"/>
          <w:color w:val="auto"/>
        </w:rPr>
        <w:t>Issuer</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Wabtec Transportation Netherlands B.V.</w:t>
      </w:r>
    </w:p>
    <w:p>
      <w:pPr>
        <w:spacing w:after="0"/>
        <w:tabs>
          <w:tab w:leader="none" w:pos="940" w:val="left"/>
        </w:tabs>
        <w:rPr>
          <w:sz w:val="20"/>
          <w:szCs w:val="20"/>
          <w:color w:val="auto"/>
        </w:rPr>
      </w:pPr>
      <w:r>
        <w:rPr>
          <w:rFonts w:ascii="Arial" w:cs="Arial" w:eastAsia="Arial" w:hAnsi="Arial"/>
          <w:sz w:val="17"/>
          <w:szCs w:val="17"/>
          <w:i w:val="1"/>
          <w:iCs w:val="1"/>
          <w:u w:val="single" w:color="auto"/>
          <w:color w:val="auto"/>
        </w:rPr>
        <w:t>Guarantor</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Westinghouse Air Brake Technologies Corporation</w:t>
      </w:r>
    </w:p>
    <w:p>
      <w:pPr>
        <w:sectPr>
          <w:pgSz w:w="11900" w:h="16838" w:orient="portrait"/>
          <w:cols w:equalWidth="0" w:num="1">
            <w:col w:w="11240"/>
          </w:cols>
          <w:pgMar w:left="320" w:top="1373"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7"/>
          <w:szCs w:val="17"/>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Rafael Santana, certify that:</w:t>
      </w:r>
    </w:p>
    <w:p>
      <w:pPr>
        <w:spacing w:after="0" w:line="114" w:lineRule="exact"/>
        <w:rPr>
          <w:sz w:val="20"/>
          <w:szCs w:val="20"/>
          <w:color w:val="auto"/>
        </w:rPr>
      </w:pPr>
    </w:p>
    <w:p>
      <w:pPr>
        <w:ind w:left="640" w:hanging="173"/>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Westinghouse Air Brake Technologies Corporation.</w:t>
      </w:r>
    </w:p>
    <w:p>
      <w:pPr>
        <w:spacing w:after="0" w:line="113" w:lineRule="exact"/>
        <w:rPr>
          <w:rFonts w:ascii="Arial" w:cs="Arial" w:eastAsia="Arial" w:hAnsi="Arial"/>
          <w:sz w:val="17"/>
          <w:szCs w:val="17"/>
          <w:color w:val="auto"/>
        </w:rPr>
      </w:pPr>
    </w:p>
    <w:p>
      <w:pPr>
        <w:ind w:right="200" w:firstLine="467"/>
        <w:spacing w:after="0" w:line="266" w:lineRule="auto"/>
        <w:tabs>
          <w:tab w:leader="none" w:pos="6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1" w:lineRule="exact"/>
        <w:rPr>
          <w:rFonts w:ascii="Arial" w:cs="Arial" w:eastAsia="Arial" w:hAnsi="Arial"/>
          <w:sz w:val="17"/>
          <w:szCs w:val="17"/>
          <w:color w:val="auto"/>
        </w:rPr>
      </w:pPr>
    </w:p>
    <w:p>
      <w:pPr>
        <w:ind w:right="160" w:firstLine="467"/>
        <w:spacing w:after="0" w:line="312" w:lineRule="auto"/>
        <w:tabs>
          <w:tab w:leader="none" w:pos="636"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37" w:lineRule="exact"/>
        <w:rPr>
          <w:rFonts w:ascii="Arial" w:cs="Arial" w:eastAsia="Arial" w:hAnsi="Arial"/>
          <w:sz w:val="16"/>
          <w:szCs w:val="16"/>
          <w:color w:val="auto"/>
        </w:rPr>
      </w:pPr>
    </w:p>
    <w:p>
      <w:pPr>
        <w:jc w:val="both"/>
        <w:ind w:right="80" w:firstLine="467"/>
        <w:spacing w:after="0" w:line="266" w:lineRule="auto"/>
        <w:tabs>
          <w:tab w:leader="none" w:pos="633"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1" w:lineRule="exact"/>
        <w:rPr>
          <w:rFonts w:ascii="Arial" w:cs="Arial" w:eastAsia="Arial" w:hAnsi="Arial"/>
          <w:sz w:val="17"/>
          <w:szCs w:val="17"/>
          <w:color w:val="auto"/>
        </w:rPr>
      </w:pPr>
    </w:p>
    <w:p>
      <w:pPr>
        <w:ind w:right="160" w:firstLine="970"/>
        <w:spacing w:after="0" w:line="266" w:lineRule="auto"/>
        <w:tabs>
          <w:tab w:leader="none" w:pos="12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1" w:lineRule="exact"/>
        <w:rPr>
          <w:rFonts w:ascii="Arial" w:cs="Arial" w:eastAsia="Arial" w:hAnsi="Arial"/>
          <w:sz w:val="17"/>
          <w:szCs w:val="17"/>
          <w:color w:val="auto"/>
        </w:rPr>
      </w:pPr>
    </w:p>
    <w:p>
      <w:pPr>
        <w:ind w:right="360" w:firstLine="970"/>
        <w:spacing w:after="0" w:line="266" w:lineRule="auto"/>
        <w:tabs>
          <w:tab w:leader="none" w:pos="121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Arial" w:cs="Arial" w:eastAsia="Arial" w:hAnsi="Arial"/>
          <w:sz w:val="17"/>
          <w:szCs w:val="17"/>
          <w:color w:val="auto"/>
        </w:rPr>
      </w:pPr>
    </w:p>
    <w:p>
      <w:pPr>
        <w:ind w:right="120" w:firstLine="970"/>
        <w:spacing w:after="0" w:line="312" w:lineRule="auto"/>
        <w:tabs>
          <w:tab w:leader="none" w:pos="12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37" w:lineRule="exact"/>
        <w:rPr>
          <w:rFonts w:ascii="Arial" w:cs="Arial" w:eastAsia="Arial" w:hAnsi="Arial"/>
          <w:sz w:val="16"/>
          <w:szCs w:val="16"/>
          <w:color w:val="auto"/>
        </w:rPr>
      </w:pPr>
    </w:p>
    <w:p>
      <w:pPr>
        <w:ind w:right="80" w:firstLine="970"/>
        <w:spacing w:after="0" w:line="312" w:lineRule="auto"/>
        <w:tabs>
          <w:tab w:leader="none" w:pos="1210" w:val="left"/>
        </w:tabs>
        <w:numPr>
          <w:ilvl w:val="1"/>
          <w:numId w:val="27"/>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7" w:lineRule="exact"/>
        <w:rPr>
          <w:rFonts w:ascii="Arial" w:cs="Arial" w:eastAsia="Arial" w:hAnsi="Arial"/>
          <w:sz w:val="16"/>
          <w:szCs w:val="16"/>
          <w:color w:val="auto"/>
        </w:rPr>
      </w:pPr>
    </w:p>
    <w:p>
      <w:pPr>
        <w:ind w:right="440" w:firstLine="467"/>
        <w:spacing w:after="0" w:line="279" w:lineRule="auto"/>
        <w:tabs>
          <w:tab w:leader="none" w:pos="633"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1" w:lineRule="exact"/>
        <w:rPr>
          <w:rFonts w:ascii="Arial" w:cs="Arial" w:eastAsia="Arial" w:hAnsi="Arial"/>
          <w:sz w:val="17"/>
          <w:szCs w:val="17"/>
          <w:color w:val="auto"/>
        </w:rPr>
      </w:pPr>
    </w:p>
    <w:p>
      <w:pPr>
        <w:ind w:right="200" w:firstLine="970"/>
        <w:spacing w:after="0" w:line="279" w:lineRule="auto"/>
        <w:tabs>
          <w:tab w:leader="none" w:pos="1191"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7"/>
          <w:szCs w:val="17"/>
          <w:color w:val="auto"/>
        </w:rPr>
      </w:pPr>
    </w:p>
    <w:p>
      <w:pPr>
        <w:ind w:right="160" w:firstLine="970"/>
        <w:spacing w:after="0" w:line="279" w:lineRule="auto"/>
        <w:tabs>
          <w:tab w:leader="none" w:pos="1201" w:val="left"/>
        </w:tabs>
        <w:numPr>
          <w:ilvl w:val="1"/>
          <w:numId w:val="2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Date: </w:t>
      </w:r>
      <w:r>
        <w:rPr>
          <w:rFonts w:ascii="Arial" w:cs="Arial" w:eastAsia="Arial" w:hAnsi="Arial"/>
          <w:sz w:val="17"/>
          <w:szCs w:val="17"/>
          <w:color w:val="auto"/>
        </w:rPr>
        <w:t>July 27, 2023</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By:</w:t>
            </w:r>
          </w:p>
        </w:tc>
        <w:tc>
          <w:tcPr>
            <w:tcW w:w="10240" w:type="dxa"/>
            <w:vAlign w:val="bottom"/>
            <w:tcBorders>
              <w:bottom w:val="single" w:sz="8" w:color="auto"/>
            </w:tcBorders>
          </w:tcPr>
          <w:p>
            <w:pPr>
              <w:ind w:left="500"/>
              <w:spacing w:after="0"/>
              <w:rPr>
                <w:sz w:val="20"/>
                <w:szCs w:val="20"/>
                <w:color w:val="auto"/>
              </w:rPr>
            </w:pPr>
            <w:r>
              <w:rPr>
                <w:rFonts w:ascii="Arial" w:cs="Arial" w:eastAsia="Arial" w:hAnsi="Arial"/>
                <w:sz w:val="17"/>
                <w:szCs w:val="17"/>
                <w:color w:val="auto"/>
              </w:rPr>
              <w:t>/s/  RAFAEL SANTANA</w:t>
            </w:r>
          </w:p>
        </w:tc>
      </w:tr>
      <w:tr>
        <w:trPr>
          <w:trHeight w:val="223"/>
        </w:trPr>
        <w:tc>
          <w:tcPr>
            <w:tcW w:w="1000" w:type="dxa"/>
            <w:vAlign w:val="bottom"/>
          </w:tcPr>
          <w:p>
            <w:pPr>
              <w:ind w:left="20"/>
              <w:spacing w:after="0"/>
              <w:rPr>
                <w:sz w:val="20"/>
                <w:szCs w:val="20"/>
                <w:color w:val="auto"/>
              </w:rPr>
            </w:pPr>
            <w:r>
              <w:rPr>
                <w:rFonts w:ascii="Arial" w:cs="Arial" w:eastAsia="Arial" w:hAnsi="Arial"/>
                <w:sz w:val="17"/>
                <w:szCs w:val="17"/>
                <w:b w:val="1"/>
                <w:bCs w:val="1"/>
                <w:color w:val="auto"/>
              </w:rPr>
              <w:t>Name:</w:t>
            </w:r>
          </w:p>
        </w:tc>
        <w:tc>
          <w:tcPr>
            <w:tcW w:w="10240" w:type="dxa"/>
            <w:vAlign w:val="bottom"/>
          </w:tcPr>
          <w:p>
            <w:pPr>
              <w:ind w:left="500"/>
              <w:spacing w:after="0"/>
              <w:rPr>
                <w:sz w:val="20"/>
                <w:szCs w:val="20"/>
                <w:color w:val="auto"/>
              </w:rPr>
            </w:pPr>
            <w:r>
              <w:rPr>
                <w:rFonts w:ascii="Arial" w:cs="Arial" w:eastAsia="Arial" w:hAnsi="Arial"/>
                <w:sz w:val="14"/>
                <w:szCs w:val="14"/>
                <w:b w:val="1"/>
                <w:bCs w:val="1"/>
                <w:color w:val="auto"/>
              </w:rPr>
              <w:t>Rafael Santana</w:t>
            </w:r>
          </w:p>
        </w:tc>
      </w:tr>
      <w:tr>
        <w:trPr>
          <w:trHeight w:val="227"/>
        </w:trPr>
        <w:tc>
          <w:tcPr>
            <w:tcW w:w="1000" w:type="dxa"/>
            <w:vAlign w:val="bottom"/>
          </w:tcPr>
          <w:p>
            <w:pPr>
              <w:ind w:left="20"/>
              <w:spacing w:after="0"/>
              <w:rPr>
                <w:sz w:val="20"/>
                <w:szCs w:val="20"/>
                <w:color w:val="auto"/>
              </w:rPr>
            </w:pPr>
            <w:r>
              <w:rPr>
                <w:rFonts w:ascii="Arial" w:cs="Arial" w:eastAsia="Arial" w:hAnsi="Arial"/>
                <w:sz w:val="17"/>
                <w:szCs w:val="17"/>
                <w:b w:val="1"/>
                <w:bCs w:val="1"/>
                <w:color w:val="auto"/>
              </w:rPr>
              <w:t>Title:</w:t>
            </w:r>
          </w:p>
        </w:tc>
        <w:tc>
          <w:tcPr>
            <w:tcW w:w="10240" w:type="dxa"/>
            <w:vAlign w:val="bottom"/>
          </w:tcPr>
          <w:p>
            <w:pPr>
              <w:ind w:left="500"/>
              <w:spacing w:after="0"/>
              <w:rPr>
                <w:sz w:val="20"/>
                <w:szCs w:val="20"/>
                <w:color w:val="auto"/>
              </w:rPr>
            </w:pPr>
            <w:r>
              <w:rPr>
                <w:rFonts w:ascii="Arial" w:cs="Arial" w:eastAsia="Arial" w:hAnsi="Arial"/>
                <w:sz w:val="14"/>
                <w:szCs w:val="14"/>
                <w:b w:val="1"/>
                <w:bCs w:val="1"/>
                <w:color w:val="auto"/>
              </w:rPr>
              <w:t>President and Chief Executive Officer</w:t>
            </w:r>
          </w:p>
        </w:tc>
      </w:tr>
    </w:tbl>
    <w:p>
      <w:pPr>
        <w:sectPr>
          <w:pgSz w:w="11900" w:h="16838" w:orient="portrait"/>
          <w:cols w:equalWidth="0" w:num="1">
            <w:col w:w="11240"/>
          </w:cols>
          <w:pgMar w:left="320" w:top="856"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John A. Olin, certify that:</w:t>
      </w:r>
    </w:p>
    <w:p>
      <w:pPr>
        <w:spacing w:after="0" w:line="114" w:lineRule="exact"/>
        <w:rPr>
          <w:sz w:val="20"/>
          <w:szCs w:val="20"/>
          <w:color w:val="auto"/>
        </w:rPr>
      </w:pPr>
    </w:p>
    <w:p>
      <w:pPr>
        <w:ind w:left="640" w:hanging="173"/>
        <w:spacing w:after="0"/>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Westinghouse Air Brake Technologies Corporation.</w:t>
      </w:r>
    </w:p>
    <w:p>
      <w:pPr>
        <w:spacing w:after="0" w:line="113" w:lineRule="exact"/>
        <w:rPr>
          <w:rFonts w:ascii="Arial" w:cs="Arial" w:eastAsia="Arial" w:hAnsi="Arial"/>
          <w:sz w:val="17"/>
          <w:szCs w:val="17"/>
          <w:color w:val="auto"/>
        </w:rPr>
      </w:pPr>
    </w:p>
    <w:p>
      <w:pPr>
        <w:ind w:right="200" w:firstLine="467"/>
        <w:spacing w:after="0" w:line="266" w:lineRule="auto"/>
        <w:tabs>
          <w:tab w:leader="none" w:pos="6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1" w:lineRule="exact"/>
        <w:rPr>
          <w:rFonts w:ascii="Arial" w:cs="Arial" w:eastAsia="Arial" w:hAnsi="Arial"/>
          <w:sz w:val="17"/>
          <w:szCs w:val="17"/>
          <w:color w:val="auto"/>
        </w:rPr>
      </w:pPr>
    </w:p>
    <w:p>
      <w:pPr>
        <w:ind w:right="160" w:firstLine="467"/>
        <w:spacing w:after="0" w:line="312" w:lineRule="auto"/>
        <w:tabs>
          <w:tab w:leader="none" w:pos="636"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37" w:lineRule="exact"/>
        <w:rPr>
          <w:rFonts w:ascii="Arial" w:cs="Arial" w:eastAsia="Arial" w:hAnsi="Arial"/>
          <w:sz w:val="16"/>
          <w:szCs w:val="16"/>
          <w:color w:val="auto"/>
        </w:rPr>
      </w:pPr>
    </w:p>
    <w:p>
      <w:pPr>
        <w:jc w:val="both"/>
        <w:ind w:right="80" w:firstLine="467"/>
        <w:spacing w:after="0" w:line="266" w:lineRule="auto"/>
        <w:tabs>
          <w:tab w:leader="none" w:pos="633"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1" w:lineRule="exact"/>
        <w:rPr>
          <w:rFonts w:ascii="Arial" w:cs="Arial" w:eastAsia="Arial" w:hAnsi="Arial"/>
          <w:sz w:val="17"/>
          <w:szCs w:val="17"/>
          <w:color w:val="auto"/>
        </w:rPr>
      </w:pPr>
    </w:p>
    <w:p>
      <w:pPr>
        <w:ind w:right="160" w:firstLine="970"/>
        <w:spacing w:after="0" w:line="266" w:lineRule="auto"/>
        <w:tabs>
          <w:tab w:leader="none" w:pos="12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1" w:lineRule="exact"/>
        <w:rPr>
          <w:rFonts w:ascii="Arial" w:cs="Arial" w:eastAsia="Arial" w:hAnsi="Arial"/>
          <w:sz w:val="17"/>
          <w:szCs w:val="17"/>
          <w:color w:val="auto"/>
        </w:rPr>
      </w:pPr>
    </w:p>
    <w:p>
      <w:pPr>
        <w:ind w:right="360" w:firstLine="970"/>
        <w:spacing w:after="0" w:line="266" w:lineRule="auto"/>
        <w:tabs>
          <w:tab w:leader="none" w:pos="121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Arial" w:cs="Arial" w:eastAsia="Arial" w:hAnsi="Arial"/>
          <w:sz w:val="17"/>
          <w:szCs w:val="17"/>
          <w:color w:val="auto"/>
        </w:rPr>
      </w:pPr>
    </w:p>
    <w:p>
      <w:pPr>
        <w:ind w:right="120" w:firstLine="970"/>
        <w:spacing w:after="0" w:line="312" w:lineRule="auto"/>
        <w:tabs>
          <w:tab w:leader="none" w:pos="12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37" w:lineRule="exact"/>
        <w:rPr>
          <w:rFonts w:ascii="Arial" w:cs="Arial" w:eastAsia="Arial" w:hAnsi="Arial"/>
          <w:sz w:val="16"/>
          <w:szCs w:val="16"/>
          <w:color w:val="auto"/>
        </w:rPr>
      </w:pPr>
    </w:p>
    <w:p>
      <w:pPr>
        <w:ind w:right="80" w:firstLine="970"/>
        <w:spacing w:after="0" w:line="312" w:lineRule="auto"/>
        <w:tabs>
          <w:tab w:leader="none" w:pos="121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7" w:lineRule="exact"/>
        <w:rPr>
          <w:rFonts w:ascii="Arial" w:cs="Arial" w:eastAsia="Arial" w:hAnsi="Arial"/>
          <w:sz w:val="16"/>
          <w:szCs w:val="16"/>
          <w:color w:val="auto"/>
        </w:rPr>
      </w:pPr>
    </w:p>
    <w:p>
      <w:pPr>
        <w:ind w:right="440" w:firstLine="467"/>
        <w:spacing w:after="0" w:line="279" w:lineRule="auto"/>
        <w:tabs>
          <w:tab w:leader="none" w:pos="633"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1" w:lineRule="exact"/>
        <w:rPr>
          <w:rFonts w:ascii="Arial" w:cs="Arial" w:eastAsia="Arial" w:hAnsi="Arial"/>
          <w:sz w:val="17"/>
          <w:szCs w:val="17"/>
          <w:color w:val="auto"/>
        </w:rPr>
      </w:pPr>
    </w:p>
    <w:p>
      <w:pPr>
        <w:ind w:right="200" w:firstLine="970"/>
        <w:spacing w:after="0" w:line="279" w:lineRule="auto"/>
        <w:tabs>
          <w:tab w:leader="none" w:pos="1191"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7"/>
          <w:szCs w:val="17"/>
          <w:color w:val="auto"/>
        </w:rPr>
      </w:pPr>
    </w:p>
    <w:p>
      <w:pPr>
        <w:ind w:right="160" w:firstLine="970"/>
        <w:spacing w:after="0" w:line="279" w:lineRule="auto"/>
        <w:tabs>
          <w:tab w:leader="none" w:pos="1201" w:val="left"/>
        </w:tabs>
        <w:numPr>
          <w:ilvl w:val="1"/>
          <w:numId w:val="2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Date: </w:t>
      </w:r>
      <w:r>
        <w:rPr>
          <w:rFonts w:ascii="Arial" w:cs="Arial" w:eastAsia="Arial" w:hAnsi="Arial"/>
          <w:sz w:val="17"/>
          <w:szCs w:val="17"/>
          <w:color w:val="auto"/>
        </w:rPr>
        <w:t>July 27, 2023</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By:</w:t>
            </w:r>
          </w:p>
        </w:tc>
        <w:tc>
          <w:tcPr>
            <w:tcW w:w="10180" w:type="dxa"/>
            <w:vAlign w:val="bottom"/>
            <w:tcBorders>
              <w:bottom w:val="single" w:sz="8" w:color="auto"/>
            </w:tcBorders>
          </w:tcPr>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JOHN A. OLIN</w:t>
            </w:r>
          </w:p>
        </w:tc>
      </w:tr>
      <w:tr>
        <w:trPr>
          <w:trHeight w:val="223"/>
        </w:trPr>
        <w:tc>
          <w:tcPr>
            <w:tcW w:w="1020" w:type="dxa"/>
            <w:vAlign w:val="bottom"/>
          </w:tcPr>
          <w:p>
            <w:pPr>
              <w:ind w:left="20"/>
              <w:spacing w:after="0"/>
              <w:rPr>
                <w:sz w:val="20"/>
                <w:szCs w:val="20"/>
                <w:color w:val="auto"/>
              </w:rPr>
            </w:pPr>
            <w:r>
              <w:rPr>
                <w:rFonts w:ascii="Arial" w:cs="Arial" w:eastAsia="Arial" w:hAnsi="Arial"/>
                <w:sz w:val="17"/>
                <w:szCs w:val="17"/>
                <w:b w:val="1"/>
                <w:bCs w:val="1"/>
                <w:color w:val="auto"/>
              </w:rPr>
              <w:t>Name:</w:t>
            </w:r>
          </w:p>
        </w:tc>
        <w:tc>
          <w:tcPr>
            <w:tcW w:w="10180" w:type="dxa"/>
            <w:vAlign w:val="bottom"/>
          </w:tcPr>
          <w:p>
            <w:pPr>
              <w:ind w:left="500"/>
              <w:spacing w:after="0"/>
              <w:rPr>
                <w:sz w:val="20"/>
                <w:szCs w:val="20"/>
                <w:color w:val="auto"/>
              </w:rPr>
            </w:pPr>
            <w:r>
              <w:rPr>
                <w:rFonts w:ascii="Arial" w:cs="Arial" w:eastAsia="Arial" w:hAnsi="Arial"/>
                <w:sz w:val="14"/>
                <w:szCs w:val="14"/>
                <w:b w:val="1"/>
                <w:bCs w:val="1"/>
                <w:color w:val="auto"/>
              </w:rPr>
              <w:t>John A. Olin</w:t>
            </w:r>
          </w:p>
        </w:tc>
      </w:tr>
      <w:tr>
        <w:trPr>
          <w:trHeight w:val="227"/>
        </w:trPr>
        <w:tc>
          <w:tcPr>
            <w:tcW w:w="1020" w:type="dxa"/>
            <w:vAlign w:val="bottom"/>
          </w:tcPr>
          <w:p>
            <w:pPr>
              <w:ind w:left="20"/>
              <w:spacing w:after="0"/>
              <w:rPr>
                <w:sz w:val="20"/>
                <w:szCs w:val="20"/>
                <w:color w:val="auto"/>
              </w:rPr>
            </w:pPr>
            <w:r>
              <w:rPr>
                <w:rFonts w:ascii="Arial" w:cs="Arial" w:eastAsia="Arial" w:hAnsi="Arial"/>
                <w:sz w:val="17"/>
                <w:szCs w:val="17"/>
                <w:b w:val="1"/>
                <w:bCs w:val="1"/>
                <w:color w:val="auto"/>
              </w:rPr>
              <w:t>Title:</w:t>
            </w:r>
          </w:p>
        </w:tc>
        <w:tc>
          <w:tcPr>
            <w:tcW w:w="10180" w:type="dxa"/>
            <w:vAlign w:val="bottom"/>
          </w:tcPr>
          <w:p>
            <w:pPr>
              <w:ind w:left="500"/>
              <w:spacing w:after="0"/>
              <w:rPr>
                <w:sz w:val="20"/>
                <w:szCs w:val="20"/>
                <w:color w:val="auto"/>
              </w:rPr>
            </w:pPr>
            <w:r>
              <w:rPr>
                <w:rFonts w:ascii="Arial" w:cs="Arial" w:eastAsia="Arial" w:hAnsi="Arial"/>
                <w:sz w:val="14"/>
                <w:szCs w:val="14"/>
                <w:b w:val="1"/>
                <w:bCs w:val="1"/>
                <w:color w:val="auto"/>
              </w:rPr>
              <w:t>Executive Vice President and Chief Financial Officer</w:t>
            </w:r>
          </w:p>
        </w:tc>
      </w:tr>
    </w:tbl>
    <w:p>
      <w:pPr>
        <w:sectPr>
          <w:pgSz w:w="11900" w:h="16838" w:orient="portrait"/>
          <w:cols w:equalWidth="0" w:num="1">
            <w:col w:w="11240"/>
          </w:cols>
          <w:pgMar w:left="320" w:top="856"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23" w:lineRule="exact"/>
        <w:rPr>
          <w:sz w:val="20"/>
          <w:szCs w:val="20"/>
          <w:color w:val="auto"/>
        </w:rPr>
      </w:pPr>
    </w:p>
    <w:p>
      <w:pPr>
        <w:ind w:right="60" w:firstLine="464"/>
        <w:spacing w:after="0" w:line="262" w:lineRule="auto"/>
        <w:rPr>
          <w:sz w:val="20"/>
          <w:szCs w:val="20"/>
          <w:color w:val="auto"/>
        </w:rPr>
      </w:pPr>
      <w:r>
        <w:rPr>
          <w:rFonts w:ascii="Arial" w:cs="Arial" w:eastAsia="Arial" w:hAnsi="Arial"/>
          <w:sz w:val="17"/>
          <w:szCs w:val="17"/>
          <w:color w:val="auto"/>
        </w:rPr>
        <w:t>Pursuant to 18 U.S.C. § 1350, the undersigned officers of Westinghouse Air Brake Technologies Corporation (the “</w:t>
      </w:r>
      <w:r>
        <w:rPr>
          <w:rFonts w:ascii="Arial" w:cs="Arial" w:eastAsia="Arial" w:hAnsi="Arial"/>
          <w:sz w:val="17"/>
          <w:szCs w:val="17"/>
          <w:i w:val="1"/>
          <w:iCs w:val="1"/>
          <w:color w:val="auto"/>
        </w:rPr>
        <w:t>Company</w:t>
      </w:r>
      <w:r>
        <w:rPr>
          <w:rFonts w:ascii="Arial" w:cs="Arial" w:eastAsia="Arial" w:hAnsi="Arial"/>
          <w:sz w:val="17"/>
          <w:szCs w:val="17"/>
          <w:color w:val="auto"/>
        </w:rPr>
        <w:t>”), hereby certify, to the best of their knowledge, that the Company’s Quarterly Report on Form 10-Q for the quarter ended June 30, 2023 (the “</w:t>
      </w:r>
      <w:r>
        <w:rPr>
          <w:rFonts w:ascii="Arial" w:cs="Arial" w:eastAsia="Arial" w:hAnsi="Arial"/>
          <w:sz w:val="17"/>
          <w:szCs w:val="17"/>
          <w:i w:val="1"/>
          <w:iCs w:val="1"/>
          <w:color w:val="auto"/>
        </w:rPr>
        <w:t>Report</w:t>
      </w:r>
      <w:r>
        <w:rPr>
          <w:rFonts w:ascii="Arial" w:cs="Arial" w:eastAsia="Arial" w:hAnsi="Arial"/>
          <w:sz w:val="17"/>
          <w:szCs w:val="17"/>
          <w:color w:val="auto"/>
        </w:rPr>
        <w: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1460" w:type="dxa"/>
            <w:vAlign w:val="bottom"/>
          </w:tcPr>
          <w:p>
            <w:pPr>
              <w:spacing w:after="0"/>
              <w:rPr>
                <w:sz w:val="20"/>
                <w:szCs w:val="20"/>
                <w:color w:val="auto"/>
              </w:rPr>
            </w:pPr>
            <w:r>
              <w:rPr>
                <w:rFonts w:ascii="Arial" w:cs="Arial" w:eastAsia="Arial" w:hAnsi="Arial"/>
                <w:sz w:val="17"/>
                <w:szCs w:val="17"/>
                <w:color w:val="auto"/>
              </w:rPr>
              <w:t>By:</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w:t>
            </w:r>
          </w:p>
        </w:tc>
        <w:tc>
          <w:tcPr>
            <w:tcW w:w="95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R</w:t>
            </w:r>
            <w:r>
              <w:rPr>
                <w:rFonts w:ascii="Arial" w:cs="Arial" w:eastAsia="Arial" w:hAnsi="Arial"/>
                <w:sz w:val="13"/>
                <w:szCs w:val="13"/>
                <w:color w:val="auto"/>
              </w:rPr>
              <w:t>AFAEL SANTANA</w:t>
            </w:r>
          </w:p>
        </w:tc>
      </w:tr>
      <w:tr>
        <w:trPr>
          <w:trHeight w:val="132"/>
        </w:trPr>
        <w:tc>
          <w:tcPr>
            <w:tcW w:w="1460" w:type="dxa"/>
            <w:vAlign w:val="bottom"/>
          </w:tcPr>
          <w:p>
            <w:pPr>
              <w:spacing w:after="0"/>
              <w:rPr>
                <w:sz w:val="11"/>
                <w:szCs w:val="11"/>
                <w:color w:val="auto"/>
              </w:rPr>
            </w:pPr>
          </w:p>
        </w:tc>
        <w:tc>
          <w:tcPr>
            <w:tcW w:w="976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Rafael Santana</w:t>
            </w:r>
          </w:p>
        </w:tc>
      </w:tr>
      <w:tr>
        <w:trPr>
          <w:trHeight w:val="178"/>
        </w:trPr>
        <w:tc>
          <w:tcPr>
            <w:tcW w:w="1460" w:type="dxa"/>
            <w:vAlign w:val="bottom"/>
          </w:tcPr>
          <w:p>
            <w:pPr>
              <w:spacing w:after="0"/>
              <w:rPr>
                <w:sz w:val="15"/>
                <w:szCs w:val="15"/>
                <w:color w:val="auto"/>
              </w:rPr>
            </w:pPr>
          </w:p>
        </w:tc>
        <w:tc>
          <w:tcPr>
            <w:tcW w:w="9760" w:type="dxa"/>
            <w:vAlign w:val="bottom"/>
            <w:gridSpan w:val="2"/>
          </w:tcPr>
          <w:p>
            <w:pPr>
              <w:ind w:left="20"/>
              <w:spacing w:after="0"/>
              <w:rPr>
                <w:sz w:val="20"/>
                <w:szCs w:val="20"/>
                <w:color w:val="auto"/>
              </w:rPr>
            </w:pPr>
            <w:r>
              <w:rPr>
                <w:rFonts w:ascii="Arial" w:cs="Arial" w:eastAsia="Arial" w:hAnsi="Arial"/>
                <w:sz w:val="14"/>
                <w:szCs w:val="14"/>
                <w:b w:val="1"/>
                <w:bCs w:val="1"/>
                <w:color w:val="auto"/>
              </w:rPr>
              <w:t>President and Chief Executive Officer</w:t>
            </w:r>
          </w:p>
        </w:tc>
      </w:tr>
      <w:tr>
        <w:trPr>
          <w:trHeight w:val="229"/>
        </w:trPr>
        <w:tc>
          <w:tcPr>
            <w:tcW w:w="1460" w:type="dxa"/>
            <w:vAlign w:val="bottom"/>
          </w:tcPr>
          <w:p>
            <w:pPr>
              <w:spacing w:after="0"/>
              <w:rPr>
                <w:sz w:val="20"/>
                <w:szCs w:val="20"/>
                <w:color w:val="auto"/>
              </w:rPr>
            </w:pPr>
            <w:r>
              <w:rPr>
                <w:rFonts w:ascii="Arial" w:cs="Arial" w:eastAsia="Arial" w:hAnsi="Arial"/>
                <w:sz w:val="17"/>
                <w:szCs w:val="17"/>
                <w:b w:val="1"/>
                <w:bCs w:val="1"/>
                <w:color w:val="auto"/>
              </w:rPr>
              <w:t>Date:</w:t>
            </w:r>
          </w:p>
        </w:tc>
        <w:tc>
          <w:tcPr>
            <w:tcW w:w="9760" w:type="dxa"/>
            <w:vAlign w:val="bottom"/>
            <w:gridSpan w:val="2"/>
          </w:tcPr>
          <w:p>
            <w:pPr>
              <w:ind w:left="20"/>
              <w:spacing w:after="0"/>
              <w:rPr>
                <w:sz w:val="20"/>
                <w:szCs w:val="20"/>
                <w:color w:val="auto"/>
              </w:rPr>
            </w:pPr>
            <w:r>
              <w:rPr>
                <w:rFonts w:ascii="Arial" w:cs="Arial" w:eastAsia="Arial" w:hAnsi="Arial"/>
                <w:sz w:val="17"/>
                <w:szCs w:val="17"/>
                <w:color w:val="auto"/>
              </w:rPr>
              <w:t>July 27, 2023</w:t>
            </w:r>
          </w:p>
        </w:tc>
      </w:tr>
      <w:tr>
        <w:trPr>
          <w:trHeight w:val="471"/>
        </w:trPr>
        <w:tc>
          <w:tcPr>
            <w:tcW w:w="1460" w:type="dxa"/>
            <w:vAlign w:val="bottom"/>
          </w:tcPr>
          <w:p>
            <w:pPr>
              <w:spacing w:after="0"/>
              <w:rPr>
                <w:sz w:val="20"/>
                <w:szCs w:val="20"/>
                <w:color w:val="auto"/>
              </w:rPr>
            </w:pPr>
            <w:r>
              <w:rPr>
                <w:rFonts w:ascii="Arial" w:cs="Arial" w:eastAsia="Arial" w:hAnsi="Arial"/>
                <w:sz w:val="17"/>
                <w:szCs w:val="17"/>
                <w:color w:val="auto"/>
              </w:rPr>
              <w:t>By:</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w:t>
            </w:r>
          </w:p>
        </w:tc>
        <w:tc>
          <w:tcPr>
            <w:tcW w:w="95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JOHN A. OLIN</w:t>
            </w:r>
          </w:p>
        </w:tc>
      </w:tr>
      <w:tr>
        <w:trPr>
          <w:trHeight w:val="129"/>
        </w:trPr>
        <w:tc>
          <w:tcPr>
            <w:tcW w:w="1460" w:type="dxa"/>
            <w:vAlign w:val="bottom"/>
          </w:tcPr>
          <w:p>
            <w:pPr>
              <w:spacing w:after="0"/>
              <w:rPr>
                <w:sz w:val="11"/>
                <w:szCs w:val="11"/>
                <w:color w:val="auto"/>
              </w:rPr>
            </w:pPr>
          </w:p>
        </w:tc>
        <w:tc>
          <w:tcPr>
            <w:tcW w:w="97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John A. Olin</w:t>
            </w:r>
          </w:p>
        </w:tc>
      </w:tr>
      <w:tr>
        <w:trPr>
          <w:trHeight w:val="178"/>
        </w:trPr>
        <w:tc>
          <w:tcPr>
            <w:tcW w:w="1460" w:type="dxa"/>
            <w:vAlign w:val="bottom"/>
          </w:tcPr>
          <w:p>
            <w:pPr>
              <w:spacing w:after="0"/>
              <w:rPr>
                <w:sz w:val="15"/>
                <w:szCs w:val="15"/>
                <w:color w:val="auto"/>
              </w:rPr>
            </w:pPr>
          </w:p>
        </w:tc>
        <w:tc>
          <w:tcPr>
            <w:tcW w:w="9760" w:type="dxa"/>
            <w:vAlign w:val="bottom"/>
            <w:gridSpan w:val="2"/>
          </w:tcPr>
          <w:p>
            <w:pPr>
              <w:ind w:left="20"/>
              <w:spacing w:after="0"/>
              <w:rPr>
                <w:sz w:val="20"/>
                <w:szCs w:val="20"/>
                <w:color w:val="auto"/>
              </w:rPr>
            </w:pPr>
            <w:r>
              <w:rPr>
                <w:rFonts w:ascii="Arial" w:cs="Arial" w:eastAsia="Arial" w:hAnsi="Arial"/>
                <w:sz w:val="14"/>
                <w:szCs w:val="14"/>
                <w:b w:val="1"/>
                <w:bCs w:val="1"/>
                <w:color w:val="auto"/>
              </w:rPr>
              <w:t>Executive Vice President and Chief Financial Officer</w:t>
            </w:r>
          </w:p>
        </w:tc>
      </w:tr>
      <w:tr>
        <w:trPr>
          <w:trHeight w:val="233"/>
        </w:trPr>
        <w:tc>
          <w:tcPr>
            <w:tcW w:w="1460" w:type="dxa"/>
            <w:vAlign w:val="bottom"/>
          </w:tcPr>
          <w:p>
            <w:pPr>
              <w:spacing w:after="0"/>
              <w:rPr>
                <w:sz w:val="20"/>
                <w:szCs w:val="20"/>
                <w:color w:val="auto"/>
              </w:rPr>
            </w:pPr>
            <w:r>
              <w:rPr>
                <w:rFonts w:ascii="Arial" w:cs="Arial" w:eastAsia="Arial" w:hAnsi="Arial"/>
                <w:sz w:val="17"/>
                <w:szCs w:val="17"/>
                <w:b w:val="1"/>
                <w:bCs w:val="1"/>
                <w:color w:val="auto"/>
              </w:rPr>
              <w:t>Date:</w:t>
            </w:r>
          </w:p>
        </w:tc>
        <w:tc>
          <w:tcPr>
            <w:tcW w:w="9760" w:type="dxa"/>
            <w:vAlign w:val="bottom"/>
            <w:gridSpan w:val="2"/>
          </w:tcPr>
          <w:p>
            <w:pPr>
              <w:ind w:left="20"/>
              <w:spacing w:after="0"/>
              <w:rPr>
                <w:sz w:val="20"/>
                <w:szCs w:val="20"/>
                <w:color w:val="auto"/>
              </w:rPr>
            </w:pPr>
            <w:r>
              <w:rPr>
                <w:rFonts w:ascii="Arial" w:cs="Arial" w:eastAsia="Arial" w:hAnsi="Arial"/>
                <w:sz w:val="17"/>
                <w:szCs w:val="17"/>
                <w:color w:val="auto"/>
              </w:rPr>
              <w:t>July 27, 2023</w:t>
            </w:r>
          </w:p>
        </w:tc>
      </w:tr>
    </w:tbl>
    <w:p>
      <w:pPr>
        <w:spacing w:after="0" w:line="1" w:lineRule="exact"/>
        <w:rPr>
          <w:sz w:val="20"/>
          <w:szCs w:val="20"/>
          <w:color w:val="auto"/>
        </w:rPr>
      </w:pPr>
    </w:p>
    <w:sectPr>
      <w:pgSz w:w="11900" w:h="16838" w:orient="portrait"/>
      <w:cols w:equalWidth="0" w:num="1">
        <w:col w:w="11240"/>
      </w:cols>
      <w:pgMar w:left="320" w:top="8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1"/>
      <w:numFmt w:val="decimal"/>
      <w:start w:val="104"/>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2023-07-27T10:30:28Z</dcterms:created>
  <dcterms:modified xsi:type="dcterms:W3CDTF">2023-07-27T10:30:28Z</dcterms:modified>
</cp:coreProperties>
</file>