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720"/>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 xml:space="preserve">WASHINGTON, D.C. 20549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w:t>
      </w:r>
    </w:p>
    <w:p>
      <w:pPr>
        <w:pStyle w:val="TextBody"/>
        <w:bidi w:val="0"/>
        <w:spacing w:lineRule="auto" w:line="288" w:before="60" w:after="283"/>
        <w:jc w:val="center"/>
        <w:rPr>
          <w:rFonts w:ascii="Times New Roman;serif" w:hAnsi="Times New Roman;serif"/>
          <w:b/>
          <w:color w:val="000000"/>
          <w:sz w:val="36"/>
        </w:rPr>
      </w:pPr>
      <w:r>
        <w:rPr>
          <w:rFonts w:ascii="Times New Roman;serif" w:hAnsi="Times New Roman;serif"/>
          <w:b/>
          <w:color w:val="000000"/>
          <w:sz w:val="36"/>
        </w:rPr>
        <w:t xml:space="preserve">FORM 10-Q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w:t>
      </w:r>
    </w:p>
    <w:tbl>
      <w:tblPr>
        <w:tblW w:w="9761" w:type="dxa"/>
        <w:jc w:val="center"/>
        <w:tblInd w:w="0" w:type="dxa"/>
        <w:tblLayout w:type="fixed"/>
        <w:tblCellMar>
          <w:top w:w="28" w:type="dxa"/>
          <w:left w:w="28" w:type="dxa"/>
          <w:bottom w:w="28" w:type="dxa"/>
          <w:right w:w="28" w:type="dxa"/>
        </w:tblCellMar>
      </w:tblPr>
      <w:tblGrid>
        <w:gridCol w:w="124"/>
        <w:gridCol w:w="109"/>
        <w:gridCol w:w="109"/>
        <w:gridCol w:w="2759"/>
        <w:gridCol w:w="2759"/>
        <w:gridCol w:w="390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390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4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QUARTERLY REPORT PURSUANT TO SECTION 13 OR 15(d) OF THE SECURITIES EXCHANGE ACT OF 1934</w:t>
            </w:r>
          </w:p>
        </w:tc>
      </w:tr>
    </w:tbl>
    <w:p>
      <w:pPr>
        <w:pStyle w:val="TextBody"/>
        <w:bidi w:val="0"/>
        <w:spacing w:lineRule="auto" w:line="288" w:before="60" w:after="283"/>
        <w:jc w:val="left"/>
        <w:rPr>
          <w:rFonts w:ascii="Times New Roman;serif" w:hAnsi="Times New Roman;serif"/>
          <w:b/>
          <w:color w:val="000000"/>
          <w:sz w:val="20"/>
        </w:rPr>
      </w:pPr>
      <w:r>
        <w:rPr>
          <w:rFonts w:ascii="Times New Roman;serif" w:hAnsi="Times New Roman;serif"/>
          <w:b/>
          <w:color w:val="000000"/>
          <w:sz w:val="20"/>
        </w:rPr>
        <w:t>For the quarterly period ended June 30, 2026</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OR</w:t>
      </w:r>
    </w:p>
    <w:tbl>
      <w:tblPr>
        <w:tblW w:w="9761" w:type="dxa"/>
        <w:jc w:val="center"/>
        <w:tblInd w:w="0" w:type="dxa"/>
        <w:tblLayout w:type="fixed"/>
        <w:tblCellMar>
          <w:top w:w="28" w:type="dxa"/>
          <w:left w:w="28" w:type="dxa"/>
          <w:bottom w:w="28" w:type="dxa"/>
          <w:right w:w="28" w:type="dxa"/>
        </w:tblCellMar>
      </w:tblPr>
      <w:tblGrid>
        <w:gridCol w:w="124"/>
        <w:gridCol w:w="109"/>
        <w:gridCol w:w="109"/>
        <w:gridCol w:w="2759"/>
        <w:gridCol w:w="2759"/>
        <w:gridCol w:w="390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390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4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TRANSITION REPORT PURSUANT TO SECTION 13 OR 15(d) OF THE SECURITIES EXCHANGE ACT OF 1934</w:t>
            </w:r>
          </w:p>
        </w:tc>
      </w:tr>
    </w:tbl>
    <w:p>
      <w:pPr>
        <w:pStyle w:val="TextBody"/>
        <w:bidi w:val="0"/>
        <w:spacing w:lineRule="auto" w:line="288" w:before="60" w:after="283"/>
        <w:jc w:val="left"/>
        <w:rPr>
          <w:rFonts w:ascii="Times New Roman;serif" w:hAnsi="Times New Roman;serif"/>
          <w:b/>
          <w:color w:val="000000"/>
          <w:sz w:val="20"/>
        </w:rPr>
      </w:pPr>
      <w:r>
        <w:rPr>
          <w:rFonts w:ascii="Times New Roman;serif" w:hAnsi="Times New Roman;serif"/>
          <w:b/>
          <w:color w:val="000000"/>
          <w:sz w:val="20"/>
        </w:rPr>
        <w:t xml:space="preserve">For the transition period from                      to                      </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 xml:space="preserve">Commission file number: 033-90866 </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w:t>
      </w:r>
    </w:p>
    <w:p>
      <w:pPr>
        <w:pStyle w:val="TextBody"/>
        <w:bidi w:val="0"/>
        <w:spacing w:lineRule="auto" w:line="288" w:before="0" w:after="0"/>
        <w:jc w:val="center"/>
        <w:rPr>
          <w:rFonts w:ascii="Times New Roman;serif" w:hAnsi="Times New Roman;serif"/>
          <w:b/>
          <w:color w:val="000000"/>
          <w:sz w:val="42"/>
        </w:rPr>
      </w:pPr>
      <w:r>
        <w:rPr>
          <w:rFonts w:ascii="Times New Roman;serif" w:hAnsi="Times New Roman;serif"/>
          <w:b/>
          <w:color w:val="000000"/>
          <w:sz w:val="42"/>
        </w:rPr>
        <w:t xml:space="preserve">WESTINGHOUSE AIR BRAKE TECHNOLOGIES </w:t>
      </w:r>
    </w:p>
    <w:p>
      <w:pPr>
        <w:pStyle w:val="TextBody"/>
        <w:bidi w:val="0"/>
        <w:spacing w:lineRule="auto" w:line="288" w:before="0" w:after="0"/>
        <w:jc w:val="center"/>
        <w:rPr>
          <w:rFonts w:ascii="Times New Roman;serif" w:hAnsi="Times New Roman;serif"/>
          <w:b/>
          <w:color w:val="000000"/>
          <w:sz w:val="42"/>
        </w:rPr>
      </w:pPr>
      <w:r>
        <w:rPr>
          <w:rFonts w:ascii="Times New Roman;serif" w:hAnsi="Times New Roman;serif"/>
          <w:b/>
          <w:color w:val="000000"/>
          <w:sz w:val="42"/>
        </w:rPr>
        <w:t xml:space="preserve">CORPORATION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(Exact name of registrant as specified in its charter)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w:t>
      </w:r>
    </w:p>
    <w:tbl>
      <w:tblPr>
        <w:tblW w:w="6495" w:type="dxa"/>
        <w:jc w:val="center"/>
        <w:tblInd w:w="0" w:type="dxa"/>
        <w:tblLayout w:type="fixed"/>
        <w:tblCellMar>
          <w:top w:w="28" w:type="dxa"/>
          <w:left w:w="28" w:type="dxa"/>
          <w:bottom w:w="28" w:type="dxa"/>
          <w:right w:w="28" w:type="dxa"/>
        </w:tblCellMar>
      </w:tblPr>
      <w:tblGrid>
        <w:gridCol w:w="497"/>
        <w:gridCol w:w="438"/>
        <w:gridCol w:w="438"/>
        <w:gridCol w:w="438"/>
        <w:gridCol w:w="438"/>
        <w:gridCol w:w="438"/>
        <w:gridCol w:w="438"/>
        <w:gridCol w:w="438"/>
        <w:gridCol w:w="442"/>
        <w:gridCol w:w="727"/>
        <w:gridCol w:w="727"/>
        <w:gridCol w:w="1036"/>
      </w:tblGrid>
      <w:tr>
        <w:trPr/>
        <w:tc>
          <w:tcPr>
            <w:tcW w:w="497"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r>
      <w:tr>
        <w:trPr/>
        <w:tc>
          <w:tcPr>
            <w:tcW w:w="400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Delaware</w:t>
            </w:r>
          </w:p>
        </w:tc>
        <w:tc>
          <w:tcPr>
            <w:tcW w:w="24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25-1615902</w:t>
            </w:r>
          </w:p>
        </w:tc>
      </w:tr>
      <w:tr>
        <w:trPr/>
        <w:tc>
          <w:tcPr>
            <w:tcW w:w="400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(State or other jurisdiction of incorporation or organization)</w:t>
            </w:r>
          </w:p>
        </w:tc>
        <w:tc>
          <w:tcPr>
            <w:tcW w:w="24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(I.R.S. Employer Identification No.)</w:t>
            </w:r>
          </w:p>
        </w:tc>
      </w:tr>
      <w:tr>
        <w:trPr/>
        <w:tc>
          <w:tcPr>
            <w:tcW w:w="1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9"/>
              </w:rPr>
            </w:pPr>
            <w:r>
              <w:rPr>
                <w:rFonts w:ascii="Times New Roman;serif" w:hAnsi="Times New Roman;serif"/>
                <w:b/>
                <w:color w:val="000000"/>
                <w:sz w:val="19"/>
              </w:rPr>
              <w:t>30 Isabella Street Pittsburgh, Pennsylvania</w:t>
            </w:r>
          </w:p>
        </w:tc>
        <w:tc>
          <w:tcPr>
            <w:tcW w:w="24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15212</w:t>
            </w:r>
          </w:p>
        </w:tc>
      </w:tr>
      <w:tr>
        <w:trPr/>
        <w:tc>
          <w:tcPr>
            <w:tcW w:w="400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(Address of principal executive offices)</w:t>
            </w:r>
          </w:p>
        </w:tc>
        <w:tc>
          <w:tcPr>
            <w:tcW w:w="24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(Zip code)</w:t>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412-825-1000 </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 xml:space="preserve">(Registrant’s telephone number, including area code) </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 xml:space="preserve">Not applicable </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 xml:space="preserve">(Former name, former address and former fiscal year, if changed since last report)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w:t>
      </w:r>
    </w:p>
    <w:p>
      <w:pPr>
        <w:pStyle w:val="TextBody"/>
        <w:bidi w:val="0"/>
        <w:spacing w:lineRule="auto" w:line="288" w:before="120" w:after="283"/>
        <w:ind w:left="0" w:right="0" w:firstLine="540"/>
        <w:jc w:val="left"/>
        <w:rPr>
          <w:rFonts w:ascii="Times New Roman;serif" w:hAnsi="Times New Roman;serif"/>
          <w:b w:val="false"/>
          <w:color w:val="000000"/>
          <w:sz w:val="17"/>
        </w:rPr>
      </w:pPr>
      <w:r>
        <w:rPr>
          <w:rFonts w:ascii="Times New Roman;serif" w:hAnsi="Times New Roman;serif"/>
          <w:b w:val="false"/>
          <w:color w:val="000000"/>
          <w:sz w:val="17"/>
        </w:rPr>
        <w:t>Securities registered pursuant to Section 12(b) of the Act:</w:t>
      </w:r>
    </w:p>
    <w:tbl>
      <w:tblPr>
        <w:tblW w:w="7738" w:type="dxa"/>
        <w:jc w:val="left"/>
        <w:tblInd w:w="0" w:type="dxa"/>
        <w:tblLayout w:type="fixed"/>
        <w:tblCellMar>
          <w:top w:w="28" w:type="dxa"/>
          <w:left w:w="28" w:type="dxa"/>
          <w:bottom w:w="28" w:type="dxa"/>
          <w:right w:w="28" w:type="dxa"/>
        </w:tblCellMar>
      </w:tblPr>
      <w:tblGrid>
        <w:gridCol w:w="1069"/>
        <w:gridCol w:w="943"/>
        <w:gridCol w:w="958"/>
        <w:gridCol w:w="484"/>
        <w:gridCol w:w="484"/>
        <w:gridCol w:w="486"/>
        <w:gridCol w:w="970"/>
        <w:gridCol w:w="970"/>
        <w:gridCol w:w="1374"/>
      </w:tblGrid>
      <w:tr>
        <w:trPr/>
        <w:tc>
          <w:tcPr>
            <w:tcW w:w="1069"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0"/>
              <w:jc w:val="center"/>
              <w:rPr>
                <w:rFonts w:ascii="Times New Roman;serif" w:hAnsi="Times New Roman;serif"/>
                <w:b/>
                <w:color w:val="000000"/>
                <w:sz w:val="16"/>
              </w:rPr>
            </w:pPr>
            <w:r>
              <w:rPr>
                <w:rFonts w:ascii="Times New Roman;serif" w:hAnsi="Times New Roman;serif"/>
                <w:b/>
                <w:color w:val="000000"/>
                <w:sz w:val="16"/>
              </w:rPr>
              <w:t>Class</w:t>
            </w:r>
          </w:p>
        </w:tc>
        <w:tc>
          <w:tcPr>
            <w:tcW w:w="145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color w:val="000000"/>
                <w:sz w:val="16"/>
              </w:rPr>
            </w:pPr>
            <w:r>
              <w:rPr>
                <w:rFonts w:ascii="Times New Roman;serif" w:hAnsi="Times New Roman;serif"/>
                <w:b/>
                <w:color w:val="000000"/>
                <w:sz w:val="16"/>
              </w:rPr>
              <w:t>Trading Symbol(s)</w:t>
            </w:r>
          </w:p>
        </w:tc>
        <w:tc>
          <w:tcPr>
            <w:tcW w:w="3314" w:type="dxa"/>
            <w:gridSpan w:val="3"/>
            <w:tcBorders>
              <w:top w:val="single" w:sz="8" w:space="0" w:color="000000"/>
              <w:right w:val="single" w:sz="8" w:space="0" w:color="000000"/>
            </w:tcBorders>
            <w:tcMar>
              <w:top w:w="52" w:type="dxa"/>
              <w:left w:w="0" w:type="dxa"/>
              <w:bottom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Name of each exchange on which registered</w:t>
            </w:r>
          </w:p>
        </w:tc>
      </w:tr>
      <w:tr>
        <w:trPr/>
        <w:tc>
          <w:tcPr>
            <w:tcW w:w="2970" w:type="dxa"/>
            <w:gridSpan w:val="3"/>
            <w:tcBorders>
              <w:top w:val="single" w:sz="8" w:space="0" w:color="000000"/>
              <w:left w:val="single" w:sz="8" w:space="0" w:color="000000"/>
              <w:bottom w:val="single" w:sz="8" w:space="0" w:color="000000"/>
            </w:tcBorders>
            <w:tcMar>
              <w:top w:w="52" w:type="dxa"/>
              <w:bottom w:w="30" w:type="dxa"/>
              <w:right w:w="0" w:type="dxa"/>
            </w:tcMar>
            <w:vAlign w:val="center"/>
          </w:tcPr>
          <w:p>
            <w:pPr>
              <w:pStyle w:val="TableContents"/>
              <w:bidi w:val="0"/>
              <w:spacing w:lineRule="auto" w:line="240" w:before="0" w:after="0"/>
              <w:ind w:left="0" w:right="0" w:hanging="180"/>
              <w:jc w:val="center"/>
              <w:rPr>
                <w:rFonts w:ascii="Times New Roman;serif" w:hAnsi="Times New Roman;serif"/>
                <w:b w:val="false"/>
                <w:color w:val="000000"/>
                <w:sz w:val="17"/>
              </w:rPr>
            </w:pPr>
            <w:r>
              <w:rPr>
                <w:rFonts w:ascii="Times New Roman;serif" w:hAnsi="Times New Roman;serif"/>
                <w:b w:val="false"/>
                <w:color w:val="000000"/>
                <w:sz w:val="17"/>
              </w:rPr>
              <w:t>Common Stock, $.01 par value per share</w:t>
            </w:r>
          </w:p>
        </w:tc>
        <w:tc>
          <w:tcPr>
            <w:tcW w:w="1454"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0"/>
              <w:ind w:left="0" w:right="0" w:hanging="180"/>
              <w:jc w:val="center"/>
              <w:rPr>
                <w:rFonts w:ascii="Times New Roman;serif" w:hAnsi="Times New Roman;serif"/>
                <w:b w:val="false"/>
                <w:color w:val="000000"/>
                <w:sz w:val="17"/>
              </w:rPr>
            </w:pPr>
            <w:r>
              <w:rPr>
                <w:rFonts w:ascii="Times New Roman;serif" w:hAnsi="Times New Roman;serif"/>
                <w:b w:val="false"/>
                <w:color w:val="000000"/>
                <w:sz w:val="17"/>
              </w:rPr>
              <w:t>WAB</w:t>
            </w:r>
          </w:p>
        </w:tc>
        <w:tc>
          <w:tcPr>
            <w:tcW w:w="3314" w:type="dxa"/>
            <w:gridSpan w:val="3"/>
            <w:tcBorders>
              <w:top w:val="single" w:sz="8" w:space="0" w:color="000000"/>
              <w:bottom w:val="single" w:sz="8" w:space="0" w:color="000000"/>
              <w:right w:val="single" w:sz="8" w:space="0" w:color="000000"/>
            </w:tcBorders>
            <w:tcMar>
              <w:top w:w="52" w:type="dxa"/>
              <w:left w:w="0" w:type="dxa"/>
              <w:bottom w:w="30" w:type="dxa"/>
            </w:tcMar>
            <w:vAlign w:val="center"/>
          </w:tcPr>
          <w:p>
            <w:pPr>
              <w:pStyle w:val="TableContents"/>
              <w:bidi w:val="0"/>
              <w:spacing w:lineRule="auto" w:line="240" w:before="0" w:after="283"/>
              <w:jc w:val="center"/>
              <w:rPr>
                <w:rFonts w:ascii="Times New Roman;serif" w:hAnsi="Times New Roman;serif"/>
                <w:b w:val="false"/>
                <w:color w:val="000000"/>
                <w:sz w:val="17"/>
              </w:rPr>
            </w:pPr>
            <w:r>
              <w:rPr>
                <w:rFonts w:ascii="Times New Roman;serif" w:hAnsi="Times New Roman;serif"/>
                <w:b w:val="false"/>
                <w:color w:val="000000"/>
                <w:sz w:val="17"/>
              </w:rPr>
              <w:t>New York Stock Exchange</w:t>
            </w:r>
          </w:p>
        </w:tc>
      </w:tr>
    </w:tbl>
    <w:p>
      <w:pPr>
        <w:pStyle w:val="TextBody"/>
        <w:bidi w:val="0"/>
        <w:spacing w:lineRule="auto" w:line="288" w:before="20" w:after="283"/>
        <w:ind w:left="0" w:right="0" w:firstLine="540"/>
        <w:jc w:val="left"/>
        <w:rPr/>
      </w:pPr>
      <w:r>
        <w:rPr>
          <w:rFonts w:ascii="Times New Roman;serif" w:hAnsi="Times New Roman;serif"/>
          <w:b w:val="false"/>
          <w:color w:val="000000"/>
          <w:sz w:val="16"/>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w:t>
      </w:r>
      <w:r>
        <w:rPr>
          <w:rFonts w:ascii="Times New Roman;serif" w:hAnsi="Times New Roman;serif"/>
          <w:b w:val="false"/>
          <w:color w:val="000000"/>
          <w:sz w:val="16"/>
        </w:rPr>
        <w:t xml:space="preserve">No </w:t>
      </w:r>
      <w:r>
        <w:rPr>
          <w:color w:val="000000"/>
        </w:rPr>
        <w:t xml:space="preserve">☐ </w:t>
      </w:r>
    </w:p>
    <w:p>
      <w:pPr>
        <w:pStyle w:val="TextBody"/>
        <w:bidi w:val="0"/>
        <w:spacing w:lineRule="auto" w:line="288" w:before="20" w:after="283"/>
        <w:ind w:left="0" w:right="0" w:firstLine="540"/>
        <w:jc w:val="left"/>
        <w:rPr/>
      </w:pPr>
      <w:r>
        <w:rPr>
          <w:rFonts w:ascii="Times New Roman;serif" w:hAnsi="Times New Roman;serif"/>
          <w:b w:val="false"/>
          <w:color w:val="000000"/>
          <w:sz w:val="16"/>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color w:val="000000"/>
        </w:rPr>
        <w:t>☒    </w:t>
      </w:r>
      <w:r>
        <w:rPr>
          <w:rFonts w:ascii="Times New Roman;serif" w:hAnsi="Times New Roman;serif"/>
          <w:b w:val="false"/>
          <w:color w:val="000000"/>
          <w:sz w:val="16"/>
        </w:rPr>
        <w:t>No  </w:t>
      </w:r>
      <w:r>
        <w:rPr>
          <w:color w:val="000000"/>
        </w:rPr>
        <w:t xml:space="preserve">☐ </w:t>
      </w:r>
    </w:p>
    <w:p>
      <w:pPr>
        <w:pStyle w:val="TextBody"/>
        <w:bidi w:val="0"/>
        <w:spacing w:lineRule="auto" w:line="288" w:before="20" w:after="283"/>
        <w:ind w:left="0" w:right="0" w:firstLine="540"/>
        <w:jc w:val="left"/>
        <w:rPr>
          <w:rFonts w:ascii="Times New Roman;serif" w:hAnsi="Times New Roman;serif"/>
          <w:b w:val="false"/>
          <w:color w:val="000000"/>
          <w:sz w:val="16"/>
        </w:rPr>
      </w:pPr>
      <w:r>
        <w:rPr>
          <w:rFonts w:ascii="Times New Roman;serif" w:hAnsi="Times New Roman;serif"/>
          <w:b w:val="false"/>
          <w:color w:val="000000"/>
          <w:sz w:val="16"/>
        </w:rPr>
        <w:t xml:space="preserve">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w:t>
      </w:r>
    </w:p>
    <w:tbl>
      <w:tblPr>
        <w:tblW w:w="6636" w:type="dxa"/>
        <w:jc w:val="left"/>
        <w:tblInd w:w="0" w:type="dxa"/>
        <w:tblLayout w:type="fixed"/>
        <w:tblCellMar>
          <w:top w:w="28" w:type="dxa"/>
          <w:left w:w="28" w:type="dxa"/>
          <w:bottom w:w="28" w:type="dxa"/>
          <w:right w:w="28" w:type="dxa"/>
        </w:tblCellMar>
      </w:tblPr>
      <w:tblGrid>
        <w:gridCol w:w="739"/>
        <w:gridCol w:w="649"/>
        <w:gridCol w:w="652"/>
        <w:gridCol w:w="109"/>
        <w:gridCol w:w="109"/>
        <w:gridCol w:w="109"/>
        <w:gridCol w:w="669"/>
        <w:gridCol w:w="669"/>
        <w:gridCol w:w="673"/>
        <w:gridCol w:w="109"/>
        <w:gridCol w:w="109"/>
        <w:gridCol w:w="109"/>
        <w:gridCol w:w="519"/>
        <w:gridCol w:w="519"/>
        <w:gridCol w:w="521"/>
        <w:gridCol w:w="109"/>
        <w:gridCol w:w="109"/>
        <w:gridCol w:w="154"/>
      </w:tblGrid>
      <w:tr>
        <w:trPr/>
        <w:tc>
          <w:tcPr>
            <w:tcW w:w="739"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20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Non-accelerated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20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Emerging growth company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20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Smaller reporting company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1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283"/>
        <w:ind w:left="0" w:right="0" w:firstLine="540"/>
        <w:jc w:val="left"/>
        <w:rPr/>
      </w:pPr>
      <w:r>
        <w:rPr>
          <w:rFonts w:ascii="Times New Roman;serif" w:hAnsi="Times New Roman;serif"/>
          <w:b w:val="false"/>
          <w:color w:val="000000"/>
          <w:sz w:val="16"/>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  </w:t>
      </w:r>
    </w:p>
    <w:p>
      <w:pPr>
        <w:pStyle w:val="TextBody"/>
        <w:bidi w:val="0"/>
        <w:spacing w:lineRule="auto" w:line="288" w:before="20" w:after="283"/>
        <w:ind w:left="0" w:right="0" w:firstLine="540"/>
        <w:jc w:val="left"/>
        <w:rPr/>
      </w:pPr>
      <w:r>
        <w:rPr>
          <w:rFonts w:ascii="Times New Roman;serif" w:hAnsi="Times New Roman;serif"/>
          <w:b w:val="false"/>
          <w:color w:val="000000"/>
          <w:sz w:val="16"/>
        </w:rPr>
        <w:t>Indicate by check mark whether the registrant is a shell company (as defined in Rule 12b-2 of the Exchange Act).     Yes  </w:t>
      </w:r>
      <w:r>
        <w:rPr>
          <w:color w:val="000000"/>
        </w:rPr>
        <w:t>☐    </w:t>
      </w:r>
      <w:r>
        <w:rPr>
          <w:rFonts w:ascii="Times New Roman;serif" w:hAnsi="Times New Roman;serif"/>
          <w:b w:val="false"/>
          <w:color w:val="000000"/>
          <w:sz w:val="16"/>
        </w:rPr>
        <w:t>No  </w:t>
      </w:r>
      <w:r>
        <w:rPr>
          <w:color w:val="000000"/>
        </w:rPr>
        <w:t xml:space="preserve">☒ </w:t>
      </w:r>
    </w:p>
    <w:p>
      <w:pPr>
        <w:pStyle w:val="TextBody"/>
        <w:bidi w:val="0"/>
        <w:spacing w:lineRule="auto" w:line="288" w:before="20" w:after="283"/>
        <w:ind w:left="0" w:right="0" w:firstLine="540"/>
        <w:jc w:val="left"/>
        <w:rPr>
          <w:rFonts w:ascii="Times New Roman;serif" w:hAnsi="Times New Roman;serif"/>
          <w:b w:val="false"/>
          <w:color w:val="000000"/>
          <w:sz w:val="16"/>
        </w:rPr>
      </w:pPr>
      <w:r>
        <w:rPr>
          <w:rFonts w:ascii="Times New Roman;serif" w:hAnsi="Times New Roman;serif"/>
          <w:b w:val="false"/>
          <w:color w:val="000000"/>
          <w:sz w:val="16"/>
        </w:rPr>
        <w:t xml:space="preserve">Indicate the number of shares outstanding of each of the issuer’s classes of common stock, as of the latest practicable date. </w:t>
      </w:r>
    </w:p>
    <w:p>
      <w:pPr>
        <w:pStyle w:val="TextBody"/>
        <w:bidi w:val="0"/>
        <w:spacing w:lineRule="auto" w:line="288" w:before="20" w:after="283"/>
        <w:jc w:val="left"/>
        <w:rPr>
          <w:rFonts w:ascii="Times New Roman;serif" w:hAnsi="Times New Roman;serif"/>
          <w:b w:val="false"/>
          <w:color w:val="000000"/>
          <w:sz w:val="16"/>
        </w:rPr>
      </w:pPr>
      <w:r>
        <w:rPr>
          <w:rFonts w:ascii="Times New Roman;serif" w:hAnsi="Times New Roman;serif"/>
          <w:b w:val="false"/>
          <w:color w:val="000000"/>
          <w:sz w:val="16"/>
        </w:rPr>
        <w:t>As of July 17, 2026, there were 168,910,851 shares of common stock, par value $.01 per share, of the registrant outstanding.</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WESTINGHOUSE AIR BRAKE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TECHNOLOGIES CORPORATION </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 xml:space="preserve">June 30, 2026 </w:t>
      </w:r>
    </w:p>
    <w:p>
      <w:pPr>
        <w:pStyle w:val="TextBody"/>
        <w:bidi w:val="0"/>
        <w:spacing w:lineRule="auto" w:line="288" w:before="80" w:after="283"/>
        <w:jc w:val="center"/>
        <w:rPr>
          <w:rFonts w:ascii="Times New Roman;serif" w:hAnsi="Times New Roman;serif"/>
          <w:b/>
          <w:color w:val="000000"/>
          <w:sz w:val="20"/>
        </w:rPr>
      </w:pPr>
      <w:r>
        <w:rPr>
          <w:rFonts w:ascii="Times New Roman;serif" w:hAnsi="Times New Roman;serif"/>
          <w:b/>
          <w:color w:val="000000"/>
          <w:sz w:val="20"/>
        </w:rPr>
        <w:t xml:space="preserve">FORM 10-Q </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 xml:space="preserve">TABLE OF CONTENTS </w:t>
      </w:r>
    </w:p>
    <w:tbl>
      <w:tblPr>
        <w:tblW w:w="10205" w:type="dxa"/>
        <w:jc w:val="center"/>
        <w:tblInd w:w="0" w:type="dxa"/>
        <w:tblLayout w:type="fixed"/>
        <w:tblCellMar>
          <w:top w:w="28" w:type="dxa"/>
          <w:left w:w="28" w:type="dxa"/>
          <w:bottom w:w="28" w:type="dxa"/>
          <w:right w:w="28" w:type="dxa"/>
        </w:tblCellMar>
      </w:tblPr>
      <w:tblGrid>
        <w:gridCol w:w="286"/>
        <w:gridCol w:w="251"/>
        <w:gridCol w:w="247"/>
        <w:gridCol w:w="2983"/>
        <w:gridCol w:w="2958"/>
        <w:gridCol w:w="2966"/>
        <w:gridCol w:w="149"/>
        <w:gridCol w:w="149"/>
        <w:gridCol w:w="216"/>
      </w:tblGrid>
      <w:tr>
        <w:trPr/>
        <w:tc>
          <w:tcPr>
            <w:tcW w:w="286"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983" w:type="dxa"/>
            <w:tcBorders/>
            <w:vAlign w:val="center"/>
          </w:tcPr>
          <w:p>
            <w:pPr>
              <w:pStyle w:val="TableContents"/>
              <w:bidi w:val="0"/>
              <w:spacing w:before="0" w:after="283"/>
              <w:jc w:val="left"/>
              <w:rPr>
                <w:sz w:val="4"/>
                <w:szCs w:val="4"/>
              </w:rPr>
            </w:pPr>
            <w:r>
              <w:rPr>
                <w:sz w:val="4"/>
                <w:szCs w:val="4"/>
              </w:rPr>
            </w:r>
          </w:p>
        </w:tc>
        <w:tc>
          <w:tcPr>
            <w:tcW w:w="2958" w:type="dxa"/>
            <w:tcBorders/>
            <w:vAlign w:val="center"/>
          </w:tcPr>
          <w:p>
            <w:pPr>
              <w:pStyle w:val="TableContents"/>
              <w:bidi w:val="0"/>
              <w:spacing w:before="0" w:after="283"/>
              <w:jc w:val="left"/>
              <w:rPr>
                <w:sz w:val="4"/>
                <w:szCs w:val="4"/>
              </w:rPr>
            </w:pPr>
            <w:r>
              <w:rPr>
                <w:sz w:val="4"/>
                <w:szCs w:val="4"/>
              </w:rPr>
            </w:r>
          </w:p>
        </w:tc>
        <w:tc>
          <w:tcPr>
            <w:tcW w:w="2966"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r>
      <w:tr>
        <w:trPr/>
        <w:tc>
          <w:tcPr>
            <w:tcW w:w="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Page</w:t>
            </w:r>
          </w:p>
        </w:tc>
      </w:tr>
      <w:tr>
        <w:trPr/>
        <w:tc>
          <w:tcPr>
            <w:tcW w:w="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7"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color w:val="000000"/>
                <w:sz w:val="20"/>
              </w:rPr>
            </w:pPr>
            <w:r>
              <w:rPr>
                <w:rFonts w:ascii="Times New Roman;serif" w:hAnsi="Times New Roman;serif"/>
                <w:b/>
                <w:color w:val="000000"/>
                <w:sz w:val="20"/>
              </w:rPr>
              <w:t>PART I—FINANCIAL INFORMATION</w:t>
            </w:r>
          </w:p>
        </w:tc>
        <w:tc>
          <w:tcPr>
            <w:tcW w:w="5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Item 1.</w:t>
            </w:r>
          </w:p>
        </w:tc>
        <w:tc>
          <w:tcPr>
            <w:tcW w:w="890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c8754ba453474e37a92de7624a461b54_16">
              <w:r>
                <w:rPr>
                  <w:rStyle w:val="InternetLink"/>
                  <w:rFonts w:ascii="Times New Roman;serif" w:hAnsi="Times New Roman;serif"/>
                  <w:b w:val="false"/>
                  <w:color w:val="0000FF"/>
                  <w:sz w:val="20"/>
                  <w:u w:val="single"/>
                </w:rPr>
                <w:t>Financial Statements - (Unaudited)</w:t>
              </w:r>
            </w:hyperlink>
          </w:p>
        </w:tc>
        <w:tc>
          <w:tcPr>
            <w:tcW w:w="5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c8754ba453474e37a92de7624a461b54_13">
              <w:r>
                <w:rPr>
                  <w:rStyle w:val="InternetLink"/>
                  <w:rFonts w:ascii="Times New Roman;serif" w:hAnsi="Times New Roman;serif"/>
                  <w:b w:val="false"/>
                  <w:strike w:val="false"/>
                  <w:dstrike w:val="false"/>
                  <w:color w:val="0000FF"/>
                  <w:sz w:val="20"/>
                  <w:u w:val="none"/>
                  <w:effect w:val="none"/>
                </w:rPr>
                <w:t>3</w:t>
              </w:r>
            </w:hyperlink>
          </w:p>
        </w:tc>
      </w:tr>
      <w:tr>
        <w:trPr/>
        <w:tc>
          <w:tcPr>
            <w:tcW w:w="7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c8754ba453474e37a92de7624a461b54_19">
              <w:r>
                <w:rPr>
                  <w:rStyle w:val="InternetLink"/>
                  <w:rFonts w:ascii="Times New Roman;serif" w:hAnsi="Times New Roman;serif"/>
                  <w:b w:val="false"/>
                  <w:color w:val="000080"/>
                  <w:sz w:val="20"/>
                  <w:u w:val="single"/>
                </w:rPr>
                <w:t xml:space="preserve">Condensed Consolidated Balance Sheets as of </w:t>
              </w:r>
            </w:hyperlink>
            <w:hyperlink w:anchor="ic8754ba453474e37a92de7624a461b54_19">
              <w:r>
                <w:rPr>
                  <w:rStyle w:val="InternetLink"/>
                  <w:rFonts w:ascii="Times New Roman;serif" w:hAnsi="Times New Roman;serif"/>
                  <w:b w:val="false"/>
                  <w:color w:val="000080"/>
                  <w:sz w:val="20"/>
                  <w:u w:val="single"/>
                </w:rPr>
                <w:t>June 30</w:t>
              </w:r>
            </w:hyperlink>
            <w:hyperlink w:anchor="ic8754ba453474e37a92de7624a461b54_19">
              <w:r>
                <w:rPr>
                  <w:rStyle w:val="InternetLink"/>
                  <w:rFonts w:ascii="Times New Roman;serif" w:hAnsi="Times New Roman;serif"/>
                  <w:b w:val="false"/>
                  <w:color w:val="000080"/>
                  <w:sz w:val="20"/>
                  <w:u w:val="single"/>
                </w:rPr>
                <w:t>, 2026 and December 31, 2025</w:t>
              </w:r>
            </w:hyperlink>
          </w:p>
        </w:tc>
        <w:tc>
          <w:tcPr>
            <w:tcW w:w="5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c8754ba453474e37a92de7624a461b54_19">
              <w:r>
                <w:rPr>
                  <w:rStyle w:val="InternetLink"/>
                  <w:rFonts w:ascii="Times New Roman;serif" w:hAnsi="Times New Roman;serif"/>
                  <w:b w:val="false"/>
                  <w:strike w:val="false"/>
                  <w:dstrike w:val="false"/>
                  <w:color w:val="0000FF"/>
                  <w:sz w:val="20"/>
                  <w:u w:val="none"/>
                  <w:effect w:val="none"/>
                </w:rPr>
                <w:t>3</w:t>
              </w:r>
            </w:hyperlink>
          </w:p>
        </w:tc>
      </w:tr>
      <w:tr>
        <w:trPr/>
        <w:tc>
          <w:tcPr>
            <w:tcW w:w="7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c8754ba453474e37a92de7624a461b54_25">
              <w:r>
                <w:rPr>
                  <w:rStyle w:val="InternetLink"/>
                  <w:rFonts w:ascii="Times New Roman;serif" w:hAnsi="Times New Roman;serif"/>
                  <w:b w:val="false"/>
                  <w:color w:val="000080"/>
                  <w:sz w:val="20"/>
                  <w:u w:val="single"/>
                </w:rPr>
                <w:t xml:space="preserve">Condensed Consolidated Statements of Income for the three </w:t>
              </w:r>
            </w:hyperlink>
            <w:hyperlink w:anchor="ic8754ba453474e37a92de7624a461b54_25">
              <w:r>
                <w:rPr>
                  <w:rStyle w:val="InternetLink"/>
                  <w:rFonts w:ascii="Times New Roman;serif" w:hAnsi="Times New Roman;serif"/>
                  <w:b w:val="false"/>
                  <w:color w:val="000080"/>
                  <w:sz w:val="20"/>
                  <w:u w:val="single"/>
                </w:rPr>
                <w:t xml:space="preserve">and six </w:t>
              </w:r>
            </w:hyperlink>
            <w:hyperlink w:anchor="ic8754ba453474e37a92de7624a461b54_25">
              <w:r>
                <w:rPr>
                  <w:rStyle w:val="InternetLink"/>
                  <w:rFonts w:ascii="Times New Roman;serif" w:hAnsi="Times New Roman;serif"/>
                  <w:b w:val="false"/>
                  <w:color w:val="000080"/>
                  <w:sz w:val="20"/>
                  <w:u w:val="single"/>
                </w:rPr>
                <w:t xml:space="preserve">months ended </w:t>
              </w:r>
            </w:hyperlink>
            <w:hyperlink w:anchor="ic8754ba453474e37a92de7624a461b54_25">
              <w:r>
                <w:rPr>
                  <w:rStyle w:val="InternetLink"/>
                  <w:rFonts w:ascii="Times New Roman;serif" w:hAnsi="Times New Roman;serif"/>
                  <w:b w:val="false"/>
                  <w:color w:val="000080"/>
                  <w:sz w:val="20"/>
                  <w:u w:val="single"/>
                </w:rPr>
                <w:t>June 30</w:t>
              </w:r>
            </w:hyperlink>
            <w:hyperlink w:anchor="ic8754ba453474e37a92de7624a461b54_25">
              <w:r>
                <w:rPr>
                  <w:rStyle w:val="InternetLink"/>
                  <w:rFonts w:ascii="Times New Roman;serif" w:hAnsi="Times New Roman;serif"/>
                  <w:b w:val="false"/>
                  <w:color w:val="000080"/>
                  <w:sz w:val="20"/>
                  <w:u w:val="single"/>
                </w:rPr>
                <w:t>, 2026 and 2025</w:t>
              </w:r>
            </w:hyperlink>
          </w:p>
        </w:tc>
        <w:tc>
          <w:tcPr>
            <w:tcW w:w="5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c8754ba453474e37a92de7624a461b54_25">
              <w:r>
                <w:rPr>
                  <w:rStyle w:val="InternetLink"/>
                  <w:rFonts w:ascii="Times New Roman;serif" w:hAnsi="Times New Roman;serif"/>
                  <w:b w:val="false"/>
                  <w:strike w:val="false"/>
                  <w:dstrike w:val="false"/>
                  <w:color w:val="0000FF"/>
                  <w:sz w:val="20"/>
                  <w:u w:val="none"/>
                  <w:effect w:val="none"/>
                </w:rPr>
                <w:t>4</w:t>
              </w:r>
            </w:hyperlink>
          </w:p>
        </w:tc>
      </w:tr>
      <w:tr>
        <w:trPr/>
        <w:tc>
          <w:tcPr>
            <w:tcW w:w="7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c8754ba453474e37a92de7624a461b54_28">
              <w:r>
                <w:rPr>
                  <w:rStyle w:val="InternetLink"/>
                  <w:rFonts w:ascii="Times New Roman;serif" w:hAnsi="Times New Roman;serif"/>
                  <w:b w:val="false"/>
                  <w:color w:val="000080"/>
                  <w:sz w:val="20"/>
                  <w:u w:val="single"/>
                </w:rPr>
                <w:t xml:space="preserve">Condensed Consolidated Statements of Comprehensive Income for the three </w:t>
              </w:r>
            </w:hyperlink>
            <w:hyperlink w:anchor="ic8754ba453474e37a92de7624a461b54_28">
              <w:r>
                <w:rPr>
                  <w:rStyle w:val="InternetLink"/>
                  <w:rFonts w:ascii="Times New Roman;serif" w:hAnsi="Times New Roman;serif"/>
                  <w:b w:val="false"/>
                  <w:color w:val="000080"/>
                  <w:sz w:val="20"/>
                  <w:u w:val="single"/>
                </w:rPr>
                <w:t xml:space="preserve">and six </w:t>
              </w:r>
            </w:hyperlink>
            <w:hyperlink w:anchor="ic8754ba453474e37a92de7624a461b54_28">
              <w:r>
                <w:rPr>
                  <w:rStyle w:val="InternetLink"/>
                  <w:rFonts w:ascii="Times New Roman;serif" w:hAnsi="Times New Roman;serif"/>
                  <w:b w:val="false"/>
                  <w:color w:val="000080"/>
                  <w:sz w:val="20"/>
                  <w:u w:val="single"/>
                </w:rPr>
                <w:t xml:space="preserve">months ended </w:t>
              </w:r>
            </w:hyperlink>
            <w:hyperlink w:anchor="ic8754ba453474e37a92de7624a461b54_28">
              <w:r>
                <w:rPr>
                  <w:rStyle w:val="InternetLink"/>
                  <w:rFonts w:ascii="Times New Roman;serif" w:hAnsi="Times New Roman;serif"/>
                  <w:b w:val="false"/>
                  <w:color w:val="000080"/>
                  <w:sz w:val="20"/>
                  <w:u w:val="single"/>
                </w:rPr>
                <w:t>June 30</w:t>
              </w:r>
            </w:hyperlink>
            <w:hyperlink w:anchor="ic8754ba453474e37a92de7624a461b54_28">
              <w:r>
                <w:rPr>
                  <w:rStyle w:val="InternetLink"/>
                  <w:rFonts w:ascii="Times New Roman;serif" w:hAnsi="Times New Roman;serif"/>
                  <w:b w:val="false"/>
                  <w:color w:val="000080"/>
                  <w:sz w:val="20"/>
                  <w:u w:val="single"/>
                </w:rPr>
                <w:t>, 2026 and 2025</w:t>
              </w:r>
            </w:hyperlink>
          </w:p>
        </w:tc>
        <w:tc>
          <w:tcPr>
            <w:tcW w:w="5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c8754ba453474e37a92de7624a461b54_28">
              <w:r>
                <w:rPr>
                  <w:rStyle w:val="InternetLink"/>
                  <w:rFonts w:ascii="Times New Roman;serif" w:hAnsi="Times New Roman;serif"/>
                  <w:b w:val="false"/>
                  <w:strike w:val="false"/>
                  <w:dstrike w:val="false"/>
                  <w:color w:val="0000FF"/>
                  <w:sz w:val="20"/>
                  <w:u w:val="none"/>
                  <w:effect w:val="none"/>
                </w:rPr>
                <w:t>5</w:t>
              </w:r>
            </w:hyperlink>
          </w:p>
        </w:tc>
      </w:tr>
      <w:tr>
        <w:trPr/>
        <w:tc>
          <w:tcPr>
            <w:tcW w:w="7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c8754ba453474e37a92de7624a461b54_31">
              <w:r>
                <w:rPr>
                  <w:rStyle w:val="InternetLink"/>
                  <w:rFonts w:ascii="Times New Roman;serif" w:hAnsi="Times New Roman;serif"/>
                  <w:b w:val="false"/>
                  <w:color w:val="000080"/>
                  <w:sz w:val="20"/>
                  <w:u w:val="single"/>
                </w:rPr>
                <w:t xml:space="preserve">Condensed Consolidated Statements of Cash Flows for the </w:t>
              </w:r>
            </w:hyperlink>
            <w:hyperlink w:anchor="ic8754ba453474e37a92de7624a461b54_31">
              <w:r>
                <w:rPr>
                  <w:rStyle w:val="InternetLink"/>
                  <w:rFonts w:ascii="Times New Roman;serif" w:hAnsi="Times New Roman;serif"/>
                  <w:b w:val="false"/>
                  <w:color w:val="000080"/>
                  <w:sz w:val="20"/>
                  <w:u w:val="single"/>
                </w:rPr>
                <w:t>six</w:t>
              </w:r>
            </w:hyperlink>
            <w:hyperlink w:anchor="ic8754ba453474e37a92de7624a461b54_31">
              <w:r>
                <w:rPr>
                  <w:rStyle w:val="InternetLink"/>
                  <w:rFonts w:ascii="Times New Roman;serif" w:hAnsi="Times New Roman;serif"/>
                  <w:b w:val="false"/>
                  <w:color w:val="000080"/>
                  <w:sz w:val="20"/>
                  <w:u w:val="single"/>
                </w:rPr>
                <w:t xml:space="preserve"> months ended </w:t>
              </w:r>
            </w:hyperlink>
            <w:hyperlink w:anchor="ic8754ba453474e37a92de7624a461b54_31">
              <w:r>
                <w:rPr>
                  <w:rStyle w:val="InternetLink"/>
                  <w:rFonts w:ascii="Times New Roman;serif" w:hAnsi="Times New Roman;serif"/>
                  <w:b w:val="false"/>
                  <w:color w:val="000080"/>
                  <w:sz w:val="20"/>
                  <w:u w:val="single"/>
                </w:rPr>
                <w:t>June 30, 2026</w:t>
              </w:r>
            </w:hyperlink>
            <w:hyperlink w:anchor="ic8754ba453474e37a92de7624a461b54_31">
              <w:r>
                <w:rPr>
                  <w:rStyle w:val="InternetLink"/>
                  <w:rFonts w:ascii="Times New Roman;serif" w:hAnsi="Times New Roman;serif"/>
                  <w:b w:val="false"/>
                  <w:color w:val="000080"/>
                  <w:sz w:val="20"/>
                  <w:u w:val="single"/>
                </w:rPr>
                <w:t xml:space="preserve"> and 2025</w:t>
              </w:r>
            </w:hyperlink>
          </w:p>
        </w:tc>
        <w:tc>
          <w:tcPr>
            <w:tcW w:w="5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c8754ba453474e37a92de7624a461b54_31">
              <w:r>
                <w:rPr>
                  <w:rStyle w:val="InternetLink"/>
                  <w:rFonts w:ascii="Times New Roman;serif" w:hAnsi="Times New Roman;serif"/>
                  <w:b w:val="false"/>
                  <w:strike w:val="false"/>
                  <w:dstrike w:val="false"/>
                  <w:color w:val="0000FF"/>
                  <w:sz w:val="20"/>
                  <w:u w:val="none"/>
                  <w:effect w:val="none"/>
                </w:rPr>
                <w:t>6</w:t>
              </w:r>
            </w:hyperlink>
          </w:p>
        </w:tc>
      </w:tr>
      <w:tr>
        <w:trPr/>
        <w:tc>
          <w:tcPr>
            <w:tcW w:w="7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c8754ba453474e37a92de7624a461b54_34">
              <w:r>
                <w:rPr>
                  <w:rStyle w:val="InternetLink"/>
                  <w:rFonts w:ascii="Times New Roman;serif" w:hAnsi="Times New Roman;serif"/>
                  <w:b w:val="false"/>
                  <w:color w:val="000080"/>
                  <w:sz w:val="20"/>
                  <w:u w:val="single"/>
                </w:rPr>
                <w:t xml:space="preserve">Condensed Consolidated Statements of Shareholders' Equity for the three </w:t>
              </w:r>
            </w:hyperlink>
            <w:hyperlink w:anchor="ic8754ba453474e37a92de7624a461b54_34">
              <w:r>
                <w:rPr>
                  <w:rStyle w:val="InternetLink"/>
                  <w:rFonts w:ascii="Times New Roman;serif" w:hAnsi="Times New Roman;serif"/>
                  <w:b w:val="false"/>
                  <w:color w:val="000080"/>
                  <w:sz w:val="20"/>
                  <w:u w:val="single"/>
                </w:rPr>
                <w:t xml:space="preserve">and six </w:t>
              </w:r>
            </w:hyperlink>
            <w:hyperlink w:anchor="ic8754ba453474e37a92de7624a461b54_34">
              <w:r>
                <w:rPr>
                  <w:rStyle w:val="InternetLink"/>
                  <w:rFonts w:ascii="Times New Roman;serif" w:hAnsi="Times New Roman;serif"/>
                  <w:b w:val="false"/>
                  <w:color w:val="000080"/>
                  <w:sz w:val="20"/>
                  <w:u w:val="single"/>
                </w:rPr>
                <w:t xml:space="preserve">months ended </w:t>
              </w:r>
            </w:hyperlink>
            <w:hyperlink w:anchor="ic8754ba453474e37a92de7624a461b54_34">
              <w:r>
                <w:rPr>
                  <w:rStyle w:val="InternetLink"/>
                  <w:rFonts w:ascii="Times New Roman;serif" w:hAnsi="Times New Roman;serif"/>
                  <w:b w:val="false"/>
                  <w:color w:val="000080"/>
                  <w:sz w:val="20"/>
                  <w:u w:val="single"/>
                </w:rPr>
                <w:t>June 30</w:t>
              </w:r>
            </w:hyperlink>
            <w:hyperlink w:anchor="ic8754ba453474e37a92de7624a461b54_34">
              <w:r>
                <w:rPr>
                  <w:rStyle w:val="InternetLink"/>
                  <w:rFonts w:ascii="Times New Roman;serif" w:hAnsi="Times New Roman;serif"/>
                  <w:b w:val="false"/>
                  <w:color w:val="000080"/>
                  <w:sz w:val="20"/>
                  <w:u w:val="single"/>
                </w:rPr>
                <w:t>, 2026 and 2025</w:t>
              </w:r>
            </w:hyperlink>
          </w:p>
        </w:tc>
        <w:tc>
          <w:tcPr>
            <w:tcW w:w="5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c8754ba453474e37a92de7624a461b54_34">
              <w:r>
                <w:rPr>
                  <w:rStyle w:val="InternetLink"/>
                  <w:rFonts w:ascii="Times New Roman;serif" w:hAnsi="Times New Roman;serif"/>
                  <w:b w:val="false"/>
                  <w:strike w:val="false"/>
                  <w:dstrike w:val="false"/>
                  <w:color w:val="0000FF"/>
                  <w:sz w:val="20"/>
                  <w:u w:val="none"/>
                  <w:effect w:val="none"/>
                </w:rPr>
                <w:t>7</w:t>
              </w:r>
            </w:hyperlink>
          </w:p>
        </w:tc>
      </w:tr>
      <w:tr>
        <w:trPr/>
        <w:tc>
          <w:tcPr>
            <w:tcW w:w="7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c8754ba453474e37a92de7624a461b54_40">
              <w:r>
                <w:rPr>
                  <w:rStyle w:val="InternetLink"/>
                  <w:rFonts w:ascii="Times New Roman;serif" w:hAnsi="Times New Roman;serif"/>
                  <w:b w:val="false"/>
                  <w:color w:val="0000FF"/>
                  <w:sz w:val="20"/>
                  <w:u w:val="single"/>
                </w:rPr>
                <w:t>Notes to Condensed Consolidated Financial Statements</w:t>
              </w:r>
            </w:hyperlink>
          </w:p>
        </w:tc>
        <w:tc>
          <w:tcPr>
            <w:tcW w:w="5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c8754ba453474e37a92de7624a461b54_40">
              <w:r>
                <w:rPr>
                  <w:rStyle w:val="InternetLink"/>
                  <w:rFonts w:ascii="Times New Roman;serif" w:hAnsi="Times New Roman;serif"/>
                  <w:b w:val="false"/>
                  <w:strike w:val="false"/>
                  <w:dstrike w:val="false"/>
                  <w:color w:val="0000FF"/>
                  <w:sz w:val="20"/>
                  <w:u w:val="none"/>
                  <w:effect w:val="none"/>
                </w:rPr>
                <w:t>9</w:t>
              </w:r>
            </w:hyperlink>
          </w:p>
        </w:tc>
      </w:tr>
      <w:tr>
        <w:trPr/>
        <w:tc>
          <w:tcPr>
            <w:tcW w:w="78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Item 2.</w:t>
            </w:r>
          </w:p>
        </w:tc>
        <w:tc>
          <w:tcPr>
            <w:tcW w:w="890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c8754ba453474e37a92de7624a461b54_106">
              <w:r>
                <w:rPr>
                  <w:rStyle w:val="InternetLink"/>
                  <w:rFonts w:ascii="Times New Roman;serif" w:hAnsi="Times New Roman;serif"/>
                  <w:b w:val="false"/>
                  <w:color w:val="0000FF"/>
                  <w:sz w:val="20"/>
                  <w:u w:val="single"/>
                </w:rPr>
                <w:t>Management’s Discussion and Analysis of Financial Condition and Results of Operations</w:t>
              </w:r>
            </w:hyperlink>
          </w:p>
        </w:tc>
        <w:tc>
          <w:tcPr>
            <w:tcW w:w="5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c8754ba453474e37a92de7624a461b54_106">
              <w:r>
                <w:rPr>
                  <w:rStyle w:val="InternetLink"/>
                  <w:rFonts w:ascii="Times New Roman;serif" w:hAnsi="Times New Roman;serif"/>
                  <w:b w:val="false"/>
                  <w:strike w:val="false"/>
                  <w:dstrike w:val="false"/>
                  <w:color w:val="0000FF"/>
                  <w:sz w:val="20"/>
                  <w:u w:val="none"/>
                  <w:effect w:val="none"/>
                </w:rPr>
                <w:t>29</w:t>
              </w:r>
            </w:hyperlink>
          </w:p>
        </w:tc>
      </w:tr>
      <w:tr>
        <w:trPr/>
        <w:tc>
          <w:tcPr>
            <w:tcW w:w="78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Item 3.</w:t>
            </w:r>
          </w:p>
        </w:tc>
        <w:tc>
          <w:tcPr>
            <w:tcW w:w="890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c8754ba453474e37a92de7624a461b54_121">
              <w:r>
                <w:rPr>
                  <w:rStyle w:val="InternetLink"/>
                  <w:rFonts w:ascii="Times New Roman;serif" w:hAnsi="Times New Roman;serif"/>
                  <w:b w:val="false"/>
                  <w:color w:val="0000FF"/>
                  <w:sz w:val="20"/>
                  <w:u w:val="single"/>
                </w:rPr>
                <w:t>Quantitative and Qualitative Disclosures about Market Risk</w:t>
              </w:r>
            </w:hyperlink>
          </w:p>
        </w:tc>
        <w:tc>
          <w:tcPr>
            <w:tcW w:w="5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c8754ba453474e37a92de7624a461b54_121">
              <w:r>
                <w:rPr>
                  <w:rStyle w:val="InternetLink"/>
                  <w:rFonts w:ascii="Times New Roman;serif" w:hAnsi="Times New Roman;serif"/>
                  <w:b w:val="false"/>
                  <w:strike w:val="false"/>
                  <w:dstrike w:val="false"/>
                  <w:color w:val="0000FF"/>
                  <w:sz w:val="20"/>
                  <w:u w:val="none"/>
                  <w:effect w:val="none"/>
                </w:rPr>
                <w:t>47</w:t>
              </w:r>
            </w:hyperlink>
          </w:p>
        </w:tc>
      </w:tr>
      <w:tr>
        <w:trPr/>
        <w:tc>
          <w:tcPr>
            <w:tcW w:w="78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Item 4.</w:t>
            </w:r>
          </w:p>
        </w:tc>
        <w:tc>
          <w:tcPr>
            <w:tcW w:w="890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c8754ba453474e37a92de7624a461b54_124">
              <w:r>
                <w:rPr>
                  <w:rStyle w:val="InternetLink"/>
                  <w:rFonts w:ascii="Times New Roman;serif" w:hAnsi="Times New Roman;serif"/>
                  <w:b w:val="false"/>
                  <w:color w:val="0000FF"/>
                  <w:sz w:val="20"/>
                  <w:u w:val="single"/>
                </w:rPr>
                <w:t>Controls and Procedures</w:t>
              </w:r>
            </w:hyperlink>
          </w:p>
        </w:tc>
        <w:tc>
          <w:tcPr>
            <w:tcW w:w="5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c8754ba453474e37a92de7624a461b54_124">
              <w:r>
                <w:rPr>
                  <w:rStyle w:val="InternetLink"/>
                  <w:rFonts w:ascii="Times New Roman;serif" w:hAnsi="Times New Roman;serif"/>
                  <w:b w:val="false"/>
                  <w:strike w:val="false"/>
                  <w:dstrike w:val="false"/>
                  <w:color w:val="0000FF"/>
                  <w:sz w:val="20"/>
                  <w:u w:val="none"/>
                  <w:effect w:val="none"/>
                </w:rPr>
                <w:t>47</w:t>
              </w:r>
            </w:hyperlink>
          </w:p>
        </w:tc>
      </w:tr>
      <w:tr>
        <w:trPr/>
        <w:tc>
          <w:tcPr>
            <w:tcW w:w="7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PART II—OTHER INFORMATION</w:t>
            </w:r>
          </w:p>
        </w:tc>
        <w:tc>
          <w:tcPr>
            <w:tcW w:w="5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Item 1.</w:t>
            </w:r>
          </w:p>
        </w:tc>
        <w:tc>
          <w:tcPr>
            <w:tcW w:w="890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c8754ba453474e37a92de7624a461b54_130">
              <w:r>
                <w:rPr>
                  <w:rStyle w:val="InternetLink"/>
                  <w:rFonts w:ascii="Times New Roman;serif" w:hAnsi="Times New Roman;serif"/>
                  <w:b w:val="false"/>
                  <w:color w:val="0000FF"/>
                  <w:sz w:val="20"/>
                  <w:u w:val="single"/>
                </w:rPr>
                <w:t>Legal Proceedings</w:t>
              </w:r>
            </w:hyperlink>
          </w:p>
        </w:tc>
        <w:tc>
          <w:tcPr>
            <w:tcW w:w="5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c8754ba453474e37a92de7624a461b54_130">
              <w:r>
                <w:rPr>
                  <w:rStyle w:val="InternetLink"/>
                  <w:rFonts w:ascii="Times New Roman;serif" w:hAnsi="Times New Roman;serif"/>
                  <w:b w:val="false"/>
                  <w:strike w:val="false"/>
                  <w:dstrike w:val="false"/>
                  <w:color w:val="0000FF"/>
                  <w:sz w:val="20"/>
                  <w:u w:val="none"/>
                  <w:effect w:val="none"/>
                </w:rPr>
                <w:t>48</w:t>
              </w:r>
            </w:hyperlink>
          </w:p>
        </w:tc>
      </w:tr>
      <w:tr>
        <w:trPr/>
        <w:tc>
          <w:tcPr>
            <w:tcW w:w="78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Item 1A.</w:t>
            </w:r>
          </w:p>
        </w:tc>
        <w:tc>
          <w:tcPr>
            <w:tcW w:w="890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c8754ba453474e37a92de7624a461b54_133">
              <w:r>
                <w:rPr>
                  <w:rStyle w:val="InternetLink"/>
                  <w:rFonts w:ascii="Times New Roman;serif" w:hAnsi="Times New Roman;serif"/>
                  <w:b w:val="false"/>
                  <w:color w:val="0000FF"/>
                  <w:sz w:val="20"/>
                  <w:u w:val="single"/>
                </w:rPr>
                <w:t>Risk Factors</w:t>
              </w:r>
            </w:hyperlink>
          </w:p>
        </w:tc>
        <w:tc>
          <w:tcPr>
            <w:tcW w:w="5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c8754ba453474e37a92de7624a461b54_133">
              <w:r>
                <w:rPr>
                  <w:rStyle w:val="InternetLink"/>
                  <w:rFonts w:ascii="Times New Roman;serif" w:hAnsi="Times New Roman;serif"/>
                  <w:b w:val="false"/>
                  <w:strike w:val="false"/>
                  <w:dstrike w:val="false"/>
                  <w:color w:val="0000FF"/>
                  <w:sz w:val="20"/>
                  <w:u w:val="none"/>
                  <w:effect w:val="none"/>
                </w:rPr>
                <w:t>48</w:t>
              </w:r>
            </w:hyperlink>
          </w:p>
        </w:tc>
      </w:tr>
      <w:tr>
        <w:trPr/>
        <w:tc>
          <w:tcPr>
            <w:tcW w:w="78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Item 2.</w:t>
            </w:r>
          </w:p>
        </w:tc>
        <w:tc>
          <w:tcPr>
            <w:tcW w:w="890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c8754ba453474e37a92de7624a461b54_136">
              <w:r>
                <w:rPr>
                  <w:rStyle w:val="InternetLink"/>
                  <w:rFonts w:ascii="Times New Roman;serif" w:hAnsi="Times New Roman;serif"/>
                  <w:b w:val="false"/>
                  <w:color w:val="0000FF"/>
                  <w:sz w:val="20"/>
                  <w:u w:val="single"/>
                </w:rPr>
                <w:t>Unregistered Sales of Equity Securities and Use of Proceeds</w:t>
              </w:r>
            </w:hyperlink>
          </w:p>
        </w:tc>
        <w:tc>
          <w:tcPr>
            <w:tcW w:w="5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c8754ba453474e37a92de7624a461b54_136">
              <w:r>
                <w:rPr>
                  <w:rStyle w:val="InternetLink"/>
                  <w:rFonts w:ascii="Times New Roman;serif" w:hAnsi="Times New Roman;serif"/>
                  <w:b w:val="false"/>
                  <w:strike w:val="false"/>
                  <w:dstrike w:val="false"/>
                  <w:color w:val="0000FF"/>
                  <w:sz w:val="20"/>
                  <w:u w:val="none"/>
                  <w:effect w:val="none"/>
                </w:rPr>
                <w:t>48</w:t>
              </w:r>
            </w:hyperlink>
          </w:p>
        </w:tc>
      </w:tr>
      <w:tr>
        <w:trPr/>
        <w:tc>
          <w:tcPr>
            <w:tcW w:w="78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Item 4.</w:t>
            </w:r>
          </w:p>
        </w:tc>
        <w:tc>
          <w:tcPr>
            <w:tcW w:w="890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c8754ba453474e37a92de7624a461b54_139">
              <w:r>
                <w:rPr>
                  <w:rStyle w:val="InternetLink"/>
                  <w:rFonts w:ascii="Times New Roman;serif" w:hAnsi="Times New Roman;serif"/>
                  <w:b w:val="false"/>
                  <w:color w:val="0000FF"/>
                  <w:sz w:val="20"/>
                  <w:u w:val="single"/>
                </w:rPr>
                <w:t>Mine Safety Disclosures</w:t>
              </w:r>
            </w:hyperlink>
          </w:p>
        </w:tc>
        <w:tc>
          <w:tcPr>
            <w:tcW w:w="51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right"/>
              <w:rPr/>
            </w:pPr>
            <w:hyperlink w:anchor="ic8754ba453474e37a92de7624a461b54_139">
              <w:r>
                <w:rPr>
                  <w:rStyle w:val="InternetLink"/>
                  <w:rFonts w:ascii="Times New Roman;serif" w:hAnsi="Times New Roman;serif"/>
                  <w:b w:val="false"/>
                  <w:strike w:val="false"/>
                  <w:dstrike w:val="false"/>
                  <w:color w:val="0000FF"/>
                  <w:sz w:val="20"/>
                  <w:u w:val="none"/>
                  <w:effect w:val="none"/>
                </w:rPr>
                <w:t>48</w:t>
              </w:r>
            </w:hyperlink>
          </w:p>
        </w:tc>
      </w:tr>
      <w:tr>
        <w:trPr/>
        <w:tc>
          <w:tcPr>
            <w:tcW w:w="7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5.</w:t>
            </w:r>
          </w:p>
        </w:tc>
        <w:tc>
          <w:tcPr>
            <w:tcW w:w="890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c8754ba453474e37a92de7624a461b54_142">
              <w:r>
                <w:rPr>
                  <w:rStyle w:val="InternetLink"/>
                  <w:rFonts w:ascii="Times New Roman;serif" w:hAnsi="Times New Roman;serif"/>
                  <w:b w:val="false"/>
                  <w:color w:val="0000FF"/>
                  <w:sz w:val="20"/>
                  <w:u w:val="single"/>
                </w:rPr>
                <w:t>Other Information</w:t>
              </w:r>
            </w:hyperlink>
          </w:p>
        </w:tc>
        <w:tc>
          <w:tcPr>
            <w:tcW w:w="5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c8754ba453474e37a92de7624a461b54_142">
              <w:r>
                <w:rPr>
                  <w:rStyle w:val="InternetLink"/>
                  <w:rFonts w:ascii="Times New Roman;serif" w:hAnsi="Times New Roman;serif"/>
                  <w:b w:val="false"/>
                  <w:strike w:val="false"/>
                  <w:dstrike w:val="false"/>
                  <w:color w:val="0000FF"/>
                  <w:sz w:val="20"/>
                  <w:u w:val="none"/>
                  <w:effect w:val="none"/>
                </w:rPr>
                <w:t>48</w:t>
              </w:r>
            </w:hyperlink>
          </w:p>
        </w:tc>
      </w:tr>
      <w:tr>
        <w:trPr/>
        <w:tc>
          <w:tcPr>
            <w:tcW w:w="78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Item 6.</w:t>
            </w:r>
          </w:p>
        </w:tc>
        <w:tc>
          <w:tcPr>
            <w:tcW w:w="890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c8754ba453474e37a92de7624a461b54_145">
              <w:r>
                <w:rPr>
                  <w:rStyle w:val="InternetLink"/>
                  <w:rFonts w:ascii="Times New Roman;serif" w:hAnsi="Times New Roman;serif"/>
                  <w:b w:val="false"/>
                  <w:color w:val="0000FF"/>
                  <w:sz w:val="20"/>
                  <w:u w:val="single"/>
                </w:rPr>
                <w:t>Exhibits</w:t>
              </w:r>
            </w:hyperlink>
          </w:p>
        </w:tc>
        <w:tc>
          <w:tcPr>
            <w:tcW w:w="5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c8754ba453474e37a92de7624a461b54_145">
              <w:r>
                <w:rPr>
                  <w:rStyle w:val="InternetLink"/>
                  <w:rFonts w:ascii="Times New Roman;serif" w:hAnsi="Times New Roman;serif"/>
                  <w:b w:val="false"/>
                  <w:strike w:val="false"/>
                  <w:dstrike w:val="false"/>
                  <w:color w:val="0000FF"/>
                  <w:sz w:val="20"/>
                  <w:u w:val="none"/>
                  <w:effect w:val="none"/>
                </w:rPr>
                <w:t>49</w:t>
              </w:r>
            </w:hyperlink>
          </w:p>
        </w:tc>
      </w:tr>
      <w:tr>
        <w:trPr/>
        <w:tc>
          <w:tcPr>
            <w:tcW w:w="7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c8754ba453474e37a92de7624a461b54_148">
              <w:r>
                <w:rPr>
                  <w:rStyle w:val="InternetLink"/>
                  <w:rFonts w:ascii="Times New Roman;serif" w:hAnsi="Times New Roman;serif"/>
                  <w:b w:val="false"/>
                  <w:color w:val="0000FF"/>
                  <w:sz w:val="20"/>
                  <w:u w:val="single"/>
                </w:rPr>
                <w:t>Signatures</w:t>
              </w:r>
            </w:hyperlink>
          </w:p>
        </w:tc>
        <w:tc>
          <w:tcPr>
            <w:tcW w:w="5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c8754ba453474e37a92de7624a461b54_148">
              <w:r>
                <w:rPr>
                  <w:rStyle w:val="InternetLink"/>
                  <w:rFonts w:ascii="Times New Roman;serif" w:hAnsi="Times New Roman;serif"/>
                  <w:b w:val="false"/>
                  <w:strike w:val="false"/>
                  <w:dstrike w:val="false"/>
                  <w:color w:val="0000FF"/>
                  <w:sz w:val="20"/>
                  <w:u w:val="none"/>
                  <w:effect w:val="none"/>
                </w:rPr>
                <w:t>50</w:t>
              </w:r>
            </w:hyperlink>
          </w:p>
        </w:tc>
      </w:tr>
    </w:tbl>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 xml:space="preserve">PART I—FINANCIAL INFORMATION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1080"/>
        <w:jc w:val="left"/>
        <w:rPr>
          <w:rFonts w:ascii="Times New Roman;serif" w:hAnsi="Times New Roman;serif"/>
          <w:b/>
          <w:color w:val="000000"/>
          <w:sz w:val="20"/>
        </w:rPr>
      </w:pPr>
      <w:r>
        <w:rPr>
          <w:rFonts w:ascii="Times New Roman;serif" w:hAnsi="Times New Roman;serif"/>
          <w:b/>
          <w:color w:val="000000"/>
          <w:sz w:val="20"/>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WESTINGHOUSE AIR BRAKE TECHNOLOGIES CORPORATION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CONDENSED CONSOLIDATED BALANCE SHEETS </w:t>
      </w:r>
    </w:p>
    <w:tbl>
      <w:tblPr>
        <w:tblW w:w="10205" w:type="dxa"/>
        <w:jc w:val="center"/>
        <w:tblInd w:w="0" w:type="dxa"/>
        <w:tblLayout w:type="fixed"/>
        <w:tblCellMar>
          <w:top w:w="28" w:type="dxa"/>
          <w:left w:w="28" w:type="dxa"/>
          <w:bottom w:w="28" w:type="dxa"/>
          <w:right w:w="28" w:type="dxa"/>
        </w:tblCellMar>
      </w:tblPr>
      <w:tblGrid>
        <w:gridCol w:w="2952"/>
        <w:gridCol w:w="2434"/>
        <w:gridCol w:w="2454"/>
        <w:gridCol w:w="196"/>
        <w:gridCol w:w="646"/>
        <w:gridCol w:w="109"/>
        <w:gridCol w:w="109"/>
        <w:gridCol w:w="109"/>
        <w:gridCol w:w="109"/>
        <w:gridCol w:w="213"/>
        <w:gridCol w:w="704"/>
        <w:gridCol w:w="170"/>
      </w:tblGrid>
      <w:tr>
        <w:trPr/>
        <w:tc>
          <w:tcPr>
            <w:tcW w:w="2952" w:type="dxa"/>
            <w:tcBorders/>
            <w:vAlign w:val="center"/>
          </w:tcPr>
          <w:p>
            <w:pPr>
              <w:pStyle w:val="TableContents"/>
              <w:bidi w:val="0"/>
              <w:spacing w:before="0" w:after="283"/>
              <w:jc w:val="left"/>
              <w:rPr>
                <w:sz w:val="4"/>
                <w:szCs w:val="4"/>
              </w:rPr>
            </w:pPr>
            <w:r>
              <w:rPr>
                <w:sz w:val="4"/>
                <w:szCs w:val="4"/>
              </w:rPr>
            </w:r>
          </w:p>
        </w:tc>
        <w:tc>
          <w:tcPr>
            <w:tcW w:w="2434" w:type="dxa"/>
            <w:tcBorders/>
            <w:vAlign w:val="center"/>
          </w:tcPr>
          <w:p>
            <w:pPr>
              <w:pStyle w:val="TableContents"/>
              <w:bidi w:val="0"/>
              <w:spacing w:before="0" w:after="283"/>
              <w:jc w:val="left"/>
              <w:rPr>
                <w:sz w:val="4"/>
                <w:szCs w:val="4"/>
              </w:rPr>
            </w:pPr>
            <w:r>
              <w:rPr>
                <w:sz w:val="4"/>
                <w:szCs w:val="4"/>
              </w:rPr>
            </w:r>
          </w:p>
        </w:tc>
        <w:tc>
          <w:tcPr>
            <w:tcW w:w="245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78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u w:val="single"/>
              </w:rPr>
            </w:pPr>
            <w:r>
              <w:rPr>
                <w:rFonts w:ascii="Times New Roman;serif" w:hAnsi="Times New Roman;serif"/>
                <w:b/>
                <w:i/>
                <w:color w:val="000000"/>
                <w:sz w:val="16"/>
                <w:u w:val="single"/>
              </w:rPr>
              <w:t>In millions, except par value</w:t>
            </w:r>
          </w:p>
        </w:tc>
        <w:tc>
          <w:tcPr>
            <w:tcW w:w="9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r>
      <w:tr>
        <w:trPr/>
        <w:tc>
          <w:tcPr>
            <w:tcW w:w="78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Assets</w:t>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Assets</w:t>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cash equivalents and restricted cash</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789 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Accounts receivable </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1,410 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Unbilled accounts receivable</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487 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Inventories, net</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2,745 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Other current assets </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263 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Total current assets </w:t>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6,041 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5,694 </w:t>
            </w:r>
          </w:p>
        </w:tc>
        <w:tc>
          <w:tcPr>
            <w:tcW w:w="17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Property, plant and equipment, net </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1,616 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Goodwill </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10,216 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Other intangible assets, net </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3,838 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Other noncurrent assets </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705 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Total noncurrent assets </w:t>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17,087 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16,375 </w:t>
            </w:r>
          </w:p>
        </w:tc>
        <w:tc>
          <w:tcPr>
            <w:tcW w:w="17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Total Assets </w:t>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23,128 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22,069 </w:t>
            </w:r>
          </w:p>
        </w:tc>
        <w:tc>
          <w:tcPr>
            <w:tcW w:w="17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Liabilities and Shareholders’ Equity</w:t>
            </w:r>
          </w:p>
        </w:tc>
        <w:tc>
          <w:tcPr>
            <w:tcW w:w="9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Liabilities</w:t>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Accounts payable </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1,402 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Customer deposits </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1,015 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Accrued compensation </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490 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Accrued warranty </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266 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portion of long-term debt</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1,250 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Other accrued liabilities </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727 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Total current liabilities </w:t>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5,387 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5,150 </w:t>
            </w:r>
          </w:p>
        </w:tc>
        <w:tc>
          <w:tcPr>
            <w:tcW w:w="17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Long-term debt </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4,291 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40"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r>
        <w:trPr/>
        <w:tc>
          <w:tcPr>
            <w:tcW w:w="78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Deferred income taxes </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606 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Other long-term liabilities </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832 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Total Liabilities </w:t>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11,884 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10,879 </w:t>
            </w:r>
          </w:p>
        </w:tc>
        <w:tc>
          <w:tcPr>
            <w:tcW w:w="17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Commitments and contingencies (Note 14)</w:t>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Equity</w:t>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Common stock, $.01 par value; 500.0 shares authorized and 171.9 shares issued; 169.1 and 170.6 outstanding at June 30, 2026 and December 31, 2025, respectively</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Additional paid-in capital </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8,069 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Treasury stock, at cost, 2.8 and 1.3 shares, at June 30, 2026 and December 31, 2025, respectively</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(190)</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Retained earnings </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3,878 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Accumulated other comprehensive loss </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(616)</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Total Westinghouse Air Brake Technologies Corporation shareholders’ equity </w:t>
            </w:r>
          </w:p>
        </w:tc>
        <w:tc>
          <w:tcPr>
            <w:tcW w:w="842"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11,214 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11,142 </w:t>
            </w:r>
          </w:p>
        </w:tc>
        <w:tc>
          <w:tcPr>
            <w:tcW w:w="170"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Noncontrolling interest</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Total Equity </w:t>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11,244 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11,190 </w:t>
            </w:r>
          </w:p>
        </w:tc>
        <w:tc>
          <w:tcPr>
            <w:tcW w:w="17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Total Liabilities and Equity </w:t>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23,128 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22,069 </w:t>
            </w:r>
          </w:p>
        </w:tc>
        <w:tc>
          <w:tcPr>
            <w:tcW w:w="17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 xml:space="preserve">The accompanying notes are an integral part of these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WESTINGHOUSE AIR BRAKE TECHNOLOGIES CORPORATION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CONDENSED CONSOLIDATED STATEMENTS OF INCOME </w:t>
      </w:r>
    </w:p>
    <w:tbl>
      <w:tblPr>
        <w:tblW w:w="9405" w:type="dxa"/>
        <w:jc w:val="center"/>
        <w:tblInd w:w="0" w:type="dxa"/>
        <w:tblLayout w:type="fixed"/>
        <w:tblCellMar>
          <w:top w:w="28" w:type="dxa"/>
          <w:left w:w="28" w:type="dxa"/>
          <w:bottom w:w="28" w:type="dxa"/>
          <w:right w:w="28" w:type="dxa"/>
        </w:tblCellMar>
      </w:tblPr>
      <w:tblGrid>
        <w:gridCol w:w="1678"/>
        <w:gridCol w:w="1472"/>
        <w:gridCol w:w="1485"/>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211"/>
        <w:gridCol w:w="616"/>
        <w:gridCol w:w="154"/>
      </w:tblGrid>
      <w:tr>
        <w:trPr/>
        <w:tc>
          <w:tcPr>
            <w:tcW w:w="1678" w:type="dxa"/>
            <w:tcBorders/>
            <w:vAlign w:val="center"/>
          </w:tcPr>
          <w:p>
            <w:pPr>
              <w:pStyle w:val="TableContents"/>
              <w:bidi w:val="0"/>
              <w:spacing w:before="0" w:after="283"/>
              <w:jc w:val="left"/>
              <w:rPr>
                <w:sz w:val="4"/>
                <w:szCs w:val="4"/>
              </w:rPr>
            </w:pPr>
            <w:r>
              <w:rPr>
                <w:sz w:val="4"/>
                <w:szCs w:val="4"/>
              </w:rPr>
            </w:r>
          </w:p>
        </w:tc>
        <w:tc>
          <w:tcPr>
            <w:tcW w:w="1472" w:type="dxa"/>
            <w:tcBorders/>
            <w:vAlign w:val="center"/>
          </w:tcPr>
          <w:p>
            <w:pPr>
              <w:pStyle w:val="TableContents"/>
              <w:bidi w:val="0"/>
              <w:spacing w:before="0" w:after="283"/>
              <w:jc w:val="left"/>
              <w:rPr>
                <w:sz w:val="4"/>
                <w:szCs w:val="4"/>
              </w:rPr>
            </w:pPr>
            <w:r>
              <w:rPr>
                <w:sz w:val="4"/>
                <w:szCs w:val="4"/>
              </w:rPr>
            </w:r>
          </w:p>
        </w:tc>
        <w:tc>
          <w:tcPr>
            <w:tcW w:w="148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Unaudited</w:t>
            </w:r>
          </w:p>
        </w:tc>
      </w:tr>
      <w:tr>
        <w:trPr/>
        <w:tc>
          <w:tcPr>
            <w:tcW w:w="4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r>
      <w:tr>
        <w:trPr/>
        <w:tc>
          <w:tcPr>
            <w:tcW w:w="46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u w:val="single"/>
              </w:rPr>
            </w:pPr>
            <w:r>
              <w:rPr>
                <w:rFonts w:ascii="Times New Roman;serif" w:hAnsi="Times New Roman;serif"/>
                <w:b/>
                <w:i/>
                <w:color w:val="000000"/>
                <w:sz w:val="16"/>
                <w:u w:val="single"/>
              </w:rPr>
              <w:t>In millions, except per share data</w:t>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6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of goods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4,383 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of services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net sales</w:t>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3,179 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6,129 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5,316 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sales:</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goods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(3,326)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services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cost of sales</w:t>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(2,018)</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(1,768)</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(3,907)</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(3,478)</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1,838 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Engineering expenses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expense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(561)</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(466)</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(1,105)</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(892)</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from operations</w:t>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946 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and expenses:</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 income, net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Income before income taxes </w:t>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876 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666 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Net income attributable to noncontrolling interest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Wabtec shareholders</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658 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Earnings Per Common Share</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Wabtec shareholders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Wabtec shareholders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shares outstanding</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The accompanying notes are an integral part of these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WESTINGHOUSE AIR BRAKE TECHNOLOGIES CORPORATION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CONDENSED CONSOLIDATED STATEMENTS OF COMPREHENSIVE INCOME </w:t>
      </w:r>
    </w:p>
    <w:tbl>
      <w:tblPr>
        <w:tblW w:w="10205" w:type="dxa"/>
        <w:jc w:val="center"/>
        <w:tblInd w:w="0" w:type="dxa"/>
        <w:tblLayout w:type="fixed"/>
        <w:tblCellMar>
          <w:top w:w="28" w:type="dxa"/>
          <w:left w:w="28" w:type="dxa"/>
          <w:bottom w:w="28" w:type="dxa"/>
          <w:right w:w="28" w:type="dxa"/>
        </w:tblCellMar>
      </w:tblPr>
      <w:tblGrid>
        <w:gridCol w:w="2197"/>
        <w:gridCol w:w="1908"/>
        <w:gridCol w:w="1929"/>
        <w:gridCol w:w="211"/>
        <w:gridCol w:w="466"/>
        <w:gridCol w:w="109"/>
        <w:gridCol w:w="109"/>
        <w:gridCol w:w="109"/>
        <w:gridCol w:w="109"/>
        <w:gridCol w:w="211"/>
        <w:gridCol w:w="466"/>
        <w:gridCol w:w="109"/>
        <w:gridCol w:w="109"/>
        <w:gridCol w:w="109"/>
        <w:gridCol w:w="109"/>
        <w:gridCol w:w="211"/>
        <w:gridCol w:w="466"/>
        <w:gridCol w:w="109"/>
        <w:gridCol w:w="109"/>
        <w:gridCol w:w="109"/>
        <w:gridCol w:w="109"/>
        <w:gridCol w:w="211"/>
        <w:gridCol w:w="466"/>
        <w:gridCol w:w="155"/>
      </w:tblGrid>
      <w:tr>
        <w:trPr/>
        <w:tc>
          <w:tcPr>
            <w:tcW w:w="2197" w:type="dxa"/>
            <w:tcBorders/>
            <w:vAlign w:val="center"/>
          </w:tcPr>
          <w:p>
            <w:pPr>
              <w:pStyle w:val="TableContents"/>
              <w:bidi w:val="0"/>
              <w:spacing w:before="0" w:after="283"/>
              <w:jc w:val="left"/>
              <w:rPr>
                <w:sz w:val="4"/>
                <w:szCs w:val="4"/>
              </w:rPr>
            </w:pPr>
            <w:r>
              <w:rPr>
                <w:sz w:val="4"/>
                <w:szCs w:val="4"/>
              </w:rPr>
            </w:r>
          </w:p>
        </w:tc>
        <w:tc>
          <w:tcPr>
            <w:tcW w:w="1908" w:type="dxa"/>
            <w:tcBorders/>
            <w:vAlign w:val="center"/>
          </w:tcPr>
          <w:p>
            <w:pPr>
              <w:pStyle w:val="TableContents"/>
              <w:bidi w:val="0"/>
              <w:spacing w:before="0" w:after="283"/>
              <w:jc w:val="left"/>
              <w:rPr>
                <w:sz w:val="4"/>
                <w:szCs w:val="4"/>
              </w:rPr>
            </w:pPr>
            <w:r>
              <w:rPr>
                <w:sz w:val="4"/>
                <w:szCs w:val="4"/>
              </w:rPr>
            </w:r>
          </w:p>
        </w:tc>
        <w:tc>
          <w:tcPr>
            <w:tcW w:w="192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0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Unaudited</w:t>
            </w:r>
          </w:p>
        </w:tc>
      </w:tr>
      <w:tr>
        <w:trPr/>
        <w:tc>
          <w:tcPr>
            <w:tcW w:w="60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w:t>
              <w:br/>
              <w:t>June 30,</w:t>
            </w:r>
          </w:p>
        </w:tc>
      </w:tr>
      <w:tr>
        <w:trPr/>
        <w:tc>
          <w:tcPr>
            <w:tcW w:w="60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u w:val="single"/>
              </w:rPr>
            </w:pPr>
            <w:r>
              <w:rPr>
                <w:rFonts w:ascii="Times New Roman;serif" w:hAnsi="Times New Roman;serif"/>
                <w:b/>
                <w:i/>
                <w:color w:val="000000"/>
                <w:sz w:val="16"/>
                <w:u w:val="single"/>
              </w:rPr>
              <w:t>In millions</w:t>
            </w:r>
          </w:p>
        </w:tc>
        <w:tc>
          <w:tcPr>
            <w:tcW w:w="7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60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Wabtec shareholders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658 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 (loss) gain</w:t>
            </w:r>
          </w:p>
        </w:tc>
        <w:tc>
          <w:tcPr>
            <w:tcW w:w="6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282 </w:t>
            </w:r>
          </w:p>
        </w:tc>
        <w:tc>
          <w:tcPr>
            <w:tcW w:w="15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gain on derivative contracts</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unrealized gain (loss) on pension and post-retirement benefit plans</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(loss) income before tax</w:t>
            </w:r>
          </w:p>
        </w:tc>
        <w:tc>
          <w:tcPr>
            <w:tcW w:w="6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 related to components of other comprehensive income</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(loss) income, net of tax</w:t>
            </w:r>
          </w:p>
        </w:tc>
        <w:tc>
          <w:tcPr>
            <w:tcW w:w="6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Comprehensive income attributable to Wabtec shareholders</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355 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508 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644 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943 </w:t>
            </w:r>
          </w:p>
        </w:tc>
        <w:tc>
          <w:tcPr>
            <w:tcW w:w="15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The accompanying notes are an integral part of these statements.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WESTINGHOUSE AIR BRAKE TECHNOLOGIES CORPORATION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CONDENSED CONSOLIDATED STATEMENTS OF CASH FLOWS </w:t>
      </w:r>
    </w:p>
    <w:tbl>
      <w:tblPr>
        <w:tblW w:w="8826" w:type="dxa"/>
        <w:jc w:val="center"/>
        <w:tblInd w:w="0" w:type="dxa"/>
        <w:tblLayout w:type="fixed"/>
        <w:tblCellMar>
          <w:top w:w="28" w:type="dxa"/>
          <w:left w:w="28" w:type="dxa"/>
          <w:bottom w:w="28" w:type="dxa"/>
          <w:right w:w="28" w:type="dxa"/>
        </w:tblCellMar>
      </w:tblPr>
      <w:tblGrid>
        <w:gridCol w:w="2434"/>
        <w:gridCol w:w="2137"/>
        <w:gridCol w:w="2148"/>
        <w:gridCol w:w="215"/>
        <w:gridCol w:w="475"/>
        <w:gridCol w:w="109"/>
        <w:gridCol w:w="109"/>
        <w:gridCol w:w="109"/>
        <w:gridCol w:w="109"/>
        <w:gridCol w:w="211"/>
        <w:gridCol w:w="616"/>
        <w:gridCol w:w="154"/>
      </w:tblGrid>
      <w:tr>
        <w:trPr/>
        <w:tc>
          <w:tcPr>
            <w:tcW w:w="2434" w:type="dxa"/>
            <w:tcBorders/>
            <w:vAlign w:val="center"/>
          </w:tcPr>
          <w:p>
            <w:pPr>
              <w:pStyle w:val="TableContents"/>
              <w:bidi w:val="0"/>
              <w:spacing w:before="0" w:after="283"/>
              <w:jc w:val="left"/>
              <w:rPr>
                <w:sz w:val="4"/>
                <w:szCs w:val="4"/>
              </w:rPr>
            </w:pPr>
            <w:r>
              <w:rPr>
                <w:sz w:val="4"/>
                <w:szCs w:val="4"/>
              </w:rPr>
            </w:r>
          </w:p>
        </w:tc>
        <w:tc>
          <w:tcPr>
            <w:tcW w:w="2137" w:type="dxa"/>
            <w:tcBorders/>
            <w:vAlign w:val="center"/>
          </w:tcPr>
          <w:p>
            <w:pPr>
              <w:pStyle w:val="TableContents"/>
              <w:bidi w:val="0"/>
              <w:spacing w:before="0" w:after="283"/>
              <w:jc w:val="left"/>
              <w:rPr>
                <w:sz w:val="4"/>
                <w:szCs w:val="4"/>
              </w:rPr>
            </w:pPr>
            <w:r>
              <w:rPr>
                <w:sz w:val="4"/>
                <w:szCs w:val="4"/>
              </w:rPr>
            </w:r>
          </w:p>
        </w:tc>
        <w:tc>
          <w:tcPr>
            <w:tcW w:w="2148"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Unaudited</w:t>
            </w:r>
          </w:p>
        </w:tc>
      </w:tr>
      <w:tr>
        <w:trPr/>
        <w:tc>
          <w:tcPr>
            <w:tcW w:w="6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w:t>
              <w:br/>
              <w:t>June 30,</w:t>
            </w:r>
          </w:p>
        </w:tc>
      </w:tr>
      <w:tr>
        <w:trPr/>
        <w:tc>
          <w:tcPr>
            <w:tcW w:w="67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u w:val="single"/>
              </w:rPr>
            </w:pPr>
            <w:r>
              <w:rPr>
                <w:rFonts w:ascii="Times New Roman;serif" w:hAnsi="Times New Roman;serif"/>
                <w:b/>
                <w:i/>
                <w:color w:val="000000"/>
                <w:sz w:val="16"/>
                <w:u w:val="single"/>
              </w:rPr>
              <w:t>In millions</w:t>
            </w:r>
          </w:p>
        </w:tc>
        <w:tc>
          <w:tcPr>
            <w:tcW w:w="79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Operating Activities</w:t>
            </w:r>
          </w:p>
        </w:tc>
        <w:tc>
          <w:tcPr>
            <w:tcW w:w="7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 to reconcile net income to net cash provided by operating activities:</w:t>
            </w:r>
          </w:p>
        </w:tc>
        <w:tc>
          <w:tcPr>
            <w:tcW w:w="7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w:t>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7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on mark-to-market derivatives</w:t>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Below market intangible amortization</w:t>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7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operating assets and liabilities, net of acquisitions and dispositions:</w:t>
            </w:r>
          </w:p>
        </w:tc>
        <w:tc>
          <w:tcPr>
            <w:tcW w:w="7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 and unbilled accounts receivable</w:t>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Inventories</w:t>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income taxes</w:t>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and noncurrent customer deposits</w:t>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accrued liabilities</w:t>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operating activities</w:t>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w:t>
            </w:r>
          </w:p>
        </w:tc>
        <w:tc>
          <w:tcPr>
            <w:tcW w:w="69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Investing Activities</w:t>
            </w:r>
          </w:p>
        </w:tc>
        <w:tc>
          <w:tcPr>
            <w:tcW w:w="7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Acquisitions of businesses, net of cash acquired</w:t>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 of property, plant and equipment</w:t>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7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7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7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7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investing activities</w:t>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for investing activities</w:t>
            </w:r>
          </w:p>
        </w:tc>
        <w:tc>
          <w:tcPr>
            <w:tcW w:w="69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(1,160)</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Financing Activities</w:t>
            </w:r>
          </w:p>
        </w:tc>
        <w:tc>
          <w:tcPr>
            <w:tcW w:w="7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debt, net of issuance costs</w:t>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Payments of debt</w:t>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Repurchase of stock</w:t>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dividends</w:t>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7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Payment of income tax withholding on share-based compensation</w:t>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7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financing activities</w:t>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financing activities</w:t>
            </w:r>
          </w:p>
        </w:tc>
        <w:tc>
          <w:tcPr>
            <w:tcW w:w="69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454 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changes in currency exchange rates</w:t>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(Decrease) increase in cash</w:t>
            </w:r>
          </w:p>
        </w:tc>
        <w:tc>
          <w:tcPr>
            <w:tcW w:w="69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784 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cash equivalents and restricted cash, beginning of period</w:t>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cash equivalents and restricted cash, end of period</w:t>
            </w:r>
          </w:p>
        </w:tc>
        <w:tc>
          <w:tcPr>
            <w:tcW w:w="21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670 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1,499 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The accompanying notes are an integral part of these statements. </w:t>
      </w:r>
    </w:p>
    <w:p>
      <w:pPr>
        <w:pStyle w:val="TextBody"/>
        <w:bidi w:val="0"/>
        <w:spacing w:lineRule="auto" w:line="288" w:before="0" w:after="0"/>
        <w:jc w:val="left"/>
        <w:rPr>
          <w:color w:val="000000"/>
        </w:rPr>
      </w:pPr>
      <w:r>
        <w:rPr>
          <w:color w:val="000000"/>
        </w:rPr>
        <w:t> </w:t>
      </w:r>
    </w:p>
    <w:p>
      <w:pPr>
        <w:pStyle w:val="TextBody"/>
        <w:bidi w:val="0"/>
        <w:spacing w:before="120" w:after="283"/>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WESTINGHOUSE AIR BRAKE TECHNOLOGIES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SHAREHOLDERS’ EQUITY</w:t>
      </w:r>
    </w:p>
    <w:p>
      <w:pPr>
        <w:pStyle w:val="TextBody"/>
        <w:bidi w:val="0"/>
        <w:spacing w:lineRule="auto" w:line="288" w:before="120" w:after="283"/>
        <w:jc w:val="center"/>
        <w:rPr>
          <w:rFonts w:ascii="Times New Roman;serif" w:hAnsi="Times New Roman;serif"/>
          <w:b/>
          <w:color w:val="000000"/>
          <w:sz w:val="16"/>
        </w:rPr>
      </w:pPr>
      <w:r>
        <w:rPr>
          <w:rFonts w:ascii="Times New Roman;serif" w:hAnsi="Times New Roman;serif"/>
          <w:b/>
          <w:color w:val="000000"/>
          <w:sz w:val="16"/>
        </w:rPr>
        <w:t>(Unaudited)</w:t>
      </w:r>
    </w:p>
    <w:tbl>
      <w:tblPr>
        <w:tblW w:w="12429" w:type="dxa"/>
        <w:jc w:val="center"/>
        <w:tblInd w:w="0" w:type="dxa"/>
        <w:tblLayout w:type="fixed"/>
        <w:tblCellMar>
          <w:top w:w="28" w:type="dxa"/>
          <w:left w:w="28" w:type="dxa"/>
          <w:bottom w:w="28" w:type="dxa"/>
          <w:right w:w="28" w:type="dxa"/>
        </w:tblCellMar>
      </w:tblPr>
      <w:tblGrid>
        <w:gridCol w:w="717"/>
        <w:gridCol w:w="248"/>
        <w:gridCol w:w="206"/>
        <w:gridCol w:w="109"/>
        <w:gridCol w:w="109"/>
        <w:gridCol w:w="109"/>
        <w:gridCol w:w="301"/>
        <w:gridCol w:w="255"/>
        <w:gridCol w:w="256"/>
        <w:gridCol w:w="109"/>
        <w:gridCol w:w="109"/>
        <w:gridCol w:w="109"/>
        <w:gridCol w:w="274"/>
        <w:gridCol w:w="338"/>
        <w:gridCol w:w="154"/>
        <w:gridCol w:w="109"/>
        <w:gridCol w:w="109"/>
        <w:gridCol w:w="109"/>
        <w:gridCol w:w="198"/>
        <w:gridCol w:w="562"/>
        <w:gridCol w:w="111"/>
        <w:gridCol w:w="109"/>
        <w:gridCol w:w="109"/>
        <w:gridCol w:w="109"/>
        <w:gridCol w:w="255"/>
        <w:gridCol w:w="255"/>
        <w:gridCol w:w="256"/>
        <w:gridCol w:w="109"/>
        <w:gridCol w:w="109"/>
        <w:gridCol w:w="109"/>
        <w:gridCol w:w="196"/>
        <w:gridCol w:w="461"/>
        <w:gridCol w:w="109"/>
        <w:gridCol w:w="109"/>
        <w:gridCol w:w="109"/>
        <w:gridCol w:w="109"/>
        <w:gridCol w:w="196"/>
        <w:gridCol w:w="556"/>
        <w:gridCol w:w="109"/>
        <w:gridCol w:w="109"/>
        <w:gridCol w:w="109"/>
        <w:gridCol w:w="109"/>
        <w:gridCol w:w="321"/>
        <w:gridCol w:w="715"/>
        <w:gridCol w:w="180"/>
        <w:gridCol w:w="109"/>
        <w:gridCol w:w="109"/>
        <w:gridCol w:w="109"/>
        <w:gridCol w:w="388"/>
        <w:gridCol w:w="656"/>
        <w:gridCol w:w="217"/>
        <w:gridCol w:w="109"/>
        <w:gridCol w:w="109"/>
        <w:gridCol w:w="109"/>
        <w:gridCol w:w="196"/>
        <w:gridCol w:w="646"/>
        <w:gridCol w:w="154"/>
      </w:tblGrid>
      <w:tr>
        <w:trPr/>
        <w:tc>
          <w:tcPr>
            <w:tcW w:w="717"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4"/>
                <w:u w:val="single"/>
              </w:rPr>
            </w:pPr>
            <w:r>
              <w:rPr>
                <w:rFonts w:ascii="Times New Roman;serif" w:hAnsi="Times New Roman;serif"/>
                <w:b/>
                <w:i/>
                <w:color w:val="000000"/>
                <w:sz w:val="14"/>
                <w:u w:val="single"/>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Stock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Stock 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Additional 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Treasury Stock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Treasury Stock 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Retained 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 Other Comprehensive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Non-controlling Interest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 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171.9 </w:t>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3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6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8,069 </w:t>
            </w:r>
          </w:p>
        </w:tc>
        <w:tc>
          <w:tcPr>
            <w:tcW w:w="1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w:t>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(190)</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3,878 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1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(616)</w:t>
            </w:r>
          </w:p>
        </w:tc>
        <w:tc>
          <w:tcPr>
            <w:tcW w:w="18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48 </w:t>
            </w:r>
          </w:p>
        </w:tc>
        <w:tc>
          <w:tcPr>
            <w:tcW w:w="21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11,190 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Cash dividends ($0.31 dividend per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Proceeds from treasury stock issued from the exercise of stock options and other benefit plans, net of tax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(71)</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0.3 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 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comprehensive loss, net of tax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 repurchase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 March 31,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171.9 </w:t>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3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6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8,020 </w:t>
            </w:r>
          </w:p>
        </w:tc>
        <w:tc>
          <w:tcPr>
            <w:tcW w:w="1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w:t>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(416)</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4,187 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1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(689)</w:t>
            </w:r>
          </w:p>
        </w:tc>
        <w:tc>
          <w:tcPr>
            <w:tcW w:w="18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48 </w:t>
            </w:r>
          </w:p>
        </w:tc>
        <w:tc>
          <w:tcPr>
            <w:tcW w:w="21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11,151 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Cash dividends ($0.31 dividend per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Proceeds from treasury stock issued from the exercise of stock options and other benefit plans, net of tax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 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comprehensive loss, net of tax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 repurchase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(0.8)</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Distribution to/redemption of noncontrolling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 June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171.9 </w:t>
            </w:r>
          </w:p>
        </w:tc>
        <w:tc>
          <w:tcPr>
            <w:tcW w:w="2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3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6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8,043 </w:t>
            </w:r>
          </w:p>
        </w:tc>
        <w:tc>
          <w:tcPr>
            <w:tcW w:w="1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w:t>
            </w:r>
          </w:p>
        </w:tc>
        <w:tc>
          <w:tcPr>
            <w:tcW w:w="2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6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(630)</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4,529 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1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(729)</w:t>
            </w:r>
          </w:p>
        </w:tc>
        <w:tc>
          <w:tcPr>
            <w:tcW w:w="18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30 </w:t>
            </w:r>
          </w:p>
        </w:tc>
        <w:tc>
          <w:tcPr>
            <w:tcW w:w="21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11,244 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statements.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before="0" w:after="0"/>
        <w:jc w:val="left"/>
        <w:rPr/>
      </w:pPr>
      <w:r>
        <w:rPr/>
      </w:r>
    </w:p>
    <w:tbl>
      <w:tblPr>
        <w:tblW w:w="12539" w:type="dxa"/>
        <w:jc w:val="center"/>
        <w:tblInd w:w="0" w:type="dxa"/>
        <w:tblLayout w:type="fixed"/>
        <w:tblCellMar>
          <w:top w:w="28" w:type="dxa"/>
          <w:left w:w="28" w:type="dxa"/>
          <w:bottom w:w="28" w:type="dxa"/>
          <w:right w:w="28" w:type="dxa"/>
        </w:tblCellMar>
      </w:tblPr>
      <w:tblGrid>
        <w:gridCol w:w="717"/>
        <w:gridCol w:w="248"/>
        <w:gridCol w:w="206"/>
        <w:gridCol w:w="109"/>
        <w:gridCol w:w="109"/>
        <w:gridCol w:w="109"/>
        <w:gridCol w:w="301"/>
        <w:gridCol w:w="255"/>
        <w:gridCol w:w="256"/>
        <w:gridCol w:w="109"/>
        <w:gridCol w:w="109"/>
        <w:gridCol w:w="109"/>
        <w:gridCol w:w="274"/>
        <w:gridCol w:w="338"/>
        <w:gridCol w:w="154"/>
        <w:gridCol w:w="109"/>
        <w:gridCol w:w="109"/>
        <w:gridCol w:w="109"/>
        <w:gridCol w:w="198"/>
        <w:gridCol w:w="562"/>
        <w:gridCol w:w="111"/>
        <w:gridCol w:w="109"/>
        <w:gridCol w:w="109"/>
        <w:gridCol w:w="109"/>
        <w:gridCol w:w="255"/>
        <w:gridCol w:w="255"/>
        <w:gridCol w:w="256"/>
        <w:gridCol w:w="109"/>
        <w:gridCol w:w="109"/>
        <w:gridCol w:w="109"/>
        <w:gridCol w:w="196"/>
        <w:gridCol w:w="571"/>
        <w:gridCol w:w="109"/>
        <w:gridCol w:w="109"/>
        <w:gridCol w:w="109"/>
        <w:gridCol w:w="109"/>
        <w:gridCol w:w="196"/>
        <w:gridCol w:w="556"/>
        <w:gridCol w:w="109"/>
        <w:gridCol w:w="109"/>
        <w:gridCol w:w="109"/>
        <w:gridCol w:w="109"/>
        <w:gridCol w:w="321"/>
        <w:gridCol w:w="715"/>
        <w:gridCol w:w="180"/>
        <w:gridCol w:w="109"/>
        <w:gridCol w:w="109"/>
        <w:gridCol w:w="109"/>
        <w:gridCol w:w="388"/>
        <w:gridCol w:w="656"/>
        <w:gridCol w:w="217"/>
        <w:gridCol w:w="109"/>
        <w:gridCol w:w="109"/>
        <w:gridCol w:w="109"/>
        <w:gridCol w:w="196"/>
        <w:gridCol w:w="646"/>
        <w:gridCol w:w="154"/>
      </w:tblGrid>
      <w:tr>
        <w:trPr/>
        <w:tc>
          <w:tcPr>
            <w:tcW w:w="717"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4"/>
                <w:u w:val="single"/>
              </w:rPr>
            </w:pPr>
            <w:r>
              <w:rPr>
                <w:rFonts w:ascii="Times New Roman;serif" w:hAnsi="Times New Roman;serif"/>
                <w:b/>
                <w:i/>
                <w:color w:val="000000"/>
                <w:sz w:val="14"/>
                <w:u w:val="single"/>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Stock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Stock 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Additional 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Treasury Stock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Treasury Stock 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Retained 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 Other Comprehensive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Non-controlling Interest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 December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226.9 </w:t>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3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6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8,023 </w:t>
            </w:r>
          </w:p>
        </w:tc>
        <w:tc>
          <w:tcPr>
            <w:tcW w:w="1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(55.6)</w:t>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(3,273)</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6,185 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1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(846)</w:t>
            </w:r>
          </w:p>
        </w:tc>
        <w:tc>
          <w:tcPr>
            <w:tcW w:w="18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42 </w:t>
            </w:r>
          </w:p>
        </w:tc>
        <w:tc>
          <w:tcPr>
            <w:tcW w:w="21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10,133 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Cash dividends ($0.25 dividend per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Proceeds from treasury stock issued from the exercise of stock options and other benefit plans, net of tax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0.3 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 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5 </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comprehensive income, net of tax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113 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Distribution to noncontrolling interest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 repurchase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(0.5)</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Treasury stock retirement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(55.0)</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55.0 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 March 31,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171.9 </w:t>
            </w:r>
          </w:p>
        </w:tc>
        <w:tc>
          <w:tcPr>
            <w:tcW w:w="2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3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6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8,009 </w:t>
            </w:r>
          </w:p>
        </w:tc>
        <w:tc>
          <w:tcPr>
            <w:tcW w:w="11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(0.8)</w:t>
            </w:r>
          </w:p>
        </w:tc>
        <w:tc>
          <w:tcPr>
            <w:tcW w:w="2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7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3,160 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1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(733)</w:t>
            </w:r>
          </w:p>
        </w:tc>
        <w:tc>
          <w:tcPr>
            <w:tcW w:w="18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5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46 </w:t>
            </w:r>
          </w:p>
        </w:tc>
        <w:tc>
          <w:tcPr>
            <w:tcW w:w="21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10,414 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Cash dividends ($0.25 dividend per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Proceeds from treasury stock issued from the exercise of stock options and other benefit plans, net of tax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 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comprehensive income, net of tax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172 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 repurchase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(0.2)</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Distribution to noncontrolling interest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 June 30,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171.9 </w:t>
            </w:r>
          </w:p>
        </w:tc>
        <w:tc>
          <w:tcPr>
            <w:tcW w:w="2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3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6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8,025 </w:t>
            </w:r>
          </w:p>
        </w:tc>
        <w:tc>
          <w:tcPr>
            <w:tcW w:w="1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w:t>
            </w:r>
          </w:p>
        </w:tc>
        <w:tc>
          <w:tcPr>
            <w:tcW w:w="2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7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(116)</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3,452 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1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(561)</w:t>
            </w:r>
          </w:p>
        </w:tc>
        <w:tc>
          <w:tcPr>
            <w:tcW w:w="18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44 </w:t>
            </w:r>
          </w:p>
        </w:tc>
        <w:tc>
          <w:tcPr>
            <w:tcW w:w="21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10,845 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WESTINGHOUSE AIR BRAKE TECHNOLOGIES CORPORATION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NOTES TO CONDENSED CONSOLIDATED FINANCIAL STATEMENTS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FOR THE QUARTERLY PERIOD ENDED JUNE 30, 2026 (UNAUDITED) </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1. BUSINESS </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Except as the context otherwise requires, all references to “we”, “our”, “us”, the “Company”, and “Wabtec” refer to Westinghouse Air Brake Technologies Corporation and its consolidated subsidiaries. References to the “Parent Company” refer to Westinghouse Air Brake Technologies Corporation alone. Wabtec is a global provider of value-added, technology-based locomotives, equipment, systems, and services for the freight rail and passenger transit industries, as well as the mining, marine and industrial markets and applications. Our highly engineered rail and transit products, which are designed to enhance safety, improve productivity and reduce maintenance costs for customers, can be found on most locomotives, freight cars, passenger transit cars and buses around the world. Our core products and services are essential in the safe and efficient operation of freight rail and passenger transit vehicles. Wabtec is a global company with operations in over 50 countries and our products can be found in more than 100 countries worldwide. In the first six months of 2026, approximately half of the Company’s net sales were generated from customers outside the United States.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 xml:space="preserve">2. ACCOUNTING POLICIES </w:t>
      </w:r>
    </w:p>
    <w:p>
      <w:pPr>
        <w:pStyle w:val="TextBody"/>
        <w:bidi w:val="0"/>
        <w:spacing w:lineRule="auto" w:line="268" w:before="120" w:after="283"/>
        <w:ind w:left="0" w:right="0" w:firstLine="540"/>
        <w:jc w:val="left"/>
        <w:rPr/>
      </w:pPr>
      <w:r>
        <w:rPr>
          <w:rFonts w:ascii="Times New Roman;serif" w:hAnsi="Times New Roman;serif"/>
          <w:b/>
          <w:i/>
          <w:color w:val="000000"/>
          <w:sz w:val="20"/>
        </w:rPr>
        <w:t>Basis of Presentation</w:t>
      </w:r>
      <w:r>
        <w:rPr>
          <w:color w:val="000000"/>
        </w:rPr>
        <w:t xml:space="preserve"> </w:t>
      </w:r>
      <w:r>
        <w:rPr>
          <w:rFonts w:ascii="Times New Roman;serif" w:hAnsi="Times New Roman;serif"/>
          <w:b w:val="false"/>
          <w:color w:val="000000"/>
          <w:sz w:val="20"/>
        </w:rPr>
        <w:t xml:space="preserve">The unaudited condensed consolidated interim financial statements have been prepared in accordance with generally accepted accounting principles ("GAAP") in the United States of America and the rules and regulations of the Securities and Exchange Commission and include the accounts of Wabtec and its subsidiaries in which Wabtec has a controlling interest. These condensed consolidated interim financial statements do not include all of the information and footnotes required for complete financial statements. In Management’s opinion, these financial statements reflect all adjustments of a normal, recurring nature necessary for a fair presentation of the results for the interim periods presented. Certain prior year amounts have been reclassified, where necessary, to conform to the current year presentation. </w:t>
      </w:r>
    </w:p>
    <w:p>
      <w:pPr>
        <w:pStyle w:val="TextBody"/>
        <w:bidi w:val="0"/>
        <w:spacing w:lineRule="auto" w:line="26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Results for these interim periods are not necessarily indicative of results to be expected for the full year, particularly in light of ongoing volatility in the macroeconomic environment caused by supply chain disruptions, labor availability, broad-based inflation, tariffs and trade negotiations, and the impacts from regional conflicts and war. These factors continue to impact our sales channels, supply chain, manufacturing operations, workforce, and other key aspects of our operations. We are unable to reasonably predict the full impact of these factors due to the high degree of uncertainty regarding their duration and severity, their potential impact on global economic activity, and the impact that current and new sanctions and tariffs may have on our business, global supply chain operations and our customers, suppliers, and end-markets. </w:t>
      </w:r>
    </w:p>
    <w:p>
      <w:pPr>
        <w:pStyle w:val="TextBody"/>
        <w:bidi w:val="0"/>
        <w:spacing w:lineRule="auto" w:line="26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operates on a four-four-five week accounting quarter, and the quarters end on or about March 31, June 30, September 30, and December 31. </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The notes included herein should be read in conjunction with the audited consolidated financial statements included in Wabtec’s Annual Report on Form 10-K for the year ended December 31, 2025. The December 31, 2025 information included herein has been derived from the Company’s Annual Report on Form 10-K for the year ended December 31, 2025. </w:t>
      </w:r>
    </w:p>
    <w:p>
      <w:pPr>
        <w:pStyle w:val="TextBody"/>
        <w:bidi w:val="0"/>
        <w:spacing w:lineRule="auto" w:line="288" w:before="120" w:after="283"/>
        <w:ind w:left="0" w:right="0" w:firstLine="540"/>
        <w:jc w:val="left"/>
        <w:rPr/>
      </w:pPr>
      <w:r>
        <w:rPr>
          <w:rFonts w:ascii="Times New Roman;serif" w:hAnsi="Times New Roman;serif"/>
          <w:b/>
          <w:i/>
          <w:color w:val="000000"/>
          <w:sz w:val="20"/>
        </w:rPr>
        <w:t>Use of Estimates</w:t>
      </w:r>
      <w:r>
        <w:rPr>
          <w:color w:val="000000"/>
        </w:rPr>
        <w:t xml:space="preserve"> </w:t>
      </w:r>
      <w:r>
        <w:rPr>
          <w:rFonts w:ascii="Times New Roman;serif" w:hAnsi="Times New Roman;serif"/>
          <w:b w:val="false"/>
          <w:color w:val="000000"/>
          <w:sz w:val="20"/>
        </w:rPr>
        <w:t xml:space="preserve">The preparation of financial statements in conformity with GAAP in the United States requires the Company to make estimates and assumptions that affect the reported amounts of assets and liabilities at the date of the financial statements and reported amounts of revenues and expenses during the reporting period. Actual amounts could differ from the estimates. On an ongoing basis, Management reviews its estimates based on currently available information. Changes in facts and circumstances may result in revised estimates. </w:t>
      </w:r>
    </w:p>
    <w:p>
      <w:pPr>
        <w:pStyle w:val="TextBody"/>
        <w:bidi w:val="0"/>
        <w:spacing w:lineRule="auto" w:line="288" w:before="120" w:after="283"/>
        <w:ind w:left="0" w:right="0" w:firstLine="540"/>
        <w:jc w:val="left"/>
        <w:rPr/>
      </w:pPr>
      <w:r>
        <w:rPr>
          <w:rFonts w:ascii="Times New Roman;serif" w:hAnsi="Times New Roman;serif"/>
          <w:b/>
          <w:i/>
          <w:color w:val="000000"/>
          <w:sz w:val="20"/>
        </w:rPr>
        <w:t>Revenue Recognition</w:t>
      </w:r>
      <w:r>
        <w:rPr>
          <w:color w:val="000000"/>
        </w:rPr>
        <w:t xml:space="preserve"> </w:t>
      </w:r>
      <w:r>
        <w:rPr>
          <w:rFonts w:ascii="Times New Roman;serif" w:hAnsi="Times New Roman;serif"/>
          <w:b w:val="false"/>
          <w:color w:val="000000"/>
          <w:sz w:val="20"/>
        </w:rPr>
        <w:t>A majority of the Company’s revenues are derived from performance obligations that are satisfied at a point in time when control passes to the customer. The remaining revenues are earned over time. Generally, for performance obligations satisfied at a point in time, control passes at the time of shipment in accordance with agreed upon delivery terms.</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Company also has long-term customer agreements involving the design and production of highly engineered products that require revenue to be recognized over time because these products have no alternative use without significant economic loss, and the agreements contain an enforceable right to payment including a reasonable profit margin from the customer in the event of contract termination. Additionally, the Company has customer agreements involving the creation or enhancement of an asset that the customer controls which also require revenue to be recognized over time. Generally, the Company uses an input method for determining the amount of revenue, cost and gross margin to recognize over time for these customer agreements. The input methods used for these agreements include costs of material and labor, both of which give an accurate representation of the progress made toward complete satisfaction of a particular performance obligation. The Company may also use the output method which recognizes revenue based on direct measurements of the value transferred to the customer. Contract revenues and cost estimates are reviewed and revised periodically throughout the year and adjustments are reflected in the accounting period as such amounts are determined.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Due to the nature of work required to be performed on the Company’s long-term projects, the estimation of total revenue and cost at completion is subject to many variables and requires significant judgment. Contract estimates related to long-term projects are based on various assumptions to project the outcome of future events that could span several years. These assumptions include cost of materials; labor availability and productivity; complexity of the work to be performed; and the performance of suppliers, customers and subcontractors that may be associated with the contract. We have a disciplined process where Management reviews the progress of long term-projects periodically throughout the year. As part of this process, Management reviews information including key contract matters, progress towards completion, identified risks and opportunities and any other information that could impact the Company’s estimates of revenue and costs. After completing this analysis, any adjustments to net sales, cost of goods sold, and the related impact to operating income are recognized as necessary in the period they become known. </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Generally, the Company’s revenue contains a single performance obligation for each distinct good or service; however, a single contract may have multiple performance obligations comprising multiple promises to customers. When there are multiple performance obligations, revenue is allocated based on the relative stand-alone selling price. Pricing is defined in our contracts on a line item basis and includes an estimate of variable consideration when required by the terms of the individual customer contract. Types of variable consideration the Company typically has include volume discounts, prompt payment discounts, price escalation clauses, liquidating damages, and performance bonuses. Sales returns and allowances are also estimated and recognized in the same period the related revenue is recognized, based upon the Company’s experience and future expectations.</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Remaining performance obligations represent the allocated transaction price of unsatisfied or partially unsatisfied performance obligations. As of June 30, 2026, the Company's remaining performance obligations were approximately $30.9 billion. The Company expects to recognize revenue of approximately 30% of the remaining performance obligations over the next 12 months, with the remainder recognized thereafter. </w:t>
      </w:r>
    </w:p>
    <w:p>
      <w:pPr>
        <w:pStyle w:val="TextBody"/>
        <w:bidi w:val="0"/>
        <w:spacing w:lineRule="auto" w:line="288" w:before="120" w:after="283"/>
        <w:ind w:left="0" w:right="0" w:firstLine="540"/>
        <w:jc w:val="left"/>
        <w:rPr/>
      </w:pPr>
      <w:r>
        <w:rPr>
          <w:rFonts w:ascii="Times New Roman;serif" w:hAnsi="Times New Roman;serif"/>
          <w:b/>
          <w:i/>
          <w:color w:val="000000"/>
          <w:sz w:val="20"/>
        </w:rPr>
        <w:t>Revolving</w:t>
      </w:r>
      <w:r>
        <w:rPr>
          <w:color w:val="000000"/>
        </w:rPr>
        <w:t xml:space="preserve"> </w:t>
      </w:r>
      <w:r>
        <w:rPr>
          <w:rFonts w:ascii="Times New Roman;serif" w:hAnsi="Times New Roman;serif"/>
          <w:b/>
          <w:i/>
          <w:color w:val="000000"/>
          <w:sz w:val="20"/>
        </w:rPr>
        <w:t>Receivables Program</w:t>
      </w:r>
      <w:r>
        <w:rPr>
          <w:color w:val="000000"/>
        </w:rPr>
        <w:t xml:space="preserve"> </w:t>
      </w:r>
      <w:r>
        <w:rPr>
          <w:rFonts w:ascii="Times New Roman;serif" w:hAnsi="Times New Roman;serif"/>
          <w:b w:val="false"/>
          <w:color w:val="000000"/>
          <w:sz w:val="20"/>
        </w:rPr>
        <w:t>The Company utilizes its Revolving Receivables Program to request borrowings from a financial institution against certain collateralized receivables for up to $450 million. The Company and certain of its subsidiaries (the "Originators") contribute receivables to our bankruptcy-remote subsidiary, which can then be collateralized on a recurring basis. As customers pay their balances, we transfer additional receivables into the program. Borrowings and repayments under the Revolving Receivables Program are classified as Financing activities on our Condensed Consolidated Statement of Cash Flows, with any outstanding collateralized balance at period end classified as debt on our Condensed Consolidated Balance Sheets.</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bankruptcy remote subsidiary is a separate legal entity with its own creditors, and its assets are not available to pay creditors of the Company or any other affiliates of the Company. The receivables transferred to the program are fully guaranteed by our bankruptcy-remote subsidiary, which holds additional receivables that are pledged as collateral under this facility. The Company has agreed to guarantee the performance of the Originators' respective obligations under the revolving agreement. Neither the Company (except for the bankruptcy-remote consolidated subsidiary referenced above) nor the Originators guarantees the collectability of the receivables under the revolving agreements.</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At June 30, 2026 and December 31, 2025, the bankruptcy-remote subsidiary held receivables of $683 million and $623 million, respectively, which are included in the Company's Condensed Consolidated Balance Sheets. The receivables held by the bankruptcy-remote subsidiary collateralize the outstanding borrowings. There were outstanding borrowings of $400 million at June 30, 2026 and no outstanding borrowings at December 31, 2025. The transfers are recorded at the fair value of the proceeds received and obligations assumed less derecognized receivables, if applicable. Our maximum exposure to losses related to these receivables transferred to the program is limited to the amount outstanding.</w:t>
      </w:r>
    </w:p>
    <w:p>
      <w:pPr>
        <w:pStyle w:val="TextBody"/>
        <w:bidi w:val="0"/>
        <w:spacing w:lineRule="auto" w:line="288" w:before="180" w:after="283"/>
        <w:ind w:left="0" w:right="0" w:firstLine="540"/>
        <w:jc w:val="left"/>
        <w:rPr/>
      </w:pPr>
      <w:r>
        <w:rPr>
          <w:rFonts w:ascii="Times New Roman;serif" w:hAnsi="Times New Roman;serif"/>
          <w:b/>
          <w:i/>
          <w:color w:val="000000"/>
          <w:sz w:val="20"/>
        </w:rPr>
        <w:t>Restricted Cash</w:t>
      </w:r>
      <w:r>
        <w:rPr>
          <w:color w:val="000000"/>
        </w:rPr>
        <w:t xml:space="preserve"> </w:t>
      </w:r>
      <w:r>
        <w:rPr>
          <w:rFonts w:ascii="Times New Roman;serif" w:hAnsi="Times New Roman;serif"/>
          <w:b w:val="false"/>
          <w:color w:val="000000"/>
          <w:sz w:val="20"/>
        </w:rPr>
        <w:t>At June 30, 2026 and December 31, 2025, the Company classified cash of $10 million and $25 million, respectively, as restricted, primarily for cash held in escrow related to acquisitions.</w:t>
      </w:r>
    </w:p>
    <w:p>
      <w:pPr>
        <w:pStyle w:val="TextBody"/>
        <w:bidi w:val="0"/>
        <w:spacing w:lineRule="auto" w:line="288" w:before="180" w:after="283"/>
        <w:ind w:left="0" w:right="0" w:firstLine="540"/>
        <w:jc w:val="left"/>
        <w:rPr/>
      </w:pPr>
      <w:r>
        <w:rPr>
          <w:rFonts w:ascii="Times New Roman;serif" w:hAnsi="Times New Roman;serif"/>
          <w:b/>
          <w:i/>
          <w:color w:val="000000"/>
          <w:sz w:val="20"/>
        </w:rPr>
        <w:t xml:space="preserve">Depreciation Expense </w:t>
      </w:r>
      <w:r>
        <w:rPr>
          <w:rFonts w:ascii="Times New Roman;serif" w:hAnsi="Times New Roman;serif"/>
          <w:b w:val="false"/>
          <w:color w:val="000000"/>
          <w:sz w:val="20"/>
        </w:rPr>
        <w:t>Depreciation of property, plant and equipment related to the manufacturing of products or services provided is included in Cost of goods or Cost of services. Depreciation of other property, plant and equipment that is not attributable to the manufacturing of products or services provided is included in Selling, general and administrative expenses or Engineering expenses to the extent the property, plant, and equipment is used for research and development purposes.</w:t>
      </w:r>
    </w:p>
    <w:p>
      <w:pPr>
        <w:pStyle w:val="TextBody"/>
        <w:bidi w:val="0"/>
        <w:spacing w:lineRule="auto" w:line="288" w:before="120" w:after="283"/>
        <w:ind w:left="0" w:right="0" w:firstLine="540"/>
        <w:jc w:val="left"/>
        <w:rPr/>
      </w:pPr>
      <w:r>
        <w:rPr>
          <w:rFonts w:ascii="Times New Roman;serif" w:hAnsi="Times New Roman;serif"/>
          <w:b/>
          <w:i/>
          <w:color w:val="000000"/>
          <w:sz w:val="20"/>
        </w:rPr>
        <w:t xml:space="preserve">Goodwill and Intangible Assets </w:t>
      </w:r>
      <w:r>
        <w:rPr>
          <w:rFonts w:ascii="Times New Roman;serif" w:hAnsi="Times New Roman;serif"/>
          <w:b w:val="false"/>
          <w:color w:val="000000"/>
          <w:sz w:val="20"/>
        </w:rPr>
        <w:t xml:space="preserve">Goodwill and other intangible assets with indefinite lives are not amortized. Other intangibles (with definite lives) are amortized on a straight-line basis over their estimated economic lives. Amortizable intangible assets are reviewed for impairment when indicators of impairment are present. The Company tests goodwill and indefinite-lived intangible assets for impairment at the reporting unit level at least annually. The Company performs its annual impairment test during the fourth quarter after the annual forecasting process is completed, and also tests for impairment whenever events or changes in circumstances indicate that the carrying value may not be recoverable. The Company will perform either a qualitative or quantitative test for goodwill, performing a quantitative test for each identified reporting unit if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qualitative test indicates that it is more likely than not that the fair value of a reporting unit is less than the carrying amount and at least every three years. Periodically, Management of the Company assesses whether or not an indicator of impairment is present that would necessitate an impairment analysis be performed. No impairment indicators were identified during the current quarter.</w:t>
      </w:r>
    </w:p>
    <w:p>
      <w:pPr>
        <w:pStyle w:val="TextBody"/>
        <w:bidi w:val="0"/>
        <w:spacing w:lineRule="auto" w:line="288" w:before="120" w:after="283"/>
        <w:ind w:left="0" w:right="0" w:firstLine="540"/>
        <w:jc w:val="left"/>
        <w:rPr/>
      </w:pPr>
      <w:r>
        <w:rPr>
          <w:rFonts w:ascii="Times New Roman;serif" w:hAnsi="Times New Roman;serif"/>
          <w:b/>
          <w:i/>
          <w:color w:val="000000"/>
          <w:sz w:val="20"/>
        </w:rPr>
        <w:t>Accounting Standards Recently Issued</w:t>
      </w:r>
      <w:r>
        <w:rPr>
          <w:color w:val="000000"/>
        </w:rPr>
        <w:t xml:space="preserve"> </w:t>
      </w:r>
      <w:r>
        <w:rPr>
          <w:rFonts w:ascii="Times New Roman;serif" w:hAnsi="Times New Roman;serif"/>
          <w:b w:val="false"/>
          <w:color w:val="000000"/>
          <w:sz w:val="20"/>
        </w:rPr>
        <w:t xml:space="preserve">In November 2024, the Financial Accounting Standards Board ("FASB") issued Accounting Standards Update ("ASU") 2024-03, </w:t>
      </w:r>
      <w:r>
        <w:rPr>
          <w:rFonts w:ascii="Times New Roman;serif" w:hAnsi="Times New Roman;serif"/>
          <w:b w:val="false"/>
          <w:i/>
          <w:color w:val="000000"/>
          <w:sz w:val="20"/>
        </w:rPr>
        <w:t>Income Statement—Reporting Comprehensive Income—Expense Disaggregation Disclosures (Subtopic 220-40): Disaggregation of Income Statement Expenses</w:t>
      </w:r>
      <w:r>
        <w:rPr>
          <w:rFonts w:ascii="Times New Roman;serif" w:hAnsi="Times New Roman;serif"/>
          <w:b w:val="false"/>
          <w:color w:val="000000"/>
          <w:sz w:val="20"/>
        </w:rPr>
        <w:t>. The amendments in this update require entities to disclose disaggregated information about certain costs and expenses in commonly presented income statement expense captions. The amendments will require increased interim and annual footnote disclosures either prospectively or retrospectively for reporting periods presented in interim and annual company filings. The amendments in this update do not affect the recognition, measurement, or financial statement presentation of income statement expenses and will be effective for Wabtec's annual reporting periods beginning January 1, 2027 and interim reporting periods beginning January 1, 2028. The Company is assessing the extent of the impact of the amendments on its future filings.</w:t>
      </w:r>
    </w:p>
    <w:p>
      <w:pPr>
        <w:pStyle w:val="TextBody"/>
        <w:bidi w:val="0"/>
        <w:spacing w:lineRule="auto" w:line="288" w:before="120" w:after="283"/>
        <w:ind w:left="0" w:right="0" w:firstLine="540"/>
        <w:jc w:val="left"/>
        <w:rPr/>
      </w:pPr>
      <w:r>
        <w:rPr>
          <w:rFonts w:ascii="Times New Roman;serif" w:hAnsi="Times New Roman;serif"/>
          <w:b/>
          <w:i/>
          <w:color w:val="000000"/>
          <w:sz w:val="20"/>
        </w:rPr>
        <w:t xml:space="preserve">Accumulated Other Comprehensive Loss </w:t>
      </w:r>
      <w:r>
        <w:rPr>
          <w:rFonts w:ascii="Times New Roman;serif" w:hAnsi="Times New Roman;serif"/>
          <w:b w:val="false"/>
          <w:color w:val="000000"/>
          <w:sz w:val="20"/>
        </w:rPr>
        <w:t>Comprehensive income (loss) comprises both Net income and Other comprehensive income (loss) resulting from the change in equity from transactions and other events and circumstances from non-owner sources.</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changes in Accumulated other comprehensive loss by component, including any tax impacts, for the three months ended June 30, 2026 and 2025 are as follows:</w:t>
      </w:r>
    </w:p>
    <w:tbl>
      <w:tblPr>
        <w:tblW w:w="10205" w:type="dxa"/>
        <w:jc w:val="left"/>
        <w:tblInd w:w="0" w:type="dxa"/>
        <w:tblLayout w:type="fixed"/>
        <w:tblCellMar>
          <w:top w:w="28" w:type="dxa"/>
          <w:left w:w="28" w:type="dxa"/>
          <w:bottom w:w="28" w:type="dxa"/>
          <w:right w:w="28" w:type="dxa"/>
        </w:tblCellMar>
      </w:tblPr>
      <w:tblGrid>
        <w:gridCol w:w="1010"/>
        <w:gridCol w:w="877"/>
        <w:gridCol w:w="629"/>
        <w:gridCol w:w="226"/>
        <w:gridCol w:w="538"/>
        <w:gridCol w:w="117"/>
        <w:gridCol w:w="226"/>
        <w:gridCol w:w="538"/>
        <w:gridCol w:w="117"/>
        <w:gridCol w:w="109"/>
        <w:gridCol w:w="109"/>
        <w:gridCol w:w="109"/>
        <w:gridCol w:w="220"/>
        <w:gridCol w:w="377"/>
        <w:gridCol w:w="113"/>
        <w:gridCol w:w="220"/>
        <w:gridCol w:w="377"/>
        <w:gridCol w:w="113"/>
        <w:gridCol w:w="109"/>
        <w:gridCol w:w="109"/>
        <w:gridCol w:w="109"/>
        <w:gridCol w:w="268"/>
        <w:gridCol w:w="511"/>
        <w:gridCol w:w="138"/>
        <w:gridCol w:w="268"/>
        <w:gridCol w:w="511"/>
        <w:gridCol w:w="138"/>
        <w:gridCol w:w="109"/>
        <w:gridCol w:w="109"/>
        <w:gridCol w:w="109"/>
        <w:gridCol w:w="211"/>
        <w:gridCol w:w="497"/>
        <w:gridCol w:w="109"/>
        <w:gridCol w:w="211"/>
        <w:gridCol w:w="497"/>
        <w:gridCol w:w="167"/>
      </w:tblGrid>
      <w:tr>
        <w:trPr/>
        <w:tc>
          <w:tcPr>
            <w:tcW w:w="1010"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25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2"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Foreign currency translation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Derivative contracts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4"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Pension and postretirement benefit plans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2"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25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u w:val="single"/>
              </w:rPr>
            </w:pPr>
            <w:r>
              <w:rPr>
                <w:rFonts w:ascii="Times New Roman;serif" w:hAnsi="Times New Roman;serif"/>
                <w:b/>
                <w:i/>
                <w:color w:val="000000"/>
                <w:sz w:val="16"/>
                <w:u w:val="single"/>
              </w:rPr>
              <w:t>In millions</w:t>
            </w:r>
          </w:p>
        </w:tc>
        <w:tc>
          <w:tcPr>
            <w:tcW w:w="8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8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71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91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87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25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March 31</w:t>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(663)</w:t>
            </w:r>
          </w:p>
        </w:tc>
        <w:tc>
          <w:tcPr>
            <w:tcW w:w="11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(702)</w:t>
            </w:r>
          </w:p>
        </w:tc>
        <w:tc>
          <w:tcPr>
            <w:tcW w:w="11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7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11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7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1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w:t>
            </w:r>
          </w:p>
        </w:tc>
        <w:tc>
          <w:tcPr>
            <w:tcW w:w="13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w:t>
            </w:r>
          </w:p>
        </w:tc>
        <w:tc>
          <w:tcPr>
            <w:tcW w:w="13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(689)</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(733)</w:t>
            </w:r>
          </w:p>
        </w:tc>
        <w:tc>
          <w:tcPr>
            <w:tcW w:w="16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(loss) income before reclassifications</w:t>
            </w:r>
          </w:p>
        </w:tc>
        <w:tc>
          <w:tcPr>
            <w:tcW w:w="7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Amounts reclassified from Accumulated other comprehensive loss</w:t>
            </w:r>
          </w:p>
        </w:tc>
        <w:tc>
          <w:tcPr>
            <w:tcW w:w="7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(loss) income, net</w:t>
            </w:r>
          </w:p>
        </w:tc>
        <w:tc>
          <w:tcPr>
            <w:tcW w:w="76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w:t>
            </w:r>
          </w:p>
        </w:tc>
        <w:tc>
          <w:tcPr>
            <w:tcW w:w="11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166 </w:t>
            </w:r>
          </w:p>
        </w:tc>
        <w:tc>
          <w:tcPr>
            <w:tcW w:w="11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1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1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3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3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172 </w:t>
            </w:r>
          </w:p>
        </w:tc>
        <w:tc>
          <w:tcPr>
            <w:tcW w:w="16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June 30</w:t>
            </w:r>
          </w:p>
        </w:tc>
        <w:tc>
          <w:tcPr>
            <w:tcW w:w="226"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8"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(707)</w:t>
            </w:r>
          </w:p>
        </w:tc>
        <w:tc>
          <w:tcPr>
            <w:tcW w:w="117"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8"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(536)</w:t>
            </w:r>
          </w:p>
        </w:tc>
        <w:tc>
          <w:tcPr>
            <w:tcW w:w="117"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77"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113"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77"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113"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w:t>
            </w:r>
          </w:p>
        </w:tc>
        <w:tc>
          <w:tcPr>
            <w:tcW w:w="138"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w:t>
            </w:r>
          </w:p>
        </w:tc>
        <w:tc>
          <w:tcPr>
            <w:tcW w:w="138"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7"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(729)</w:t>
            </w:r>
          </w:p>
        </w:tc>
        <w:tc>
          <w:tcPr>
            <w:tcW w:w="109"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7"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(561)</w:t>
            </w:r>
          </w:p>
        </w:tc>
        <w:tc>
          <w:tcPr>
            <w:tcW w:w="167"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changes in Accumulated other comprehensive loss by component, including any tax impacts, for the six months ended June 30, 2026 and 2025 are as follows:</w:t>
      </w:r>
    </w:p>
    <w:tbl>
      <w:tblPr>
        <w:tblW w:w="10205" w:type="dxa"/>
        <w:jc w:val="left"/>
        <w:tblInd w:w="0" w:type="dxa"/>
        <w:tblLayout w:type="fixed"/>
        <w:tblCellMar>
          <w:top w:w="28" w:type="dxa"/>
          <w:left w:w="28" w:type="dxa"/>
          <w:bottom w:w="28" w:type="dxa"/>
          <w:right w:w="28" w:type="dxa"/>
        </w:tblCellMar>
      </w:tblPr>
      <w:tblGrid>
        <w:gridCol w:w="1128"/>
        <w:gridCol w:w="691"/>
        <w:gridCol w:w="697"/>
        <w:gridCol w:w="226"/>
        <w:gridCol w:w="538"/>
        <w:gridCol w:w="117"/>
        <w:gridCol w:w="226"/>
        <w:gridCol w:w="538"/>
        <w:gridCol w:w="117"/>
        <w:gridCol w:w="109"/>
        <w:gridCol w:w="109"/>
        <w:gridCol w:w="109"/>
        <w:gridCol w:w="220"/>
        <w:gridCol w:w="377"/>
        <w:gridCol w:w="113"/>
        <w:gridCol w:w="220"/>
        <w:gridCol w:w="377"/>
        <w:gridCol w:w="113"/>
        <w:gridCol w:w="109"/>
        <w:gridCol w:w="109"/>
        <w:gridCol w:w="109"/>
        <w:gridCol w:w="268"/>
        <w:gridCol w:w="511"/>
        <w:gridCol w:w="138"/>
        <w:gridCol w:w="268"/>
        <w:gridCol w:w="511"/>
        <w:gridCol w:w="138"/>
        <w:gridCol w:w="109"/>
        <w:gridCol w:w="109"/>
        <w:gridCol w:w="109"/>
        <w:gridCol w:w="211"/>
        <w:gridCol w:w="497"/>
        <w:gridCol w:w="109"/>
        <w:gridCol w:w="211"/>
        <w:gridCol w:w="497"/>
        <w:gridCol w:w="167"/>
      </w:tblGrid>
      <w:tr>
        <w:trPr/>
        <w:tc>
          <w:tcPr>
            <w:tcW w:w="1128"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25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2"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Foreign currency translation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Derivative contracts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4"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Pension and postretirement benefit plans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2"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25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u w:val="single"/>
              </w:rPr>
            </w:pPr>
            <w:r>
              <w:rPr>
                <w:rFonts w:ascii="Times New Roman;serif" w:hAnsi="Times New Roman;serif"/>
                <w:b/>
                <w:i/>
                <w:color w:val="000000"/>
                <w:sz w:val="16"/>
                <w:u w:val="single"/>
              </w:rPr>
              <w:t>In millions</w:t>
            </w:r>
          </w:p>
        </w:tc>
        <w:tc>
          <w:tcPr>
            <w:tcW w:w="8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8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71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91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87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25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beginning of year</w:t>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(589)</w:t>
            </w:r>
          </w:p>
        </w:tc>
        <w:tc>
          <w:tcPr>
            <w:tcW w:w="11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(818)</w:t>
            </w:r>
          </w:p>
        </w:tc>
        <w:tc>
          <w:tcPr>
            <w:tcW w:w="11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7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11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7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1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w:t>
            </w:r>
          </w:p>
        </w:tc>
        <w:tc>
          <w:tcPr>
            <w:tcW w:w="13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w:t>
            </w:r>
          </w:p>
        </w:tc>
        <w:tc>
          <w:tcPr>
            <w:tcW w:w="13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(616)</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(846)</w:t>
            </w:r>
          </w:p>
        </w:tc>
        <w:tc>
          <w:tcPr>
            <w:tcW w:w="16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(loss) income before reclassifications</w:t>
            </w:r>
          </w:p>
        </w:tc>
        <w:tc>
          <w:tcPr>
            <w:tcW w:w="7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Amounts reclassified from Accumulated other comprehensive loss</w:t>
            </w:r>
          </w:p>
        </w:tc>
        <w:tc>
          <w:tcPr>
            <w:tcW w:w="7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(loss) income, net of tax</w:t>
            </w:r>
          </w:p>
        </w:tc>
        <w:tc>
          <w:tcPr>
            <w:tcW w:w="76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w:t>
            </w:r>
          </w:p>
        </w:tc>
        <w:tc>
          <w:tcPr>
            <w:tcW w:w="11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282 </w:t>
            </w:r>
          </w:p>
        </w:tc>
        <w:tc>
          <w:tcPr>
            <w:tcW w:w="11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1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1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3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3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285 </w:t>
            </w:r>
          </w:p>
        </w:tc>
        <w:tc>
          <w:tcPr>
            <w:tcW w:w="16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end of period</w:t>
            </w:r>
          </w:p>
        </w:tc>
        <w:tc>
          <w:tcPr>
            <w:tcW w:w="2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(707)</w:t>
            </w:r>
          </w:p>
        </w:tc>
        <w:tc>
          <w:tcPr>
            <w:tcW w:w="11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(536)</w:t>
            </w:r>
          </w:p>
        </w:tc>
        <w:tc>
          <w:tcPr>
            <w:tcW w:w="11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7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11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7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11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w:t>
            </w:r>
          </w:p>
        </w:tc>
        <w:tc>
          <w:tcPr>
            <w:tcW w:w="13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w:t>
            </w:r>
          </w:p>
        </w:tc>
        <w:tc>
          <w:tcPr>
            <w:tcW w:w="13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(729)</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(561)</w:t>
            </w:r>
          </w:p>
        </w:tc>
        <w:tc>
          <w:tcPr>
            <w:tcW w:w="16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Amounts included under Derivative contracts related to interest rate hedges reclassified from Accumulated other comprehensive loss are recognized in "Interest expense, net" with the tax impact recognized in "Income tax expense" on the Condensed Consolidated Statements of Income. All other amounts reclassified from Accumulated other comprehensive loss are recognized in "Other income (expense), net" with the tax impact recognized in "Income tax expense" on the Condensed Consolidated Statements of Income.</w:t>
      </w:r>
    </w:p>
    <w:p>
      <w:pPr>
        <w:pStyle w:val="TextBody"/>
        <w:bidi w:val="0"/>
        <w:spacing w:lineRule="auto" w:line="288" w:before="120" w:after="283"/>
        <w:ind w:left="0" w:right="0" w:firstLine="540"/>
        <w:jc w:val="left"/>
        <w:rPr/>
      </w:pPr>
      <w:r>
        <w:rPr>
          <w:rFonts w:ascii="Times New Roman;serif" w:hAnsi="Times New Roman;serif"/>
          <w:b/>
          <w:i/>
          <w:color w:val="000000"/>
          <w:sz w:val="20"/>
        </w:rPr>
        <w:t>Treasury Stock</w:t>
      </w:r>
      <w:r>
        <w:rPr>
          <w:color w:val="000000"/>
        </w:rPr>
        <w:t xml:space="preserve"> </w:t>
      </w:r>
      <w:r>
        <w:rPr>
          <w:rFonts w:ascii="Times New Roman;serif" w:hAnsi="Times New Roman;serif"/>
          <w:b w:val="false"/>
          <w:color w:val="000000"/>
          <w:sz w:val="20"/>
        </w:rPr>
        <w:t xml:space="preserve">During the first quarter of 2025, the Company retired 55 million shares of treasury stock. The retirement of treasury stock is recognized as a deduction from common stock for the shares' par value and any excess over par as a deduction from retained earnings. </w:t>
      </w:r>
    </w:p>
    <w:p>
      <w:pPr>
        <w:pStyle w:val="TextBody"/>
        <w:bidi w:val="0"/>
        <w:spacing w:before="120" w:after="283"/>
        <w:ind w:left="0" w:right="0" w:firstLine="54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ind w:left="0" w:right="0" w:firstLine="540"/>
        <w:jc w:val="left"/>
        <w:rPr/>
      </w:pPr>
      <w:r>
        <w:rPr>
          <w:rFonts w:ascii="Times New Roman;serif" w:hAnsi="Times New Roman;serif"/>
          <w:b/>
          <w:i/>
          <w:color w:val="000000"/>
          <w:sz w:val="20"/>
        </w:rPr>
        <w:t>Supply Chain Financing Program</w:t>
      </w:r>
      <w:r>
        <w:rPr>
          <w:color w:val="000000"/>
        </w:rPr>
        <w:t xml:space="preserve"> </w:t>
      </w:r>
      <w:r>
        <w:rPr>
          <w:rFonts w:ascii="Times New Roman;serif" w:hAnsi="Times New Roman;serif"/>
          <w:b w:val="false"/>
          <w:color w:val="000000"/>
          <w:sz w:val="20"/>
        </w:rPr>
        <w:t xml:space="preserve">The Company has entered into supply chain financing arrangements with third-party financial institutions to provide our vendors with enhanced payment options while providing the Company with added working capital flexibility. The Company does not provide any guarantees under these arrangements, does not have an economic interest in our suppliers' voluntary participation, does not receive an economic benefit from the financial institutions, and no assets are pledged under the arrangements. The arrangements do not change the payable terms negotiated by the Company and our vendors, which range between net 30 and net 180 days, and do not result in a change in the classification of amounts due as Accounts payable in the Condensed Consolidated Balance Sheets. Suppliers utilized the program to accelerate receipt of payment from these financial institutions for $278 million and $285 million of the Company's outstanding Accounts payable as of June 30, 2026 and December 31, 2025, respectively. The supplier invoices included under the program require payment in full to the financial institutions consistent with the Company’s normal terms and conditions as agreed upon with the vendor.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3. ACQUISITIONS</w:t>
      </w:r>
    </w:p>
    <w:p>
      <w:pPr>
        <w:pStyle w:val="TextBody"/>
        <w:bidi w:val="0"/>
        <w:spacing w:lineRule="auto" w:line="26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On February 10, 2026, Wabtec acquired Dellner Couplers, a global leader in highly engineered safety-critical train connection systems and services for passenger rail rolling stock, for approximately $1.053 billion. The acquisition brings highly attractive and complementary technologies to Wabtec and strengthens its portfolio of mission-critical passenger rail systems. Dellner Couplers reports within the Transit Segment. The acquisition was funded with a combination of cash on hand and borrowings under other sources of available liquidity.</w:t>
      </w:r>
    </w:p>
    <w:p>
      <w:pPr>
        <w:pStyle w:val="TextBody"/>
        <w:bidi w:val="0"/>
        <w:spacing w:lineRule="auto" w:line="26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the preliminary fair value of the Dellner Couplers assets acquired and liabilities assumed:</w:t>
      </w:r>
    </w:p>
    <w:tbl>
      <w:tblPr>
        <w:tblW w:w="3606" w:type="dxa"/>
        <w:jc w:val="left"/>
        <w:tblInd w:w="0" w:type="dxa"/>
        <w:tblLayout w:type="fixed"/>
        <w:tblCellMar>
          <w:top w:w="28" w:type="dxa"/>
          <w:left w:w="28" w:type="dxa"/>
          <w:bottom w:w="28" w:type="dxa"/>
          <w:right w:w="28" w:type="dxa"/>
        </w:tblCellMar>
      </w:tblPr>
      <w:tblGrid>
        <w:gridCol w:w="949"/>
        <w:gridCol w:w="835"/>
        <w:gridCol w:w="841"/>
        <w:gridCol w:w="211"/>
        <w:gridCol w:w="616"/>
        <w:gridCol w:w="154"/>
      </w:tblGrid>
      <w:tr>
        <w:trPr/>
        <w:tc>
          <w:tcPr>
            <w:tcW w:w="949"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u w:val="single"/>
              </w:rPr>
            </w:pPr>
            <w:r>
              <w:rPr>
                <w:rFonts w:ascii="Times New Roman;serif" w:hAnsi="Times New Roman;serif"/>
                <w:b/>
                <w:i/>
                <w:color w:val="000000"/>
                <w:sz w:val="16"/>
                <w:u w:val="single"/>
              </w:rPr>
              <w:t>In millions</w:t>
            </w:r>
          </w:p>
        </w:tc>
        <w:tc>
          <w:tcPr>
            <w:tcW w:w="9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 acquired</w:t>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Cash and cash equivalents </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Accounts receivable </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Inventory </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Other current assets </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Property, plant and equipment </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Goodwill </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intangible assets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Other noncurrent assets </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Total assets acquired </w:t>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1,256 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Liabilities assumed</w:t>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Current liabilities </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Noncurrent liabilities </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Total liabilities assumed </w:t>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Net assets acquired </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1,053 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On December 1, 2025, Wabtec acquired Frauscher Sensor Technology Group GmbH ("Frauscher"), a global market leader in train detection, wayside object control solutions and axle counting systems for approximately $792 million. The acquisition strengthens the Company’s product portfolio by adding highly attractive and complementary railway signaling technologies. Frauscher reports within the Digital Intelligence product line of the Freight Segment. The acquisition was funded with a combination of cash on hand, proceeds from the 2025 Term Credit Agreement and borrowings under other sources of available liquidity.</w:t>
      </w:r>
    </w:p>
    <w:p>
      <w:pPr>
        <w:pStyle w:val="TextBody"/>
        <w:bidi w:val="0"/>
        <w:spacing w:lineRule="auto" w:line="26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the preliminary fair value of the Frauscher assets acquired and liabilities assumed:</w:t>
      </w:r>
    </w:p>
    <w:tbl>
      <w:tblPr>
        <w:tblW w:w="3456" w:type="dxa"/>
        <w:jc w:val="left"/>
        <w:tblInd w:w="0" w:type="dxa"/>
        <w:tblLayout w:type="fixed"/>
        <w:tblCellMar>
          <w:top w:w="28" w:type="dxa"/>
          <w:left w:w="28" w:type="dxa"/>
          <w:bottom w:w="28" w:type="dxa"/>
          <w:right w:w="28" w:type="dxa"/>
        </w:tblCellMar>
      </w:tblPr>
      <w:tblGrid>
        <w:gridCol w:w="949"/>
        <w:gridCol w:w="835"/>
        <w:gridCol w:w="841"/>
        <w:gridCol w:w="211"/>
        <w:gridCol w:w="466"/>
        <w:gridCol w:w="154"/>
      </w:tblGrid>
      <w:tr>
        <w:trPr/>
        <w:tc>
          <w:tcPr>
            <w:tcW w:w="949"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u w:val="single"/>
              </w:rPr>
            </w:pPr>
            <w:r>
              <w:rPr>
                <w:rFonts w:ascii="Times New Roman;serif" w:hAnsi="Times New Roman;serif"/>
                <w:b/>
                <w:i/>
                <w:color w:val="000000"/>
                <w:sz w:val="16"/>
                <w:u w:val="single"/>
              </w:rPr>
              <w:t>In millions</w:t>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 acquired</w:t>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Cash and cash equivalents </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Accounts receivable </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Inventory </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Other current assets </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Property, plant and equipment </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Goodwill </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intangible assets</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Other noncurrent assets </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Total assets acquired </w:t>
            </w:r>
          </w:p>
        </w:tc>
        <w:tc>
          <w:tcPr>
            <w:tcW w:w="6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945 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Liabilities assumed</w:t>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Current liabilities </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Noncurrent liabilities </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Total liabilities assumed </w:t>
            </w:r>
          </w:p>
        </w:tc>
        <w:tc>
          <w:tcPr>
            <w:tcW w:w="6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Net assets acquired </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792 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283"/>
        <w:ind w:left="0" w:right="0" w:firstLine="54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On July 1, 2025, Wabtec acquired 100% ownership in Evident’s Inspection Technologies division ("Inspection Technologies") for approximately $1.797 billion. Inspection Technologies, formerly part of the Scientific Solutions Division of Olympus Corporation, is a global leader in Non-Destructive Testing, Remote Visual Inspection and Analytical Instruments solutions for mission critical assets. Inspection Technologies’ leading industry presence and innovative product portfolio is expected to significantly expand Wabtec's capabilities, adding advanced automated inspection capabilities, driving technology in a space where data acquisition, analytics and automation are critical. Inspection Technologies reports within the Digital Intelligence product line of the Freight Segment. The acquisition was funded with a combination of cash on hand, proceeds from the 2035 Notes and borrowings under other sources of available liquidity.</w:t>
      </w:r>
    </w:p>
    <w:p>
      <w:pPr>
        <w:pStyle w:val="TextBody"/>
        <w:bidi w:val="0"/>
        <w:spacing w:lineRule="auto" w:line="26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summarizes the fair value of the Inspection Technologies assets acquired and liabilities assumed: </w:t>
      </w:r>
    </w:p>
    <w:tbl>
      <w:tblPr>
        <w:tblW w:w="3560" w:type="dxa"/>
        <w:jc w:val="left"/>
        <w:tblInd w:w="0" w:type="dxa"/>
        <w:tblLayout w:type="fixed"/>
        <w:tblCellMar>
          <w:top w:w="28" w:type="dxa"/>
          <w:left w:w="28" w:type="dxa"/>
          <w:bottom w:w="28" w:type="dxa"/>
          <w:right w:w="28" w:type="dxa"/>
        </w:tblCellMar>
      </w:tblPr>
      <w:tblGrid>
        <w:gridCol w:w="933"/>
        <w:gridCol w:w="820"/>
        <w:gridCol w:w="826"/>
        <w:gridCol w:w="211"/>
        <w:gridCol w:w="616"/>
        <w:gridCol w:w="154"/>
      </w:tblGrid>
      <w:tr>
        <w:trPr/>
        <w:tc>
          <w:tcPr>
            <w:tcW w:w="933"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u w:val="single"/>
              </w:rPr>
            </w:pPr>
            <w:r>
              <w:rPr>
                <w:rFonts w:ascii="Times New Roman;serif" w:hAnsi="Times New Roman;serif"/>
                <w:b/>
                <w:i/>
                <w:color w:val="000000"/>
                <w:sz w:val="16"/>
                <w:u w:val="single"/>
              </w:rPr>
              <w:t>In millions</w:t>
            </w:r>
          </w:p>
        </w:tc>
        <w:tc>
          <w:tcPr>
            <w:tcW w:w="9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 acquired</w:t>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Inventory</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assets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plant and equipment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relationships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Trade names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Acquired technology</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noncurrent assets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 acquired</w:t>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2,049 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Liabilities assumed</w:t>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Noncurrent liabilities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assumed</w:t>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assets acquired</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1,797 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As of June 30, 2026, the measurement period remains open for the Dellner Couplers and Frauscher acquisitions, and the Company has not finalized the respective purchase accounting. The fair values of the assets acquired and liabilities assumed were determined using the income, cost and market approaches. Discounted cash flow models were used to estimate the fair values of acquired intangible assets. The fair value measurements were primarily based on significant inputs that are not observable in the market and are considered Level 3 in the fair value hierarchy. </w:t>
      </w:r>
    </w:p>
    <w:p>
      <w:pPr>
        <w:pStyle w:val="TextBody"/>
        <w:bidi w:val="0"/>
        <w:spacing w:lineRule="auto" w:line="26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Intangible assets acquired for each of these acquisitions include customer relationships and acquired technology that are subject to amortization, and trade names that were assigned an indefinite life and are not subject to amortization. Additionally, the Dellner Couplers acquired intangible assets include backlog which is subject to amortization. Contingent liabilities assumed as part of each transaction were not material. These estimates are preliminary in nature and subject to adjustments, which could be material as the Company has not completed its valuation of acquired assets and liabilities. Certain information necessary to complete the valuations of assets acquired and liabilities assumed and final income tax computations is not yet available. Any necessary adjustments will be finalized within one year from the date of each respective acquisition, once the Company has received the necessary information.</w:t>
      </w:r>
    </w:p>
    <w:p>
      <w:pPr>
        <w:pStyle w:val="TextBody"/>
        <w:bidi w:val="0"/>
        <w:spacing w:lineRule="auto" w:line="26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Goodwill was calculated as the difference between the acquisition date fair value of the consideration transferred and the fair value of the net assets acquired, and represents the assembled workforce and the future economic benefits, including synergies, that are expected to be achieved as a result of the acquisition. The purchased goodwill is not expected to be deductible for tax purposes for Dellner Couplers or Frauscher, and approximately half of the purchased goodwill is expected to be deductible for tax purposes for Inspection Technologies. The pro forma impact on Wabtec’s sales and results of operations, including the pro forma effect of events that are directly attributable to these acquisitions, was not significant. </w:t>
      </w:r>
    </w:p>
    <w:p>
      <w:pPr>
        <w:pStyle w:val="TextBody"/>
        <w:bidi w:val="0"/>
        <w:spacing w:lineRule="auto" w:line="26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Also during 2025, the Freight Segment completed two additional acquisitions which were individually and collectively immaterial. </w:t>
      </w:r>
    </w:p>
    <w:p>
      <w:pPr>
        <w:pStyle w:val="TextBody"/>
        <w:bidi w:val="0"/>
        <w:spacing w:lineRule="auto" w:line="26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Transaction costs related to the completed acquisitions for the three and six months ended June 30, 2026 were approximately $1 million and $14 million, respectively, and for the three and six months ended June 30, 2025 were approximately $25 million and $35 million, respectively, and are included in Selling, general, and administrative expenses.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before="0" w:after="0"/>
        <w:jc w:val="left"/>
        <w:rPr/>
      </w:pPr>
      <w:r>
        <w:rPr/>
      </w:r>
    </w:p>
    <w:p>
      <w:pPr>
        <w:pStyle w:val="TextBody"/>
        <w:bidi w:val="0"/>
        <w:spacing w:before="12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4. INVENTORIES </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The components of inventory, net of reserves, were: </w:t>
      </w:r>
    </w:p>
    <w:tbl>
      <w:tblPr>
        <w:tblW w:w="3934" w:type="dxa"/>
        <w:jc w:val="left"/>
        <w:tblInd w:w="0" w:type="dxa"/>
        <w:tblLayout w:type="fixed"/>
        <w:tblCellMar>
          <w:top w:w="28" w:type="dxa"/>
          <w:left w:w="28" w:type="dxa"/>
          <w:bottom w:w="28" w:type="dxa"/>
          <w:right w:w="28" w:type="dxa"/>
        </w:tblCellMar>
      </w:tblPr>
      <w:tblGrid>
        <w:gridCol w:w="563"/>
        <w:gridCol w:w="495"/>
        <w:gridCol w:w="473"/>
        <w:gridCol w:w="211"/>
        <w:gridCol w:w="616"/>
        <w:gridCol w:w="109"/>
        <w:gridCol w:w="109"/>
        <w:gridCol w:w="109"/>
        <w:gridCol w:w="109"/>
        <w:gridCol w:w="245"/>
        <w:gridCol w:w="716"/>
        <w:gridCol w:w="179"/>
      </w:tblGrid>
      <w:tr>
        <w:trPr/>
        <w:tc>
          <w:tcPr>
            <w:tcW w:w="563"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r>
      <w:tr>
        <w:trPr/>
        <w:tc>
          <w:tcPr>
            <w:tcW w:w="15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u w:val="single"/>
              </w:rPr>
            </w:pPr>
            <w:r>
              <w:rPr>
                <w:rFonts w:ascii="Times New Roman;serif" w:hAnsi="Times New Roman;serif"/>
                <w:b/>
                <w:i/>
                <w:color w:val="000000"/>
                <w:sz w:val="16"/>
                <w:u w:val="single"/>
              </w:rPr>
              <w:t>In millions</w:t>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r>
      <w:tr>
        <w:trPr/>
        <w:tc>
          <w:tcPr>
            <w:tcW w:w="15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Raw materials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1,194 </w:t>
            </w:r>
          </w:p>
        </w:tc>
        <w:tc>
          <w:tcPr>
            <w:tcW w:w="17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Work-in-progress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698 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Finished goods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853 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inventories</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2,857 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2,745 </w:t>
            </w:r>
          </w:p>
        </w:tc>
        <w:tc>
          <w:tcPr>
            <w:tcW w:w="17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54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5. GOODWILL AND INTANGIBLE ASSETS</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The change in the carrying amount of goodwill by segment is as follows: </w:t>
      </w:r>
    </w:p>
    <w:tbl>
      <w:tblPr>
        <w:tblW w:w="6929" w:type="dxa"/>
        <w:jc w:val="left"/>
        <w:tblInd w:w="0" w:type="dxa"/>
        <w:tblLayout w:type="fixed"/>
        <w:tblCellMar>
          <w:top w:w="28" w:type="dxa"/>
          <w:left w:w="28" w:type="dxa"/>
          <w:bottom w:w="28" w:type="dxa"/>
          <w:right w:w="28" w:type="dxa"/>
        </w:tblCellMar>
      </w:tblPr>
      <w:tblGrid>
        <w:gridCol w:w="940"/>
        <w:gridCol w:w="824"/>
        <w:gridCol w:w="830"/>
        <w:gridCol w:w="294"/>
        <w:gridCol w:w="859"/>
        <w:gridCol w:w="152"/>
        <w:gridCol w:w="109"/>
        <w:gridCol w:w="109"/>
        <w:gridCol w:w="109"/>
        <w:gridCol w:w="291"/>
        <w:gridCol w:w="849"/>
        <w:gridCol w:w="150"/>
        <w:gridCol w:w="109"/>
        <w:gridCol w:w="109"/>
        <w:gridCol w:w="109"/>
        <w:gridCol w:w="211"/>
        <w:gridCol w:w="721"/>
        <w:gridCol w:w="154"/>
      </w:tblGrid>
      <w:tr>
        <w:trPr/>
        <w:tc>
          <w:tcPr>
            <w:tcW w:w="940"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u w:val="single"/>
              </w:rPr>
            </w:pPr>
            <w:r>
              <w:rPr>
                <w:rFonts w:ascii="Times New Roman;serif" w:hAnsi="Times New Roman;serif"/>
                <w:b/>
                <w:i/>
                <w:color w:val="000000"/>
                <w:sz w:val="16"/>
                <w:u w:val="single"/>
              </w:rPr>
              <w:t>In millions</w:t>
            </w:r>
          </w:p>
        </w:tc>
        <w:tc>
          <w:tcPr>
            <w:tcW w:w="13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Freight Segment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Transit Segment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Balance at December 31, 2025</w:t>
            </w:r>
          </w:p>
        </w:tc>
        <w:tc>
          <w:tcPr>
            <w:tcW w:w="29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8,567 </w:t>
            </w:r>
          </w:p>
        </w:tc>
        <w:tc>
          <w:tcPr>
            <w:tcW w:w="15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1,649 </w:t>
            </w:r>
          </w:p>
        </w:tc>
        <w:tc>
          <w:tcPr>
            <w:tcW w:w="15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10,216 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Additions/adjustments</w:t>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475 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impact</w:t>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Balance at June 30, 2026</w:t>
            </w:r>
          </w:p>
        </w:tc>
        <w:tc>
          <w:tcPr>
            <w:tcW w:w="294"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9"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8,552 </w:t>
            </w:r>
          </w:p>
        </w:tc>
        <w:tc>
          <w:tcPr>
            <w:tcW w:w="152"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9"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2,051 </w:t>
            </w:r>
          </w:p>
        </w:tc>
        <w:tc>
          <w:tcPr>
            <w:tcW w:w="150"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10,603 </w:t>
            </w:r>
          </w:p>
        </w:tc>
        <w:tc>
          <w:tcPr>
            <w:tcW w:w="154"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As of June 30, 2026 and December 31, 2025, the Company’s trade names had a net carrying amount of $897 million and $851 million, respectively. The Company believes these intangibles have indefinite lives.</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Intangible assets of the Company, other than goodwill and trade names, consist of the following: </w:t>
      </w:r>
    </w:p>
    <w:tbl>
      <w:tblPr>
        <w:tblW w:w="10205" w:type="dxa"/>
        <w:jc w:val="left"/>
        <w:tblInd w:w="0" w:type="dxa"/>
        <w:tblLayout w:type="fixed"/>
        <w:tblCellMar>
          <w:top w:w="28" w:type="dxa"/>
          <w:left w:w="28" w:type="dxa"/>
          <w:bottom w:w="28" w:type="dxa"/>
          <w:right w:w="28" w:type="dxa"/>
        </w:tblCellMar>
      </w:tblPr>
      <w:tblGrid>
        <w:gridCol w:w="466"/>
        <w:gridCol w:w="364"/>
        <w:gridCol w:w="369"/>
        <w:gridCol w:w="109"/>
        <w:gridCol w:w="109"/>
        <w:gridCol w:w="109"/>
        <w:gridCol w:w="252"/>
        <w:gridCol w:w="715"/>
        <w:gridCol w:w="140"/>
        <w:gridCol w:w="109"/>
        <w:gridCol w:w="109"/>
        <w:gridCol w:w="109"/>
        <w:gridCol w:w="294"/>
        <w:gridCol w:w="861"/>
        <w:gridCol w:w="166"/>
        <w:gridCol w:w="109"/>
        <w:gridCol w:w="109"/>
        <w:gridCol w:w="109"/>
        <w:gridCol w:w="243"/>
        <w:gridCol w:w="689"/>
        <w:gridCol w:w="135"/>
        <w:gridCol w:w="109"/>
        <w:gridCol w:w="109"/>
        <w:gridCol w:w="109"/>
        <w:gridCol w:w="252"/>
        <w:gridCol w:w="715"/>
        <w:gridCol w:w="140"/>
        <w:gridCol w:w="109"/>
        <w:gridCol w:w="109"/>
        <w:gridCol w:w="109"/>
        <w:gridCol w:w="294"/>
        <w:gridCol w:w="861"/>
        <w:gridCol w:w="166"/>
        <w:gridCol w:w="109"/>
        <w:gridCol w:w="109"/>
        <w:gridCol w:w="109"/>
        <w:gridCol w:w="240"/>
        <w:gridCol w:w="683"/>
        <w:gridCol w:w="198"/>
      </w:tblGrid>
      <w:tr>
        <w:trPr/>
        <w:tc>
          <w:tcPr>
            <w:tcW w:w="466"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r>
      <w:tr>
        <w:trPr/>
        <w:tc>
          <w:tcPr>
            <w:tcW w:w="119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9"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r>
      <w:tr>
        <w:trPr/>
        <w:tc>
          <w:tcPr>
            <w:tcW w:w="11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u w:val="single"/>
              </w:rPr>
            </w:pPr>
            <w:r>
              <w:rPr>
                <w:rFonts w:ascii="Times New Roman;serif" w:hAnsi="Times New Roman;serif"/>
                <w:b/>
                <w:i/>
                <w:color w:val="000000"/>
                <w:sz w:val="16"/>
                <w:u w:val="single"/>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 Carrying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 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Net Carrying 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 Carrying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 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Net Carrying Amount</w:t>
            </w:r>
          </w:p>
        </w:tc>
      </w:tr>
      <w:tr>
        <w:trPr/>
        <w:tc>
          <w:tcPr>
            <w:tcW w:w="1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Backlog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1,367 </w:t>
            </w:r>
          </w:p>
        </w:tc>
        <w:tc>
          <w:tcPr>
            <w:tcW w:w="14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(665)</w:t>
            </w:r>
          </w:p>
        </w:tc>
        <w:tc>
          <w:tcPr>
            <w:tcW w:w="16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702 </w:t>
            </w:r>
          </w:p>
        </w:tc>
        <w:tc>
          <w:tcPr>
            <w:tcW w:w="13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1,311 </w:t>
            </w:r>
          </w:p>
        </w:tc>
        <w:tc>
          <w:tcPr>
            <w:tcW w:w="14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(613)</w:t>
            </w:r>
          </w:p>
        </w:tc>
        <w:tc>
          <w:tcPr>
            <w:tcW w:w="16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698 </w:t>
            </w:r>
          </w:p>
        </w:tc>
        <w:tc>
          <w:tcPr>
            <w:tcW w:w="19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Customer relationships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2,263 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1,671 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2,000 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1,450 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Acquired technology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1,664 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(812)</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852 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1,570 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(731)</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839 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5,294 </w:t>
            </w:r>
          </w:p>
        </w:tc>
        <w:tc>
          <w:tcPr>
            <w:tcW w:w="14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6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(2,069)</w:t>
            </w:r>
          </w:p>
        </w:tc>
        <w:tc>
          <w:tcPr>
            <w:tcW w:w="16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3,225 </w:t>
            </w:r>
          </w:p>
        </w:tc>
        <w:tc>
          <w:tcPr>
            <w:tcW w:w="13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4,881 </w:t>
            </w:r>
          </w:p>
        </w:tc>
        <w:tc>
          <w:tcPr>
            <w:tcW w:w="14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6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(1,894)</w:t>
            </w:r>
          </w:p>
        </w:tc>
        <w:tc>
          <w:tcPr>
            <w:tcW w:w="16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2,987 </w:t>
            </w:r>
          </w:p>
        </w:tc>
        <w:tc>
          <w:tcPr>
            <w:tcW w:w="19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At June 30, 2026, the weighted average remaining useful lives of backlog, customer relationships and acquired technology were 7 years, 17 years and 7 years, respectively. The backlog intangible asset primarily consists of in-place long-term agreements acquired by the Company in conjunction with past acquisitions. Amortization expense for intangible assets was $91 million and $178 million for the three and six months ended June 30, 2026, respectively, and $69 million and $142 million for the three and six months ended June 30, 2025, respectively. </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Amortization expense for the five succeeding years is estimated to be as follows: </w:t>
      </w:r>
    </w:p>
    <w:tbl>
      <w:tblPr>
        <w:tblW w:w="2511" w:type="dxa"/>
        <w:jc w:val="left"/>
        <w:tblInd w:w="0" w:type="dxa"/>
        <w:tblLayout w:type="fixed"/>
        <w:tblCellMar>
          <w:top w:w="28" w:type="dxa"/>
          <w:left w:w="28" w:type="dxa"/>
          <w:bottom w:w="28" w:type="dxa"/>
          <w:right w:w="28" w:type="dxa"/>
        </w:tblCellMar>
      </w:tblPr>
      <w:tblGrid>
        <w:gridCol w:w="608"/>
        <w:gridCol w:w="533"/>
        <w:gridCol w:w="539"/>
        <w:gridCol w:w="211"/>
        <w:gridCol w:w="466"/>
        <w:gridCol w:w="154"/>
      </w:tblGrid>
      <w:tr>
        <w:trPr/>
        <w:tc>
          <w:tcPr>
            <w:tcW w:w="608"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u w:val="single"/>
              </w:rPr>
            </w:pPr>
            <w:r>
              <w:rPr>
                <w:rFonts w:ascii="Times New Roman;serif" w:hAnsi="Times New Roman;serif"/>
                <w:b/>
                <w:i/>
                <w:color w:val="000000"/>
                <w:sz w:val="16"/>
                <w:u w:val="single"/>
              </w:rPr>
              <w:t>In millions</w:t>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Remainder of 2026</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5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6. CONTRACT ASSETS AND CONTRACT LIABILITIES</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Contract assets include unbilled amounts resulting from sales under long-term contracts where revenue is recognized over time and revenue exceeds the amount that can be billed to the customer based on the terms of the contract. The current portion of the contract assets are classified as current assets under the caption “Unbilled accounts receivable” while the noncurrent contract assets are classified as other assets under the caption "Other noncurrent assets" on the Condensed Consolidated Balance Sheets. Noncurrent contract assets were $138 million at June 30, 2026 and $121 million at December 31, 2025. The Company has elected to use the practical expedient and does not consider unbilled amounts anticipated to be paid within one year as significant financing components. </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Contract liabilities include customer deposits that are made prior to the incurrence of costs related to a newly agreed upon contract and advanced customer payments that are in excess of revenue recognized. The current portion of contract liabilities are classified as current liabilities under the caption “Customer deposits” while the noncurrent contract liabilities are classified as noncurrent liabilities under the caption "Other long-term liabilities" on the Condensed Consolidated Balance Sheets. Noncurrent contract liabilities were $342 million at June 30, 2026 and $259 million at December 31, 2025. These contract liabilities are not considered a significant financing component because they are used to meet working capital demands that can be higher in the early stages of a contract or revenue associated with the contract liabilities is expected to be recognized within one year. Contract liabilities also include provisions for estimated losses from uncompleted contracts. Provisions for loss contracts were $55 million and $82 million at June 30, 2026 and December 31, 2025, respectively. These provisions for estimated losses are classified as current liabilities and included within the caption “Other accrued liabilities” on the Condensed Consolidated Balance Sheets.</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change in the carrying amount of contract assets and contract liabilities for the six months ended June 30, 2026 and 2025 is as follows:</w:t>
      </w:r>
    </w:p>
    <w:tbl>
      <w:tblPr>
        <w:tblW w:w="6729" w:type="dxa"/>
        <w:jc w:val="left"/>
        <w:tblInd w:w="0" w:type="dxa"/>
        <w:tblLayout w:type="fixed"/>
        <w:tblCellMar>
          <w:top w:w="28" w:type="dxa"/>
          <w:left w:w="28" w:type="dxa"/>
          <w:bottom w:w="28" w:type="dxa"/>
          <w:right w:w="28" w:type="dxa"/>
        </w:tblCellMar>
      </w:tblPr>
      <w:tblGrid>
        <w:gridCol w:w="1625"/>
        <w:gridCol w:w="1424"/>
        <w:gridCol w:w="1436"/>
        <w:gridCol w:w="211"/>
        <w:gridCol w:w="616"/>
        <w:gridCol w:w="109"/>
        <w:gridCol w:w="109"/>
        <w:gridCol w:w="109"/>
        <w:gridCol w:w="109"/>
        <w:gridCol w:w="211"/>
        <w:gridCol w:w="616"/>
        <w:gridCol w:w="154"/>
      </w:tblGrid>
      <w:tr>
        <w:trPr/>
        <w:tc>
          <w:tcPr>
            <w:tcW w:w="1625" w:type="dxa"/>
            <w:tcBorders/>
            <w:vAlign w:val="center"/>
          </w:tcPr>
          <w:p>
            <w:pPr>
              <w:pStyle w:val="TableContents"/>
              <w:bidi w:val="0"/>
              <w:spacing w:before="0" w:after="283"/>
              <w:jc w:val="left"/>
              <w:rPr>
                <w:sz w:val="4"/>
                <w:szCs w:val="4"/>
              </w:rPr>
            </w:pPr>
            <w:r>
              <w:rPr>
                <w:sz w:val="4"/>
                <w:szCs w:val="4"/>
              </w:rPr>
            </w:r>
          </w:p>
        </w:tc>
        <w:tc>
          <w:tcPr>
            <w:tcW w:w="1424" w:type="dxa"/>
            <w:tcBorders/>
            <w:vAlign w:val="center"/>
          </w:tcPr>
          <w:p>
            <w:pPr>
              <w:pStyle w:val="TableContents"/>
              <w:bidi w:val="0"/>
              <w:spacing w:before="0" w:after="283"/>
              <w:jc w:val="left"/>
              <w:rPr>
                <w:sz w:val="4"/>
                <w:szCs w:val="4"/>
              </w:rPr>
            </w:pPr>
            <w:r>
              <w:rPr>
                <w:sz w:val="4"/>
                <w:szCs w:val="4"/>
              </w:rPr>
            </w:r>
          </w:p>
        </w:tc>
        <w:tc>
          <w:tcPr>
            <w:tcW w:w="14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Contract Assets</w:t>
            </w:r>
          </w:p>
        </w:tc>
      </w:tr>
      <w:tr>
        <w:trPr/>
        <w:tc>
          <w:tcPr>
            <w:tcW w:w="44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u w:val="single"/>
              </w:rPr>
            </w:pPr>
            <w:r>
              <w:rPr>
                <w:rFonts w:ascii="Times New Roman;serif" w:hAnsi="Times New Roman;serif"/>
                <w:b/>
                <w:i/>
                <w:color w:val="000000"/>
                <w:sz w:val="16"/>
                <w:u w:val="single"/>
              </w:rPr>
              <w:t>In millions</w:t>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beginning of year</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720 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Recognized in current year</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Reclassified to accounts receivable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Acquisitions/adjustments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impact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Balance at June 30</w:t>
            </w:r>
          </w:p>
        </w:tc>
        <w:tc>
          <w:tcPr>
            <w:tcW w:w="211"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587 </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749 </w:t>
            </w:r>
          </w:p>
        </w:tc>
        <w:tc>
          <w:tcPr>
            <w:tcW w:w="154"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Contract Liabilities</w:t>
            </w:r>
          </w:p>
        </w:tc>
      </w:tr>
      <w:tr>
        <w:trPr/>
        <w:tc>
          <w:tcPr>
            <w:tcW w:w="44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u w:val="single"/>
              </w:rPr>
            </w:pPr>
            <w:r>
              <w:rPr>
                <w:rFonts w:ascii="Times New Roman;serif" w:hAnsi="Times New Roman;serif"/>
                <w:b/>
                <w:i/>
                <w:color w:val="000000"/>
                <w:sz w:val="16"/>
                <w:u w:val="single"/>
              </w:rPr>
              <w:t>In millions</w:t>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4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beginning of year</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1,173 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Recognized in current year</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Amounts in beginning balance reclassified to revenue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year amounts reclassified to revenue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impact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June 30</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1,275 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1,224 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7. LEASES</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leases certain property, buildings and equipment. For leases with terms greater than 12 months, the Company records the related asset and obligation at the present value of lease payments. Many of the Company's leases include rental escalation clauses, renewal options, and/or termination options that are factored into our determination of lease payments when appropriate. The right-of-use assets are classified as noncurrent and included within the caption "Other noncurrent assets" on the Condensed Consolidated Balance Sheets. The current portion of lease liabilities are classified under the caption "Other accrued liabilities," while the noncurrent portion of lease liabilities are classified under the caption "Other long-term liabilities" on the Condensed Consolidated Balance Sheets. The Company does not separate lease and non-lease components. As most of the Company's leases do not provide a readily stated discount rate, the Company must estimate the rate to discount lease payments using its incremental borrowing rate. </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Operating lease expense was $20 million and $41 million for the three and six months ended June 30, 2026, respectively, and $17 million and $33 million for the three and six months ended June 30, 2025, respectively. New operating leases of $4 million and $10 million were added during the three and six months ended June 30, 2026, respectively, and $27 million and $35 million for the three and six months ended June 30, 2025, respectively. Wabtec does not have material financing leases, short-term or variable leases or sublease income.</w:t>
      </w:r>
    </w:p>
    <w:p>
      <w:pPr>
        <w:pStyle w:val="TextBody"/>
        <w:bidi w:val="0"/>
        <w:spacing w:lineRule="auto" w:line="288" w:before="18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Scheduled payments of lease liabilities are as follows:</w:t>
      </w:r>
    </w:p>
    <w:tbl>
      <w:tblPr>
        <w:tblW w:w="4095" w:type="dxa"/>
        <w:jc w:val="left"/>
        <w:tblInd w:w="0" w:type="dxa"/>
        <w:tblLayout w:type="fixed"/>
        <w:tblCellMar>
          <w:top w:w="28" w:type="dxa"/>
          <w:left w:w="28" w:type="dxa"/>
          <w:bottom w:w="28" w:type="dxa"/>
          <w:right w:w="28" w:type="dxa"/>
        </w:tblCellMar>
      </w:tblPr>
      <w:tblGrid>
        <w:gridCol w:w="973"/>
        <w:gridCol w:w="853"/>
        <w:gridCol w:w="859"/>
        <w:gridCol w:w="357"/>
        <w:gridCol w:w="790"/>
        <w:gridCol w:w="263"/>
      </w:tblGrid>
      <w:tr>
        <w:trPr/>
        <w:tc>
          <w:tcPr>
            <w:tcW w:w="973"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r>
      <w:tr>
        <w:trPr/>
        <w:tc>
          <w:tcPr>
            <w:tcW w:w="26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u w:val="single"/>
              </w:rPr>
            </w:pPr>
            <w:r>
              <w:rPr>
                <w:rFonts w:ascii="Times New Roman;serif" w:hAnsi="Times New Roman;serif"/>
                <w:b/>
                <w:i/>
                <w:color w:val="000000"/>
                <w:sz w:val="16"/>
                <w:u w:val="single"/>
              </w:rPr>
              <w:t>In millions</w:t>
            </w:r>
          </w:p>
        </w:tc>
        <w:tc>
          <w:tcPr>
            <w:tcW w:w="14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Operating Leases</w:t>
            </w:r>
          </w:p>
        </w:tc>
      </w:tr>
      <w:tr>
        <w:trPr/>
        <w:tc>
          <w:tcPr>
            <w:tcW w:w="2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Remaining 2026</w:t>
            </w:r>
          </w:p>
        </w:tc>
        <w:tc>
          <w:tcPr>
            <w:tcW w:w="35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26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11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11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11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11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11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lease payments</w:t>
            </w:r>
          </w:p>
        </w:tc>
        <w:tc>
          <w:tcPr>
            <w:tcW w:w="114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416 </w:t>
            </w:r>
          </w:p>
        </w:tc>
        <w:tc>
          <w:tcPr>
            <w:tcW w:w="26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Present value discount</w:t>
            </w:r>
          </w:p>
        </w:tc>
        <w:tc>
          <w:tcPr>
            <w:tcW w:w="11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Present value of lease liabilities</w:t>
            </w:r>
          </w:p>
        </w:tc>
        <w:tc>
          <w:tcPr>
            <w:tcW w:w="35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365 </w:t>
            </w:r>
          </w:p>
        </w:tc>
        <w:tc>
          <w:tcPr>
            <w:tcW w:w="26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the remaining lease term and discount rate assumptions used to develop the present value of operating lease liabilities:</w:t>
      </w:r>
    </w:p>
    <w:tbl>
      <w:tblPr>
        <w:tblW w:w="6911" w:type="dxa"/>
        <w:jc w:val="left"/>
        <w:tblInd w:w="0" w:type="dxa"/>
        <w:tblLayout w:type="fixed"/>
        <w:tblCellMar>
          <w:top w:w="28" w:type="dxa"/>
          <w:left w:w="28" w:type="dxa"/>
          <w:bottom w:w="28" w:type="dxa"/>
          <w:right w:w="28" w:type="dxa"/>
        </w:tblCellMar>
      </w:tblPr>
      <w:tblGrid>
        <w:gridCol w:w="1419"/>
        <w:gridCol w:w="1246"/>
        <w:gridCol w:w="1250"/>
        <w:gridCol w:w="250"/>
        <w:gridCol w:w="250"/>
        <w:gridCol w:w="624"/>
        <w:gridCol w:w="109"/>
        <w:gridCol w:w="109"/>
        <w:gridCol w:w="109"/>
        <w:gridCol w:w="314"/>
        <w:gridCol w:w="314"/>
        <w:gridCol w:w="917"/>
      </w:tblGrid>
      <w:tr>
        <w:trPr/>
        <w:tc>
          <w:tcPr>
            <w:tcW w:w="1419"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1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r>
      <w:tr>
        <w:trPr/>
        <w:tc>
          <w:tcPr>
            <w:tcW w:w="3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3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remaining lease term (years)</w:t>
            </w:r>
          </w:p>
        </w:tc>
        <w:tc>
          <w:tcPr>
            <w:tcW w:w="112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w:t>
            </w:r>
          </w:p>
        </w:tc>
      </w:tr>
      <w:tr>
        <w:trPr/>
        <w:tc>
          <w:tcPr>
            <w:tcW w:w="3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discount rate</w:t>
            </w:r>
          </w:p>
        </w:tc>
        <w:tc>
          <w:tcPr>
            <w:tcW w:w="5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62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9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ind w:left="0" w:right="0" w:firstLine="5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8. LONG-TERM DEBT </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Long-term debt consisted of the following: </w:t>
      </w:r>
    </w:p>
    <w:tbl>
      <w:tblPr>
        <w:tblW w:w="10205" w:type="dxa"/>
        <w:jc w:val="left"/>
        <w:tblInd w:w="0" w:type="dxa"/>
        <w:tblLayout w:type="fixed"/>
        <w:tblCellMar>
          <w:top w:w="28" w:type="dxa"/>
          <w:left w:w="28" w:type="dxa"/>
          <w:bottom w:w="28" w:type="dxa"/>
          <w:right w:w="28" w:type="dxa"/>
        </w:tblCellMar>
      </w:tblPr>
      <w:tblGrid>
        <w:gridCol w:w="865"/>
        <w:gridCol w:w="747"/>
        <w:gridCol w:w="755"/>
        <w:gridCol w:w="367"/>
        <w:gridCol w:w="363"/>
        <w:gridCol w:w="807"/>
        <w:gridCol w:w="109"/>
        <w:gridCol w:w="109"/>
        <w:gridCol w:w="109"/>
        <w:gridCol w:w="230"/>
        <w:gridCol w:w="567"/>
        <w:gridCol w:w="111"/>
        <w:gridCol w:w="109"/>
        <w:gridCol w:w="109"/>
        <w:gridCol w:w="109"/>
        <w:gridCol w:w="211"/>
        <w:gridCol w:w="598"/>
        <w:gridCol w:w="116"/>
        <w:gridCol w:w="109"/>
        <w:gridCol w:w="109"/>
        <w:gridCol w:w="109"/>
        <w:gridCol w:w="211"/>
        <w:gridCol w:w="598"/>
        <w:gridCol w:w="116"/>
        <w:gridCol w:w="109"/>
        <w:gridCol w:w="109"/>
        <w:gridCol w:w="109"/>
        <w:gridCol w:w="211"/>
        <w:gridCol w:w="598"/>
        <w:gridCol w:w="116"/>
        <w:gridCol w:w="109"/>
        <w:gridCol w:w="109"/>
        <w:gridCol w:w="109"/>
        <w:gridCol w:w="210"/>
        <w:gridCol w:w="597"/>
        <w:gridCol w:w="176"/>
      </w:tblGrid>
      <w:tr>
        <w:trPr/>
        <w:tc>
          <w:tcPr>
            <w:tcW w:w="865"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r>
      <w:tr>
        <w:trPr/>
        <w:tc>
          <w:tcPr>
            <w:tcW w:w="23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7"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Effective Interest 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Face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23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u w:val="single"/>
              </w:rPr>
            </w:pPr>
            <w:r>
              <w:rPr>
                <w:rFonts w:ascii="Times New Roman;serif" w:hAnsi="Times New Roman;serif"/>
                <w:b/>
                <w:i/>
                <w:color w:val="000000"/>
                <w:sz w:val="16"/>
                <w:u w:val="single"/>
              </w:rPr>
              <w:t>In millions</w:t>
            </w:r>
          </w:p>
        </w:tc>
        <w:tc>
          <w:tcPr>
            <w:tcW w:w="1537"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Book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Fair Value</w:t>
            </w:r>
            <w:r>
              <w:rPr>
                <w:rFonts w:ascii="Times New Roman;serif" w:hAnsi="Times New Roman;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Book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Fair Value</w:t>
            </w:r>
            <w:r>
              <w:rPr>
                <w:rFonts w:ascii="Times New Roman;serif" w:hAnsi="Times New Roman;serif"/>
                <w:b/>
                <w:color w:val="000000"/>
                <w:sz w:val="10"/>
              </w:rPr>
              <w:t>1</w:t>
            </w:r>
          </w:p>
        </w:tc>
      </w:tr>
      <w:tr>
        <w:trPr/>
        <w:tc>
          <w:tcPr>
            <w:tcW w:w="23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2025 Credit Agreement:</w:t>
            </w:r>
          </w:p>
        </w:tc>
        <w:tc>
          <w:tcPr>
            <w:tcW w:w="153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Revolving Credit Facility</w:t>
            </w:r>
          </w:p>
        </w:tc>
        <w:tc>
          <w:tcPr>
            <w:tcW w:w="7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4.4 </w:t>
            </w:r>
          </w:p>
        </w:tc>
        <w:tc>
          <w:tcPr>
            <w:tcW w:w="8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638 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638 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Term Loan Facility, due 2030</w:t>
            </w:r>
          </w:p>
        </w:tc>
        <w:tc>
          <w:tcPr>
            <w:tcW w:w="7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4.9 </w:t>
            </w:r>
          </w:p>
        </w:tc>
        <w:tc>
          <w:tcPr>
            <w:tcW w:w="8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725 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721 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725 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721 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725 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2025 Term Credit Agreement:</w:t>
            </w:r>
          </w:p>
        </w:tc>
        <w:tc>
          <w:tcPr>
            <w:tcW w:w="15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Term Loan, due 2026</w:t>
            </w:r>
          </w:p>
        </w:tc>
        <w:tc>
          <w:tcPr>
            <w:tcW w:w="7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4.8 </w:t>
            </w:r>
          </w:p>
        </w:tc>
        <w:tc>
          <w:tcPr>
            <w:tcW w:w="8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500 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500 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500 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500 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500 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Senior Notes:</w:t>
            </w:r>
          </w:p>
        </w:tc>
        <w:tc>
          <w:tcPr>
            <w:tcW w:w="15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3.45% Senior Notes, due 2026</w:t>
            </w:r>
          </w:p>
        </w:tc>
        <w:tc>
          <w:tcPr>
            <w:tcW w:w="7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3.5 </w:t>
            </w:r>
          </w:p>
        </w:tc>
        <w:tc>
          <w:tcPr>
            <w:tcW w:w="8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750 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750 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748 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750 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746 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1.25% Senior Notes (EUR), due 2027</w:t>
            </w:r>
          </w:p>
        </w:tc>
        <w:tc>
          <w:tcPr>
            <w:tcW w:w="7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1.5 </w:t>
            </w:r>
          </w:p>
        </w:tc>
        <w:tc>
          <w:tcPr>
            <w:tcW w:w="8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5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500 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568 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555 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583 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575 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4.70% Senior Notes, due 2028</w:t>
            </w:r>
          </w:p>
        </w:tc>
        <w:tc>
          <w:tcPr>
            <w:tcW w:w="7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4.8 </w:t>
            </w:r>
          </w:p>
        </w:tc>
        <w:tc>
          <w:tcPr>
            <w:tcW w:w="8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1,250 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1,248 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1,252 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1,247 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1,266 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7" w:type="dxa"/>
            <w:gridSpan w:val="3"/>
            <w:tcBorders/>
            <w:shd w:fill="FFFFFF" w:val="clear"/>
            <w:tcMar>
              <w:top w:w="0" w:type="dxa"/>
              <w:left w:w="0" w:type="dxa"/>
              <w:bottom w:w="0" w:type="dxa"/>
              <w:right w:w="0" w:type="dxa"/>
            </w:tcMar>
            <w:vAlign w:val="center"/>
          </w:tcPr>
          <w:p>
            <w:pPr>
              <w:pStyle w:val="TableContents"/>
              <w:bidi w:val="0"/>
              <w:spacing w:lineRule="auto" w:line="240" w:before="120" w:after="283"/>
              <w:jc w:val="left"/>
              <w:rPr>
                <w:rFonts w:ascii="Times New Roman;serif" w:hAnsi="Times New Roman;serif"/>
                <w:b w:val="false"/>
                <w:color w:val="000000"/>
                <w:sz w:val="16"/>
              </w:rPr>
            </w:pPr>
            <w:r>
              <w:rPr>
                <w:rFonts w:ascii="Times New Roman;serif" w:hAnsi="Times New Roman;serif"/>
                <w:b w:val="false"/>
                <w:color w:val="000000"/>
                <w:sz w:val="16"/>
              </w:rPr>
              <w:t>4.90% Senior Notes, due 2030</w:t>
            </w:r>
          </w:p>
        </w:tc>
        <w:tc>
          <w:tcPr>
            <w:tcW w:w="7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5.1 </w:t>
            </w:r>
          </w:p>
        </w:tc>
        <w:tc>
          <w:tcPr>
            <w:tcW w:w="8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500 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496 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505 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496 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512 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5.611% Senior Notes, due 2034</w:t>
            </w:r>
          </w:p>
        </w:tc>
        <w:tc>
          <w:tcPr>
            <w:tcW w:w="7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5.7 </w:t>
            </w:r>
          </w:p>
        </w:tc>
        <w:tc>
          <w:tcPr>
            <w:tcW w:w="8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500 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496 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516 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496 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526 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7" w:type="dxa"/>
            <w:gridSpan w:val="3"/>
            <w:tcBorders/>
            <w:shd w:fill="FFFFFF" w:val="clear"/>
            <w:tcMar>
              <w:top w:w="0" w:type="dxa"/>
              <w:left w:w="0" w:type="dxa"/>
              <w:bottom w:w="0" w:type="dxa"/>
              <w:right w:w="0" w:type="dxa"/>
            </w:tcMar>
            <w:vAlign w:val="center"/>
          </w:tcPr>
          <w:p>
            <w:pPr>
              <w:pStyle w:val="TableContents"/>
              <w:bidi w:val="0"/>
              <w:spacing w:lineRule="auto" w:line="240" w:before="120" w:after="283"/>
              <w:jc w:val="left"/>
              <w:rPr>
                <w:rFonts w:ascii="Times New Roman;serif" w:hAnsi="Times New Roman;serif"/>
                <w:b w:val="false"/>
                <w:color w:val="000000"/>
                <w:sz w:val="16"/>
              </w:rPr>
            </w:pPr>
            <w:r>
              <w:rPr>
                <w:rFonts w:ascii="Times New Roman;serif" w:hAnsi="Times New Roman;serif"/>
                <w:b w:val="false"/>
                <w:color w:val="000000"/>
                <w:sz w:val="16"/>
              </w:rPr>
              <w:t>5.50% Senior Notes, due 2035</w:t>
            </w:r>
          </w:p>
        </w:tc>
        <w:tc>
          <w:tcPr>
            <w:tcW w:w="7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5.6 </w:t>
            </w:r>
          </w:p>
        </w:tc>
        <w:tc>
          <w:tcPr>
            <w:tcW w:w="8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750 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743 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769 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743 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783 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7" w:type="dxa"/>
            <w:gridSpan w:val="3"/>
            <w:tcBorders/>
            <w:vAlign w:val="center"/>
          </w:tcPr>
          <w:p>
            <w:pPr>
              <w:pStyle w:val="TableContents"/>
              <w:bidi w:val="0"/>
              <w:spacing w:before="0" w:after="283"/>
              <w:jc w:val="left"/>
              <w:rPr>
                <w:sz w:val="4"/>
                <w:szCs w:val="4"/>
              </w:rPr>
            </w:pPr>
            <w:r>
              <w:rPr>
                <w:sz w:val="4"/>
                <w:szCs w:val="4"/>
              </w:rPr>
            </w:r>
          </w:p>
        </w:tc>
        <w:tc>
          <w:tcPr>
            <w:tcW w:w="15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r>
        <w:trPr/>
        <w:tc>
          <w:tcPr>
            <w:tcW w:w="236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Revolving Receivables Program</w:t>
            </w:r>
          </w:p>
        </w:tc>
        <w:tc>
          <w:tcPr>
            <w:tcW w:w="7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4.5 </w:t>
            </w:r>
          </w:p>
        </w:tc>
        <w:tc>
          <w:tcPr>
            <w:tcW w:w="8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400 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400 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Borrowings</w:t>
            </w:r>
          </w:p>
        </w:tc>
        <w:tc>
          <w:tcPr>
            <w:tcW w:w="15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w:t>
            </w:r>
          </w:p>
        </w:tc>
        <w:tc>
          <w:tcPr>
            <w:tcW w:w="15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6,571 </w:t>
            </w:r>
          </w:p>
        </w:tc>
        <w:tc>
          <w:tcPr>
            <w:tcW w:w="1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6,619 </w:t>
            </w:r>
          </w:p>
        </w:tc>
        <w:tc>
          <w:tcPr>
            <w:tcW w:w="1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5,541 </w:t>
            </w:r>
          </w:p>
        </w:tc>
        <w:tc>
          <w:tcPr>
            <w:tcW w:w="1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5,638 </w:t>
            </w:r>
          </w:p>
        </w:tc>
        <w:tc>
          <w:tcPr>
            <w:tcW w:w="17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Less: current portion</w:t>
            </w:r>
          </w:p>
        </w:tc>
        <w:tc>
          <w:tcPr>
            <w:tcW w:w="15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(1,656)</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(1,654)</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(1,250)</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(1,246)</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Long-term portion</w:t>
            </w:r>
          </w:p>
        </w:tc>
        <w:tc>
          <w:tcPr>
            <w:tcW w:w="15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9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4,915 </w:t>
            </w:r>
          </w:p>
        </w:tc>
        <w:tc>
          <w:tcPr>
            <w:tcW w:w="1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9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4,965 </w:t>
            </w:r>
          </w:p>
        </w:tc>
        <w:tc>
          <w:tcPr>
            <w:tcW w:w="1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9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4,291 </w:t>
            </w:r>
          </w:p>
        </w:tc>
        <w:tc>
          <w:tcPr>
            <w:tcW w:w="1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9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4,392 </w:t>
            </w:r>
          </w:p>
        </w:tc>
        <w:tc>
          <w:tcPr>
            <w:tcW w:w="1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540"/>
        <w:jc w:val="left"/>
        <w:rPr>
          <w:rFonts w:ascii="Times New Roman;serif" w:hAnsi="Times New Roman;serif"/>
          <w:b w:val="false"/>
          <w:color w:val="000000"/>
          <w:sz w:val="16"/>
        </w:rPr>
      </w:pPr>
      <w:r>
        <w:rPr>
          <w:rFonts w:ascii="Times New Roman;serif" w:hAnsi="Times New Roman;serif"/>
          <w:b w:val="false"/>
          <w:color w:val="000000"/>
          <w:sz w:val="16"/>
        </w:rPr>
        <w:t>1. See Note 13 for information on the fair value measurement of the Company's long-term debt.</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Variances between Face Value and Book Value are the result of unamortized discounts and debt issuance fees as well as foreign exchange on the Euro Notes and euro denominated borrowings under the Revolving Credit Facility. </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has debt issuance costs related to certain financing transactions which are also amortized through interest expense. As of June 30, 2026 and December 31, 2025, the Company had total combined unamortized discount and debt issuance costs of $23 million and $26 million, respectively. Amortization of discounts and debt issuance fees are included in the calculation of Effective Interest Rate. </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Credit Agreements</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On November 28, 2025, the Company entered into a new stand-alone credit agreement (the "2025 Term Credit Agreement") for a term loan of $500 million. Borrowings under the 2025 Term Credit Agreement bear interest at a base rate plus an interest rate spread up to 1.50% based on the lower of the pricing corresponding to (i) the Company's Leverage Ratio or (ii) the Company's public credit rating. The frequency of interest payments varies based upon the Interest Election Request. The term loan issued under this agreement will mature on November 27, 2026. The obligations of the Company under this agreement are unsecured and have been guaranteed by certain of the Company's subsidiaries. The agreement contains affirmative, negative and financial covenants, and events of default customary for facilities of this type. Under the 2025 Term Credit Agreement, the Company has agreed to maintain the same Interest Coverage Ratio and Leverage Ratio as the 2025 Credit Agreement. The borrowing rate for the agreement is a variable rate assessed periodically in accordance with the terms of the agreement. At June 30, 2026, the interest rate was 4.6%.</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On April 23, 2025, the Company entered into a new unsecured credit agreement (the "2025 Credit Agreement"), which amended, restated, and refinanced certain prior credit agreements. The 2025 Credit Agreement provides for borrowings consisting of (i) a multi-currency revolving credit facility for a U.S. dollar equivalent of up to $2.0 billion (the “Revolving Credit Facility”) and (ii) a delayed draw term loan facility of $725 million (the “Term Loan Facility”), all pursuant to the terms and conditions of the 2025 Credit Agreement. The Term Loan Facility was utilized to refinance outstanding borrowings with the remaining amount utilized as part of funding for the Inspection Technologies acquisition. The 2025 Credit Agreement includes an incremental facility that allows the Company to request, at prevailing market rates, an aggregate amount not to exceed $1.0 billion, (a) increases to the borrowing commitments under the Revolving Credit Facility and/or (b) new incremental term loan commitments. The agreement contains affirmative, negative and financial covenants, and events of default customary for facilities of this type. </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Borrowings under the 2025 Credit Agreement mature on April 23, 2030. Amounts borrowed and repaid under the Term Loan Facility may not be reborrowed. The applicable interest rate for borrowings under the 2025 Credit Agreement includes a base rate (per the Interest Election terms of the agreement) plus an interest rate spread up to 1.75% based on the lower of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pricing corresponding to (i) the Company’s financial leverage or (ii) the Company’s public credit rating. At June 30, 2026, the interest rate on the Term Loan Facility and the Revolving Credit Facility were both 4.9%. Obligations under the 2025 Credit Agreement have been guaranteed by certain of the Company’s subsidiaries. </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Under the 2025 Credit Agreement, the Company has agreed to maintain an Interest Coverage Ratio of at least 3.0 to 1.0, and a Leverage Ratio not to exceed 3.5 to 1.0. The Interest Coverage Ratio is calculated using an earnings metric as defined in the agreement compared to Interest Expense for the four quarters then ended. The Leverage Ratio is defined as net debt (total debt, net of up to $500 million of unrestricted cash) as of the last day of such fiscal quarter to the defined earnings metric for the four quarters then ended. Additionally, the Company may effect an increase in the maximum Leverage Ratio in contemplation of a Material Acquisition. All terms are as defined in the 2025 Credit Agreement.</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presents availability under the 2025 Credit Agreement at June 30, 2026: </w:t>
      </w:r>
    </w:p>
    <w:tbl>
      <w:tblPr>
        <w:tblW w:w="8546" w:type="dxa"/>
        <w:jc w:val="left"/>
        <w:tblInd w:w="0" w:type="dxa"/>
        <w:tblLayout w:type="fixed"/>
        <w:tblCellMar>
          <w:top w:w="28" w:type="dxa"/>
          <w:left w:w="28" w:type="dxa"/>
          <w:bottom w:w="28" w:type="dxa"/>
          <w:right w:w="28" w:type="dxa"/>
        </w:tblCellMar>
      </w:tblPr>
      <w:tblGrid>
        <w:gridCol w:w="1112"/>
        <w:gridCol w:w="975"/>
        <w:gridCol w:w="988"/>
        <w:gridCol w:w="109"/>
        <w:gridCol w:w="109"/>
        <w:gridCol w:w="109"/>
        <w:gridCol w:w="457"/>
        <w:gridCol w:w="1297"/>
        <w:gridCol w:w="256"/>
        <w:gridCol w:w="109"/>
        <w:gridCol w:w="109"/>
        <w:gridCol w:w="109"/>
        <w:gridCol w:w="425"/>
        <w:gridCol w:w="913"/>
        <w:gridCol w:w="236"/>
        <w:gridCol w:w="109"/>
        <w:gridCol w:w="109"/>
        <w:gridCol w:w="109"/>
        <w:gridCol w:w="196"/>
        <w:gridCol w:w="556"/>
        <w:gridCol w:w="154"/>
      </w:tblGrid>
      <w:tr>
        <w:trPr/>
        <w:tc>
          <w:tcPr>
            <w:tcW w:w="1112" w:type="dxa"/>
            <w:tcBorders/>
            <w:vAlign w:val="center"/>
          </w:tcPr>
          <w:p>
            <w:pPr>
              <w:pStyle w:val="TableContents"/>
              <w:bidi w:val="0"/>
              <w:spacing w:before="0" w:after="283"/>
              <w:jc w:val="left"/>
              <w:rPr>
                <w:sz w:val="4"/>
                <w:szCs w:val="4"/>
              </w:rPr>
            </w:pPr>
            <w:r>
              <w:rPr>
                <w:sz w:val="4"/>
                <w:szCs w:val="4"/>
              </w:rPr>
            </w:r>
          </w:p>
        </w:tc>
        <w:tc>
          <w:tcPr>
            <w:tcW w:w="975"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1297"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u w:val="single"/>
              </w:rPr>
            </w:pPr>
            <w:r>
              <w:rPr>
                <w:rFonts w:ascii="Times New Roman;serif" w:hAnsi="Times New Roman;serif"/>
                <w:b/>
                <w:i/>
                <w:color w:val="000000"/>
                <w:sz w:val="16"/>
                <w:u w:val="single"/>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Revolving Credit Facility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Term Loan Facility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30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Maximum Availability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9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2,000 </w:t>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1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725 </w:t>
            </w:r>
          </w:p>
        </w:tc>
        <w:tc>
          <w:tcPr>
            <w:tcW w:w="23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2,725 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Outstanding Borrowings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(638)</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(725)</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(1,363)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Letters of Credit Under Credit Agreement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Availability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9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1,362 </w:t>
            </w:r>
          </w:p>
        </w:tc>
        <w:tc>
          <w:tcPr>
            <w:tcW w:w="2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1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3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1,362 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Company was in compliance with all financial covenants in the 2025 Credit Agreement and the 2025 Term Credit Agreement as of June 30, 2026.</w:t>
      </w:r>
    </w:p>
    <w:p>
      <w:pPr>
        <w:pStyle w:val="TextBody"/>
        <w:bidi w:val="0"/>
        <w:spacing w:lineRule="auto" w:line="276" w:before="120" w:after="283"/>
        <w:jc w:val="left"/>
        <w:rPr>
          <w:rFonts w:ascii="Times New Roman;serif" w:hAnsi="Times New Roman;serif"/>
          <w:b w:val="false"/>
          <w:i/>
          <w:color w:val="000000"/>
          <w:sz w:val="20"/>
        </w:rPr>
      </w:pPr>
      <w:r>
        <w:rPr>
          <w:rFonts w:ascii="Times New Roman;serif" w:hAnsi="Times New Roman;serif"/>
          <w:b w:val="false"/>
          <w:i/>
          <w:color w:val="000000"/>
          <w:sz w:val="20"/>
        </w:rPr>
        <w:t>Uncommitted Money Market Line Credit Agreement</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During the third quarter of 2024, the Company entered into an uncommitted bilateral money market line credit agreement which provides an aggregate borrowing capacity of $150 million, for general business purposes and working capital needs. At June 30, 2026, the interest rate was 4.2%. There were no borrowings outstanding under the uncommitted bilateral money market line credit agreement at June 30, 2026 and December 31, 2025.</w:t>
      </w:r>
    </w:p>
    <w:p>
      <w:pPr>
        <w:pStyle w:val="TextBody"/>
        <w:bidi w:val="0"/>
        <w:spacing w:lineRule="auto" w:line="288" w:before="180" w:after="283"/>
        <w:jc w:val="left"/>
        <w:rPr>
          <w:rFonts w:ascii="Times New Roman;serif" w:hAnsi="Times New Roman;serif"/>
          <w:b/>
          <w:i/>
          <w:color w:val="000000"/>
          <w:sz w:val="20"/>
        </w:rPr>
      </w:pPr>
      <w:r>
        <w:rPr>
          <w:rFonts w:ascii="Times New Roman;serif" w:hAnsi="Times New Roman;serif"/>
          <w:b/>
          <w:i/>
          <w:color w:val="000000"/>
          <w:sz w:val="20"/>
        </w:rPr>
        <w:t>Senior Notes</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or its subsidiaries may issue senior notes from time to time. These notes are comprised of our 3.45% Senior Notes due 2026 (the "2026 Notes"), 1.25% Senior Notes (EUR) due 2027 (the "Euro Notes"), 4.70% Senior Notes due 2028 (the "2028 Notes"), 4.90% Senior Notes due 2030 (the "2030 Notes"), 5.611% Senior Notes due 2034 (the "2034 Notes"), and 5.50% Senior Notes due 2035 (the "2035 Notes"). The 2026 Notes, 2028 Notes, 2030 Notes, 2034 Notes, and 2035 Notes are the “US Notes”, and collectively with the Euro Notes, the “Senior Notes.” Interest on the US Notes is payable semi-annually and interest on the Euro Notes is paid annually. Each series of the Senior Notes may be redeemed at any time in whole or from time to time in part in accordance with the provisions of the indenture, under which such series of notes was issued. Each of the Senior Notes may be redeemed at a redemption price of 100% of the principal amount plus a specified make-whole premium and accrued interest. The US Notes and the Company's guarantee of the Euro Notes are senior unsecured obligations of the Company and rank pari passu with all existing and future senior debt, and are senior to all existing and future subordinated indebtedness of the Company. </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On May 29, 2025, the Company issued (i) $500 million of 4.90% Senior Notes due 2030 and (ii) $750 million of 5.50% Senior Notes due 2035. The 2030 Notes and 2035 Notes were issued at approximately 100% of face value, and the Company recognized approximately $12 million of total deferred financing costs. Interest on the 2030 Notes and 2035 Notes will accrue at a rate of 4.90% and 5.50%, respectively, per year, payable semi-annually on May 29 and November 29 of each year, commencing November 29, 2025. The 2030 Notes will mature on May 29, 2030, and the 2035 Notes will mature on May 29, 2035. </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Proceeds from the 2030 Notes and cash on hand were utilized to repay the outstanding amount of notes due in 2025 at maturity. Proceeds from the 2035 Notes were utilized as part of funding for the Inspection Technologies acquisition, which closed July 1, 2025. </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The indentures under which the Senior Notes were issued contain covenants and restrictions which limit, subject to certain exceptions, certain sale and leaseback transactions with respect to principal properties, the incurrence of secured debt without equally and ratably securing the Senior Notes, and certain merger and consolidation transactions. The covenants do not require the Company to maintain any financial ratios or specified levels of net worth or liquidity. The US Notes are fully and unconditionally guaranteed, jointly and severally, on an unsecured basis by each of the Company's subsidiaries that is a guarantor under the 2025 Credit Agreement. The Euro Notes were issued by Wabtec Transportation Netherlands B.V. and are fully and unconditionally guaranteed by the Parent Company.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is in compliance with the restrictions and covenants in the indentures under which the Senior Notes were issued and expects that these restrictions and covenants will not be any type of limiting factor in executing our operating activities. </w:t>
      </w:r>
    </w:p>
    <w:p>
      <w:pPr>
        <w:pStyle w:val="TextBody"/>
        <w:bidi w:val="0"/>
        <w:spacing w:before="120" w:after="283"/>
        <w:ind w:left="0" w:right="0" w:firstLine="5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9. STOCK-BASED COMPENSATION </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maintains employee stock-based compensation plans for stock options, restricted stock, and incentive stock units as governed by the 2011 Stock Incentive Compensation Plan, as amended and restated (the “2011 Plan”) and the 2000 Stock Incentive Plan, as amended (the “2000 Plan”). The 2011 Plan has a term through May 15, 2030, and as of June 30, 2026, the number of shares available for future grants under the 2011 Plan was approximately 3.3 million shares. The Company also maintains a 1995 Non-Employee Directors’ Fee and Stock Option Plan as amended and restated (the "Directors Plan”). </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Stock-based compensation expense was $32 million and $62 million for the three and six months ended June 30, 2026, respectively, and $24 million and $44 million for the three and six months ended June 30, 2025, respectively. At June 30, 2026, unamortized compensation expense related to stock options, non-vested restricted shares and incentive stock units expected to vest was approximately $152 million. </w:t>
      </w:r>
    </w:p>
    <w:p>
      <w:pPr>
        <w:pStyle w:val="TextBody"/>
        <w:bidi w:val="0"/>
        <w:spacing w:lineRule="auto" w:line="288" w:before="120" w:after="283"/>
        <w:ind w:left="0" w:right="0" w:firstLine="540"/>
        <w:jc w:val="left"/>
        <w:rPr/>
      </w:pPr>
      <w:r>
        <w:rPr>
          <w:rFonts w:ascii="Times New Roman;serif" w:hAnsi="Times New Roman;serif"/>
          <w:b/>
          <w:i/>
          <w:color w:val="000000"/>
          <w:sz w:val="20"/>
        </w:rPr>
        <w:t>Stock Options</w:t>
      </w:r>
      <w:r>
        <w:rPr>
          <w:color w:val="000000"/>
        </w:rPr>
        <w:t xml:space="preserve"> </w:t>
      </w:r>
      <w:r>
        <w:rPr>
          <w:rFonts w:ascii="Times New Roman;serif" w:hAnsi="Times New Roman;serif"/>
          <w:b w:val="false"/>
          <w:color w:val="000000"/>
          <w:sz w:val="20"/>
        </w:rPr>
        <w:t>Stock options can be granted to eligible employees and directors at an exercise price equal to fair market value, which is the average of the high and low Wabtec stock price on the date of grant. Options become exercisable over a three-year vesting period and expire 10 years from the date of grant. There were no stock options granted in the periods presented. At June 30, 2026, there were 82,616 shares issuable pursuant to exercisable stock options.</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pPr>
      <w:r>
        <w:rPr>
          <w:rFonts w:ascii="Times New Roman;serif" w:hAnsi="Times New Roman;serif"/>
          <w:b/>
          <w:i/>
          <w:color w:val="000000"/>
          <w:sz w:val="20"/>
        </w:rPr>
        <w:t>Restricted Stock, Restricted Stock Units and Incentive Stock Units</w:t>
      </w:r>
      <w:r>
        <w:rPr>
          <w:color w:val="000000"/>
        </w:rPr>
        <w:t xml:space="preserve"> </w:t>
      </w:r>
      <w:r>
        <w:rPr>
          <w:rFonts w:ascii="Times New Roman;serif" w:hAnsi="Times New Roman;serif"/>
          <w:b w:val="false"/>
          <w:color w:val="000000"/>
          <w:sz w:val="20"/>
        </w:rPr>
        <w:t xml:space="preserve">As provided for under the 2011 Plan and 2000 Plan, eligible employees are granted restricted stock and restricted stock units that generally vest over three years from the date of grant. Under the Directors Plan, restricted stock awards vest one year from the date of grant. The restricted stock units are liability-classified equity awards as they can be settled in cash. </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Annually, the Company issues incentive stock units to eligible employees that vest upon attainment of certain cumulative three-year performance goals, including a Relative Total Stockholder Return ("RTSR") modifier. The RTSR modifier can increase or decrease the payment by up to 20%. Significant judgments and estimates are used in determining the estimated three-year performance, which is then used to estimate the total shares expected to vest over the three-year vesting cycle and corresponding expense based on the grant date fair value of the award. When determining the estimated three-year performance, the Company utilizes a combination of historical actual results, budgeted results and forecasts. Upon the initial grant of a performance cycle, the Company estimates the three-year performance at 100%. Based on the Company’s performance for each three-year period then ended, the incentive stock units can vest and be awarded ranging from 0% to 200% of the initial incentive stock units granted. As of June 30, 2026, the Company estimates that it will achieve 200%, 188% and 158% for the incentive stock awards expected to vest, inclusive of the RTSR modifier, based on the estimated performance for the three-year periods ending December 31, 2026, 2027, and 2028, respectively, and has recorded incentive compensation expense accordingly. </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During the first quarter of 2026, the Company also issued an additional incentive stock unit grant for certain eligible employees. The grant has a one-year performance goal for 2026 and a three-year vesting period. Eligible employees vest from 0% to 100% of the initial incentive stock units granted based upon attainment of the 2026 performance goal. As of June 30, 2026, the Company estimates that it will achieve 100% of the one-year performance goal.</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Quarterly, the Company reviews and updates performance estimates based on actual performance results and current projections. If the estimates of the number of these incentive stock units expected to vest changes in a future accounting period, cumulative compensation expense could increase or decrease and will be recognized in the current period for the elapsed portion of the vesting period and would change future expense for the remaining vesting period. The incentive stock units included in the table below represent the number of incentive stock units that are expected to vest based on the Company’s estimate for meeting those established performance targets.</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Compensation expense for the non-vested restricted stock and incentive stock units is based on the closing price of the Company's common stock on the date of grant and recognized over the applicable vesting period. Expense for incentive stock units is updated as necessary based on the Company's performance.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the restricted stock, restricted stock unit and incentive stock unit activity and related information for the six months ended June 30, 2026:</w:t>
      </w:r>
    </w:p>
    <w:tbl>
      <w:tblPr>
        <w:tblW w:w="8841" w:type="dxa"/>
        <w:jc w:val="left"/>
        <w:tblInd w:w="0" w:type="dxa"/>
        <w:tblLayout w:type="fixed"/>
        <w:tblCellMar>
          <w:top w:w="28" w:type="dxa"/>
          <w:left w:w="28" w:type="dxa"/>
          <w:bottom w:w="28" w:type="dxa"/>
          <w:right w:w="28" w:type="dxa"/>
        </w:tblCellMar>
      </w:tblPr>
      <w:tblGrid>
        <w:gridCol w:w="1663"/>
        <w:gridCol w:w="1460"/>
        <w:gridCol w:w="1467"/>
        <w:gridCol w:w="449"/>
        <w:gridCol w:w="451"/>
        <w:gridCol w:w="281"/>
        <w:gridCol w:w="109"/>
        <w:gridCol w:w="109"/>
        <w:gridCol w:w="109"/>
        <w:gridCol w:w="449"/>
        <w:gridCol w:w="451"/>
        <w:gridCol w:w="256"/>
        <w:gridCol w:w="109"/>
        <w:gridCol w:w="109"/>
        <w:gridCol w:w="109"/>
        <w:gridCol w:w="245"/>
        <w:gridCol w:w="837"/>
        <w:gridCol w:w="178"/>
      </w:tblGrid>
      <w:tr>
        <w:trPr/>
        <w:tc>
          <w:tcPr>
            <w:tcW w:w="1663" w:type="dxa"/>
            <w:tcBorders/>
            <w:vAlign w:val="center"/>
          </w:tcPr>
          <w:p>
            <w:pPr>
              <w:pStyle w:val="TableContents"/>
              <w:bidi w:val="0"/>
              <w:spacing w:before="0" w:after="283"/>
              <w:jc w:val="left"/>
              <w:rPr>
                <w:sz w:val="4"/>
                <w:szCs w:val="4"/>
              </w:rPr>
            </w:pPr>
            <w:r>
              <w:rPr>
                <w:sz w:val="4"/>
                <w:szCs w:val="4"/>
              </w:rPr>
            </w:r>
          </w:p>
        </w:tc>
        <w:tc>
          <w:tcPr>
            <w:tcW w:w="1460" w:type="dxa"/>
            <w:tcBorders/>
            <w:vAlign w:val="center"/>
          </w:tcPr>
          <w:p>
            <w:pPr>
              <w:pStyle w:val="TableContents"/>
              <w:bidi w:val="0"/>
              <w:spacing w:before="0" w:after="283"/>
              <w:jc w:val="left"/>
              <w:rPr>
                <w:sz w:val="4"/>
                <w:szCs w:val="4"/>
              </w:rPr>
            </w:pPr>
            <w:r>
              <w:rPr>
                <w:sz w:val="4"/>
                <w:szCs w:val="4"/>
              </w:rPr>
            </w:r>
          </w:p>
        </w:tc>
        <w:tc>
          <w:tcPr>
            <w:tcW w:w="1467"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r>
      <w:tr>
        <w:trPr/>
        <w:tc>
          <w:tcPr>
            <w:tcW w:w="45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Restricted</w:t>
              <w:br/>
              <w:t>Stock</w:t>
              <w:br/>
              <w:t>and Units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Incentive</w:t>
              <w:br/>
              <w:t>Stock</w:t>
              <w:br/>
              <w:t>Units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w:t>
              <w:br/>
              <w:t>Average Grant</w:t>
              <w:br/>
              <w:t>Date Fair</w:t>
              <w:br/>
              <w:t>Value</w:t>
            </w:r>
          </w:p>
        </w:tc>
      </w:tr>
      <w:tr>
        <w:trPr/>
        <w:tc>
          <w:tcPr>
            <w:tcW w:w="45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at December 31, 2025</w:t>
            </w:r>
          </w:p>
        </w:tc>
        <w:tc>
          <w:tcPr>
            <w:tcW w:w="90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592,576 </w:t>
            </w:r>
          </w:p>
        </w:tc>
        <w:tc>
          <w:tcPr>
            <w:tcW w:w="28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872,053 </w:t>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147.49 </w:t>
            </w:r>
          </w:p>
        </w:tc>
        <w:tc>
          <w:tcPr>
            <w:tcW w:w="17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205,309 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209,179 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254.37 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Vested</w:t>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(272,126)</w:t>
            </w:r>
          </w:p>
        </w:tc>
        <w:tc>
          <w:tcPr>
            <w:tcW w:w="2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(348,127)</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121.17 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 for incentive stock awards expected to vest</w:t>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138,513 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168.69 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Canceled</w:t>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(6,437)</w:t>
            </w:r>
          </w:p>
        </w:tc>
        <w:tc>
          <w:tcPr>
            <w:tcW w:w="2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181.69 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at June 30, 2026</w:t>
            </w:r>
          </w:p>
        </w:tc>
        <w:tc>
          <w:tcPr>
            <w:tcW w:w="900"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519,322 </w:t>
            </w:r>
          </w:p>
        </w:tc>
        <w:tc>
          <w:tcPr>
            <w:tcW w:w="28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871,618 </w:t>
            </w:r>
          </w:p>
        </w:tc>
        <w:tc>
          <w:tcPr>
            <w:tcW w:w="2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193.03 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5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10. INCOME TAXES </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the overall effective tax rate for the three and six months ended June 30, 2026 and 2025:</w:t>
      </w:r>
    </w:p>
    <w:tbl>
      <w:tblPr>
        <w:tblW w:w="6477" w:type="dxa"/>
        <w:jc w:val="left"/>
        <w:tblInd w:w="0" w:type="dxa"/>
        <w:tblLayout w:type="fixed"/>
        <w:tblCellMar>
          <w:top w:w="28" w:type="dxa"/>
          <w:left w:w="28" w:type="dxa"/>
          <w:bottom w:w="28" w:type="dxa"/>
          <w:right w:w="28" w:type="dxa"/>
        </w:tblCellMar>
      </w:tblPr>
      <w:tblGrid>
        <w:gridCol w:w="826"/>
        <w:gridCol w:w="724"/>
        <w:gridCol w:w="730"/>
        <w:gridCol w:w="255"/>
        <w:gridCol w:w="256"/>
        <w:gridCol w:w="416"/>
        <w:gridCol w:w="167"/>
        <w:gridCol w:w="167"/>
        <w:gridCol w:w="167"/>
        <w:gridCol w:w="210"/>
        <w:gridCol w:w="210"/>
        <w:gridCol w:w="210"/>
        <w:gridCol w:w="109"/>
        <w:gridCol w:w="109"/>
        <w:gridCol w:w="109"/>
        <w:gridCol w:w="210"/>
        <w:gridCol w:w="210"/>
        <w:gridCol w:w="210"/>
        <w:gridCol w:w="169"/>
        <w:gridCol w:w="169"/>
        <w:gridCol w:w="169"/>
        <w:gridCol w:w="198"/>
        <w:gridCol w:w="198"/>
        <w:gridCol w:w="279"/>
      </w:tblGrid>
      <w:tr>
        <w:trPr/>
        <w:tc>
          <w:tcPr>
            <w:tcW w:w="826"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r>
      <w:tr>
        <w:trPr/>
        <w:tc>
          <w:tcPr>
            <w:tcW w:w="2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w:t>
              <w:br/>
              <w:t>June 30,</w:t>
            </w:r>
          </w:p>
        </w:tc>
      </w:tr>
      <w:tr>
        <w:trPr/>
        <w:tc>
          <w:tcPr>
            <w:tcW w:w="2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5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50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22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Overall Effective Tax Rate</w:t>
            </w:r>
          </w:p>
        </w:tc>
        <w:tc>
          <w:tcPr>
            <w:tcW w:w="51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23.4 </w:t>
            </w:r>
          </w:p>
        </w:tc>
        <w:tc>
          <w:tcPr>
            <w:tcW w:w="4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w:t>
            </w:r>
          </w:p>
        </w:tc>
        <w:tc>
          <w:tcPr>
            <w:tcW w:w="5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w:t>
            </w:r>
          </w:p>
        </w:tc>
      </w:tr>
    </w:tbl>
    <w:p>
      <w:pPr>
        <w:pStyle w:val="TextBody"/>
        <w:bidi w:val="0"/>
        <w:spacing w:lineRule="auto" w:line="288" w:before="18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year over year decrease in the effective rate for the three months ended June 30, 2026 was primarily driven by prior period audit settlements. The year over year decrease in the effective tax rate for the six months ended June 30, 2026 was primarily driven by prior period audit settlements and higher discrete equity compensation tax deductions.</w:t>
      </w:r>
    </w:p>
    <w:p>
      <w:pPr>
        <w:pStyle w:val="TextBody"/>
        <w:bidi w:val="0"/>
        <w:spacing w:before="0" w:after="0"/>
        <w:ind w:left="0" w:right="0" w:firstLine="5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 xml:space="preserve">11. EARNINGS PER SHARE </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Company’s non-vested restricted stock contains rights to receive non-forfeitable dividends, and thus are participating securities requiring the two-class method of computing earnings per share. The calculation of earnings per share for common stock excludes the income attributable to the non-vested restricted stock from the numerator, which results in approximately 0.2% of Net income attributable to Wabtec shareholders being allocated to non-vested restricted stock for both the three and six months ended June 30, 2026, and approximately 0.3% of Net income attributable to Wabtec shareholders being allocated to non-vested restricted stock for both the three and six months ended June 30, 2025, respectively. Additionally, the dilutive impact of the assumed conversion of non-vested restricted stock is excluded from the denominator of the diluted weighted average shares outstanding. The computation of basic and diluted earnings per share for Net income attributable to Wabtec shareholders is as follows: </w:t>
      </w:r>
    </w:p>
    <w:tbl>
      <w:tblPr>
        <w:tblW w:w="10205" w:type="dxa"/>
        <w:jc w:val="left"/>
        <w:tblInd w:w="0" w:type="dxa"/>
        <w:tblLayout w:type="fixed"/>
        <w:tblCellMar>
          <w:top w:w="28" w:type="dxa"/>
          <w:left w:w="28" w:type="dxa"/>
          <w:bottom w:w="28" w:type="dxa"/>
          <w:right w:w="28" w:type="dxa"/>
        </w:tblCellMar>
      </w:tblPr>
      <w:tblGrid>
        <w:gridCol w:w="2243"/>
        <w:gridCol w:w="1797"/>
        <w:gridCol w:w="1813"/>
        <w:gridCol w:w="211"/>
        <w:gridCol w:w="511"/>
        <w:gridCol w:w="109"/>
        <w:gridCol w:w="109"/>
        <w:gridCol w:w="109"/>
        <w:gridCol w:w="109"/>
        <w:gridCol w:w="211"/>
        <w:gridCol w:w="511"/>
        <w:gridCol w:w="109"/>
        <w:gridCol w:w="109"/>
        <w:gridCol w:w="109"/>
        <w:gridCol w:w="109"/>
        <w:gridCol w:w="211"/>
        <w:gridCol w:w="511"/>
        <w:gridCol w:w="109"/>
        <w:gridCol w:w="109"/>
        <w:gridCol w:w="109"/>
        <w:gridCol w:w="109"/>
        <w:gridCol w:w="211"/>
        <w:gridCol w:w="511"/>
        <w:gridCol w:w="156"/>
      </w:tblGrid>
      <w:tr>
        <w:trPr/>
        <w:tc>
          <w:tcPr>
            <w:tcW w:w="2243" w:type="dxa"/>
            <w:tcBorders/>
            <w:vAlign w:val="center"/>
          </w:tcPr>
          <w:p>
            <w:pPr>
              <w:pStyle w:val="TableContents"/>
              <w:bidi w:val="0"/>
              <w:spacing w:before="0" w:after="283"/>
              <w:jc w:val="left"/>
              <w:rPr>
                <w:sz w:val="4"/>
                <w:szCs w:val="4"/>
              </w:rPr>
            </w:pPr>
            <w:r>
              <w:rPr>
                <w:sz w:val="4"/>
                <w:szCs w:val="4"/>
              </w:rPr>
            </w:r>
          </w:p>
        </w:tc>
        <w:tc>
          <w:tcPr>
            <w:tcW w:w="1797" w:type="dxa"/>
            <w:tcBorders/>
            <w:vAlign w:val="center"/>
          </w:tcPr>
          <w:p>
            <w:pPr>
              <w:pStyle w:val="TableContents"/>
              <w:bidi w:val="0"/>
              <w:spacing w:before="0" w:after="283"/>
              <w:jc w:val="left"/>
              <w:rPr>
                <w:sz w:val="4"/>
                <w:szCs w:val="4"/>
              </w:rPr>
            </w:pPr>
            <w:r>
              <w:rPr>
                <w:sz w:val="4"/>
                <w:szCs w:val="4"/>
              </w:rPr>
            </w:r>
          </w:p>
        </w:tc>
        <w:tc>
          <w:tcPr>
            <w:tcW w:w="181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8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r>
      <w:tr>
        <w:trPr/>
        <w:tc>
          <w:tcPr>
            <w:tcW w:w="58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u w:val="single"/>
              </w:rPr>
            </w:pPr>
            <w:r>
              <w:rPr>
                <w:rFonts w:ascii="Times New Roman;serif" w:hAnsi="Times New Roman;serif"/>
                <w:b/>
                <w:i/>
                <w:color w:val="000000"/>
                <w:sz w:val="16"/>
                <w:u w:val="single"/>
              </w:rPr>
              <w:t>In millions, except per share data</w:t>
            </w:r>
          </w:p>
        </w:tc>
        <w:tc>
          <w:tcPr>
            <w:tcW w:w="8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58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Numerator</w:t>
            </w:r>
          </w:p>
        </w:tc>
        <w:tc>
          <w:tcPr>
            <w:tcW w:w="831"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Wabtec shareholders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Net income allocated to non-vested restricted stock</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Numerator for basic and diluted earnings per common share</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656 </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Denominator</w:t>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shares outstanding - basic</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dilutive securities:</w:t>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Assumed conversion of dilutive stock-based compensation plans excluding non-vested restricted stock</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Assumed conversion of dilutive non-vested restricted stock</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shares outstanding - diluted</w:t>
            </w:r>
          </w:p>
        </w:tc>
        <w:tc>
          <w:tcPr>
            <w:tcW w:w="72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171.2 </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Earnings per common share attributable to Wabtec shareholders</w:t>
            </w:r>
          </w:p>
        </w:tc>
        <w:tc>
          <w:tcPr>
            <w:tcW w:w="83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5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12. WARRANTIES </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reconciles the changes in the Company’s product warranty reserve for the six months ended June 30, 2026 and 2025: </w:t>
      </w:r>
    </w:p>
    <w:tbl>
      <w:tblPr>
        <w:tblW w:w="4404" w:type="dxa"/>
        <w:jc w:val="left"/>
        <w:tblInd w:w="0" w:type="dxa"/>
        <w:tblLayout w:type="fixed"/>
        <w:tblCellMar>
          <w:top w:w="28" w:type="dxa"/>
          <w:left w:w="28" w:type="dxa"/>
          <w:bottom w:w="28" w:type="dxa"/>
          <w:right w:w="28" w:type="dxa"/>
        </w:tblCellMar>
      </w:tblPr>
      <w:tblGrid>
        <w:gridCol w:w="891"/>
        <w:gridCol w:w="781"/>
        <w:gridCol w:w="788"/>
        <w:gridCol w:w="211"/>
        <w:gridCol w:w="466"/>
        <w:gridCol w:w="109"/>
        <w:gridCol w:w="109"/>
        <w:gridCol w:w="109"/>
        <w:gridCol w:w="109"/>
        <w:gridCol w:w="211"/>
        <w:gridCol w:w="466"/>
        <w:gridCol w:w="154"/>
      </w:tblGrid>
      <w:tr>
        <w:trPr/>
        <w:tc>
          <w:tcPr>
            <w:tcW w:w="89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u w:val="single"/>
              </w:rPr>
            </w:pPr>
            <w:r>
              <w:rPr>
                <w:rFonts w:ascii="Times New Roman;serif" w:hAnsi="Times New Roman;serif"/>
                <w:b/>
                <w:i/>
                <w:color w:val="000000"/>
                <w:sz w:val="16"/>
                <w:u w:val="single"/>
              </w:rPr>
              <w:t>In millions</w:t>
            </w:r>
          </w:p>
        </w:tc>
        <w:tc>
          <w:tcPr>
            <w:tcW w:w="7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24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beginning of year</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Warranty expense</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Warranty claim payments</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Acquisitions</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impact</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Balance at June 30</w:t>
            </w:r>
          </w:p>
        </w:tc>
        <w:tc>
          <w:tcPr>
            <w:tcW w:w="211"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298 </w:t>
            </w:r>
          </w:p>
        </w:tc>
        <w:tc>
          <w:tcPr>
            <w:tcW w:w="109"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286 </w:t>
            </w:r>
          </w:p>
        </w:tc>
        <w:tc>
          <w:tcPr>
            <w:tcW w:w="154"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5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13. FAIR VALUE MEASUREMENT AND DERIVATIVE INSTRUMENTS</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ASC 820 “Fair Value Measurements and Disclosures” defines fair value, establishes a framework for measuring fair value and explains the related disclosure requirements. ASC 820 indicates, among other things, that a fair value measurement assumes that the transaction to sell an asset or transfer a liability occurs in the principal market for the asset or liability or, in the absence of a principal market, the most advantageous market for the asset or liability and defines fair value based upon an exit price model.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ind w:left="0" w:right="0" w:firstLine="540"/>
        <w:jc w:val="left"/>
        <w:rPr/>
      </w:pPr>
      <w:r>
        <w:rPr>
          <w:rFonts w:ascii="Times New Roman;serif" w:hAnsi="Times New Roman;serif"/>
          <w:b/>
          <w:color w:val="000000"/>
          <w:sz w:val="20"/>
        </w:rPr>
        <w:t xml:space="preserve">Valuation Hierarchy. </w:t>
      </w:r>
      <w:r>
        <w:rPr>
          <w:rFonts w:ascii="Times New Roman;serif" w:hAnsi="Times New Roman;serif"/>
          <w:b w:val="false"/>
          <w:color w:val="000000"/>
          <w:sz w:val="20"/>
        </w:rPr>
        <w:t>ASC 820 establishes a valuation hierarchy for disclosure of the inputs to valuation used to measure fair value. This hierarchy prioritizes the inputs into three broad levels as follows. Level 1 inputs are quoted prices (unadjusted) in active markets for identical assets or liabilities. Level 2 inputs are quoted prices for similar assets and liabilities in active markets or inputs that are observable for the asset or liability, either directly or indirectly through market corroboration, for substantially the full term of the financial instrument. Level 3 inputs are unobservable inputs based on the Company’s assumptions used to measure assets and liabilities at fair value. A financial asset or liability’s classification within the hierarchy is determined based on the lowest level input that is significant to the fair value measurement.</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Company’s cash, cash equivalents and restricted cash are highly liquid investments purchased with an original maturity of three months or less and are considered Level 1 on the fair value valuation hierarchy. The fair value of cash, cash equivalents and restricted cash approximated the carrying value at June 30, 2026 and December 31, 2025. The Senior Notes are considered Level 2 based on the fair value valuation hierarchy. </w:t>
      </w:r>
    </w:p>
    <w:p>
      <w:pPr>
        <w:pStyle w:val="TextBody"/>
        <w:bidi w:val="0"/>
        <w:spacing w:lineRule="auto" w:line="288" w:before="120" w:after="283"/>
        <w:ind w:left="0" w:right="0" w:firstLine="540"/>
        <w:jc w:val="left"/>
        <w:rPr/>
      </w:pPr>
      <w:r>
        <w:rPr>
          <w:rFonts w:ascii="Times New Roman;serif" w:hAnsi="Times New Roman;serif"/>
          <w:b/>
          <w:i/>
          <w:color w:val="000000"/>
          <w:sz w:val="20"/>
        </w:rPr>
        <w:t xml:space="preserve">Hedging Activities </w:t>
      </w:r>
      <w:r>
        <w:rPr>
          <w:rFonts w:ascii="Times New Roman;serif" w:hAnsi="Times New Roman;serif"/>
          <w:b w:val="false"/>
          <w:color w:val="000000"/>
          <w:sz w:val="20"/>
        </w:rPr>
        <w:t>In the normal course of business, the Company is exposed to market risk related to interest rates, commodity prices and foreign currency exchange rate fluctuations, which may adversely affect our operating results and financial position. At times, we limit these risks through the use of derivatives such as cross-currency swaps, foreign currency forward contracts, interest rate swaps, commodity swaps and options. These hedging contracts are valued using broker quotations, or market transactions in either the listed or over-the-counter markets. As such, these derivative instruments are classified within Level 2. In accordance with our policy, derivatives are only used for hedging purposes. We do not use derivatives for trading or speculative purposes.</w:t>
      </w:r>
    </w:p>
    <w:p>
      <w:pPr>
        <w:pStyle w:val="TextBody"/>
        <w:bidi w:val="0"/>
        <w:spacing w:lineRule="auto" w:line="288" w:before="120" w:after="283"/>
        <w:ind w:left="0" w:right="0" w:firstLine="540"/>
        <w:jc w:val="left"/>
        <w:rPr/>
      </w:pPr>
      <w:r>
        <w:rPr>
          <w:rFonts w:ascii="Times New Roman;serif" w:hAnsi="Times New Roman;serif"/>
          <w:b w:val="false"/>
          <w:color w:val="000000"/>
          <w:sz w:val="20"/>
        </w:rPr>
        <w:t xml:space="preserve">The Company uses forward contracts to hedge forecasted foreign currency denominated sales of finished goods and future settlement of foreign currency denominated assets and liabilities. The Company may use </w:t>
      </w:r>
      <w:r>
        <w:rPr>
          <w:rFonts w:ascii="Times New Roman;serif" w:hAnsi="Times New Roman;serif"/>
          <w:b w:val="false"/>
          <w:color w:val="000000"/>
          <w:sz w:val="20"/>
          <w:shd w:fill="FFFFFF" w:val="clear"/>
        </w:rPr>
        <w:t>interest rate hedge contracts on certain investing and borrowing transactions to manage its net exposure to interest rate changes and to manage its overall cost of borrowing. During the second quarter of 2026, the Company entered into new interest rate hedge contracts to manage interest rate risk for a portion of future expected debt transactions. The Company may also use commodity forward swaps to manage its exposure to commodity price changes and to reduce its overall cost of manufacturing.</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Company has also established balance sheet risk management and net investment hedging programs to protect its balance sheet against foreign currency exchange rate volatility. We conduct our business worldwide in U.S. dollars and the functional currencies of our foreign subsidiaries, including euro, Indian rupee, British pound sterling, Australian dollars, Canadian dollars, Brazilian real, Kazakhstani tenge, and several other foreign currencies. Changes in these foreign currency exchange rates could have a material adverse impact on our financial results that are reported in U.S. dollars. We are also exposed to foreign currency exchange rate risk related to our foreign subsidiaries, including intercompany loans denominated in non-functional currencies. We hedge these exposures using foreign currency swap contracts and cross-currency swaps to offset the potential income statement effects on intercompany loans denominated in non-functional currencies. These programs reduce but do not eliminate foreign currency exchange rate risk entirely. Net gains and losses related to the Company's hedging activities, except as described below, were not material for the three and six months ended June 30, 2026 and 2025.</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During 2025, in connection with the acquisitions of Frauscher and Dellner Couplers, the Company entered into foreign exchange contracts for a notional value of €1,290 million to mitigate foreign currency exposure of the purchase prices. As part of the acquisition of Frauscher in the fourth quarter of 2025, the Company utilized foreign exchange forward contracts with a notional value of €690 million. As part of the acquisition of Dellner Couplers in the first quarter of 2026, the Company utilized foreign exchange forward contracts with a notional value of €600 million. The contracts are not designated as accounting hedges under Topic 815 of ASC, and as such, the gains and losses are recorded as a component of Other (expense) income, net. For the six months ended June 30, 2026, these contracts resulted in a net gain of $2 million. For the three and six months ended June 30, 2025, these contracts resulted in a gain of $32 million.</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At June 30, 2026, the Company had a total gross notional amount of designated and non-designated derivatives of $639 million and $466 million, respectively. At December 31, 2025, the Company had a total gross notional amount of designated and non-designated derivatives of $467 million and $1.355 billion, respectively. The related assets and liabilities at both June 30, 2026 and December 31, 2025 were not significant.</w:t>
      </w:r>
    </w:p>
    <w:p>
      <w:pPr>
        <w:pStyle w:val="TextBody"/>
        <w:bidi w:val="0"/>
        <w:spacing w:before="0" w:after="0"/>
        <w:ind w:left="0" w:right="0" w:firstLine="5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14. COMMITMENTS AND CONTINGENCIES </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Company is subject to a variety of environmental laws and regulations governing discharges to air and water, the handling, storage and disposal of hazardous or solid waste materials and the remediation of contamination associated with releases of hazardous substances. The Company believes its operations currently comply in all material respects with all of the various environmental laws and regulations applicable to our business; however, there can be no assurance that environmental requirements will not change in the future or that we will not incur significant costs to comply with such requirements.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Claims have been filed against the Company and certain of its affiliates in various jurisdictions across the United States by persons alleging bodily injury as a result of exposure to asbestos-containing products. The vast majority of the claims are submitted to insurance carriers for defense and indemnity, or to non-affiliated companies that retain the liabilities for the asbestos-containing products at issue. We cannot, however, assure that all of these claims will be fully covered by insurance, or that the indemnitors or insurers will remain financially viable. Our ultimate legal and financial liability with respect to these claims, as is the case with other pending litigation, cannot be estimated. A limited number of claims are not covered by insurance, nor are they subject to indemnity from non-affiliated parties. Management believes that the costs of the Company’s asbestos-related cases will not be material to the Company’s overall financial position, results of operations and cash flows. </w:t>
      </w:r>
    </w:p>
    <w:p>
      <w:pPr>
        <w:pStyle w:val="TextBody"/>
        <w:bidi w:val="0"/>
        <w:spacing w:lineRule="auto" w:line="288" w:before="120" w:after="283"/>
        <w:ind w:left="0" w:right="0" w:firstLine="540"/>
        <w:jc w:val="left"/>
        <w:rPr/>
      </w:pPr>
      <w:r>
        <w:rPr>
          <w:rFonts w:ascii="Times New Roman;serif" w:hAnsi="Times New Roman;serif"/>
          <w:b w:val="false"/>
          <w:color w:val="000000"/>
          <w:sz w:val="20"/>
        </w:rPr>
        <w:t>During the third quarter of 2023, a competitor of the Company, Progress Rail (“Progress”), which is a Caterpillar Inc. company, sued the Company in the U.S. District Court for the District of Delaware asserting antitrust, breach of contract, unfair competition law, defamation and false advertising claims. In February 2026, the Company and Progress Rail</w:t>
      </w:r>
      <w:r>
        <w:rPr>
          <w:color w:val="000000"/>
        </w:rPr>
        <w:t xml:space="preserve"> </w:t>
      </w:r>
      <w:r>
        <w:rPr>
          <w:rFonts w:ascii="Times New Roman;serif" w:hAnsi="Times New Roman;serif"/>
          <w:b w:val="false"/>
          <w:color w:val="000000"/>
          <w:sz w:val="20"/>
        </w:rPr>
        <w:t>agreed to settle all of Progress Rail’s claims without admission of liability by the Company, and the settlement did not have any impact on the Company’s operating results or cash flows.</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From time to time the Company is involved in litigation relating to claims arising out of its operations in the ordinary course of business. As of the date hereof, the Company is involved in no litigation that the Company believes will have a material adverse effect on its financial condition, results of operations or liquidity.</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15. SEGMENT INFORMATION </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Company has two reportable segments—the Freight Segment and the Transit Segment. The key factors used to identify these reportable segments are the organization and alignment of the Company’s internal operations, the nature of the products and services and customer type. The Company's business segments are:</w:t>
      </w:r>
    </w:p>
    <w:p>
      <w:pPr>
        <w:pStyle w:val="TextBody"/>
        <w:bidi w:val="0"/>
        <w:spacing w:lineRule="auto" w:line="288" w:before="120" w:after="283"/>
        <w:ind w:left="0" w:right="0" w:firstLine="540"/>
        <w:jc w:val="left"/>
        <w:rPr/>
      </w:pPr>
      <w:r>
        <w:rPr>
          <w:rFonts w:ascii="Times New Roman;serif" w:hAnsi="Times New Roman;serif"/>
          <w:b w:val="false"/>
          <w:color w:val="000000"/>
          <w:sz w:val="20"/>
        </w:rPr>
        <w:t>Freight Segment</w:t>
      </w:r>
      <w:r>
        <w:rPr>
          <w:color w:val="000000"/>
        </w:rPr>
        <w:t xml:space="preserve"> </w:t>
      </w:r>
      <w:r>
        <w:rPr>
          <w:rFonts w:ascii="Times New Roman;serif" w:hAnsi="Times New Roman;serif"/>
          <w:b w:val="false"/>
          <w:color w:val="000000"/>
          <w:sz w:val="20"/>
        </w:rPr>
        <w:t>builds, rebuilds, upgrades, and overhauls locomotives, services locomotives and freight cars, and provides a range of component and digital solutions for customers in the freight and transit rail, mining, and marine industries. It also manufactures and services components for new and existing freight cars and locomotives, supplies railway electronics, positive train control equipment, signal design and engineering services, maintenance of way, and provides heat exchange and cooling systems for locomotives and power generation equipment. Customers include large, publicly traded railroads, leasing companies, manufacturers of original equipment such as locomotives and freight cars, and utilities, and also serves companies in the mining, marine, and industrial markets and applications. We refer to sales of both goods, such as spare parts and equipment upgrades, and related services, such as monitoring, maintenance and repairs, as sales in our Services product line.</w:t>
      </w:r>
    </w:p>
    <w:p>
      <w:pPr>
        <w:pStyle w:val="TextBody"/>
        <w:bidi w:val="0"/>
        <w:spacing w:lineRule="auto" w:line="288" w:before="120" w:after="283"/>
        <w:ind w:left="0" w:right="0" w:firstLine="540"/>
        <w:jc w:val="left"/>
        <w:rPr/>
      </w:pPr>
      <w:r>
        <w:rPr>
          <w:rFonts w:ascii="Times New Roman;serif" w:hAnsi="Times New Roman;serif"/>
          <w:b w:val="false"/>
          <w:color w:val="000000"/>
          <w:sz w:val="20"/>
        </w:rPr>
        <w:t>Transit Segment</w:t>
      </w:r>
      <w:r>
        <w:rPr>
          <w:color w:val="000000"/>
        </w:rPr>
        <w:t xml:space="preserve"> </w:t>
      </w:r>
      <w:r>
        <w:rPr>
          <w:rFonts w:ascii="Times New Roman;serif" w:hAnsi="Times New Roman;serif"/>
          <w:b w:val="false"/>
          <w:color w:val="000000"/>
          <w:sz w:val="20"/>
        </w:rPr>
        <w:t xml:space="preserve">primarily manufactures and services components and train connection systems for new and existing passenger transit vehicles, typically regional trains, high speed trains, subway cars, light-rail vehicles and buses. It also refurbishes subway cars and provides heating, ventilation, and air conditioning equipment and doors for buses and subway cars. Customers include public transit authorities and municipalities, leasing companies and manufacturers of passenger transit vehicles and buses, and companies in the electrical generation, distribution, and charging industries. </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Wabtec’s chief operating decision maker ("CODM") is the Company’s Chairman and Chief Executive Officer, Rafael Santana. Mr. Santana utilizes Income (loss) from operations as the primary reported measure of segment profit or loss in assessing segment performance and deciding how to allocate resources. For both of the Company’s segments, the CODM uses segment Income (loss) from operations to make operational and personnel related decisions across the business. The CODM considers actual, budgeted and forecasted Income (loss) from operations on a monthly basis for evaluating the performance of each segment and making decisions about allocating capital and other resources to each segment. Additionally, Gross margin is used by the CODM as a secondary measure of segment profit or loss in assessing segment performance and deciding how to allocate resources. For both of the Company’s segments, the CODM uses segment Gross margin to make commercial and operational related decisions across the business. </w:t>
      </w:r>
    </w:p>
    <w:p>
      <w:pPr>
        <w:pStyle w:val="TextBody"/>
        <w:bidi w:val="0"/>
        <w:spacing w:lineRule="auto" w:line="288" w:before="120" w:after="6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Intersegment sales are accounted for at prices that are generally established by reference to similar transactions with unaffiliated customers. Corporate activities include general corporate expenses, elimination of certain intersegment transactions, interest income and expense and other unallocated charges. Segment assets for the Freight and Transit Segment include assets directly utilized for segment operations, as well as the related goodwill and intangible assets. Corporate segment assets include cash, cash equivalents, and restricted cash, equity method investment assets, certain tax assets, receivables held by our bankruptcy-remote facility, pension assets, corporate headquarters' assets and other asset balances that are managed outside of operating segments. </w:t>
      </w:r>
    </w:p>
    <w:p>
      <w:pPr>
        <w:pStyle w:val="TextBody"/>
        <w:bidi w:val="0"/>
        <w:spacing w:lineRule="auto" w:line="288" w:before="120" w:after="6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Cost of sales for both segments represents costs directly related to manufacturing products and providing services. Primary costs include raw materials, direct labor, overhead, shipping and handling, warehousing, and the depreciation of manufacturing, warehousing and distribution facilities. Selling, general and administrative expenses for both segments represent costs incurred in managing the business, including salary, benefits, professional fees and operating costs associated with each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60"/>
        <w:jc w:val="left"/>
        <w:rPr>
          <w:rFonts w:ascii="Times New Roman;serif" w:hAnsi="Times New Roman;serif"/>
          <w:b w:val="false"/>
          <w:color w:val="000000"/>
          <w:sz w:val="20"/>
        </w:rPr>
      </w:pPr>
      <w:r>
        <w:rPr>
          <w:rFonts w:ascii="Times New Roman;serif" w:hAnsi="Times New Roman;serif"/>
          <w:b w:val="false"/>
          <w:color w:val="000000"/>
          <w:sz w:val="20"/>
        </w:rPr>
        <w:t>segment’s non-manufacturing activities. The amounts of depreciation and amortization disclosed by reportable segment are included within their respective segment expense captions, such as Cost of sales, Selling, general &amp; administrative expenses and Amortization expense.</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Segment financial information for the three months ended June 30, 2026 is as follows:</w:t>
      </w:r>
    </w:p>
    <w:tbl>
      <w:tblPr>
        <w:tblW w:w="9106" w:type="dxa"/>
        <w:jc w:val="left"/>
        <w:tblInd w:w="0" w:type="dxa"/>
        <w:tblLayout w:type="fixed"/>
        <w:tblCellMar>
          <w:top w:w="28" w:type="dxa"/>
          <w:left w:w="28" w:type="dxa"/>
          <w:bottom w:w="28" w:type="dxa"/>
          <w:right w:w="28" w:type="dxa"/>
        </w:tblCellMar>
      </w:tblPr>
      <w:tblGrid>
        <w:gridCol w:w="1298"/>
        <w:gridCol w:w="1139"/>
        <w:gridCol w:w="1147"/>
        <w:gridCol w:w="211"/>
        <w:gridCol w:w="721"/>
        <w:gridCol w:w="271"/>
        <w:gridCol w:w="109"/>
        <w:gridCol w:w="109"/>
        <w:gridCol w:w="109"/>
        <w:gridCol w:w="211"/>
        <w:gridCol w:w="616"/>
        <w:gridCol w:w="271"/>
        <w:gridCol w:w="109"/>
        <w:gridCol w:w="109"/>
        <w:gridCol w:w="109"/>
        <w:gridCol w:w="259"/>
        <w:gridCol w:w="760"/>
        <w:gridCol w:w="135"/>
        <w:gridCol w:w="109"/>
        <w:gridCol w:w="109"/>
        <w:gridCol w:w="109"/>
        <w:gridCol w:w="211"/>
        <w:gridCol w:w="721"/>
        <w:gridCol w:w="154"/>
      </w:tblGrid>
      <w:tr>
        <w:trPr/>
        <w:tc>
          <w:tcPr>
            <w:tcW w:w="1298" w:type="dxa"/>
            <w:tcBorders/>
            <w:vAlign w:val="center"/>
          </w:tcPr>
          <w:p>
            <w:pPr>
              <w:pStyle w:val="TableContents"/>
              <w:bidi w:val="0"/>
              <w:spacing w:before="0" w:after="283"/>
              <w:jc w:val="left"/>
              <w:rPr>
                <w:sz w:val="4"/>
                <w:szCs w:val="4"/>
              </w:rPr>
            </w:pPr>
            <w:r>
              <w:rPr>
                <w:sz w:val="4"/>
                <w:szCs w:val="4"/>
              </w:rPr>
            </w:r>
          </w:p>
        </w:tc>
        <w:tc>
          <w:tcPr>
            <w:tcW w:w="1139" w:type="dxa"/>
            <w:tcBorders/>
            <w:vAlign w:val="center"/>
          </w:tcPr>
          <w:p>
            <w:pPr>
              <w:pStyle w:val="TableContents"/>
              <w:bidi w:val="0"/>
              <w:spacing w:before="0" w:after="283"/>
              <w:jc w:val="left"/>
              <w:rPr>
                <w:sz w:val="4"/>
                <w:szCs w:val="4"/>
              </w:rPr>
            </w:pPr>
            <w:r>
              <w:rPr>
                <w:sz w:val="4"/>
                <w:szCs w:val="4"/>
              </w:rPr>
            </w:r>
          </w:p>
        </w:tc>
        <w:tc>
          <w:tcPr>
            <w:tcW w:w="114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u w:val="single"/>
              </w:rPr>
            </w:pPr>
            <w:r>
              <w:rPr>
                <w:rFonts w:ascii="Times New Roman;serif" w:hAnsi="Times New Roman;serif"/>
                <w:b/>
                <w:i/>
                <w:color w:val="000000"/>
                <w:sz w:val="16"/>
                <w:u w:val="single"/>
              </w:rPr>
              <w:t>In millions</w:t>
            </w:r>
          </w:p>
        </w:tc>
        <w:tc>
          <w:tcPr>
            <w:tcW w:w="12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Freight</w:t>
              <w:br/>
              <w:t>Segment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Transit</w:t>
              <w:br/>
              <w:t>Segment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Corporate</w:t>
              <w:br/>
              <w:t>Activities and</w:t>
              <w:br/>
              <w:t>Elimination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to external customers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2,243 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936 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3,179 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sales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(1,389)</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(629)</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854 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1,161 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Gross margin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38.1 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32.8 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&amp; administrative expenses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Engineering expenses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expense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(loss) from operations</w:t>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504 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w:t>
            </w:r>
          </w:p>
        </w:tc>
        <w:tc>
          <w:tcPr>
            <w:tcW w:w="13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600 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and other, net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(loss) before income taxes</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504 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w:t>
            </w:r>
          </w:p>
        </w:tc>
        <w:tc>
          <w:tcPr>
            <w:tcW w:w="13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518 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Intersegment sales/(elimination)</w:t>
            </w:r>
          </w:p>
        </w:tc>
        <w:tc>
          <w:tcPr>
            <w:tcW w:w="21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271"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271"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0"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w:t>
            </w:r>
          </w:p>
        </w:tc>
        <w:tc>
          <w:tcPr>
            <w:tcW w:w="135"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 expenditures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assets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15,917 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5,578 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1,633 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23,128 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Segment financial information for the three months ended June 30, 2025 is as follows:</w:t>
      </w:r>
    </w:p>
    <w:tbl>
      <w:tblPr>
        <w:tblW w:w="9106" w:type="dxa"/>
        <w:jc w:val="left"/>
        <w:tblInd w:w="0" w:type="dxa"/>
        <w:tblLayout w:type="fixed"/>
        <w:tblCellMar>
          <w:top w:w="28" w:type="dxa"/>
          <w:left w:w="28" w:type="dxa"/>
          <w:bottom w:w="28" w:type="dxa"/>
          <w:right w:w="28" w:type="dxa"/>
        </w:tblCellMar>
      </w:tblPr>
      <w:tblGrid>
        <w:gridCol w:w="1298"/>
        <w:gridCol w:w="1139"/>
        <w:gridCol w:w="1147"/>
        <w:gridCol w:w="211"/>
        <w:gridCol w:w="721"/>
        <w:gridCol w:w="271"/>
        <w:gridCol w:w="109"/>
        <w:gridCol w:w="109"/>
        <w:gridCol w:w="109"/>
        <w:gridCol w:w="211"/>
        <w:gridCol w:w="616"/>
        <w:gridCol w:w="271"/>
        <w:gridCol w:w="109"/>
        <w:gridCol w:w="109"/>
        <w:gridCol w:w="109"/>
        <w:gridCol w:w="259"/>
        <w:gridCol w:w="760"/>
        <w:gridCol w:w="135"/>
        <w:gridCol w:w="109"/>
        <w:gridCol w:w="109"/>
        <w:gridCol w:w="109"/>
        <w:gridCol w:w="211"/>
        <w:gridCol w:w="721"/>
        <w:gridCol w:w="154"/>
      </w:tblGrid>
      <w:tr>
        <w:trPr/>
        <w:tc>
          <w:tcPr>
            <w:tcW w:w="1298" w:type="dxa"/>
            <w:tcBorders/>
            <w:vAlign w:val="center"/>
          </w:tcPr>
          <w:p>
            <w:pPr>
              <w:pStyle w:val="TableContents"/>
              <w:bidi w:val="0"/>
              <w:spacing w:before="0" w:after="283"/>
              <w:jc w:val="left"/>
              <w:rPr>
                <w:sz w:val="4"/>
                <w:szCs w:val="4"/>
              </w:rPr>
            </w:pPr>
            <w:r>
              <w:rPr>
                <w:sz w:val="4"/>
                <w:szCs w:val="4"/>
              </w:rPr>
            </w:r>
          </w:p>
        </w:tc>
        <w:tc>
          <w:tcPr>
            <w:tcW w:w="1139" w:type="dxa"/>
            <w:tcBorders/>
            <w:vAlign w:val="center"/>
          </w:tcPr>
          <w:p>
            <w:pPr>
              <w:pStyle w:val="TableContents"/>
              <w:bidi w:val="0"/>
              <w:spacing w:before="0" w:after="283"/>
              <w:jc w:val="left"/>
              <w:rPr>
                <w:sz w:val="4"/>
                <w:szCs w:val="4"/>
              </w:rPr>
            </w:pPr>
            <w:r>
              <w:rPr>
                <w:sz w:val="4"/>
                <w:szCs w:val="4"/>
              </w:rPr>
            </w:r>
          </w:p>
        </w:tc>
        <w:tc>
          <w:tcPr>
            <w:tcW w:w="114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u w:val="single"/>
              </w:rPr>
            </w:pPr>
            <w:r>
              <w:rPr>
                <w:rFonts w:ascii="Times New Roman;serif" w:hAnsi="Times New Roman;serif"/>
                <w:b/>
                <w:i/>
                <w:color w:val="000000"/>
                <w:sz w:val="16"/>
                <w:u w:val="single"/>
              </w:rPr>
              <w:t>In millions</w:t>
            </w:r>
          </w:p>
        </w:tc>
        <w:tc>
          <w:tcPr>
            <w:tcW w:w="12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Freight</w:t>
              <w:br/>
              <w:t>Segment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Transit</w:t>
              <w:br/>
              <w:t>Segment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Corporate</w:t>
              <w:br/>
              <w:t>Activities and</w:t>
              <w:br/>
              <w:t>Elimination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to external customers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1,919 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787 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2,706 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sales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(546)</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697 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938 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Gross margin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36.3 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30.7 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&amp; administrative expenses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Engineering expenses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expense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(loss) from operations</w:t>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415 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w:t>
            </w:r>
          </w:p>
        </w:tc>
        <w:tc>
          <w:tcPr>
            <w:tcW w:w="13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472 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and other, net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(loss) before income taxes</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415 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w:t>
            </w:r>
          </w:p>
        </w:tc>
        <w:tc>
          <w:tcPr>
            <w:tcW w:w="13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Intersegment sales/(elimination)</w:t>
            </w:r>
          </w:p>
        </w:tc>
        <w:tc>
          <w:tcPr>
            <w:tcW w:w="21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271"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271"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0"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w:t>
            </w:r>
          </w:p>
        </w:tc>
        <w:tc>
          <w:tcPr>
            <w:tcW w:w="135"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 expenditures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assets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13,390 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4,405 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2,596 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20,391 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Segment financial information for the six months ended June 30, 2026 is as follows:</w:t>
      </w:r>
    </w:p>
    <w:tbl>
      <w:tblPr>
        <w:tblW w:w="8897" w:type="dxa"/>
        <w:jc w:val="left"/>
        <w:tblInd w:w="0" w:type="dxa"/>
        <w:tblLayout w:type="fixed"/>
        <w:tblCellMar>
          <w:top w:w="28" w:type="dxa"/>
          <w:left w:w="28" w:type="dxa"/>
          <w:bottom w:w="28" w:type="dxa"/>
          <w:right w:w="28" w:type="dxa"/>
        </w:tblCellMar>
      </w:tblPr>
      <w:tblGrid>
        <w:gridCol w:w="1298"/>
        <w:gridCol w:w="1139"/>
        <w:gridCol w:w="1147"/>
        <w:gridCol w:w="211"/>
        <w:gridCol w:w="616"/>
        <w:gridCol w:w="271"/>
        <w:gridCol w:w="109"/>
        <w:gridCol w:w="109"/>
        <w:gridCol w:w="109"/>
        <w:gridCol w:w="211"/>
        <w:gridCol w:w="616"/>
        <w:gridCol w:w="271"/>
        <w:gridCol w:w="109"/>
        <w:gridCol w:w="109"/>
        <w:gridCol w:w="109"/>
        <w:gridCol w:w="304"/>
        <w:gridCol w:w="694"/>
        <w:gridCol w:w="157"/>
        <w:gridCol w:w="109"/>
        <w:gridCol w:w="109"/>
        <w:gridCol w:w="109"/>
        <w:gridCol w:w="211"/>
        <w:gridCol w:w="616"/>
        <w:gridCol w:w="154"/>
      </w:tblGrid>
      <w:tr>
        <w:trPr/>
        <w:tc>
          <w:tcPr>
            <w:tcW w:w="1298" w:type="dxa"/>
            <w:tcBorders/>
            <w:vAlign w:val="center"/>
          </w:tcPr>
          <w:p>
            <w:pPr>
              <w:pStyle w:val="TableContents"/>
              <w:bidi w:val="0"/>
              <w:spacing w:before="0" w:after="283"/>
              <w:jc w:val="left"/>
              <w:rPr>
                <w:sz w:val="4"/>
                <w:szCs w:val="4"/>
              </w:rPr>
            </w:pPr>
            <w:r>
              <w:rPr>
                <w:sz w:val="4"/>
                <w:szCs w:val="4"/>
              </w:rPr>
            </w:r>
          </w:p>
        </w:tc>
        <w:tc>
          <w:tcPr>
            <w:tcW w:w="1139" w:type="dxa"/>
            <w:tcBorders/>
            <w:vAlign w:val="center"/>
          </w:tcPr>
          <w:p>
            <w:pPr>
              <w:pStyle w:val="TableContents"/>
              <w:bidi w:val="0"/>
              <w:spacing w:before="0" w:after="283"/>
              <w:jc w:val="left"/>
              <w:rPr>
                <w:sz w:val="4"/>
                <w:szCs w:val="4"/>
              </w:rPr>
            </w:pPr>
            <w:r>
              <w:rPr>
                <w:sz w:val="4"/>
                <w:szCs w:val="4"/>
              </w:rPr>
            </w:r>
          </w:p>
        </w:tc>
        <w:tc>
          <w:tcPr>
            <w:tcW w:w="114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u w:val="single"/>
              </w:rPr>
            </w:pPr>
            <w:r>
              <w:rPr>
                <w:rFonts w:ascii="Times New Roman;serif" w:hAnsi="Times New Roman;serif"/>
                <w:b/>
                <w:i/>
                <w:color w:val="000000"/>
                <w:sz w:val="16"/>
                <w:u w:val="single"/>
              </w:rPr>
              <w:t>In millions</w:t>
            </w:r>
          </w:p>
        </w:tc>
        <w:tc>
          <w:tcPr>
            <w:tcW w:w="10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Freight</w:t>
              <w:br/>
              <w:t>Segment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Transit</w:t>
              <w:br/>
              <w:t>Segment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Corporate</w:t>
              <w:br/>
              <w:t>Activities and</w:t>
              <w:br/>
              <w:t>Elimination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to external customers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4,358 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1,771 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6,129 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sales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(2,716)</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(3,907)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1,642 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580 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2,222 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Gross margin</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37.7 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32.7 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&amp; administrative expenses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(438)</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Engineering expenses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expense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(loss) from operations</w:t>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954 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w:t>
            </w:r>
          </w:p>
        </w:tc>
        <w:tc>
          <w:tcPr>
            <w:tcW w:w="15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1,117 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and other, net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(loss) before income taxes</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954 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w:t>
            </w:r>
          </w:p>
        </w:tc>
        <w:tc>
          <w:tcPr>
            <w:tcW w:w="15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987 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Intersegment sales/(elimination)</w:t>
            </w:r>
          </w:p>
        </w:tc>
        <w:tc>
          <w:tcPr>
            <w:tcW w:w="21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271"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271"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4"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w:t>
            </w:r>
          </w:p>
        </w:tc>
        <w:tc>
          <w:tcPr>
            <w:tcW w:w="157"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 expenditures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Segment financial information for the six months ended June 30, 2025 is as follows:</w:t>
      </w:r>
    </w:p>
    <w:tbl>
      <w:tblPr>
        <w:tblW w:w="8897" w:type="dxa"/>
        <w:jc w:val="left"/>
        <w:tblInd w:w="0" w:type="dxa"/>
        <w:tblLayout w:type="fixed"/>
        <w:tblCellMar>
          <w:top w:w="28" w:type="dxa"/>
          <w:left w:w="28" w:type="dxa"/>
          <w:bottom w:w="28" w:type="dxa"/>
          <w:right w:w="28" w:type="dxa"/>
        </w:tblCellMar>
      </w:tblPr>
      <w:tblGrid>
        <w:gridCol w:w="1298"/>
        <w:gridCol w:w="1139"/>
        <w:gridCol w:w="1147"/>
        <w:gridCol w:w="211"/>
        <w:gridCol w:w="616"/>
        <w:gridCol w:w="271"/>
        <w:gridCol w:w="109"/>
        <w:gridCol w:w="109"/>
        <w:gridCol w:w="109"/>
        <w:gridCol w:w="211"/>
        <w:gridCol w:w="616"/>
        <w:gridCol w:w="271"/>
        <w:gridCol w:w="109"/>
        <w:gridCol w:w="109"/>
        <w:gridCol w:w="109"/>
        <w:gridCol w:w="304"/>
        <w:gridCol w:w="694"/>
        <w:gridCol w:w="157"/>
        <w:gridCol w:w="109"/>
        <w:gridCol w:w="109"/>
        <w:gridCol w:w="109"/>
        <w:gridCol w:w="211"/>
        <w:gridCol w:w="616"/>
        <w:gridCol w:w="154"/>
      </w:tblGrid>
      <w:tr>
        <w:trPr/>
        <w:tc>
          <w:tcPr>
            <w:tcW w:w="1298" w:type="dxa"/>
            <w:tcBorders/>
            <w:vAlign w:val="center"/>
          </w:tcPr>
          <w:p>
            <w:pPr>
              <w:pStyle w:val="TableContents"/>
              <w:bidi w:val="0"/>
              <w:spacing w:before="0" w:after="283"/>
              <w:jc w:val="left"/>
              <w:rPr>
                <w:sz w:val="4"/>
                <w:szCs w:val="4"/>
              </w:rPr>
            </w:pPr>
            <w:r>
              <w:rPr>
                <w:sz w:val="4"/>
                <w:szCs w:val="4"/>
              </w:rPr>
            </w:r>
          </w:p>
        </w:tc>
        <w:tc>
          <w:tcPr>
            <w:tcW w:w="1139" w:type="dxa"/>
            <w:tcBorders/>
            <w:vAlign w:val="center"/>
          </w:tcPr>
          <w:p>
            <w:pPr>
              <w:pStyle w:val="TableContents"/>
              <w:bidi w:val="0"/>
              <w:spacing w:before="0" w:after="283"/>
              <w:jc w:val="left"/>
              <w:rPr>
                <w:sz w:val="4"/>
                <w:szCs w:val="4"/>
              </w:rPr>
            </w:pPr>
            <w:r>
              <w:rPr>
                <w:sz w:val="4"/>
                <w:szCs w:val="4"/>
              </w:rPr>
            </w:r>
          </w:p>
        </w:tc>
        <w:tc>
          <w:tcPr>
            <w:tcW w:w="114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u w:val="single"/>
              </w:rPr>
            </w:pPr>
            <w:r>
              <w:rPr>
                <w:rFonts w:ascii="Times New Roman;serif" w:hAnsi="Times New Roman;serif"/>
                <w:b/>
                <w:i/>
                <w:color w:val="000000"/>
                <w:sz w:val="16"/>
                <w:u w:val="single"/>
              </w:rPr>
              <w:t>In millions</w:t>
            </w:r>
          </w:p>
        </w:tc>
        <w:tc>
          <w:tcPr>
            <w:tcW w:w="10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Freight</w:t>
              <w:br/>
              <w:t>Segment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Transit</w:t>
              <w:br/>
              <w:t>Segment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Corporate</w:t>
              <w:br/>
              <w:t>Activities and</w:t>
              <w:br/>
              <w:t>Elimination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to external customers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3,820 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1,496 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5,316 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sales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1,382 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456 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1,838 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Gross margin</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36.2 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30.5 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&amp; administrative expenses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(345)</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Engineering expenses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expense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(loss) from operations</w:t>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835 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w:t>
            </w:r>
          </w:p>
        </w:tc>
        <w:tc>
          <w:tcPr>
            <w:tcW w:w="15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946 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and other, net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(loss) before income taxes</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835 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w:t>
            </w:r>
          </w:p>
        </w:tc>
        <w:tc>
          <w:tcPr>
            <w:tcW w:w="15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876 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Intersegment sales/(elimination)</w:t>
            </w:r>
          </w:p>
        </w:tc>
        <w:tc>
          <w:tcPr>
            <w:tcW w:w="21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271"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271"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4"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w:t>
            </w:r>
          </w:p>
        </w:tc>
        <w:tc>
          <w:tcPr>
            <w:tcW w:w="157"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 expenditures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120" w:after="283"/>
        <w:ind w:left="0" w:right="0" w:firstLine="5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Sales to external customers by product line are as follows:</w:t>
      </w:r>
    </w:p>
    <w:tbl>
      <w:tblPr>
        <w:tblW w:w="7977" w:type="dxa"/>
        <w:jc w:val="left"/>
        <w:tblInd w:w="0" w:type="dxa"/>
        <w:tblLayout w:type="fixed"/>
        <w:tblCellMar>
          <w:top w:w="28" w:type="dxa"/>
          <w:left w:w="28" w:type="dxa"/>
          <w:bottom w:w="28" w:type="dxa"/>
          <w:right w:w="28" w:type="dxa"/>
        </w:tblCellMar>
      </w:tblPr>
      <w:tblGrid>
        <w:gridCol w:w="1043"/>
        <w:gridCol w:w="917"/>
        <w:gridCol w:w="920"/>
        <w:gridCol w:w="109"/>
        <w:gridCol w:w="109"/>
        <w:gridCol w:w="109"/>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211"/>
        <w:gridCol w:w="616"/>
        <w:gridCol w:w="154"/>
      </w:tblGrid>
      <w:tr>
        <w:trPr/>
        <w:tc>
          <w:tcPr>
            <w:tcW w:w="1043"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w:t>
              <w:br/>
              <w:t>June 30,</w:t>
            </w:r>
          </w:p>
        </w:tc>
      </w:tr>
      <w:tr>
        <w:trPr/>
        <w:tc>
          <w:tcPr>
            <w:tcW w:w="28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u w:val="single"/>
              </w:rPr>
            </w:pPr>
            <w:r>
              <w:rPr>
                <w:rFonts w:ascii="Times New Roman;serif" w:hAnsi="Times New Roman;serif"/>
                <w:b/>
                <w:i/>
                <w:color w:val="000000"/>
                <w:sz w:val="16"/>
                <w:u w:val="single"/>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28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Freight Segment: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Services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Components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Digital Intelligence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Freight Segment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4,358 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3,820 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Transit Segment: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Original Equipment Manufacturer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Aftermarket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Transit Segment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936 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787 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1,771 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1,496 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283"/>
        <w:ind w:left="0" w:right="0" w:firstLine="5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16. OTHER (EXPENSE) INCOME, NET</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The components of Other (expense) income, net are as follows: </w:t>
      </w:r>
    </w:p>
    <w:tbl>
      <w:tblPr>
        <w:tblW w:w="8175" w:type="dxa"/>
        <w:jc w:val="left"/>
        <w:tblInd w:w="0" w:type="dxa"/>
        <w:tblLayout w:type="fixed"/>
        <w:tblCellMar>
          <w:top w:w="28" w:type="dxa"/>
          <w:left w:w="28" w:type="dxa"/>
          <w:bottom w:w="28" w:type="dxa"/>
          <w:right w:w="28" w:type="dxa"/>
        </w:tblCellMar>
      </w:tblPr>
      <w:tblGrid>
        <w:gridCol w:w="1433"/>
        <w:gridCol w:w="1260"/>
        <w:gridCol w:w="1266"/>
        <w:gridCol w:w="109"/>
        <w:gridCol w:w="109"/>
        <w:gridCol w:w="109"/>
        <w:gridCol w:w="223"/>
        <w:gridCol w:w="350"/>
        <w:gridCol w:w="115"/>
        <w:gridCol w:w="115"/>
        <w:gridCol w:w="115"/>
        <w:gridCol w:w="115"/>
        <w:gridCol w:w="223"/>
        <w:gridCol w:w="382"/>
        <w:gridCol w:w="115"/>
        <w:gridCol w:w="109"/>
        <w:gridCol w:w="109"/>
        <w:gridCol w:w="109"/>
        <w:gridCol w:w="211"/>
        <w:gridCol w:w="361"/>
        <w:gridCol w:w="109"/>
        <w:gridCol w:w="109"/>
        <w:gridCol w:w="109"/>
        <w:gridCol w:w="109"/>
        <w:gridCol w:w="211"/>
        <w:gridCol w:w="436"/>
        <w:gridCol w:w="154"/>
      </w:tblGrid>
      <w:tr>
        <w:trPr/>
        <w:tc>
          <w:tcPr>
            <w:tcW w:w="1433" w:type="dxa"/>
            <w:tcBorders/>
            <w:vAlign w:val="center"/>
          </w:tcPr>
          <w:p>
            <w:pPr>
              <w:pStyle w:val="TableContents"/>
              <w:bidi w:val="0"/>
              <w:spacing w:before="0" w:after="283"/>
              <w:jc w:val="left"/>
              <w:rPr>
                <w:sz w:val="4"/>
                <w:szCs w:val="4"/>
              </w:rPr>
            </w:pPr>
            <w:r>
              <w:rPr>
                <w:sz w:val="4"/>
                <w:szCs w:val="4"/>
              </w:rPr>
            </w:r>
          </w:p>
        </w:tc>
        <w:tc>
          <w:tcPr>
            <w:tcW w:w="1260" w:type="dxa"/>
            <w:tcBorders/>
            <w:vAlign w:val="center"/>
          </w:tcPr>
          <w:p>
            <w:pPr>
              <w:pStyle w:val="TableContents"/>
              <w:bidi w:val="0"/>
              <w:spacing w:before="0" w:after="283"/>
              <w:jc w:val="left"/>
              <w:rPr>
                <w:sz w:val="4"/>
                <w:szCs w:val="4"/>
              </w:rPr>
            </w:pPr>
            <w:r>
              <w:rPr>
                <w:sz w:val="4"/>
                <w:szCs w:val="4"/>
              </w:rPr>
            </w:r>
          </w:p>
        </w:tc>
        <w:tc>
          <w:tcPr>
            <w:tcW w:w="12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w:t>
              <w:br/>
              <w:t>June 30,</w:t>
            </w:r>
          </w:p>
        </w:tc>
      </w:tr>
      <w:tr>
        <w:trPr/>
        <w:tc>
          <w:tcPr>
            <w:tcW w:w="39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u w:val="single"/>
              </w:rPr>
            </w:pPr>
            <w:r>
              <w:rPr>
                <w:rFonts w:ascii="Times New Roman;serif" w:hAnsi="Times New Roman;serif"/>
                <w:b/>
                <w:i/>
                <w:color w:val="000000"/>
                <w:sz w:val="16"/>
                <w:u w:val="single"/>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3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(loss) gain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5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11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8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11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on mark-to-market derivatives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 income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return on pension assets/amortization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miscellaneous expense,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(expense) income,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5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1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8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11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3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During 2025, in connection with the acquisitions of Frauscher and Dellner Couplers, the Company entered into foreign exchange contracts for a notional value of €1,290 million to mitigate foreign currency exposure of the purchase prices. As part of the acquisition of Frauscher in the fourth quarter of 2025, the Company utilized foreign exchange forward contracts with a notional value of €690 million. As part of the acquisition of Dellner Couplers in the first quarter of 2026, the Company utilized foreign exchange forward contracts with a notional value of €600 million. The contracts are not designated as accounting hedges under Topic 815 of ASC, and as such, the gains and losses are recorded as a component of Other income (expense), net. For the six months ended June 30, 2026, these contracts resulted in a net gain of $2 million. For the three and six months ended June 30, 2025, these contracts resulted in a net gain of $32 million.</w:t>
      </w:r>
    </w:p>
    <w:p>
      <w:pPr>
        <w:pStyle w:val="TextBody"/>
        <w:bidi w:val="0"/>
        <w:spacing w:before="120" w:after="283"/>
        <w:ind w:left="0" w:right="0" w:firstLine="5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17. RESTRUCTURING</w:t>
      </w:r>
    </w:p>
    <w:p>
      <w:pPr>
        <w:pStyle w:val="TextBody"/>
        <w:bidi w:val="0"/>
        <w:spacing w:lineRule="auto" w:line="26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Wabtec is focused on driving operational efficiency and improving profitability while reducing manufacturing complexity. As a result, there are key strategic initiatives aimed at achieving these focus areas. </w:t>
      </w:r>
    </w:p>
    <w:p>
      <w:pPr>
        <w:pStyle w:val="TextBody"/>
        <w:bidi w:val="0"/>
        <w:spacing w:lineRule="auto" w:line="268" w:before="120" w:after="283"/>
        <w:jc w:val="left"/>
        <w:rPr>
          <w:rFonts w:ascii="Times New Roman;serif" w:hAnsi="Times New Roman;serif"/>
          <w:b w:val="false"/>
          <w:i/>
          <w:color w:val="000000"/>
          <w:sz w:val="20"/>
        </w:rPr>
      </w:pPr>
      <w:r>
        <w:rPr>
          <w:rFonts w:ascii="Times New Roman;serif" w:hAnsi="Times New Roman;serif"/>
          <w:b w:val="false"/>
          <w:i/>
          <w:color w:val="000000"/>
          <w:sz w:val="20"/>
        </w:rPr>
        <w:t>Integration 3.0</w:t>
      </w:r>
    </w:p>
    <w:p>
      <w:pPr>
        <w:pStyle w:val="TextBody"/>
        <w:bidi w:val="0"/>
        <w:spacing w:lineRule="auto" w:line="26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Integration 3.0 is a multi-year strategic initiative to further consolidate our footprint, reduce complexity and streamline manufacturing, engineering, administrative, and commercial activities. The Company anticipates that it will incur one-time restructuring charges related to Integration 3.0 of approximately $80 million to $100 million. Net charges to date of $43 million were primarily for employee-related costs.</w:t>
      </w:r>
    </w:p>
    <w:p>
      <w:pPr>
        <w:pStyle w:val="TextBody"/>
        <w:bidi w:val="0"/>
        <w:spacing w:lineRule="auto" w:line="26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 summary of restructuring charges related to the Integration 3.0 initiative is as follows:</w:t>
      </w:r>
    </w:p>
    <w:tbl>
      <w:tblPr>
        <w:tblW w:w="7665" w:type="dxa"/>
        <w:jc w:val="left"/>
        <w:tblInd w:w="0" w:type="dxa"/>
        <w:tblLayout w:type="fixed"/>
        <w:tblCellMar>
          <w:top w:w="28" w:type="dxa"/>
          <w:left w:w="28" w:type="dxa"/>
          <w:bottom w:w="28" w:type="dxa"/>
          <w:right w:w="28" w:type="dxa"/>
        </w:tblCellMar>
      </w:tblPr>
      <w:tblGrid>
        <w:gridCol w:w="1406"/>
        <w:gridCol w:w="1236"/>
        <w:gridCol w:w="1243"/>
        <w:gridCol w:w="211"/>
        <w:gridCol w:w="406"/>
        <w:gridCol w:w="109"/>
        <w:gridCol w:w="109"/>
        <w:gridCol w:w="109"/>
        <w:gridCol w:w="109"/>
        <w:gridCol w:w="211"/>
        <w:gridCol w:w="406"/>
        <w:gridCol w:w="109"/>
        <w:gridCol w:w="109"/>
        <w:gridCol w:w="109"/>
        <w:gridCol w:w="109"/>
        <w:gridCol w:w="211"/>
        <w:gridCol w:w="256"/>
        <w:gridCol w:w="109"/>
        <w:gridCol w:w="109"/>
        <w:gridCol w:w="109"/>
        <w:gridCol w:w="109"/>
        <w:gridCol w:w="211"/>
        <w:gridCol w:w="406"/>
        <w:gridCol w:w="154"/>
      </w:tblGrid>
      <w:tr>
        <w:trPr/>
        <w:tc>
          <w:tcPr>
            <w:tcW w:w="1406" w:type="dxa"/>
            <w:tcBorders/>
            <w:vAlign w:val="center"/>
          </w:tcPr>
          <w:p>
            <w:pPr>
              <w:pStyle w:val="TableContents"/>
              <w:bidi w:val="0"/>
              <w:spacing w:before="0" w:after="283"/>
              <w:jc w:val="left"/>
              <w:rPr>
                <w:sz w:val="4"/>
                <w:szCs w:val="4"/>
              </w:rPr>
            </w:pPr>
            <w:r>
              <w:rPr>
                <w:sz w:val="4"/>
                <w:szCs w:val="4"/>
              </w:rPr>
            </w:r>
          </w:p>
        </w:tc>
        <w:tc>
          <w:tcPr>
            <w:tcW w:w="1236" w:type="dxa"/>
            <w:tcBorders/>
            <w:vAlign w:val="center"/>
          </w:tcPr>
          <w:p>
            <w:pPr>
              <w:pStyle w:val="TableContents"/>
              <w:bidi w:val="0"/>
              <w:spacing w:before="0" w:after="283"/>
              <w:jc w:val="left"/>
              <w:rPr>
                <w:sz w:val="4"/>
                <w:szCs w:val="4"/>
              </w:rPr>
            </w:pPr>
            <w:r>
              <w:rPr>
                <w:sz w:val="4"/>
                <w:szCs w:val="4"/>
              </w:rPr>
            </w:r>
          </w:p>
        </w:tc>
        <w:tc>
          <w:tcPr>
            <w:tcW w:w="124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w:t>
              <w:br/>
              <w:t>June 30,</w:t>
            </w:r>
          </w:p>
        </w:tc>
      </w:tr>
      <w:tr>
        <w:trPr/>
        <w:tc>
          <w:tcPr>
            <w:tcW w:w="38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u w:val="single"/>
              </w:rPr>
            </w:pPr>
            <w:r>
              <w:rPr>
                <w:rFonts w:ascii="Times New Roman;serif" w:hAnsi="Times New Roman;serif"/>
                <w:b/>
                <w:i/>
                <w:color w:val="000000"/>
                <w:sz w:val="16"/>
                <w:u w:val="single"/>
              </w:rPr>
              <w:t>In millions</w:t>
            </w:r>
          </w:p>
        </w:tc>
        <w:tc>
          <w:tcPr>
            <w:tcW w:w="7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38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Freight Segment:</w:t>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goods sold</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w:t>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Freight Segment</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5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Transit Segment:</w:t>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goods sold</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Transit Segment</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w:t>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Integration 3.0 restructuring charges, net</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120" w:after="283"/>
        <w:jc w:val="left"/>
        <w:rPr>
          <w:rFonts w:ascii="Times New Roman;serif" w:hAnsi="Times New Roman;serif"/>
          <w:b w:val="false"/>
          <w:i/>
          <w:color w:val="000000"/>
          <w:sz w:val="20"/>
        </w:rPr>
      </w:pPr>
      <w:r>
        <w:rPr>
          <w:rFonts w:ascii="Times New Roman;serif" w:hAnsi="Times New Roman;serif"/>
          <w:b w:val="false"/>
          <w:i/>
          <w:color w:val="000000"/>
          <w:sz w:val="20"/>
        </w:rPr>
        <w:t>Portfolio Optimization</w:t>
      </w:r>
    </w:p>
    <w:p>
      <w:pPr>
        <w:pStyle w:val="TextBody"/>
        <w:bidi w:val="0"/>
        <w:spacing w:lineRule="auto" w:line="26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Wabtec is focused on exiting various low margin product offerings through Portfolio Optimization to improve profitability while reducing manufacturing complexity. There were no material charges or cash payments during the three and six months ended June 30, 2026. Wabtec recorded net charges of approximately $3 million during the six months ended June 30, 2025, primarily for asset write downs related to Portfolio Optimization. Total one-time restructuring charges related to Portfolio Optimization to date are approximately $100 million. </w:t>
      </w:r>
    </w:p>
    <w:p>
      <w:pPr>
        <w:pStyle w:val="TextBody"/>
        <w:bidi w:val="0"/>
        <w:spacing w:lineRule="auto" w:line="268" w:before="120" w:after="283"/>
        <w:jc w:val="left"/>
        <w:rPr>
          <w:rFonts w:ascii="Times New Roman;serif" w:hAnsi="Times New Roman;serif"/>
          <w:b w:val="false"/>
          <w:i/>
          <w:color w:val="000000"/>
          <w:sz w:val="20"/>
        </w:rPr>
      </w:pPr>
      <w:r>
        <w:rPr>
          <w:rFonts w:ascii="Times New Roman;serif" w:hAnsi="Times New Roman;serif"/>
          <w:b w:val="false"/>
          <w:i/>
          <w:color w:val="000000"/>
          <w:sz w:val="20"/>
        </w:rPr>
        <w:t>Integration 2.0</w:t>
      </w:r>
    </w:p>
    <w:p>
      <w:pPr>
        <w:pStyle w:val="TextBody"/>
        <w:bidi w:val="0"/>
        <w:spacing w:lineRule="auto" w:line="26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Integration 2.0 is a multi-year strategic initiative to review and consolidate our operating footprint, reduce headcount, streamline the end-to-end manufacturing process, restructure the North America distribution channels, expand operations in low-cost countries, and simplify the business through systems enablement. The Company anticipates that it will incur one-time restructuring charges related to Integration 2.0 of up to approximately $170 million, of which approximately $147 million has been incurred to date. There were no material charges or cash payments during the three and six months ended June 30, 2026 and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hanging="1080"/>
        <w:jc w:val="left"/>
        <w:rPr>
          <w:rFonts w:ascii="Times New Roman;serif" w:hAnsi="Times New Roman;serif"/>
          <w:b/>
          <w:color w:val="000000"/>
          <w:sz w:val="20"/>
        </w:rPr>
      </w:pPr>
      <w:r>
        <w:rPr>
          <w:rFonts w:ascii="Times New Roman;serif" w:hAnsi="Times New Roman;serif"/>
          <w:b/>
          <w:color w:val="000000"/>
          <w:sz w:val="20"/>
        </w:rPr>
        <w:t>Item 2.    MANAGEMENT’S DISCUSSION AND ANALYSIS OF FINANCIAL CONDITION AND RESULTS OF OPERATIONS</w:t>
      </w:r>
    </w:p>
    <w:p>
      <w:pPr>
        <w:pStyle w:val="TextBody"/>
        <w:bidi w:val="0"/>
        <w:spacing w:lineRule="auto" w:line="288" w:before="120" w:after="283"/>
        <w:ind w:left="0" w:right="0" w:firstLine="540"/>
        <w:jc w:val="left"/>
        <w:rPr>
          <w:rFonts w:ascii="Times New Roman;serif" w:hAnsi="Times New Roman;serif"/>
          <w:b w:val="false"/>
          <w:i/>
          <w:color w:val="000000"/>
          <w:sz w:val="18"/>
        </w:rPr>
      </w:pPr>
      <w:r>
        <w:rPr>
          <w:rFonts w:ascii="Times New Roman;serif" w:hAnsi="Times New Roman;serif"/>
          <w:b w:val="false"/>
          <w:i/>
          <w:color w:val="000000"/>
          <w:sz w:val="18"/>
        </w:rPr>
        <w:t xml:space="preserve">The following discussion should be read in conjunction with the information in the unaudited condensed consolidated financial statements and notes thereto included herein and Westinghouse Air Brake Technologies Corporation’s Financial Statements and Management’s Discussion and Analysis of Financial Condition and Results of Operations included in its Annual Report on Form 10-K for the year ended December 31, 2025, filed with the Securities and Exchange Commission on February 13, 2026.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 xml:space="preserve">OVERVIEW </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Wabtec is a global provider of value-added, technology-based locomotives, equipment, systems, and services for the freight rail and passenger transit industries, as well as the mining, marine and industrial markets and applications. Our highly engineered rail and transit products, which are designed to enhance safety, improve productivity and reduce maintenance costs for customers, can be found on most locomotives, freight cars, passenger transit cars and buses around the world. Our core products and services are essential in the safe and efficient operation of freight rail and passenger transit vehicles. Wabtec is a global company with operations in over 50 countries and our products can be found in more than 100 countries worldwide. In the first six months of 2026, approximately half of the Company’s net sales were generated from customers outside the United States. </w:t>
      </w:r>
    </w:p>
    <w:p>
      <w:pPr>
        <w:pStyle w:val="TextBody"/>
        <w:bidi w:val="0"/>
        <w:spacing w:lineRule="auto" w:line="288" w:before="120" w:after="283"/>
        <w:jc w:val="left"/>
        <w:rPr>
          <w:rFonts w:ascii="Times New Roman;serif" w:hAnsi="Times New Roman;serif"/>
          <w:b w:val="false"/>
          <w:i/>
          <w:color w:val="000000"/>
          <w:sz w:val="20"/>
        </w:rPr>
      </w:pPr>
      <w:r>
        <w:rPr>
          <w:rFonts w:ascii="Times New Roman;serif" w:hAnsi="Times New Roman;serif"/>
          <w:b w:val="false"/>
          <w:i/>
          <w:color w:val="000000"/>
          <w:sz w:val="20"/>
        </w:rPr>
        <w:t>Business Update</w:t>
      </w:r>
    </w:p>
    <w:p>
      <w:pPr>
        <w:pStyle w:val="TextBody"/>
        <w:bidi w:val="0"/>
        <w:spacing w:lineRule="auto" w:line="26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During the first quarter of 2025, Wabtec announced a definitive agreement to acquire Dellner Couplers, a global leader in highly engineered safety-critical train connection systems and services for passenger rail rolling stock. The acquisition subsequently closed on February 10, 2026 for approximately $1.053 billion and is included within our Transit Segment. </w:t>
      </w:r>
    </w:p>
    <w:p>
      <w:pPr>
        <w:pStyle w:val="TextBody"/>
        <w:bidi w:val="0"/>
        <w:spacing w:lineRule="auto" w:line="26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Total multi-year backlog increased $3.5 billion during the first six months of 2026 to a record $30.9 billion at June 30, 2026. Significant Freight orders included a multi-year, multi-billion-dollar mining contract for drive systems and aftermarket parts, a $1.0 billion Australian order spanning across new locomotives, components, digital solutions, and multi-year services, a $210 million U.S. locomotive modernization order, a $184 million Positive Train Control (PTC) order, and a $52 million mining drive systems order in the Asia-Pacific region. We also began executing the first EVO modernization build to support the commercial rollout to the installed base. Key Transit orders during the first six months of 2026 included $109 million in brakes, couplers, and platform doors. </w:t>
      </w:r>
    </w:p>
    <w:p>
      <w:pPr>
        <w:pStyle w:val="TextBody"/>
        <w:bidi w:val="0"/>
        <w:spacing w:lineRule="auto" w:line="26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Wabtec is focused on driving operational efficiency and improving profitability while reducing manufacturing complexity. As a result, there are restructuring initiatives, including Integration 3.0, Portfolio Optimization and Integration 2.0, aimed at achieving these focus areas. During the first six months of 2026 and 2025, Wabtec incurred $5 million and $15 million, respectively, of restructuring costs primarily for employee-related costs on programs under these initiatives. In addition, Transaction costs incurred during the six months ended June 30, 2026 and 2025 related to recent acquisitions were approximately $14 million and $35 million, respectively.</w:t>
      </w:r>
    </w:p>
    <w:p>
      <w:pPr>
        <w:pStyle w:val="TextBody"/>
        <w:bidi w:val="0"/>
        <w:spacing w:lineRule="auto" w:line="26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Future macroeconomic volatility, changes to tariffs and trade policies, impacts from regional conflicts and war, supply chain disruptions, and labor availability, amongst other things, could cause a negative impact on revenue and cost increases resulting in an adverse effect on the Company’s operating results. Additionally, broad-based inflation, metals, energy and other commodity costs, transportation and logistics costs, labor costs, and foreign currency exchange rate fluctuations all continue to impact our results. The Company utilizes various mitigating actions intended to lessen the impact of macroeconomic volatility, including the impact of current tariffs. These actions include implementing price escalations and surcharges, driving operational efficiencies through various cost mitigation efforts and discretionary spend management, strategically sourcing materials, reviewing and modifying distribution logistics, and accelerating integration synergies through our strategic initiatives. The Company has experienced increased tariff costs which unfavorably impacted our operating results and cash from operations for the six months ended June 30, 2026. Although we do not expect a material impact to our results of operations in 2026 because of mitigation efforts, due to the volatility of trade policies, we are unable to reasonably predict the future impact.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RESULTS OF OPERATIONS </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Consolidated Results</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SECOND QUARTER 2026 COMPARED TO SECOND QUARTER 2025</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following table shows our Condensed Consolidated Statements of Operations for the periods indicated.</w:t>
      </w:r>
    </w:p>
    <w:tbl>
      <w:tblPr>
        <w:tblW w:w="6879" w:type="dxa"/>
        <w:jc w:val="left"/>
        <w:tblInd w:w="0" w:type="dxa"/>
        <w:tblLayout w:type="fixed"/>
        <w:tblCellMar>
          <w:top w:w="28" w:type="dxa"/>
          <w:left w:w="28" w:type="dxa"/>
          <w:bottom w:w="28" w:type="dxa"/>
          <w:right w:w="28" w:type="dxa"/>
        </w:tblCellMar>
      </w:tblPr>
      <w:tblGrid>
        <w:gridCol w:w="1682"/>
        <w:gridCol w:w="1467"/>
        <w:gridCol w:w="1486"/>
        <w:gridCol w:w="211"/>
        <w:gridCol w:w="616"/>
        <w:gridCol w:w="109"/>
        <w:gridCol w:w="109"/>
        <w:gridCol w:w="109"/>
        <w:gridCol w:w="109"/>
        <w:gridCol w:w="211"/>
        <w:gridCol w:w="616"/>
        <w:gridCol w:w="154"/>
      </w:tblGrid>
      <w:tr>
        <w:trPr/>
        <w:tc>
          <w:tcPr>
            <w:tcW w:w="1682" w:type="dxa"/>
            <w:tcBorders/>
            <w:vAlign w:val="center"/>
          </w:tcPr>
          <w:p>
            <w:pPr>
              <w:pStyle w:val="TableContents"/>
              <w:bidi w:val="0"/>
              <w:spacing w:before="0" w:after="283"/>
              <w:jc w:val="left"/>
              <w:rPr>
                <w:sz w:val="4"/>
                <w:szCs w:val="4"/>
              </w:rPr>
            </w:pPr>
            <w:r>
              <w:rPr>
                <w:sz w:val="4"/>
                <w:szCs w:val="4"/>
              </w:rPr>
            </w:r>
          </w:p>
        </w:tc>
        <w:tc>
          <w:tcPr>
            <w:tcW w:w="1467"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br/>
              <w:t>June 30,</w:t>
            </w:r>
          </w:p>
        </w:tc>
      </w:tr>
      <w:tr>
        <w:trPr/>
        <w:tc>
          <w:tcPr>
            <w:tcW w:w="46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5"/>
                <w:u w:val="single"/>
              </w:rPr>
            </w:pPr>
            <w:r>
              <w:rPr>
                <w:rFonts w:ascii="Times New Roman;serif" w:hAnsi="Times New Roman;serif"/>
                <w:b/>
                <w:i/>
                <w:color w:val="000000"/>
                <w:sz w:val="15"/>
                <w:u w:val="single"/>
              </w:rPr>
              <w:t>In millions</w:t>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6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of goods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of services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Net sales</w:t>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3,179 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2,706 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sales:</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goods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services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Cost of sales</w:t>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(2,018)</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(1,768)</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938 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Engineering expenses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expense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(561)</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(466)</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from operations</w:t>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472 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and expenses:</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 income, net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Income before income taxes </w:t>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339 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Net income attributable to noncontrolling interest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Wabtec shareholders</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395 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following table shows the major components of the change in Net sales in the three months ended June 30, 2026 from the three months ended June 30, 2025:</w:t>
      </w:r>
    </w:p>
    <w:tbl>
      <w:tblPr>
        <w:tblW w:w="7815" w:type="dxa"/>
        <w:jc w:val="left"/>
        <w:tblInd w:w="0" w:type="dxa"/>
        <w:tblLayout w:type="fixed"/>
        <w:tblCellMar>
          <w:top w:w="28" w:type="dxa"/>
          <w:left w:w="28" w:type="dxa"/>
          <w:bottom w:w="28" w:type="dxa"/>
          <w:right w:w="28" w:type="dxa"/>
        </w:tblCellMar>
      </w:tblPr>
      <w:tblGrid>
        <w:gridCol w:w="1298"/>
        <w:gridCol w:w="1141"/>
        <w:gridCol w:w="1146"/>
        <w:gridCol w:w="294"/>
        <w:gridCol w:w="859"/>
        <w:gridCol w:w="152"/>
        <w:gridCol w:w="109"/>
        <w:gridCol w:w="109"/>
        <w:gridCol w:w="109"/>
        <w:gridCol w:w="346"/>
        <w:gridCol w:w="765"/>
        <w:gridCol w:w="179"/>
        <w:gridCol w:w="109"/>
        <w:gridCol w:w="109"/>
        <w:gridCol w:w="109"/>
        <w:gridCol w:w="211"/>
        <w:gridCol w:w="616"/>
        <w:gridCol w:w="154"/>
      </w:tblGrid>
      <w:tr>
        <w:trPr/>
        <w:tc>
          <w:tcPr>
            <w:tcW w:w="1298"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14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u w:val="single"/>
              </w:rPr>
            </w:pPr>
            <w:r>
              <w:rPr>
                <w:rFonts w:ascii="Times New Roman;serif" w:hAnsi="Times New Roman;serif"/>
                <w:b/>
                <w:i/>
                <w:color w:val="000000"/>
                <w:sz w:val="16"/>
                <w:u w:val="single"/>
              </w:rPr>
              <w:t>In millions</w:t>
            </w:r>
          </w:p>
        </w:tc>
        <w:tc>
          <w:tcPr>
            <w:tcW w:w="13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Freight Segment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Transit Segment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Second Quarter 2025 Net sales</w:t>
            </w:r>
          </w:p>
        </w:tc>
        <w:tc>
          <w:tcPr>
            <w:tcW w:w="29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1,919 </w:t>
            </w:r>
          </w:p>
        </w:tc>
        <w:tc>
          <w:tcPr>
            <w:tcW w:w="15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787 </w:t>
            </w:r>
          </w:p>
        </w:tc>
        <w:tc>
          <w:tcPr>
            <w:tcW w:w="17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2,706 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Acquisitions</w:t>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Portfolio Optimization (Divestitures/Exits)</w:t>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Exchange</w:t>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Organic</w:t>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Second Quarter 2026 Net sales</w:t>
            </w:r>
          </w:p>
        </w:tc>
        <w:tc>
          <w:tcPr>
            <w:tcW w:w="29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2,243 </w:t>
            </w:r>
          </w:p>
        </w:tc>
        <w:tc>
          <w:tcPr>
            <w:tcW w:w="15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936 </w:t>
            </w:r>
          </w:p>
        </w:tc>
        <w:tc>
          <w:tcPr>
            <w:tcW w:w="17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3,179 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80" w:after="283"/>
        <w:ind w:left="0" w:right="0" w:firstLine="540"/>
        <w:jc w:val="left"/>
        <w:rPr/>
      </w:pPr>
      <w:r>
        <w:rPr/>
      </w:r>
    </w:p>
    <w:p>
      <w:pPr>
        <w:pStyle w:val="TextBody"/>
        <w:bidi w:val="0"/>
        <w:spacing w:before="6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60" w:after="283"/>
        <w:jc w:val="left"/>
        <w:rPr>
          <w:rFonts w:ascii="Times New Roman;serif" w:hAnsi="Times New Roman;serif"/>
          <w:b/>
          <w:color w:val="000000"/>
          <w:sz w:val="20"/>
        </w:rPr>
      </w:pPr>
      <w:r>
        <w:rPr>
          <w:rFonts w:ascii="Times New Roman;serif" w:hAnsi="Times New Roman;serif"/>
          <w:b/>
          <w:color w:val="000000"/>
          <w:sz w:val="20"/>
        </w:rPr>
        <w:t>Net sales</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Net sales for the three months ended June 30, 2026 increased by $473 million, or 17.5%, to $3.18 billion compared to the same period in 2025. Organic sales increased $229 million, or 8.5%, which was attributable to both the Freight and Transit Segments. Freight sales increased primarily due to higher North American and international locomotive deliveries and higher mining sales, partially offset by lower deliveries of locomotive modernizations. Transit sales increased from higher demand for Aftermarket and Original Equipment Manufacturing products and services driven by increased investments in sustainable infrastructure, fleet expansion and renewals and increased passenger ridership levels. Acquisitions increased Net sales by $232 million, or 8.6%, and favorable changes in foreign exchange increased Net sales by $24 million, or 0.9%.</w:t>
      </w:r>
    </w:p>
    <w:p>
      <w:pPr>
        <w:pStyle w:val="TextBody"/>
        <w:bidi w:val="0"/>
        <w:spacing w:lineRule="auto" w:line="268" w:before="120" w:after="283"/>
        <w:jc w:val="left"/>
        <w:rPr>
          <w:rFonts w:ascii="Times New Roman;serif" w:hAnsi="Times New Roman;serif"/>
          <w:b/>
          <w:color w:val="000000"/>
          <w:sz w:val="20"/>
        </w:rPr>
      </w:pPr>
      <w:r>
        <w:rPr>
          <w:rFonts w:ascii="Times New Roman;serif" w:hAnsi="Times New Roman;serif"/>
          <w:b/>
          <w:color w:val="000000"/>
          <w:sz w:val="20"/>
        </w:rPr>
        <w:t>Cost of sales</w:t>
      </w:r>
    </w:p>
    <w:p>
      <w:pPr>
        <w:pStyle w:val="TextBody"/>
        <w:bidi w:val="0"/>
        <w:spacing w:lineRule="auto" w:line="26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Cost of sales for the three months ended June 30, 2026 increased by $250 million, or 14.1%, to $2.02 billion compared to the same period in 2025. The increase is primarily due to the increase in Net sales. Cost of sales as a percentage of Net sales was 63.5% and 65.3% for the three months ended June 30, 2026 and 2025, respectively. The improvement in gross margin is attributable to productivity and efficiency, savings from restructuring initiatives, and accretion from recent acquisitions, partially offset by inflation driven by tariffs and unfavorable mix within the Freight Segment. Cost of sales for the three months ended June 30, 2026 included $5 million of costs related to purchase price accounting for the step-up of inventory to fair value related to acquisitions. Cost of sales for the three months ended June 30, 2025 included $3 million of costs related to restructuring initiatives.</w:t>
      </w:r>
    </w:p>
    <w:p>
      <w:pPr>
        <w:pStyle w:val="TextBody"/>
        <w:bidi w:val="0"/>
        <w:spacing w:lineRule="auto" w:line="268" w:before="120" w:after="283"/>
        <w:jc w:val="left"/>
        <w:rPr>
          <w:rFonts w:ascii="Times New Roman;serif" w:hAnsi="Times New Roman;serif"/>
          <w:b/>
          <w:color w:val="000000"/>
          <w:sz w:val="20"/>
        </w:rPr>
      </w:pPr>
      <w:r>
        <w:rPr>
          <w:rFonts w:ascii="Times New Roman;serif" w:hAnsi="Times New Roman;serif"/>
          <w:b/>
          <w:color w:val="000000"/>
          <w:sz w:val="20"/>
        </w:rPr>
        <w:t>Operating expenses</w:t>
      </w:r>
    </w:p>
    <w:p>
      <w:pPr>
        <w:pStyle w:val="TextBody"/>
        <w:bidi w:val="0"/>
        <w:spacing w:lineRule="auto" w:line="26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Total operating expenses increased $95 million, or 20.4%, for the three months ended June 30, 2026 compared to the same period in 2025. Selling, general and administrative expenses ("SG&amp;A") increased $53 million for the three months ended June 30, 2026 compared to the same period in 2025. The increase is primarily due to incremental expense from acquisitions and higher employee compensation and benefit costs, partially offset by lower transaction costs and the impacts of restructuring initiatives. Transaction costs associated with acquisitions included in SG&amp;A were $1 million and $25 million for the three months ended June 30, 2026 and 2025, respectively. SG&amp;A for the three months ended June 30, 2025 included $3 million of costs related to restructuring initiatives. Engineering expenses increased $20 million and Amortization expense increased $22 million, both due to incremental expense from acquisitions.</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Interest expense, net</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Interest expense, net, increased $34 million to $80 million for the three months ended June 30, 2026 compared to the same period in 2025, due to higher average overall debt balances in the current period, primarily related to acquisitions.</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Other (expense) income, net</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Other (expense) income, net decreased $26 million for the three months ended June 30, 2026 compared to the same period in 2025, primarily due to the nonrecurrence of a $32 million net gain on mark-to-market derivatives in the prior period associated with the acquisitions of Dellner Couplers and Frauscher.</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Income taxes</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effective income tax rate was 23.4% and 24.8% for the three months ended June 30, 2026 and 2025, respectively. The year over year decrease in the effective rate was primarily driven by prior period audit settlements.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Freight Segment</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shows our Condensed Consolidated Statements of Operations for our Freight Segment for the periods indicated: </w:t>
      </w:r>
    </w:p>
    <w:tbl>
      <w:tblPr>
        <w:tblW w:w="8396" w:type="dxa"/>
        <w:jc w:val="left"/>
        <w:tblInd w:w="0" w:type="dxa"/>
        <w:tblLayout w:type="fixed"/>
        <w:tblCellMar>
          <w:top w:w="28" w:type="dxa"/>
          <w:left w:w="28" w:type="dxa"/>
          <w:bottom w:w="28" w:type="dxa"/>
          <w:right w:w="28" w:type="dxa"/>
        </w:tblCellMar>
      </w:tblPr>
      <w:tblGrid>
        <w:gridCol w:w="1214"/>
        <w:gridCol w:w="1061"/>
        <w:gridCol w:w="1069"/>
        <w:gridCol w:w="211"/>
        <w:gridCol w:w="616"/>
        <w:gridCol w:w="271"/>
        <w:gridCol w:w="109"/>
        <w:gridCol w:w="109"/>
        <w:gridCol w:w="109"/>
        <w:gridCol w:w="211"/>
        <w:gridCol w:w="616"/>
        <w:gridCol w:w="271"/>
        <w:gridCol w:w="109"/>
        <w:gridCol w:w="109"/>
        <w:gridCol w:w="109"/>
        <w:gridCol w:w="211"/>
        <w:gridCol w:w="466"/>
        <w:gridCol w:w="109"/>
        <w:gridCol w:w="109"/>
        <w:gridCol w:w="109"/>
        <w:gridCol w:w="109"/>
        <w:gridCol w:w="255"/>
        <w:gridCol w:w="256"/>
        <w:gridCol w:w="578"/>
      </w:tblGrid>
      <w:tr>
        <w:trPr/>
        <w:tc>
          <w:tcPr>
            <w:tcW w:w="1214"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106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r>
      <w:tr>
        <w:trPr/>
        <w:tc>
          <w:tcPr>
            <w:tcW w:w="33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u w:val="single"/>
              </w:rPr>
            </w:pPr>
            <w:r>
              <w:rPr>
                <w:rFonts w:ascii="Times New Roman;serif" w:hAnsi="Times New Roman;serif"/>
                <w:b/>
                <w:i/>
                <w:color w:val="000000"/>
                <w:sz w:val="16"/>
                <w:u w:val="single"/>
              </w:rPr>
              <w:t>In millions</w:t>
            </w:r>
          </w:p>
        </w:tc>
        <w:tc>
          <w:tcPr>
            <w:tcW w:w="109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Change</w:t>
            </w:r>
          </w:p>
        </w:tc>
      </w:tr>
      <w:tr>
        <w:trPr/>
        <w:tc>
          <w:tcPr>
            <w:tcW w:w="33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109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of goods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20.5 </w:t>
            </w:r>
          </w:p>
        </w:tc>
        <w:tc>
          <w:tcPr>
            <w:tcW w:w="5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3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of services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6.1 </w:t>
            </w:r>
          </w:p>
        </w:tc>
        <w:tc>
          <w:tcPr>
            <w:tcW w:w="5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3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Net sales</w:t>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2,243 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1,919 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16.9 </w:t>
            </w:r>
          </w:p>
        </w:tc>
        <w:tc>
          <w:tcPr>
            <w:tcW w:w="57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3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sales:</w:t>
            </w:r>
          </w:p>
        </w:tc>
        <w:tc>
          <w:tcPr>
            <w:tcW w:w="10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goods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(936)</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15.7 </w:t>
            </w:r>
          </w:p>
        </w:tc>
        <w:tc>
          <w:tcPr>
            <w:tcW w:w="5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3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services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7.0 </w:t>
            </w:r>
          </w:p>
        </w:tc>
        <w:tc>
          <w:tcPr>
            <w:tcW w:w="5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3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Cost of sales</w:t>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(1,389)</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(1,222)</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13.7 </w:t>
            </w:r>
          </w:p>
        </w:tc>
        <w:tc>
          <w:tcPr>
            <w:tcW w:w="57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3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Cost of sales (% of Net sales)</w:t>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61.9 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63.7 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(1.8)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22.5 </w:t>
            </w:r>
          </w:p>
        </w:tc>
        <w:tc>
          <w:tcPr>
            <w:tcW w:w="5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3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24.1 </w:t>
            </w:r>
          </w:p>
        </w:tc>
        <w:tc>
          <w:tcPr>
            <w:tcW w:w="5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3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from operations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21.4 </w:t>
            </w:r>
          </w:p>
        </w:tc>
        <w:tc>
          <w:tcPr>
            <w:tcW w:w="5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3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from operations (% of Net sales)</w:t>
            </w:r>
          </w:p>
        </w:tc>
        <w:tc>
          <w:tcPr>
            <w:tcW w:w="827" w:type="dxa"/>
            <w:gridSpan w:val="2"/>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22.5 </w:t>
            </w:r>
          </w:p>
        </w:tc>
        <w:tc>
          <w:tcPr>
            <w:tcW w:w="271"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21.6 </w:t>
            </w:r>
          </w:p>
        </w:tc>
        <w:tc>
          <w:tcPr>
            <w:tcW w:w="271"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op w:val="doub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following table shows the major components of the change in Net sales for the Freight Segment in the second quarter of 2026 from the second quarter of 2025:</w:t>
      </w:r>
    </w:p>
    <w:tbl>
      <w:tblPr>
        <w:tblW w:w="4836" w:type="dxa"/>
        <w:jc w:val="left"/>
        <w:tblInd w:w="0" w:type="dxa"/>
        <w:tblLayout w:type="fixed"/>
        <w:tblCellMar>
          <w:top w:w="28" w:type="dxa"/>
          <w:left w:w="28" w:type="dxa"/>
          <w:bottom w:w="28" w:type="dxa"/>
          <w:right w:w="28" w:type="dxa"/>
        </w:tblCellMar>
      </w:tblPr>
      <w:tblGrid>
        <w:gridCol w:w="1396"/>
        <w:gridCol w:w="1227"/>
        <w:gridCol w:w="1232"/>
        <w:gridCol w:w="211"/>
        <w:gridCol w:w="616"/>
        <w:gridCol w:w="154"/>
      </w:tblGrid>
      <w:tr>
        <w:trPr/>
        <w:tc>
          <w:tcPr>
            <w:tcW w:w="1396" w:type="dxa"/>
            <w:tcBorders/>
            <w:vAlign w:val="center"/>
          </w:tcPr>
          <w:p>
            <w:pPr>
              <w:pStyle w:val="TableContents"/>
              <w:bidi w:val="0"/>
              <w:spacing w:before="0" w:after="283"/>
              <w:jc w:val="left"/>
              <w:rPr>
                <w:sz w:val="4"/>
                <w:szCs w:val="4"/>
              </w:rPr>
            </w:pPr>
            <w:r>
              <w:rPr>
                <w:sz w:val="4"/>
                <w:szCs w:val="4"/>
              </w:rPr>
            </w:r>
          </w:p>
        </w:tc>
        <w:tc>
          <w:tcPr>
            <w:tcW w:w="1227" w:type="dxa"/>
            <w:tcBorders/>
            <w:vAlign w:val="center"/>
          </w:tcPr>
          <w:p>
            <w:pPr>
              <w:pStyle w:val="TableContents"/>
              <w:bidi w:val="0"/>
              <w:spacing w:before="0" w:after="283"/>
              <w:jc w:val="left"/>
              <w:rPr>
                <w:sz w:val="4"/>
                <w:szCs w:val="4"/>
              </w:rPr>
            </w:pPr>
            <w:r>
              <w:rPr>
                <w:sz w:val="4"/>
                <w:szCs w:val="4"/>
              </w:rPr>
            </w:r>
          </w:p>
        </w:tc>
        <w:tc>
          <w:tcPr>
            <w:tcW w:w="123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u w:val="single"/>
              </w:rPr>
            </w:pPr>
            <w:r>
              <w:rPr>
                <w:rFonts w:ascii="Times New Roman;serif" w:hAnsi="Times New Roman;serif"/>
                <w:b/>
                <w:i/>
                <w:color w:val="000000"/>
                <w:sz w:val="16"/>
                <w:u w:val="single"/>
              </w:rPr>
              <w:t>In millions</w:t>
            </w:r>
          </w:p>
        </w:tc>
        <w:tc>
          <w:tcPr>
            <w:tcW w:w="9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Second Quarter 2025 Net sales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Portfolio Optimization (Divestitures/Exits)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Exchange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Organic changes in Net sales by Product Line:</w:t>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Equipment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Services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Digital Intelligence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Components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Second Quarter 2026 Net sales</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2,243 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540"/>
        <w:jc w:val="left"/>
        <w:rPr>
          <w:rFonts w:ascii="Times New Roman;serif" w:hAnsi="Times New Roman;serif"/>
          <w:b/>
          <w:color w:val="000000"/>
          <w:sz w:val="20"/>
        </w:rPr>
      </w:pPr>
      <w:r>
        <w:rPr>
          <w:rFonts w:ascii="Times New Roman;serif" w:hAnsi="Times New Roman;serif"/>
          <w:b/>
          <w:color w:val="000000"/>
          <w:sz w:val="20"/>
        </w:rPr>
        <w:t>Net sales</w:t>
      </w:r>
    </w:p>
    <w:p>
      <w:pPr>
        <w:pStyle w:val="TextBody"/>
        <w:bidi w:val="0"/>
        <w:spacing w:lineRule="auto" w:line="288" w:before="18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Freight Segment organic sales increased by $158 million, or 8.2%, driven primarily by Equipment sales from higher North American and international locomotive deliveries and higher mining sales, partially offset by decreased Services sales from lower deliveries of locomotive modernizations. Acquisitions increased sales by $163 million, or 8.5%, primarily from Inspection Technologies and Frauscher, and favorable changes in foreign exchange increased sales by $14 million, or 0.7%.</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Cost of sales</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Freight Segment Cost of sales increased $167 million, primarily due to higher sales volume, and Cost of sales as a percentage of Net sales decreased 1.8 percentage points. The improvement in gross margin is attributable to productivity and efficiency and accretion from recent acquisitions, partially offset by inflation driven by tariffs and unfavorable mix within the Freight Segment. Cost of sales for the three months ended June 30, 2025 included $2 million of costs related to restructuring initiatives.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120" w:after="283"/>
        <w:jc w:val="left"/>
        <w:rPr>
          <w:rFonts w:ascii="Times New Roman;serif" w:hAnsi="Times New Roman;serif"/>
          <w:b/>
          <w:color w:val="000000"/>
          <w:sz w:val="20"/>
        </w:rPr>
      </w:pPr>
      <w:r>
        <w:rPr>
          <w:rFonts w:ascii="Times New Roman;serif" w:hAnsi="Times New Roman;serif"/>
          <w:b/>
          <w:color w:val="000000"/>
          <w:sz w:val="20"/>
        </w:rPr>
        <w:t>Operating expenses</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Freight Segment Operating expenses increased by $68 million, and Operating expenses as a percentage of Net sales increased 0.9 percentage points. The increase in Freight Segment Operating expenses is primarily driven by incremental expense from acquisitions and higher employee compensation and benefit costs.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240" w:after="283"/>
        <w:jc w:val="left"/>
        <w:rPr>
          <w:rFonts w:ascii="Times New Roman;serif" w:hAnsi="Times New Roman;serif"/>
          <w:b/>
          <w:color w:val="000000"/>
          <w:sz w:val="20"/>
        </w:rPr>
      </w:pPr>
      <w:r>
        <w:rPr>
          <w:rFonts w:ascii="Times New Roman;serif" w:hAnsi="Times New Roman;serif"/>
          <w:b/>
          <w:color w:val="000000"/>
          <w:sz w:val="20"/>
        </w:rPr>
        <w:t>Transit Segment</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shows our Condensed Consolidated Statements of Operations for our Transit Segment for the periods indicated: </w:t>
      </w:r>
    </w:p>
    <w:tbl>
      <w:tblPr>
        <w:tblW w:w="8097" w:type="dxa"/>
        <w:jc w:val="left"/>
        <w:tblInd w:w="0" w:type="dxa"/>
        <w:tblLayout w:type="fixed"/>
        <w:tblCellMar>
          <w:top w:w="28" w:type="dxa"/>
          <w:left w:w="28" w:type="dxa"/>
          <w:bottom w:w="28" w:type="dxa"/>
          <w:right w:w="28" w:type="dxa"/>
        </w:tblCellMar>
      </w:tblPr>
      <w:tblGrid>
        <w:gridCol w:w="1212"/>
        <w:gridCol w:w="1065"/>
        <w:gridCol w:w="1068"/>
        <w:gridCol w:w="211"/>
        <w:gridCol w:w="466"/>
        <w:gridCol w:w="271"/>
        <w:gridCol w:w="109"/>
        <w:gridCol w:w="109"/>
        <w:gridCol w:w="109"/>
        <w:gridCol w:w="211"/>
        <w:gridCol w:w="466"/>
        <w:gridCol w:w="271"/>
        <w:gridCol w:w="109"/>
        <w:gridCol w:w="109"/>
        <w:gridCol w:w="109"/>
        <w:gridCol w:w="211"/>
        <w:gridCol w:w="466"/>
        <w:gridCol w:w="109"/>
        <w:gridCol w:w="109"/>
        <w:gridCol w:w="109"/>
        <w:gridCol w:w="109"/>
        <w:gridCol w:w="255"/>
        <w:gridCol w:w="256"/>
        <w:gridCol w:w="578"/>
      </w:tblGrid>
      <w:tr>
        <w:trPr/>
        <w:tc>
          <w:tcPr>
            <w:tcW w:w="1212" w:type="dxa"/>
            <w:tcBorders/>
            <w:vAlign w:val="center"/>
          </w:tcPr>
          <w:p>
            <w:pPr>
              <w:pStyle w:val="TableContents"/>
              <w:bidi w:val="0"/>
              <w:spacing w:before="0" w:after="283"/>
              <w:jc w:val="left"/>
              <w:rPr>
                <w:sz w:val="4"/>
                <w:szCs w:val="4"/>
              </w:rPr>
            </w:pPr>
            <w:r>
              <w:rPr>
                <w:sz w:val="4"/>
                <w:szCs w:val="4"/>
              </w:rPr>
            </w:r>
          </w:p>
        </w:tc>
        <w:tc>
          <w:tcPr>
            <w:tcW w:w="1065" w:type="dxa"/>
            <w:tcBorders/>
            <w:vAlign w:val="center"/>
          </w:tcPr>
          <w:p>
            <w:pPr>
              <w:pStyle w:val="TableContents"/>
              <w:bidi w:val="0"/>
              <w:spacing w:before="0" w:after="283"/>
              <w:jc w:val="left"/>
              <w:rPr>
                <w:sz w:val="4"/>
                <w:szCs w:val="4"/>
              </w:rPr>
            </w:pPr>
            <w:r>
              <w:rPr>
                <w:sz w:val="4"/>
                <w:szCs w:val="4"/>
              </w:rPr>
            </w:r>
          </w:p>
        </w:tc>
        <w:tc>
          <w:tcPr>
            <w:tcW w:w="106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r>
      <w:tr>
        <w:trPr/>
        <w:tc>
          <w:tcPr>
            <w:tcW w:w="3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u w:val="single"/>
              </w:rPr>
            </w:pPr>
            <w:r>
              <w:rPr>
                <w:rFonts w:ascii="Times New Roman;serif" w:hAnsi="Times New Roman;serif"/>
                <w:b/>
                <w:i/>
                <w:color w:val="000000"/>
                <w:sz w:val="16"/>
                <w:u w:val="single"/>
              </w:rPr>
              <w:t>In millions</w:t>
            </w:r>
          </w:p>
        </w:tc>
        <w:tc>
          <w:tcPr>
            <w:tcW w:w="94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Change</w:t>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936 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787 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18.9 </w:t>
            </w:r>
          </w:p>
        </w:tc>
        <w:tc>
          <w:tcPr>
            <w:tcW w:w="57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sales</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(629)</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(546)</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15.2 </w:t>
            </w:r>
          </w:p>
        </w:tc>
        <w:tc>
          <w:tcPr>
            <w:tcW w:w="5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Cost of sales (% of Net sales)</w:t>
            </w:r>
          </w:p>
        </w:tc>
        <w:tc>
          <w:tcPr>
            <w:tcW w:w="6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67.2 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69.3 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27.4 </w:t>
            </w:r>
          </w:p>
        </w:tc>
        <w:tc>
          <w:tcPr>
            <w:tcW w:w="5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22.0 </w:t>
            </w:r>
          </w:p>
        </w:tc>
        <w:tc>
          <w:tcPr>
            <w:tcW w:w="5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from operations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33.9 </w:t>
            </w:r>
          </w:p>
        </w:tc>
        <w:tc>
          <w:tcPr>
            <w:tcW w:w="5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from operations (% of Net sales)</w:t>
            </w:r>
          </w:p>
        </w:tc>
        <w:tc>
          <w:tcPr>
            <w:tcW w:w="677" w:type="dxa"/>
            <w:gridSpan w:val="2"/>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15.6 </w:t>
            </w:r>
          </w:p>
        </w:tc>
        <w:tc>
          <w:tcPr>
            <w:tcW w:w="271"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13.9 </w:t>
            </w:r>
          </w:p>
        </w:tc>
        <w:tc>
          <w:tcPr>
            <w:tcW w:w="271"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op w:val="doub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following table shows the major components of the change in Net sales for the Transit Segment in the second quarter of 2026 from the second quarter of 2025:</w:t>
      </w:r>
    </w:p>
    <w:tbl>
      <w:tblPr>
        <w:tblW w:w="4686" w:type="dxa"/>
        <w:jc w:val="left"/>
        <w:tblInd w:w="0" w:type="dxa"/>
        <w:tblLayout w:type="fixed"/>
        <w:tblCellMar>
          <w:top w:w="28" w:type="dxa"/>
          <w:left w:w="28" w:type="dxa"/>
          <w:bottom w:w="28" w:type="dxa"/>
          <w:right w:w="28" w:type="dxa"/>
        </w:tblCellMar>
      </w:tblPr>
      <w:tblGrid>
        <w:gridCol w:w="1396"/>
        <w:gridCol w:w="1227"/>
        <w:gridCol w:w="1232"/>
        <w:gridCol w:w="211"/>
        <w:gridCol w:w="466"/>
        <w:gridCol w:w="154"/>
      </w:tblGrid>
      <w:tr>
        <w:trPr/>
        <w:tc>
          <w:tcPr>
            <w:tcW w:w="1396" w:type="dxa"/>
            <w:tcBorders/>
            <w:vAlign w:val="center"/>
          </w:tcPr>
          <w:p>
            <w:pPr>
              <w:pStyle w:val="TableContents"/>
              <w:bidi w:val="0"/>
              <w:spacing w:before="0" w:after="283"/>
              <w:jc w:val="left"/>
              <w:rPr>
                <w:sz w:val="4"/>
                <w:szCs w:val="4"/>
              </w:rPr>
            </w:pPr>
            <w:r>
              <w:rPr>
                <w:sz w:val="4"/>
                <w:szCs w:val="4"/>
              </w:rPr>
            </w:r>
          </w:p>
        </w:tc>
        <w:tc>
          <w:tcPr>
            <w:tcW w:w="1227" w:type="dxa"/>
            <w:tcBorders/>
            <w:vAlign w:val="center"/>
          </w:tcPr>
          <w:p>
            <w:pPr>
              <w:pStyle w:val="TableContents"/>
              <w:bidi w:val="0"/>
              <w:spacing w:before="0" w:after="283"/>
              <w:jc w:val="left"/>
              <w:rPr>
                <w:sz w:val="4"/>
                <w:szCs w:val="4"/>
              </w:rPr>
            </w:pPr>
            <w:r>
              <w:rPr>
                <w:sz w:val="4"/>
                <w:szCs w:val="4"/>
              </w:rPr>
            </w:r>
          </w:p>
        </w:tc>
        <w:tc>
          <w:tcPr>
            <w:tcW w:w="123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u w:val="single"/>
              </w:rPr>
            </w:pPr>
            <w:r>
              <w:rPr>
                <w:rFonts w:ascii="Times New Roman;serif" w:hAnsi="Times New Roman;serif"/>
                <w:b/>
                <w:i/>
                <w:color w:val="000000"/>
                <w:sz w:val="16"/>
                <w:u w:val="single"/>
              </w:rPr>
              <w:t>In millions</w:t>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Second Quarter 2025 Net sales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Acquisitions</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Portfolio Optimization (Divestitures/Exits)</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Exchange</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Organic changes in Net sales by Product Line:</w:t>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Aftermarket</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Original Equipment Manufacturing</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Second Quarter 2026 Net sales</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936 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540"/>
        <w:jc w:val="left"/>
        <w:rPr>
          <w:rFonts w:ascii="Times New Roman;serif" w:hAnsi="Times New Roman;serif"/>
          <w:b/>
          <w:color w:val="000000"/>
          <w:sz w:val="20"/>
        </w:rPr>
      </w:pPr>
      <w:r>
        <w:rPr>
          <w:rFonts w:ascii="Times New Roman;serif" w:hAnsi="Times New Roman;serif"/>
          <w:b/>
          <w:color w:val="000000"/>
          <w:sz w:val="20"/>
        </w:rPr>
        <w:t>Net sales</w:t>
      </w:r>
    </w:p>
    <w:p>
      <w:pPr>
        <w:pStyle w:val="TextBody"/>
        <w:bidi w:val="0"/>
        <w:spacing w:lineRule="auto" w:line="288" w:before="18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Transit Segment organic sales increased by $71 million, or 9.0%, driven by strong Aftermarket and Original Equipment Manufacturing sales primarily as a result of increased demand for products and services due to fleet expansion and renewals, increased passenger ridership levels and increased investments in sustainable infrastructure. Sales from the Dellner Couplers acquisition increased sales by $69 million, or 8.8% , and favorable changes in foreign exchange rates increased sales by $10 million, or 1.3%.</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Cost of sales</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Transit Segment Cost of sales increased by $83 million, primarily due to higher sales volume and acquisitions, and Cost of sales as a percentage of Net sales decreased by 2.1 percentage points. The increase in gross margin was attributable to increased productivity, favorable mix within the Transit Segment, and the savings from restructuring initiatives. Cost of sales for the three months ended June 30, 2026 included $5 million of costs related to purchase price accounting for the step-up of inventory to fair value related to acquisitions.</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Operating expenses</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Transit Segment Operating expenses increased by $29 million and as a percentage of Net sales increased by 0.4 percentage points. The increase in Transit Segment Operating expenses is primarily driven by incremental expense from acquisitions and higher employee compensation and benefit costs, partially offset by savings from restructuring initiatives. Transit SG&amp;A expenses for the three months ended June 30, 2025 included $4 million of costs related to restructuring initiatives.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FIRST SIX MONTHS OF 2026 COMPARED TO FIRST SIX MONTHS OF 2025</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following table shows our Condensed Consolidated Statements of Operations for the periods indicated.</w:t>
      </w:r>
    </w:p>
    <w:tbl>
      <w:tblPr>
        <w:tblW w:w="6879" w:type="dxa"/>
        <w:jc w:val="left"/>
        <w:tblInd w:w="0" w:type="dxa"/>
        <w:tblLayout w:type="fixed"/>
        <w:tblCellMar>
          <w:top w:w="28" w:type="dxa"/>
          <w:left w:w="28" w:type="dxa"/>
          <w:bottom w:w="28" w:type="dxa"/>
          <w:right w:w="28" w:type="dxa"/>
        </w:tblCellMar>
      </w:tblPr>
      <w:tblGrid>
        <w:gridCol w:w="1682"/>
        <w:gridCol w:w="1467"/>
        <w:gridCol w:w="1486"/>
        <w:gridCol w:w="211"/>
        <w:gridCol w:w="616"/>
        <w:gridCol w:w="109"/>
        <w:gridCol w:w="109"/>
        <w:gridCol w:w="109"/>
        <w:gridCol w:w="109"/>
        <w:gridCol w:w="211"/>
        <w:gridCol w:w="616"/>
        <w:gridCol w:w="154"/>
      </w:tblGrid>
      <w:tr>
        <w:trPr/>
        <w:tc>
          <w:tcPr>
            <w:tcW w:w="1682" w:type="dxa"/>
            <w:tcBorders/>
            <w:vAlign w:val="center"/>
          </w:tcPr>
          <w:p>
            <w:pPr>
              <w:pStyle w:val="TableContents"/>
              <w:bidi w:val="0"/>
              <w:spacing w:before="0" w:after="283"/>
              <w:jc w:val="left"/>
              <w:rPr>
                <w:sz w:val="4"/>
                <w:szCs w:val="4"/>
              </w:rPr>
            </w:pPr>
            <w:r>
              <w:rPr>
                <w:sz w:val="4"/>
                <w:szCs w:val="4"/>
              </w:rPr>
            </w:r>
          </w:p>
        </w:tc>
        <w:tc>
          <w:tcPr>
            <w:tcW w:w="1467"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w:t>
              <w:br/>
              <w:t>June 30,</w:t>
            </w:r>
          </w:p>
        </w:tc>
      </w:tr>
      <w:tr>
        <w:trPr/>
        <w:tc>
          <w:tcPr>
            <w:tcW w:w="46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5"/>
                <w:u w:val="single"/>
              </w:rPr>
            </w:pPr>
            <w:r>
              <w:rPr>
                <w:rFonts w:ascii="Times New Roman;serif" w:hAnsi="Times New Roman;serif"/>
                <w:b/>
                <w:i/>
                <w:color w:val="000000"/>
                <w:sz w:val="15"/>
                <w:u w:val="single"/>
              </w:rPr>
              <w:t>In millions</w:t>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6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of goods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4,383 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of services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Net sales</w:t>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6,129 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5,316 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sales:</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goods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services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Cost of sales</w:t>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(3,907)</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(3,478)</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1,838 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Engineering expenses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expense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(1,105)</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(892)</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from operations</w:t>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946 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and expenses:</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net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Income before income taxes </w:t>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876 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666 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Net income attributable to noncontrolling interest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Wabtec shareholders</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757 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658 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following table shows the major components of the change in Net sales in the six months ended June 30, 2026 from the six months ended June 30, 2025:</w:t>
      </w:r>
    </w:p>
    <w:tbl>
      <w:tblPr>
        <w:tblW w:w="7815" w:type="dxa"/>
        <w:jc w:val="left"/>
        <w:tblInd w:w="0" w:type="dxa"/>
        <w:tblLayout w:type="fixed"/>
        <w:tblCellMar>
          <w:top w:w="28" w:type="dxa"/>
          <w:left w:w="28" w:type="dxa"/>
          <w:bottom w:w="28" w:type="dxa"/>
          <w:right w:w="28" w:type="dxa"/>
        </w:tblCellMar>
      </w:tblPr>
      <w:tblGrid>
        <w:gridCol w:w="1298"/>
        <w:gridCol w:w="1141"/>
        <w:gridCol w:w="1146"/>
        <w:gridCol w:w="294"/>
        <w:gridCol w:w="859"/>
        <w:gridCol w:w="152"/>
        <w:gridCol w:w="109"/>
        <w:gridCol w:w="109"/>
        <w:gridCol w:w="109"/>
        <w:gridCol w:w="291"/>
        <w:gridCol w:w="849"/>
        <w:gridCol w:w="150"/>
        <w:gridCol w:w="109"/>
        <w:gridCol w:w="109"/>
        <w:gridCol w:w="109"/>
        <w:gridCol w:w="211"/>
        <w:gridCol w:w="616"/>
        <w:gridCol w:w="154"/>
      </w:tblGrid>
      <w:tr>
        <w:trPr/>
        <w:tc>
          <w:tcPr>
            <w:tcW w:w="1298"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14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u w:val="single"/>
              </w:rPr>
            </w:pPr>
            <w:r>
              <w:rPr>
                <w:rFonts w:ascii="Times New Roman;serif" w:hAnsi="Times New Roman;serif"/>
                <w:b/>
                <w:i/>
                <w:color w:val="000000"/>
                <w:sz w:val="16"/>
                <w:u w:val="single"/>
              </w:rPr>
              <w:t>In millions</w:t>
            </w:r>
          </w:p>
        </w:tc>
        <w:tc>
          <w:tcPr>
            <w:tcW w:w="13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Freight Segment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Transit Segment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First Six Months of 2025 Net sales</w:t>
            </w:r>
          </w:p>
        </w:tc>
        <w:tc>
          <w:tcPr>
            <w:tcW w:w="29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3,820 </w:t>
            </w:r>
          </w:p>
        </w:tc>
        <w:tc>
          <w:tcPr>
            <w:tcW w:w="15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1,496 </w:t>
            </w:r>
          </w:p>
        </w:tc>
        <w:tc>
          <w:tcPr>
            <w:tcW w:w="15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5,316 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Acquisitions</w:t>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Portfolio Optimization (Divestitures/Exits)</w:t>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Exchange</w:t>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Organic</w:t>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First Six Months of 2026 Net sales</w:t>
            </w:r>
          </w:p>
        </w:tc>
        <w:tc>
          <w:tcPr>
            <w:tcW w:w="29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4,358 </w:t>
            </w:r>
          </w:p>
        </w:tc>
        <w:tc>
          <w:tcPr>
            <w:tcW w:w="15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1,771 </w:t>
            </w:r>
          </w:p>
        </w:tc>
        <w:tc>
          <w:tcPr>
            <w:tcW w:w="15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6,129 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60" w:after="283"/>
        <w:ind w:left="0" w:right="0" w:firstLine="54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60" w:after="283"/>
        <w:jc w:val="left"/>
        <w:rPr>
          <w:rFonts w:ascii="Times New Roman;serif" w:hAnsi="Times New Roman;serif"/>
          <w:b/>
          <w:color w:val="000000"/>
          <w:sz w:val="20"/>
        </w:rPr>
      </w:pPr>
      <w:r>
        <w:rPr>
          <w:rFonts w:ascii="Times New Roman;serif" w:hAnsi="Times New Roman;serif"/>
          <w:b/>
          <w:color w:val="000000"/>
          <w:sz w:val="20"/>
        </w:rPr>
        <w:t>Net sales</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Net sales for the six months ended June 30, 2026 increased by $813 million, or 15.3%, to $6.13 billion compared to the same period in 2025. Organic sales increased $289 million, or 5.4%, which was attributable to both the Freight and Transit Segments. Freight sales increased primarily due to higher North American and international locomotive deliveries and higher mining sales, partially offset by lower deliveries of locomotive modernizations and engine overhauls and the exit of a low margin Digital project. Transit sales increased from higher demand for Aftermarket and Original Equipment Manufacturing products and services driven by increased investments in sustainable infrastructure, fleet expansion and renewals and increased passenger ridership levels. Acquisitions increased Net sales by $457 million, or 8.6%, and favorable changes in foreign exchange rates increased Net sales by $92 million, or 1.7%. </w:t>
      </w:r>
    </w:p>
    <w:p>
      <w:pPr>
        <w:pStyle w:val="TextBody"/>
        <w:bidi w:val="0"/>
        <w:spacing w:lineRule="auto" w:line="268" w:before="120" w:after="283"/>
        <w:jc w:val="left"/>
        <w:rPr>
          <w:rFonts w:ascii="Times New Roman;serif" w:hAnsi="Times New Roman;serif"/>
          <w:b/>
          <w:color w:val="000000"/>
          <w:sz w:val="20"/>
        </w:rPr>
      </w:pPr>
      <w:r>
        <w:rPr>
          <w:rFonts w:ascii="Times New Roman;serif" w:hAnsi="Times New Roman;serif"/>
          <w:b/>
          <w:color w:val="000000"/>
          <w:sz w:val="20"/>
        </w:rPr>
        <w:t>Cost of sales</w:t>
      </w:r>
    </w:p>
    <w:p>
      <w:pPr>
        <w:pStyle w:val="TextBody"/>
        <w:bidi w:val="0"/>
        <w:spacing w:lineRule="auto" w:line="26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Cost of sales for the six months ended June 30, 2026 increased by $429 million, or 12.3%, to $3.91 billion compared to the same period in 2025. The increase is primarily due to the increase in Net sales. Cost of sales as a percentage of Net sales was 63.8% and 65.4% for the six months ended June 30, 2026 and 2025, respectively. The improvement in gross margin is attributable to productivity and efficiency, savings from restructuring initiatives, and accretion from recent acquisitions, partially offset by inflation driven by tariffs and unfavorable mix within the Freight Segment. Cost of sales for the six months ended June 30, 2026 included $28 million of costs related to purchase price accounting for the step-up of inventory to fair value related to acquisitions. Cost of sales for the six months ended June 30, 2026 and 2025 included $3 million and $6 million, respectively, of costs related to restructuring initiatives.</w:t>
      </w:r>
    </w:p>
    <w:p>
      <w:pPr>
        <w:pStyle w:val="TextBody"/>
        <w:bidi w:val="0"/>
        <w:spacing w:lineRule="auto" w:line="268" w:before="120" w:after="283"/>
        <w:jc w:val="left"/>
        <w:rPr>
          <w:rFonts w:ascii="Times New Roman;serif" w:hAnsi="Times New Roman;serif"/>
          <w:b/>
          <w:color w:val="000000"/>
          <w:sz w:val="20"/>
        </w:rPr>
      </w:pPr>
      <w:r>
        <w:rPr>
          <w:rFonts w:ascii="Times New Roman;serif" w:hAnsi="Times New Roman;serif"/>
          <w:b/>
          <w:color w:val="000000"/>
          <w:sz w:val="20"/>
        </w:rPr>
        <w:t>Operating expenses</w:t>
      </w:r>
    </w:p>
    <w:p>
      <w:pPr>
        <w:pStyle w:val="TextBody"/>
        <w:bidi w:val="0"/>
        <w:spacing w:lineRule="auto" w:line="26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Total operating expenses increased $213 million, or 23.9%, for the six months ended June 30, 2026 compared to the same period in 2025. SG&amp;A expenses increased $147 million for the six months ended June 30, 2026 compared to the same period in 2025. The increase is primarily due to incremental expense from acquisitions and higher employee compensation and benefit costs, partially offset by the impacts of restructuring initiatives. Transaction costs associated with acquisitions included in SG&amp;A were $14 million and $35 million for the six months ended June 30, 2026 and 2025, respectively. SG&amp;A for the six months ended June 30, 2026 and 2025 included $2 million and $8 million, respectively, of costs related to restructuring initiatives. Engineering expenses increased $30 million and Amortization expense increased $36 million both due to incremental expense from acquisitions.</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Interest expense, net</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Interest expense, net, increased $59 million to $151 million for the six months ended June 30, 2026 compared to the same period in 2025, primarily due to higher average overall debt balances in the current period, primarily related to acquisitions.</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Other income, net</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Other income, net, decreased $1 million to $21 million for the six months ended June 30, 2026 compared to the same period in 2025, primarily due to a $32 million net gain on mark-to-market derivatives in the prior period associated with the acquisitions of Dellner Couplers and Frauscher. This was partially offset by higher foreign exchange gains in the current period, compared to foreign exchange losses in the prior period.</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Income taxes</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effective income tax rate was 23.1% and 24.0% for the six months ended June 30, 2026 and 2025, respectively. The year over year decrease in the effective rate was primarily driven by prior period audit settlements and higher discrete equity compensation tax deductions.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Freight Segment</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shows our Condensed Consolidated Statements of Operations for our Freight Segment for the periods indicated: </w:t>
      </w:r>
    </w:p>
    <w:tbl>
      <w:tblPr>
        <w:tblW w:w="8396" w:type="dxa"/>
        <w:jc w:val="left"/>
        <w:tblInd w:w="0" w:type="dxa"/>
        <w:tblLayout w:type="fixed"/>
        <w:tblCellMar>
          <w:top w:w="28" w:type="dxa"/>
          <w:left w:w="28" w:type="dxa"/>
          <w:bottom w:w="28" w:type="dxa"/>
          <w:right w:w="28" w:type="dxa"/>
        </w:tblCellMar>
      </w:tblPr>
      <w:tblGrid>
        <w:gridCol w:w="1214"/>
        <w:gridCol w:w="1061"/>
        <w:gridCol w:w="1069"/>
        <w:gridCol w:w="211"/>
        <w:gridCol w:w="616"/>
        <w:gridCol w:w="271"/>
        <w:gridCol w:w="109"/>
        <w:gridCol w:w="109"/>
        <w:gridCol w:w="109"/>
        <w:gridCol w:w="211"/>
        <w:gridCol w:w="616"/>
        <w:gridCol w:w="271"/>
        <w:gridCol w:w="109"/>
        <w:gridCol w:w="109"/>
        <w:gridCol w:w="109"/>
        <w:gridCol w:w="211"/>
        <w:gridCol w:w="466"/>
        <w:gridCol w:w="109"/>
        <w:gridCol w:w="109"/>
        <w:gridCol w:w="109"/>
        <w:gridCol w:w="109"/>
        <w:gridCol w:w="255"/>
        <w:gridCol w:w="256"/>
        <w:gridCol w:w="578"/>
      </w:tblGrid>
      <w:tr>
        <w:trPr/>
        <w:tc>
          <w:tcPr>
            <w:tcW w:w="1214"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106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r>
      <w:tr>
        <w:trPr/>
        <w:tc>
          <w:tcPr>
            <w:tcW w:w="33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u w:val="single"/>
              </w:rPr>
            </w:pPr>
            <w:r>
              <w:rPr>
                <w:rFonts w:ascii="Times New Roman;serif" w:hAnsi="Times New Roman;serif"/>
                <w:b/>
                <w:i/>
                <w:color w:val="000000"/>
                <w:sz w:val="16"/>
                <w:u w:val="single"/>
              </w:rPr>
              <w:t>In millions</w:t>
            </w:r>
          </w:p>
        </w:tc>
        <w:tc>
          <w:tcPr>
            <w:tcW w:w="109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Change</w:t>
            </w:r>
          </w:p>
        </w:tc>
      </w:tr>
      <w:tr>
        <w:trPr/>
        <w:tc>
          <w:tcPr>
            <w:tcW w:w="33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109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of goods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18.8 </w:t>
            </w:r>
          </w:p>
        </w:tc>
        <w:tc>
          <w:tcPr>
            <w:tcW w:w="5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3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of services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w:t>
            </w:r>
          </w:p>
        </w:tc>
        <w:tc>
          <w:tcPr>
            <w:tcW w:w="5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3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Net sales</w:t>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4,358 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3,820 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14.1 </w:t>
            </w:r>
          </w:p>
        </w:tc>
        <w:tc>
          <w:tcPr>
            <w:tcW w:w="57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3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sales:</w:t>
            </w:r>
          </w:p>
        </w:tc>
        <w:tc>
          <w:tcPr>
            <w:tcW w:w="10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goods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12.9 </w:t>
            </w:r>
          </w:p>
        </w:tc>
        <w:tc>
          <w:tcPr>
            <w:tcW w:w="5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3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services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(579)</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(545)</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6.2 </w:t>
            </w:r>
          </w:p>
        </w:tc>
        <w:tc>
          <w:tcPr>
            <w:tcW w:w="5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3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Cost of sales</w:t>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(2,716)</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(2,438)</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11.4 </w:t>
            </w:r>
          </w:p>
        </w:tc>
        <w:tc>
          <w:tcPr>
            <w:tcW w:w="57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3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Cost of sales (% of Net sales)</w:t>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62.3 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63.8 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(1.5)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18.8 </w:t>
            </w:r>
          </w:p>
        </w:tc>
        <w:tc>
          <w:tcPr>
            <w:tcW w:w="5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3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(688)</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(547)</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25.8 </w:t>
            </w:r>
          </w:p>
        </w:tc>
        <w:tc>
          <w:tcPr>
            <w:tcW w:w="5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3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from operations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14.3 </w:t>
            </w:r>
          </w:p>
        </w:tc>
        <w:tc>
          <w:tcPr>
            <w:tcW w:w="5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3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from operations (% of Net sales)</w:t>
            </w:r>
          </w:p>
        </w:tc>
        <w:tc>
          <w:tcPr>
            <w:tcW w:w="827" w:type="dxa"/>
            <w:gridSpan w:val="2"/>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21.9 </w:t>
            </w:r>
          </w:p>
        </w:tc>
        <w:tc>
          <w:tcPr>
            <w:tcW w:w="271"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21.9 </w:t>
            </w:r>
          </w:p>
        </w:tc>
        <w:tc>
          <w:tcPr>
            <w:tcW w:w="271"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op w:val="doub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following table shows the major components of the change in Net sales for the Freight Segment in the first six months of 2026 from the first six months of 2025:</w:t>
      </w:r>
    </w:p>
    <w:tbl>
      <w:tblPr>
        <w:tblW w:w="4836" w:type="dxa"/>
        <w:jc w:val="left"/>
        <w:tblInd w:w="0" w:type="dxa"/>
        <w:tblLayout w:type="fixed"/>
        <w:tblCellMar>
          <w:top w:w="28" w:type="dxa"/>
          <w:left w:w="28" w:type="dxa"/>
          <w:bottom w:w="28" w:type="dxa"/>
          <w:right w:w="28" w:type="dxa"/>
        </w:tblCellMar>
      </w:tblPr>
      <w:tblGrid>
        <w:gridCol w:w="1396"/>
        <w:gridCol w:w="1227"/>
        <w:gridCol w:w="1232"/>
        <w:gridCol w:w="211"/>
        <w:gridCol w:w="616"/>
        <w:gridCol w:w="154"/>
      </w:tblGrid>
      <w:tr>
        <w:trPr/>
        <w:tc>
          <w:tcPr>
            <w:tcW w:w="1396" w:type="dxa"/>
            <w:tcBorders/>
            <w:vAlign w:val="center"/>
          </w:tcPr>
          <w:p>
            <w:pPr>
              <w:pStyle w:val="TableContents"/>
              <w:bidi w:val="0"/>
              <w:spacing w:before="0" w:after="283"/>
              <w:jc w:val="left"/>
              <w:rPr>
                <w:sz w:val="4"/>
                <w:szCs w:val="4"/>
              </w:rPr>
            </w:pPr>
            <w:r>
              <w:rPr>
                <w:sz w:val="4"/>
                <w:szCs w:val="4"/>
              </w:rPr>
            </w:r>
          </w:p>
        </w:tc>
        <w:tc>
          <w:tcPr>
            <w:tcW w:w="1227" w:type="dxa"/>
            <w:tcBorders/>
            <w:vAlign w:val="center"/>
          </w:tcPr>
          <w:p>
            <w:pPr>
              <w:pStyle w:val="TableContents"/>
              <w:bidi w:val="0"/>
              <w:spacing w:before="0" w:after="283"/>
              <w:jc w:val="left"/>
              <w:rPr>
                <w:sz w:val="4"/>
                <w:szCs w:val="4"/>
              </w:rPr>
            </w:pPr>
            <w:r>
              <w:rPr>
                <w:sz w:val="4"/>
                <w:szCs w:val="4"/>
              </w:rPr>
            </w:r>
          </w:p>
        </w:tc>
        <w:tc>
          <w:tcPr>
            <w:tcW w:w="123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u w:val="single"/>
              </w:rPr>
            </w:pPr>
            <w:r>
              <w:rPr>
                <w:rFonts w:ascii="Times New Roman;serif" w:hAnsi="Times New Roman;serif"/>
                <w:b/>
                <w:i/>
                <w:color w:val="000000"/>
                <w:sz w:val="16"/>
                <w:u w:val="single"/>
              </w:rPr>
              <w:t>In millions</w:t>
            </w:r>
          </w:p>
        </w:tc>
        <w:tc>
          <w:tcPr>
            <w:tcW w:w="9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First Six Months of 2025 Net sales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3,820 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Portfolio Optimization (Divestitures/Exits)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Exchange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Organic changes in Net sales by Product Line:</w:t>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Equipment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Services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Components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Digital Intelligence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First Six Months of 2026 Net sales</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4,358 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540"/>
        <w:jc w:val="left"/>
        <w:rPr>
          <w:rFonts w:ascii="Times New Roman;serif" w:hAnsi="Times New Roman;serif"/>
          <w:b/>
          <w:color w:val="000000"/>
          <w:sz w:val="20"/>
        </w:rPr>
      </w:pPr>
      <w:r>
        <w:rPr>
          <w:rFonts w:ascii="Times New Roman;serif" w:hAnsi="Times New Roman;serif"/>
          <w:b/>
          <w:color w:val="000000"/>
          <w:sz w:val="20"/>
        </w:rPr>
        <w:t>Net sales</w:t>
      </w:r>
    </w:p>
    <w:p>
      <w:pPr>
        <w:pStyle w:val="TextBody"/>
        <w:bidi w:val="0"/>
        <w:spacing w:lineRule="auto" w:line="288" w:before="18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Freight Segment organic sales increased by $178 million, or 4.7%, driven primarily by Equipment sales from higher North American and international locomotive deliveries and higher mining sales. This was partially offset by decreased Services sales from lower deliveries of locomotive modernizations and engine overhauls, decreased Digital Intelligence sales driven by the exit of a low margin project, and decreased Components sales from lower North America rail car build, partially offset by strong industrial demand. Acquisitions increased sales by $347 million, or 9.1%, primarily from Inspection Technologies and Frauscher, and favorable changes in foreign exchange increased sales by $34 million, or 0.9%. </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Cost of sales</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Freight Segment Cost of sales increased by $278 million, primarily due to higher sales volume, and Cost of sales as a percentage of Net sales decreased 1.5 percentage points. The improvement in gross margin is attributable to productivity and efficiency and accretion from recent acquisitions, partially offset by inflation driven by tariffs, unfavorable mix within the Freight Segment, and the exit of a low margin Digital project. Cost of sales for the six months ended June 30, 2026 included $20 million of costs related to purchase price accounting for the step-up of inventory to fair value related to acquisitions. Cost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of sales for the six months ended June 30, 2026 and 2025 included $2 million and $4 million, respectively, of costs related to restructuring initiatives.</w:t>
      </w:r>
    </w:p>
    <w:p>
      <w:pPr>
        <w:pStyle w:val="TextBody"/>
        <w:bidi w:val="0"/>
        <w:spacing w:lineRule="auto" w:line="268" w:before="120" w:after="283"/>
        <w:jc w:val="left"/>
        <w:rPr>
          <w:rFonts w:ascii="Times New Roman;serif" w:hAnsi="Times New Roman;serif"/>
          <w:b/>
          <w:color w:val="000000"/>
          <w:sz w:val="20"/>
        </w:rPr>
      </w:pPr>
      <w:r>
        <w:rPr>
          <w:rFonts w:ascii="Times New Roman;serif" w:hAnsi="Times New Roman;serif"/>
          <w:b/>
          <w:color w:val="000000"/>
          <w:sz w:val="20"/>
        </w:rPr>
        <w:t>Operating expenses</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Freight Segment Operating expenses increased by $141 million, and Operating expenses as a percentage of Net sales increased 1.5 percentage points. The increase in Freight Segment Operating expenses is primarily driven by incremental expense from acquisitions and higher employee compensation and benefit costs.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240" w:after="283"/>
        <w:jc w:val="left"/>
        <w:rPr>
          <w:rFonts w:ascii="Times New Roman;serif" w:hAnsi="Times New Roman;serif"/>
          <w:b/>
          <w:color w:val="000000"/>
          <w:sz w:val="20"/>
        </w:rPr>
      </w:pPr>
      <w:r>
        <w:rPr>
          <w:rFonts w:ascii="Times New Roman;serif" w:hAnsi="Times New Roman;serif"/>
          <w:b/>
          <w:color w:val="000000"/>
          <w:sz w:val="20"/>
        </w:rPr>
        <w:t>Transit Segment</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shows our Condensed Consolidated Statements of Operations for our Transit Segment for the periods indicated: </w:t>
      </w:r>
    </w:p>
    <w:tbl>
      <w:tblPr>
        <w:tblW w:w="8397" w:type="dxa"/>
        <w:jc w:val="left"/>
        <w:tblInd w:w="0" w:type="dxa"/>
        <w:tblLayout w:type="fixed"/>
        <w:tblCellMar>
          <w:top w:w="28" w:type="dxa"/>
          <w:left w:w="28" w:type="dxa"/>
          <w:bottom w:w="28" w:type="dxa"/>
          <w:right w:w="28" w:type="dxa"/>
        </w:tblCellMar>
      </w:tblPr>
      <w:tblGrid>
        <w:gridCol w:w="1212"/>
        <w:gridCol w:w="1065"/>
        <w:gridCol w:w="1068"/>
        <w:gridCol w:w="211"/>
        <w:gridCol w:w="616"/>
        <w:gridCol w:w="271"/>
        <w:gridCol w:w="109"/>
        <w:gridCol w:w="109"/>
        <w:gridCol w:w="109"/>
        <w:gridCol w:w="211"/>
        <w:gridCol w:w="616"/>
        <w:gridCol w:w="271"/>
        <w:gridCol w:w="109"/>
        <w:gridCol w:w="109"/>
        <w:gridCol w:w="109"/>
        <w:gridCol w:w="211"/>
        <w:gridCol w:w="466"/>
        <w:gridCol w:w="109"/>
        <w:gridCol w:w="109"/>
        <w:gridCol w:w="109"/>
        <w:gridCol w:w="109"/>
        <w:gridCol w:w="255"/>
        <w:gridCol w:w="256"/>
        <w:gridCol w:w="578"/>
      </w:tblGrid>
      <w:tr>
        <w:trPr/>
        <w:tc>
          <w:tcPr>
            <w:tcW w:w="1212" w:type="dxa"/>
            <w:tcBorders/>
            <w:vAlign w:val="center"/>
          </w:tcPr>
          <w:p>
            <w:pPr>
              <w:pStyle w:val="TableContents"/>
              <w:bidi w:val="0"/>
              <w:spacing w:before="0" w:after="283"/>
              <w:jc w:val="left"/>
              <w:rPr>
                <w:sz w:val="4"/>
                <w:szCs w:val="4"/>
              </w:rPr>
            </w:pPr>
            <w:r>
              <w:rPr>
                <w:sz w:val="4"/>
                <w:szCs w:val="4"/>
              </w:rPr>
            </w:r>
          </w:p>
        </w:tc>
        <w:tc>
          <w:tcPr>
            <w:tcW w:w="1065" w:type="dxa"/>
            <w:tcBorders/>
            <w:vAlign w:val="center"/>
          </w:tcPr>
          <w:p>
            <w:pPr>
              <w:pStyle w:val="TableContents"/>
              <w:bidi w:val="0"/>
              <w:spacing w:before="0" w:after="283"/>
              <w:jc w:val="left"/>
              <w:rPr>
                <w:sz w:val="4"/>
                <w:szCs w:val="4"/>
              </w:rPr>
            </w:pPr>
            <w:r>
              <w:rPr>
                <w:sz w:val="4"/>
                <w:szCs w:val="4"/>
              </w:rPr>
            </w:r>
          </w:p>
        </w:tc>
        <w:tc>
          <w:tcPr>
            <w:tcW w:w="106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r>
      <w:tr>
        <w:trPr/>
        <w:tc>
          <w:tcPr>
            <w:tcW w:w="3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u w:val="single"/>
              </w:rPr>
            </w:pPr>
            <w:r>
              <w:rPr>
                <w:rFonts w:ascii="Times New Roman;serif" w:hAnsi="Times New Roman;serif"/>
                <w:b/>
                <w:i/>
                <w:color w:val="000000"/>
                <w:sz w:val="16"/>
                <w:u w:val="single"/>
              </w:rPr>
              <w:t>In millions</w:t>
            </w:r>
          </w:p>
        </w:tc>
        <w:tc>
          <w:tcPr>
            <w:tcW w:w="109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Change</w:t>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1,771 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1,496 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18.4 </w:t>
            </w:r>
          </w:p>
        </w:tc>
        <w:tc>
          <w:tcPr>
            <w:tcW w:w="57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sales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14.5 </w:t>
            </w:r>
          </w:p>
        </w:tc>
        <w:tc>
          <w:tcPr>
            <w:tcW w:w="5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Cost of sales (% of Net sales)</w:t>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67.3 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69.5 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27.2 </w:t>
            </w:r>
          </w:p>
        </w:tc>
        <w:tc>
          <w:tcPr>
            <w:tcW w:w="5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21.8 </w:t>
            </w:r>
          </w:p>
        </w:tc>
        <w:tc>
          <w:tcPr>
            <w:tcW w:w="5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from operations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34.2 </w:t>
            </w:r>
          </w:p>
        </w:tc>
        <w:tc>
          <w:tcPr>
            <w:tcW w:w="5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from operations (% of Net sales)</w:t>
            </w:r>
          </w:p>
        </w:tc>
        <w:tc>
          <w:tcPr>
            <w:tcW w:w="827" w:type="dxa"/>
            <w:gridSpan w:val="2"/>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15.1 </w:t>
            </w:r>
          </w:p>
        </w:tc>
        <w:tc>
          <w:tcPr>
            <w:tcW w:w="271"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13.3 </w:t>
            </w:r>
          </w:p>
        </w:tc>
        <w:tc>
          <w:tcPr>
            <w:tcW w:w="271"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op w:val="doub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following table shows the major components of the change in Net sales for the Transit Segment in the first six months of 2026 from the first six months of 2025:</w:t>
      </w:r>
    </w:p>
    <w:tbl>
      <w:tblPr>
        <w:tblW w:w="4836" w:type="dxa"/>
        <w:jc w:val="left"/>
        <w:tblInd w:w="0" w:type="dxa"/>
        <w:tblLayout w:type="fixed"/>
        <w:tblCellMar>
          <w:top w:w="28" w:type="dxa"/>
          <w:left w:w="28" w:type="dxa"/>
          <w:bottom w:w="28" w:type="dxa"/>
          <w:right w:w="28" w:type="dxa"/>
        </w:tblCellMar>
      </w:tblPr>
      <w:tblGrid>
        <w:gridCol w:w="1396"/>
        <w:gridCol w:w="1227"/>
        <w:gridCol w:w="1232"/>
        <w:gridCol w:w="211"/>
        <w:gridCol w:w="616"/>
        <w:gridCol w:w="154"/>
      </w:tblGrid>
      <w:tr>
        <w:trPr/>
        <w:tc>
          <w:tcPr>
            <w:tcW w:w="1396" w:type="dxa"/>
            <w:tcBorders/>
            <w:vAlign w:val="center"/>
          </w:tcPr>
          <w:p>
            <w:pPr>
              <w:pStyle w:val="TableContents"/>
              <w:bidi w:val="0"/>
              <w:spacing w:before="0" w:after="283"/>
              <w:jc w:val="left"/>
              <w:rPr>
                <w:sz w:val="4"/>
                <w:szCs w:val="4"/>
              </w:rPr>
            </w:pPr>
            <w:r>
              <w:rPr>
                <w:sz w:val="4"/>
                <w:szCs w:val="4"/>
              </w:rPr>
            </w:r>
          </w:p>
        </w:tc>
        <w:tc>
          <w:tcPr>
            <w:tcW w:w="1227" w:type="dxa"/>
            <w:tcBorders/>
            <w:vAlign w:val="center"/>
          </w:tcPr>
          <w:p>
            <w:pPr>
              <w:pStyle w:val="TableContents"/>
              <w:bidi w:val="0"/>
              <w:spacing w:before="0" w:after="283"/>
              <w:jc w:val="left"/>
              <w:rPr>
                <w:sz w:val="4"/>
                <w:szCs w:val="4"/>
              </w:rPr>
            </w:pPr>
            <w:r>
              <w:rPr>
                <w:sz w:val="4"/>
                <w:szCs w:val="4"/>
              </w:rPr>
            </w:r>
          </w:p>
        </w:tc>
        <w:tc>
          <w:tcPr>
            <w:tcW w:w="123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u w:val="single"/>
              </w:rPr>
            </w:pPr>
            <w:r>
              <w:rPr>
                <w:rFonts w:ascii="Times New Roman;serif" w:hAnsi="Times New Roman;serif"/>
                <w:b/>
                <w:i/>
                <w:color w:val="000000"/>
                <w:sz w:val="16"/>
                <w:u w:val="single"/>
              </w:rPr>
              <w:t>In millions</w:t>
            </w:r>
          </w:p>
        </w:tc>
        <w:tc>
          <w:tcPr>
            <w:tcW w:w="9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First Six Months of 2025 Net sales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Portfolio Optimization (Divestitures/Exits)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Exchange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Organic changes in Net sales by Product Line:</w:t>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Aftermarket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Original Equipment Manufacturing</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First Six Months of 2026 Net sales</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1,771 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540"/>
        <w:jc w:val="left"/>
        <w:rPr>
          <w:rFonts w:ascii="Times New Roman;serif" w:hAnsi="Times New Roman;serif"/>
          <w:b/>
          <w:color w:val="000000"/>
          <w:sz w:val="20"/>
        </w:rPr>
      </w:pPr>
      <w:r>
        <w:rPr>
          <w:rFonts w:ascii="Times New Roman;serif" w:hAnsi="Times New Roman;serif"/>
          <w:b/>
          <w:color w:val="000000"/>
          <w:sz w:val="20"/>
        </w:rPr>
        <w:t>Net sales</w:t>
      </w:r>
    </w:p>
    <w:p>
      <w:pPr>
        <w:pStyle w:val="TextBody"/>
        <w:bidi w:val="0"/>
        <w:spacing w:lineRule="auto" w:line="288" w:before="18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Transit Segment organic sales increased by $111 million, or 7.4%, driven by strong Aftermarket and Original Equipment Manufacturing sales primarily as a result of increased demand for products and services due to fleet expansion and renewals, increased passenger ridership levels and increased investments in sustainable infrastructure. Sales from the Dellner Couplers acquisition increased sales by $110 million, or 7.4%, and favorable changes in foreign exchange rates increased sales by $58 million, or 3.9%.</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Cost of sales</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Transit Segment Cost of sales increased by $151 million, primarily due to higher sales volume, and Costs of sales as a percentage of Net sales decreased by 2.2 percentage points. The increase in gross margin was attributable to increased productivity and savings from restructuring initiatives. Cost of sales for the six months ended June 30, 2026 included $8 million of costs related to purchase price accounting for the step-up of inventory related to acquisitions to fair value on the date of acquisition.</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Operating expenses</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Transit Segment Operating expenses increased by $56 million and as a percentage of Net sales increased by 0.4 percentage points. Higher SG&amp;A expenses to support higher sales volume, higher employee compensation and benefit costs, and incremental Operating expenses from acquisitions were partially offset by savings from restructuring initiatives. Transit SG&amp;A expenses for the six months ended June 30, 2026 and 2025 included $2 million and $8 million, respectively, of costs related to restructuring initiatives.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Liquidity and Capital Resources</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Liquidity is provided by operating cash flows, borrowings under our credit facilities, and proceeds from the Company’s Senior Notes. Additionally, the Company utilizes the Revolving Receivables Program and supply chain financing program described below, as well as other short-term financing agreements with certain banks, for added flexibility as part of our liquidity management strategy. The following is a summary of selected cash flow information and other relevant data:</w:t>
      </w:r>
    </w:p>
    <w:tbl>
      <w:tblPr>
        <w:tblW w:w="4599" w:type="dxa"/>
        <w:jc w:val="left"/>
        <w:tblInd w:w="0" w:type="dxa"/>
        <w:tblLayout w:type="fixed"/>
        <w:tblCellMar>
          <w:top w:w="28" w:type="dxa"/>
          <w:left w:w="28" w:type="dxa"/>
          <w:bottom w:w="28" w:type="dxa"/>
          <w:right w:w="28" w:type="dxa"/>
        </w:tblCellMar>
      </w:tblPr>
      <w:tblGrid>
        <w:gridCol w:w="880"/>
        <w:gridCol w:w="774"/>
        <w:gridCol w:w="776"/>
        <w:gridCol w:w="211"/>
        <w:gridCol w:w="691"/>
        <w:gridCol w:w="109"/>
        <w:gridCol w:w="109"/>
        <w:gridCol w:w="109"/>
        <w:gridCol w:w="109"/>
        <w:gridCol w:w="211"/>
        <w:gridCol w:w="466"/>
        <w:gridCol w:w="154"/>
      </w:tblGrid>
      <w:tr>
        <w:trPr/>
        <w:tc>
          <w:tcPr>
            <w:tcW w:w="880"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w:t>
              <w:br/>
              <w:t>June 30,</w:t>
            </w:r>
          </w:p>
        </w:tc>
      </w:tr>
      <w:tr>
        <w:trPr/>
        <w:tc>
          <w:tcPr>
            <w:tcW w:w="24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u w:val="single"/>
              </w:rPr>
            </w:pPr>
            <w:r>
              <w:rPr>
                <w:rFonts w:ascii="Times New Roman;serif" w:hAnsi="Times New Roman;serif"/>
                <w:b/>
                <w:i/>
                <w:color w:val="000000"/>
                <w:sz w:val="16"/>
                <w:u w:val="single"/>
              </w:rPr>
              <w:t>In millions</w:t>
            </w:r>
          </w:p>
        </w:tc>
        <w:tc>
          <w:tcPr>
            <w:tcW w:w="101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24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provided by (used for):</w:t>
            </w:r>
          </w:p>
        </w:tc>
        <w:tc>
          <w:tcPr>
            <w:tcW w:w="10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activities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Investing activities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Financing activities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540"/>
        <w:jc w:val="left"/>
        <w:rPr/>
      </w:pPr>
      <w:r>
        <w:rPr>
          <w:rFonts w:ascii="Times New Roman;serif" w:hAnsi="Times New Roman;serif"/>
          <w:b/>
          <w:i/>
          <w:color w:val="000000"/>
          <w:sz w:val="20"/>
        </w:rPr>
        <w:t xml:space="preserve">Operating activities </w:t>
      </w:r>
      <w:r>
        <w:rPr>
          <w:rFonts w:ascii="Times New Roman;serif" w:hAnsi="Times New Roman;serif"/>
          <w:b w:val="false"/>
          <w:color w:val="000000"/>
          <w:sz w:val="20"/>
        </w:rPr>
        <w:t>In the first six months of 2026, cash provided by operating activities was $640 million compared to $400 million in the first six months of 2025. The increase was driven by higher net income and decreased working capital requirements.</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Net income was $759 million, an increase of $93 million compared to the prior year period. Non</w:t>
        <w:noBreakHyphen/>
        <w:t>cash adjustments, including depreciation and amortization of $282 million and stock</w:t>
        <w:noBreakHyphen/>
        <w:t>based compensation of $50 million, further supported cash provided by operating activities and increased year over year, primarily due to incremental non</w:t>
        <w:noBreakHyphen/>
        <w:t>cash expense from acquisitions and higher equity</w:t>
        <w:noBreakHyphen/>
        <w:t>based compensation.</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Cash provided by operating activities also benefited from changes in working capital. Higher Receivables decreased cash from operations by $229 million, compared to a decrease in cash from operations of $243 million in the prior year period, driven by the timing of collections from customers. Higher Inventories decreased cash from operations by $35 million, compared to a decrease in cash from operations of $180 million in the prior year period, driven by the impact of increased raw material costs and tariffs in the prior year period. Lower Customer deposits decreased cash from operations by $70 million, compared to a $14 million increase in cash from operations in the prior year, from changes in the timing of customer deposits. Other operating activities decreased cash from operations by $105 million, compared to a $41 million decrease in cash from operations in the prior year, primarily from changes in other accrued expenses due to the timing of payments.</w:t>
      </w:r>
    </w:p>
    <w:p>
      <w:pPr>
        <w:pStyle w:val="TextBody"/>
        <w:bidi w:val="0"/>
        <w:spacing w:lineRule="auto" w:line="288" w:before="120" w:after="283"/>
        <w:ind w:left="0" w:right="0" w:firstLine="540"/>
        <w:jc w:val="left"/>
        <w:rPr/>
      </w:pPr>
      <w:r>
        <w:rPr>
          <w:rFonts w:ascii="Times New Roman;serif" w:hAnsi="Times New Roman;serif"/>
          <w:b/>
          <w:i/>
          <w:color w:val="000000"/>
          <w:sz w:val="20"/>
        </w:rPr>
        <w:t xml:space="preserve">Investing activities </w:t>
      </w:r>
      <w:r>
        <w:rPr>
          <w:rFonts w:ascii="Times New Roman;serif" w:hAnsi="Times New Roman;serif"/>
          <w:b w:val="false"/>
          <w:color w:val="000000"/>
          <w:sz w:val="20"/>
        </w:rPr>
        <w:t xml:space="preserve">In the first six months of 2026 and 2025, cash used for investing activities was $1,160 million and $98 million, respectively. During the first six months of 2026, Wabtec used $1,062 million for acquisitions, primarily for Dellner Couplers and $108 million for additions to property, plant and equipment for investments in our facilities and manufacturing processes. During the first six months of 2025, Wabtec used $83 million for additions to property, plant, and equipment and $21 million for acquisitions. </w:t>
      </w:r>
    </w:p>
    <w:p>
      <w:pPr>
        <w:pStyle w:val="TextBody"/>
        <w:bidi w:val="0"/>
        <w:spacing w:lineRule="auto" w:line="288" w:before="120" w:after="283"/>
        <w:ind w:left="0" w:right="0" w:firstLine="540"/>
        <w:jc w:val="left"/>
        <w:rPr/>
      </w:pPr>
      <w:r>
        <w:rPr>
          <w:rFonts w:ascii="Times New Roman;serif" w:hAnsi="Times New Roman;serif"/>
          <w:b/>
          <w:i/>
          <w:color w:val="000000"/>
          <w:sz w:val="20"/>
        </w:rPr>
        <w:t xml:space="preserve">Financing activities </w:t>
      </w:r>
      <w:r>
        <w:rPr>
          <w:rFonts w:ascii="Times New Roman;serif" w:hAnsi="Times New Roman;serif"/>
          <w:b w:val="false"/>
          <w:color w:val="000000"/>
          <w:sz w:val="20"/>
        </w:rPr>
        <w:t xml:space="preserve">In the first six months of 2026, cash provided by financing activities was $408 million, which included $1,049 million of inflows from net changes in debt, partially offset by $457 million of stock repurchases, $106 million of dividend payments, and $54 million of payments for income tax withholding on share-based compensation. In the first six months of 2025, cash provided by financing activities was $454 million, which included $735 million of inflows from net changes in debt, partially offset by $148 million of stock repurchases, $87 million of dividend payments, and $39 million of payments for income tax withholding on share-based compensation. </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During the second quarter of 2026, the Company entered into $75 million of interest rate hedge contracts to manage its net exposure to interest rate changes and its overall cost of borrowing.</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During the second quarter of 2025, the Company entered into the 2025 Credit Agreement, which amended, restated and refinanced certain prior credit agreements. The 2025 Credit Agreement increased the amount available under the Revolving Credit Facility to $2.0 billion and provided a Term Loan Facility of $725 million. The Term Loan Facility was utilized to refinance (i) $250 million of the outstanding delayed draw term loan borrowings and (ii) $225 million of the outstanding term loan borrowings, each under a prior credit agreement. During the third quarter of 2025, the remaining $250 million under the Term Loan Facility was drawn and utilized as part of funding for the Inspection Technologies acquisition.</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Also during the second quarter of 2025, the Company issued $500 million of Senior Notes due in 2030 and $750 million of Senior Notes due in 2035. Proceeds from the 2030 Notes and cash on hand were utilized to repay the outstanding amount of the Company's 3.20% Senior Notes due 2025 at maturity. Proceeds from the 2035 Notes were utilized as part of funding for the Inspection Technologies acquisition.</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As of June 30, 2026, the Company held approximately $670 million of cash, cash equivalents and restricted cash, which was primarily held outside of the United States, mainly in Europe, India, South Africa, and China. While repatriation of some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cash held outside the United States may be restricted by local laws, most of the Company’s foreign cash could be repatriated to the United States net of any tax impacts. As of June 30, 2026, approximately $10 million of the Company's cash balance was classified as restricted, primarily for cash held in escrow related to acquisitions. </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Company's goal is to maintain an investment-grade credit profile, which supports access to diverse sources of liquidity and favorably impacts borrowing costs. Rating agencies that are engaged by the Company periodically update our credit ratings as events occur. As of June 30, 2026, the long-term credit ratings assigned to the Company were BBB with a stable outlook by Fitch Ratings, Baa2 with a stable outlook by Moody's Investors Service, and BBB with a stable outlook by S&amp;P Global Ratings.</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or our affiliates may, from time to time, seek to retire or purchase outstanding debt through negotiated or open-market cash purchases, exchanges, or otherwise, and such transactions, if any, will be upon such terms and at such prices as we may determine, and will depend on prevailing market conditions, our liquidity requirements, contractual restrictions and other factors.</w:t>
      </w:r>
    </w:p>
    <w:p>
      <w:pPr>
        <w:pStyle w:val="TextBody"/>
        <w:bidi w:val="0"/>
        <w:spacing w:lineRule="auto" w:line="288" w:before="120" w:after="283"/>
        <w:jc w:val="left"/>
        <w:rPr>
          <w:rFonts w:ascii="Times New Roman;serif" w:hAnsi="Times New Roman;serif"/>
          <w:b w:val="false"/>
          <w:i/>
          <w:color w:val="000000"/>
          <w:sz w:val="20"/>
        </w:rPr>
      </w:pPr>
      <w:r>
        <w:rPr>
          <w:rFonts w:ascii="Times New Roman;serif" w:hAnsi="Times New Roman;serif"/>
          <w:b w:val="false"/>
          <w:i/>
          <w:color w:val="000000"/>
          <w:sz w:val="20"/>
        </w:rPr>
        <w:t xml:space="preserve">Revolving Receivables Program </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utilizes its Revolving Receivables Program to request borrowings from a financial institution against certain collateralized receivables for up to $450 million. The Company collateralizes certain receivables through our bankruptcy-remote subsidiary on a recurring basis. As customers pay their balances, we transfer additional receivables into the program. Borrowings and repayments under the Revolving Receivables Program are included within Proceeds from debt and Payments of debt within the Financing activities section of the Condensed Consolidated Statement of Cash Flows. </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During the six months ended June 30, 2026, the Company borrowed and repaid $476 million and $76 million, respectively, against the collateralized receivables. During the six months ended June 30, 2025, the Company borrowed and repaid $350 million against the collateralized receivables. Additional information with respect to the Revolving Receivables Program is included in Note 2 of "Notes to Condensed Consolidated Financial Statements" included in Part I, Item 1 of this report.</w:t>
      </w:r>
    </w:p>
    <w:p>
      <w:pPr>
        <w:pStyle w:val="TextBody"/>
        <w:bidi w:val="0"/>
        <w:spacing w:lineRule="auto" w:line="288" w:before="120" w:after="283"/>
        <w:jc w:val="left"/>
        <w:rPr>
          <w:rFonts w:ascii="Times New Roman;serif" w:hAnsi="Times New Roman;serif"/>
          <w:b w:val="false"/>
          <w:i/>
          <w:color w:val="000000"/>
          <w:sz w:val="20"/>
        </w:rPr>
      </w:pPr>
      <w:r>
        <w:rPr>
          <w:rFonts w:ascii="Times New Roman;serif" w:hAnsi="Times New Roman;serif"/>
          <w:b w:val="false"/>
          <w:i/>
          <w:color w:val="000000"/>
          <w:sz w:val="20"/>
        </w:rPr>
        <w:t>Supply Chain Financing Program</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Company has entered into supply chain financing arrangements with third-party financial institutions to provide our vendors with enhanced payment options while providing the Company with added working capital flexibility. The Company does not provide any guarantees under these arrangements, does not have an economic interest in our suppliers' voluntary participation, does not receive an economic benefit from the financial institutions, and no assets are pledged under the arrangements. The arrangements do not change the payable terms negotiated by the Company and our vendors and do not result in a change in the classification of amounts due as Accounts payable in the Condensed Consolidated Balance Sheets. Additional information with respect to the Supply Chain Financing Program is included in Note 2 of "Notes to Condensed Consolidated Financial Statements" included in Part I, Item 1 of this report.</w:t>
      </w:r>
    </w:p>
    <w:p>
      <w:pPr>
        <w:pStyle w:val="TextBody"/>
        <w:bidi w:val="0"/>
        <w:spacing w:lineRule="auto" w:line="288" w:before="120" w:after="283"/>
        <w:jc w:val="left"/>
        <w:rPr>
          <w:rFonts w:ascii="Times New Roman;serif" w:hAnsi="Times New Roman;serif"/>
          <w:b w:val="false"/>
          <w:i/>
          <w:color w:val="000000"/>
          <w:sz w:val="20"/>
        </w:rPr>
      </w:pPr>
      <w:r>
        <w:rPr>
          <w:rFonts w:ascii="Times New Roman;serif" w:hAnsi="Times New Roman;serif"/>
          <w:b w:val="false"/>
          <w:i/>
          <w:color w:val="000000"/>
          <w:sz w:val="20"/>
        </w:rPr>
        <w:t>Uncommitted Money Market Line Credit Agreement</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During the third quarter of 2024, the Company entered into an uncommitted bilateral money market line credit agreement which provides an aggregate borrowing capacity of $150 million, for general business purposes and working capital needs.</w:t>
      </w:r>
    </w:p>
    <w:p>
      <w:pPr>
        <w:pStyle w:val="TextBody"/>
        <w:bidi w:val="0"/>
        <w:spacing w:lineRule="auto" w:line="288" w:before="120" w:after="283"/>
        <w:jc w:val="left"/>
        <w:rPr>
          <w:rFonts w:ascii="Times New Roman;serif" w:hAnsi="Times New Roman;serif"/>
          <w:b w:val="false"/>
          <w:i/>
          <w:color w:val="000000"/>
          <w:sz w:val="20"/>
        </w:rPr>
      </w:pPr>
      <w:r>
        <w:rPr>
          <w:rFonts w:ascii="Times New Roman;serif" w:hAnsi="Times New Roman;serif"/>
          <w:b w:val="false"/>
          <w:i/>
          <w:color w:val="000000"/>
          <w:sz w:val="20"/>
        </w:rPr>
        <w:t>Total Available Liquidity</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components of total available liquidity were as follows:</w:t>
      </w:r>
    </w:p>
    <w:tbl>
      <w:tblPr>
        <w:tblW w:w="6827" w:type="dxa"/>
        <w:jc w:val="left"/>
        <w:tblInd w:w="0" w:type="dxa"/>
        <w:tblLayout w:type="fixed"/>
        <w:tblCellMar>
          <w:top w:w="28" w:type="dxa"/>
          <w:left w:w="28" w:type="dxa"/>
          <w:bottom w:w="28" w:type="dxa"/>
          <w:right w:w="28" w:type="dxa"/>
        </w:tblCellMar>
      </w:tblPr>
      <w:tblGrid>
        <w:gridCol w:w="1585"/>
        <w:gridCol w:w="1391"/>
        <w:gridCol w:w="1403"/>
        <w:gridCol w:w="211"/>
        <w:gridCol w:w="616"/>
        <w:gridCol w:w="109"/>
        <w:gridCol w:w="109"/>
        <w:gridCol w:w="109"/>
        <w:gridCol w:w="109"/>
        <w:gridCol w:w="255"/>
        <w:gridCol w:w="744"/>
        <w:gridCol w:w="186"/>
      </w:tblGrid>
      <w:tr>
        <w:trPr/>
        <w:tc>
          <w:tcPr>
            <w:tcW w:w="1585" w:type="dxa"/>
            <w:tcBorders/>
            <w:vAlign w:val="center"/>
          </w:tcPr>
          <w:p>
            <w:pPr>
              <w:pStyle w:val="TableContents"/>
              <w:bidi w:val="0"/>
              <w:spacing w:before="0" w:after="283"/>
              <w:jc w:val="left"/>
              <w:rPr>
                <w:sz w:val="4"/>
                <w:szCs w:val="4"/>
              </w:rPr>
            </w:pPr>
            <w:r>
              <w:rPr>
                <w:sz w:val="4"/>
                <w:szCs w:val="4"/>
              </w:rPr>
            </w:r>
          </w:p>
        </w:tc>
        <w:tc>
          <w:tcPr>
            <w:tcW w:w="1391" w:type="dxa"/>
            <w:tcBorders/>
            <w:vAlign w:val="center"/>
          </w:tcPr>
          <w:p>
            <w:pPr>
              <w:pStyle w:val="TableContents"/>
              <w:bidi w:val="0"/>
              <w:spacing w:before="0" w:after="283"/>
              <w:jc w:val="left"/>
              <w:rPr>
                <w:sz w:val="4"/>
                <w:szCs w:val="4"/>
              </w:rPr>
            </w:pPr>
            <w:r>
              <w:rPr>
                <w:sz w:val="4"/>
                <w:szCs w:val="4"/>
              </w:rPr>
            </w:r>
          </w:p>
        </w:tc>
        <w:tc>
          <w:tcPr>
            <w:tcW w:w="140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r>
      <w:tr>
        <w:trPr/>
        <w:tc>
          <w:tcPr>
            <w:tcW w:w="43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u w:val="single"/>
              </w:rPr>
            </w:pPr>
            <w:r>
              <w:rPr>
                <w:rFonts w:ascii="Times New Roman;serif" w:hAnsi="Times New Roman;serif"/>
                <w:b/>
                <w:i/>
                <w:color w:val="000000"/>
                <w:sz w:val="16"/>
                <w:u w:val="single"/>
              </w:rPr>
              <w:t>In millions</w:t>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w:t>
              <w:br/>
              <w:t>2025</w:t>
            </w:r>
          </w:p>
        </w:tc>
      </w:tr>
      <w:tr>
        <w:trPr/>
        <w:tc>
          <w:tcPr>
            <w:tcW w:w="4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 excluding restricted cash</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764 </w:t>
            </w:r>
          </w:p>
        </w:tc>
        <w:tc>
          <w:tcPr>
            <w:tcW w:w="18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Revolving Credit Facility</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2,000 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Revolving Receivables Program</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443 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Available Liquidity</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3,207 </w:t>
            </w:r>
          </w:p>
        </w:tc>
        <w:tc>
          <w:tcPr>
            <w:tcW w:w="18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Company believes that its existing cash balances, cash generated from operations, available borrowings under its credit facilities, and access to the capital markets will be sufficient to meet its working capital needs, planned capital expenditures, debt service requirements, dividends, share repurchases, and other known cash requirements for at least the next twelve months.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before="0" w:after="0"/>
        <w:jc w:val="left"/>
        <w:rPr/>
      </w:pPr>
      <w:r>
        <w:rPr/>
      </w:r>
    </w:p>
    <w:p>
      <w:pPr>
        <w:pStyle w:val="TextBody"/>
        <w:bidi w:val="0"/>
        <w:spacing w:lineRule="auto" w:line="276" w:before="120" w:after="283"/>
        <w:jc w:val="left"/>
        <w:rPr>
          <w:rFonts w:ascii="Times New Roman;serif" w:hAnsi="Times New Roman;serif"/>
          <w:b w:val="false"/>
          <w:i/>
          <w:color w:val="000000"/>
          <w:sz w:val="20"/>
        </w:rPr>
      </w:pPr>
      <w:r>
        <w:rPr>
          <w:rFonts w:ascii="Times New Roman;serif" w:hAnsi="Times New Roman;serif"/>
          <w:b w:val="false"/>
          <w:i/>
          <w:color w:val="000000"/>
          <w:sz w:val="20"/>
        </w:rPr>
        <w:t>Guarantor Summarized Financial Information</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Westinghouse Air Brake Technologies Corporation (the “Parent Company”) has issued 3.45% Senior Notes due 2026, 4.70% Senior Notes due 2028, 4.90% Senior Notes due 2030, 5.611% Senior Notes due 2034, and 5.50% Senior Notes due 2035 (collectively, the “US Notes”). </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obligations under the US Notes issued by the Parent Company have been fully and unconditionally guaranteed by certain of the Parent Company's U.S. subsidiaries ("Guarantor Subsidiaries"), currently comprising GE Transportation, a Wabtec Company, RFPC Holding Corp., Transportation IP Holdings, LLC, Transportation Systems Services Operations Inc., Wabtec Components LLC, Wabtec Holding LLC, Wabtec Railway Electronics Holdings, LLC, Wabtec Transportation Systems, LLC and Wabtec US Rail, Inc. Each guarantor is 100% owned by the Parent Company. The Euro Notes are issued by Wabtec Transportation Netherlands B.V. ("Wabtec Netherlands") and are fully and unconditionally guaranteed by the Parent Company.</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tables present summarized financial information of the Parent Company and the Guarantor Subsidiaries on a combined basis. The combined summarized financial information eliminates (i) all intercompany balances and transactions among the Parent Company and Guarantor Subsidiaries as well as (ii) all equity in earnings from and investments in any subsidiary that is not a Guarantor Subsidiary, which we refer to below as the non-guarantor subsidiaries. </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summarized financial information is provided in accordance with the reporting requirements of Rule 13-01 under SEC Regulation S-X for the Parent Company, as the issuer of the US Notes, and Guarantor Subsidiaries.</w:t>
      </w:r>
    </w:p>
    <w:p>
      <w:pPr>
        <w:pStyle w:val="TextBody"/>
        <w:bidi w:val="0"/>
        <w:spacing w:lineRule="auto" w:line="288" w:before="120" w:after="283"/>
        <w:ind w:left="0" w:right="0" w:firstLine="540"/>
        <w:jc w:val="left"/>
        <w:rPr>
          <w:rFonts w:ascii="Times New Roman;serif" w:hAnsi="Times New Roman;serif"/>
          <w:b/>
          <w:i/>
          <w:color w:val="000000"/>
          <w:sz w:val="20"/>
        </w:rPr>
      </w:pPr>
      <w:r>
        <w:rPr>
          <w:rFonts w:ascii="Times New Roman;serif" w:hAnsi="Times New Roman;serif"/>
          <w:b/>
          <w:i/>
          <w:color w:val="000000"/>
          <w:sz w:val="20"/>
        </w:rPr>
        <w:t>Summarized Statement of Income</w:t>
      </w:r>
    </w:p>
    <w:tbl>
      <w:tblPr>
        <w:tblW w:w="7466" w:type="dxa"/>
        <w:jc w:val="left"/>
        <w:tblInd w:w="0" w:type="dxa"/>
        <w:tblLayout w:type="fixed"/>
        <w:tblCellMar>
          <w:top w:w="28" w:type="dxa"/>
          <w:left w:w="28" w:type="dxa"/>
          <w:bottom w:w="28" w:type="dxa"/>
          <w:right w:w="28" w:type="dxa"/>
        </w:tblCellMar>
      </w:tblPr>
      <w:tblGrid>
        <w:gridCol w:w="1336"/>
        <w:gridCol w:w="1171"/>
        <w:gridCol w:w="1183"/>
        <w:gridCol w:w="109"/>
        <w:gridCol w:w="109"/>
        <w:gridCol w:w="109"/>
        <w:gridCol w:w="740"/>
        <w:gridCol w:w="2164"/>
        <w:gridCol w:w="545"/>
      </w:tblGrid>
      <w:tr>
        <w:trPr/>
        <w:tc>
          <w:tcPr>
            <w:tcW w:w="1336" w:type="dxa"/>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sz w:val="4"/>
                <w:szCs w:val="4"/>
              </w:rPr>
            </w:pPr>
            <w:r>
              <w:rPr>
                <w:sz w:val="4"/>
                <w:szCs w:val="4"/>
              </w:rPr>
            </w:r>
          </w:p>
        </w:tc>
        <w:tc>
          <w:tcPr>
            <w:tcW w:w="11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2164"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r>
      <w:tr>
        <w:trPr/>
        <w:tc>
          <w:tcPr>
            <w:tcW w:w="3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Unaudited</w:t>
            </w:r>
          </w:p>
        </w:tc>
      </w:tr>
      <w:tr>
        <w:trPr/>
        <w:tc>
          <w:tcPr>
            <w:tcW w:w="3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Parent Company and Guarantor Subsidiaries</w:t>
            </w:r>
          </w:p>
        </w:tc>
      </w:tr>
      <w:tr>
        <w:trPr/>
        <w:tc>
          <w:tcPr>
            <w:tcW w:w="36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u w:val="single"/>
              </w:rPr>
            </w:pPr>
            <w:r>
              <w:rPr>
                <w:rFonts w:ascii="Times New Roman;serif" w:hAnsi="Times New Roman;serif"/>
                <w:b/>
                <w:i/>
                <w:color w:val="000000"/>
                <w:sz w:val="16"/>
                <w:u w:val="single"/>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 2026</w:t>
            </w:r>
          </w:p>
        </w:tc>
      </w:tr>
      <w:tr>
        <w:trPr/>
        <w:tc>
          <w:tcPr>
            <w:tcW w:w="36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16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3,242 </w:t>
            </w:r>
          </w:p>
        </w:tc>
        <w:tc>
          <w:tcPr>
            <w:tcW w:w="54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1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546 </w:t>
            </w:r>
          </w:p>
        </w:tc>
        <w:tc>
          <w:tcPr>
            <w:tcW w:w="5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attributable to Wabtec shareholders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16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w:t>
            </w:r>
          </w:p>
        </w:tc>
        <w:tc>
          <w:tcPr>
            <w:tcW w:w="5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540"/>
        <w:jc w:val="left"/>
        <w:rPr>
          <w:rFonts w:ascii="Times New Roman;serif" w:hAnsi="Times New Roman;serif"/>
          <w:b/>
          <w:i/>
          <w:color w:val="000000"/>
          <w:sz w:val="20"/>
        </w:rPr>
      </w:pPr>
      <w:r>
        <w:rPr>
          <w:rFonts w:ascii="Times New Roman;serif" w:hAnsi="Times New Roman;serif"/>
          <w:b/>
          <w:i/>
          <w:color w:val="000000"/>
          <w:sz w:val="20"/>
        </w:rPr>
        <w:t>Summarized Balance Sheet</w:t>
      </w:r>
    </w:p>
    <w:tbl>
      <w:tblPr>
        <w:tblW w:w="6196" w:type="dxa"/>
        <w:jc w:val="left"/>
        <w:tblInd w:w="0" w:type="dxa"/>
        <w:tblLayout w:type="fixed"/>
        <w:tblCellMar>
          <w:top w:w="28" w:type="dxa"/>
          <w:left w:w="28" w:type="dxa"/>
          <w:bottom w:w="28" w:type="dxa"/>
          <w:right w:w="28" w:type="dxa"/>
        </w:tblCellMar>
      </w:tblPr>
      <w:tblGrid>
        <w:gridCol w:w="864"/>
        <w:gridCol w:w="758"/>
        <w:gridCol w:w="763"/>
        <w:gridCol w:w="109"/>
        <w:gridCol w:w="109"/>
        <w:gridCol w:w="109"/>
        <w:gridCol w:w="324"/>
        <w:gridCol w:w="947"/>
        <w:gridCol w:w="167"/>
        <w:gridCol w:w="167"/>
        <w:gridCol w:w="167"/>
        <w:gridCol w:w="167"/>
        <w:gridCol w:w="332"/>
        <w:gridCol w:w="971"/>
        <w:gridCol w:w="242"/>
      </w:tblGrid>
      <w:tr>
        <w:trPr/>
        <w:tc>
          <w:tcPr>
            <w:tcW w:w="864"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94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r>
      <w:tr>
        <w:trPr/>
        <w:tc>
          <w:tcPr>
            <w:tcW w:w="2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Unaudited</w:t>
            </w:r>
          </w:p>
        </w:tc>
      </w:tr>
      <w:tr>
        <w:trPr/>
        <w:tc>
          <w:tcPr>
            <w:tcW w:w="2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Parent Company and Guarantor Subsidiaries</w:t>
            </w:r>
          </w:p>
        </w:tc>
      </w:tr>
      <w:tr>
        <w:trPr/>
        <w:tc>
          <w:tcPr>
            <w:tcW w:w="23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u w:val="single"/>
              </w:rPr>
            </w:pPr>
            <w:r>
              <w:rPr>
                <w:rFonts w:ascii="Times New Roman;serif" w:hAnsi="Times New Roman;serif"/>
                <w:b/>
                <w:i/>
                <w:color w:val="000000"/>
                <w:sz w:val="16"/>
                <w:u w:val="single"/>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2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1,193 </w:t>
            </w:r>
          </w:p>
        </w:tc>
        <w:tc>
          <w:tcPr>
            <w:tcW w:w="16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1,434 </w:t>
            </w:r>
          </w:p>
        </w:tc>
        <w:tc>
          <w:tcPr>
            <w:tcW w:w="24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3,257 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3,311 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2,974 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3,236 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4,308 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3,701 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648 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605 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following is a description of the transactions between the combined Parent Company and Guarantor Subsidiaries with non-guarantor subsidiaries.</w:t>
      </w:r>
    </w:p>
    <w:tbl>
      <w:tblPr>
        <w:tblW w:w="7316" w:type="dxa"/>
        <w:jc w:val="left"/>
        <w:tblInd w:w="0" w:type="dxa"/>
        <w:tblLayout w:type="fixed"/>
        <w:tblCellMar>
          <w:top w:w="28" w:type="dxa"/>
          <w:left w:w="28" w:type="dxa"/>
          <w:bottom w:w="28" w:type="dxa"/>
          <w:right w:w="28" w:type="dxa"/>
        </w:tblCellMar>
      </w:tblPr>
      <w:tblGrid>
        <w:gridCol w:w="1281"/>
        <w:gridCol w:w="1124"/>
        <w:gridCol w:w="1134"/>
        <w:gridCol w:w="109"/>
        <w:gridCol w:w="109"/>
        <w:gridCol w:w="109"/>
        <w:gridCol w:w="740"/>
        <w:gridCol w:w="2165"/>
        <w:gridCol w:w="545"/>
      </w:tblGrid>
      <w:tr>
        <w:trPr/>
        <w:tc>
          <w:tcPr>
            <w:tcW w:w="1281" w:type="dxa"/>
            <w:tcBorders/>
            <w:vAlign w:val="center"/>
          </w:tcPr>
          <w:p>
            <w:pPr>
              <w:pStyle w:val="TableContents"/>
              <w:bidi w:val="0"/>
              <w:spacing w:before="0" w:after="283"/>
              <w:jc w:val="left"/>
              <w:rPr>
                <w:sz w:val="4"/>
                <w:szCs w:val="4"/>
              </w:rPr>
            </w:pPr>
            <w:r>
              <w:rPr>
                <w:sz w:val="4"/>
                <w:szCs w:val="4"/>
              </w:rPr>
            </w:r>
          </w:p>
        </w:tc>
        <w:tc>
          <w:tcPr>
            <w:tcW w:w="1124" w:type="dxa"/>
            <w:tcBorders/>
            <w:vAlign w:val="center"/>
          </w:tcPr>
          <w:p>
            <w:pPr>
              <w:pStyle w:val="TableContents"/>
              <w:bidi w:val="0"/>
              <w:spacing w:before="0" w:after="283"/>
              <w:jc w:val="left"/>
              <w:rPr>
                <w:sz w:val="4"/>
                <w:szCs w:val="4"/>
              </w:rPr>
            </w:pPr>
            <w:r>
              <w:rPr>
                <w:sz w:val="4"/>
                <w:szCs w:val="4"/>
              </w:rPr>
            </w:r>
          </w:p>
        </w:tc>
        <w:tc>
          <w:tcPr>
            <w:tcW w:w="1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2165"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r>
      <w:tr>
        <w:trPr/>
        <w:tc>
          <w:tcPr>
            <w:tcW w:w="3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Unaudited</w:t>
            </w:r>
          </w:p>
        </w:tc>
      </w:tr>
      <w:tr>
        <w:trPr/>
        <w:tc>
          <w:tcPr>
            <w:tcW w:w="3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Parent Company and Guarantor Subsidiaries</w:t>
            </w:r>
          </w:p>
        </w:tc>
      </w:tr>
      <w:tr>
        <w:trPr/>
        <w:tc>
          <w:tcPr>
            <w:tcW w:w="35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u w:val="single"/>
              </w:rPr>
            </w:pPr>
            <w:r>
              <w:rPr>
                <w:rFonts w:ascii="Times New Roman;serif" w:hAnsi="Times New Roman;serif"/>
                <w:b/>
                <w:i/>
                <w:color w:val="000000"/>
                <w:sz w:val="16"/>
                <w:u w:val="single"/>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 2026</w:t>
            </w:r>
          </w:p>
        </w:tc>
      </w:tr>
      <w:tr>
        <w:trPr/>
        <w:tc>
          <w:tcPr>
            <w:tcW w:w="3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 to non-guarantor subsidiaries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16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476 </w:t>
            </w:r>
          </w:p>
        </w:tc>
        <w:tc>
          <w:tcPr>
            <w:tcW w:w="54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 from non-guarantor subsidiaries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1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921 </w:t>
            </w:r>
          </w:p>
        </w:tc>
        <w:tc>
          <w:tcPr>
            <w:tcW w:w="5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Unaudited</w:t>
            </w:r>
          </w:p>
        </w:tc>
      </w:tr>
      <w:tr>
        <w:trPr/>
        <w:tc>
          <w:tcPr>
            <w:tcW w:w="3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Parent Company and Guarantor Subsidiaries</w:t>
            </w:r>
          </w:p>
        </w:tc>
      </w:tr>
      <w:tr>
        <w:trPr/>
        <w:tc>
          <w:tcPr>
            <w:tcW w:w="35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u w:val="single"/>
              </w:rPr>
            </w:pPr>
            <w:r>
              <w:rPr>
                <w:rFonts w:ascii="Times New Roman;serif" w:hAnsi="Times New Roman;serif"/>
                <w:b/>
                <w:i/>
                <w:color w:val="000000"/>
                <w:sz w:val="16"/>
                <w:u w:val="single"/>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r>
      <w:tr>
        <w:trPr/>
        <w:tc>
          <w:tcPr>
            <w:tcW w:w="3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Amount due to non-guarantor subsidiaries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16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8,130 </w:t>
            </w:r>
          </w:p>
        </w:tc>
        <w:tc>
          <w:tcPr>
            <w:tcW w:w="54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283"/>
        <w:ind w:left="0" w:right="0" w:firstLine="54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Summarized Financial Information—Euro Notes</w:t>
      </w:r>
    </w:p>
    <w:p>
      <w:pPr>
        <w:pStyle w:val="TextBody"/>
        <w:bidi w:val="0"/>
        <w:spacing w:lineRule="auto" w:line="256"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obligations under Wabtec Netherlands’ Euro Notes are fully and unconditionally guaranteed by the Parent Company. Wabtec Netherlands is a wholly owned, indirect subsidiary of the Parent Company. Wabtec Netherlands is a holding company and does not have any independent operations. Its assets consist of its investments in subsidiaries, which are separate and distinct legal entities that are not guarantors of the Euro Notes and have no obligations to pay amounts due under Wabtec Netherlands’ obligations.</w:t>
      </w:r>
    </w:p>
    <w:p>
      <w:pPr>
        <w:pStyle w:val="TextBody"/>
        <w:bidi w:val="0"/>
        <w:spacing w:lineRule="auto" w:line="256"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tables present summarized financial information of Wabtec Netherlands, as the Issuer of the Euro Notes, and the Parent Company, as the parent Guarantor, on a combined basis. The combined summarized financial information eliminates (i) all intercompany balances and transactions among Wabtec Netherlands and the Parent Company as well as (ii) all equity in earnings from and investments in any subsidiary of the Parent Company, other than Wabtec Netherlands, which we refer to below as the non-guarantor subsidiaries. </w:t>
      </w:r>
    </w:p>
    <w:p>
      <w:pPr>
        <w:pStyle w:val="TextBody"/>
        <w:bidi w:val="0"/>
        <w:spacing w:lineRule="auto" w:line="256"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summarized financial information is provided in accordance with the reporting requirements of Rule 13-01 under SEC Regulation S-X for Wabtec Netherlands, as the issuer of the Euro Notes, and Parent Company guarantor.</w:t>
      </w:r>
    </w:p>
    <w:p>
      <w:pPr>
        <w:pStyle w:val="TextBody"/>
        <w:bidi w:val="0"/>
        <w:spacing w:lineRule="auto" w:line="288" w:before="180" w:after="283"/>
        <w:ind w:left="0" w:right="0" w:firstLine="540"/>
        <w:jc w:val="left"/>
        <w:rPr>
          <w:rFonts w:ascii="Times New Roman;serif" w:hAnsi="Times New Roman;serif"/>
          <w:b/>
          <w:i/>
          <w:color w:val="000000"/>
          <w:sz w:val="20"/>
        </w:rPr>
      </w:pPr>
      <w:r>
        <w:rPr>
          <w:rFonts w:ascii="Times New Roman;serif" w:hAnsi="Times New Roman;serif"/>
          <w:b/>
          <w:i/>
          <w:color w:val="000000"/>
          <w:sz w:val="20"/>
        </w:rPr>
        <w:t>Summarized Statement of Income</w:t>
      </w:r>
    </w:p>
    <w:tbl>
      <w:tblPr>
        <w:tblW w:w="7152" w:type="dxa"/>
        <w:jc w:val="left"/>
        <w:tblInd w:w="0" w:type="dxa"/>
        <w:tblLayout w:type="fixed"/>
        <w:tblCellMar>
          <w:top w:w="28" w:type="dxa"/>
          <w:left w:w="28" w:type="dxa"/>
          <w:bottom w:w="28" w:type="dxa"/>
          <w:right w:w="28" w:type="dxa"/>
        </w:tblCellMar>
      </w:tblPr>
      <w:tblGrid>
        <w:gridCol w:w="1336"/>
        <w:gridCol w:w="1171"/>
        <w:gridCol w:w="1183"/>
        <w:gridCol w:w="109"/>
        <w:gridCol w:w="109"/>
        <w:gridCol w:w="109"/>
        <w:gridCol w:w="732"/>
        <w:gridCol w:w="1864"/>
        <w:gridCol w:w="539"/>
      </w:tblGrid>
      <w:tr>
        <w:trPr/>
        <w:tc>
          <w:tcPr>
            <w:tcW w:w="1336" w:type="dxa"/>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sz w:val="4"/>
                <w:szCs w:val="4"/>
              </w:rPr>
            </w:pPr>
            <w:r>
              <w:rPr>
                <w:sz w:val="4"/>
                <w:szCs w:val="4"/>
              </w:rPr>
            </w:r>
          </w:p>
        </w:tc>
        <w:tc>
          <w:tcPr>
            <w:tcW w:w="11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1864"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r>
      <w:tr>
        <w:trPr/>
        <w:tc>
          <w:tcPr>
            <w:tcW w:w="3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Unaudited</w:t>
            </w:r>
          </w:p>
        </w:tc>
      </w:tr>
      <w:tr>
        <w:trPr/>
        <w:tc>
          <w:tcPr>
            <w:tcW w:w="3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Issuer and Parent Company (Guarantor)</w:t>
            </w:r>
          </w:p>
        </w:tc>
      </w:tr>
      <w:tr>
        <w:trPr/>
        <w:tc>
          <w:tcPr>
            <w:tcW w:w="36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u w:val="single"/>
              </w:rPr>
            </w:pPr>
            <w:r>
              <w:rPr>
                <w:rFonts w:ascii="Times New Roman;serif" w:hAnsi="Times New Roman;serif"/>
                <w:b/>
                <w:i/>
                <w:color w:val="000000"/>
                <w:sz w:val="16"/>
                <w:u w:val="single"/>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 2026</w:t>
            </w:r>
          </w:p>
        </w:tc>
      </w:tr>
      <w:tr>
        <w:trPr/>
        <w:tc>
          <w:tcPr>
            <w:tcW w:w="36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86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292 </w:t>
            </w:r>
          </w:p>
        </w:tc>
        <w:tc>
          <w:tcPr>
            <w:tcW w:w="53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8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75 </w:t>
            </w:r>
          </w:p>
        </w:tc>
        <w:tc>
          <w:tcPr>
            <w:tcW w:w="5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attributable to Wabtec shareholders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86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w:t>
            </w:r>
          </w:p>
        </w:tc>
        <w:tc>
          <w:tcPr>
            <w:tcW w:w="5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ind w:left="0" w:right="0" w:firstLine="540"/>
        <w:jc w:val="left"/>
        <w:rPr>
          <w:rFonts w:ascii="Times New Roman;serif" w:hAnsi="Times New Roman;serif"/>
          <w:b/>
          <w:i/>
          <w:color w:val="000000"/>
          <w:sz w:val="20"/>
        </w:rPr>
      </w:pPr>
      <w:r>
        <w:rPr>
          <w:rFonts w:ascii="Times New Roman;serif" w:hAnsi="Times New Roman;serif"/>
          <w:b/>
          <w:i/>
          <w:color w:val="000000"/>
          <w:sz w:val="20"/>
        </w:rPr>
        <w:t>Summarized Balance Sheet</w:t>
      </w:r>
    </w:p>
    <w:tbl>
      <w:tblPr>
        <w:tblW w:w="6019" w:type="dxa"/>
        <w:jc w:val="left"/>
        <w:tblInd w:w="0" w:type="dxa"/>
        <w:tblLayout w:type="fixed"/>
        <w:tblCellMar>
          <w:top w:w="28" w:type="dxa"/>
          <w:left w:w="28" w:type="dxa"/>
          <w:bottom w:w="28" w:type="dxa"/>
          <w:right w:w="28" w:type="dxa"/>
        </w:tblCellMar>
      </w:tblPr>
      <w:tblGrid>
        <w:gridCol w:w="864"/>
        <w:gridCol w:w="758"/>
        <w:gridCol w:w="763"/>
        <w:gridCol w:w="109"/>
        <w:gridCol w:w="109"/>
        <w:gridCol w:w="109"/>
        <w:gridCol w:w="294"/>
        <w:gridCol w:w="860"/>
        <w:gridCol w:w="152"/>
        <w:gridCol w:w="152"/>
        <w:gridCol w:w="152"/>
        <w:gridCol w:w="152"/>
        <w:gridCol w:w="332"/>
        <w:gridCol w:w="971"/>
        <w:gridCol w:w="242"/>
      </w:tblGrid>
      <w:tr>
        <w:trPr/>
        <w:tc>
          <w:tcPr>
            <w:tcW w:w="864"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r>
      <w:tr>
        <w:trPr/>
        <w:tc>
          <w:tcPr>
            <w:tcW w:w="2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Unaudited</w:t>
            </w:r>
          </w:p>
        </w:tc>
      </w:tr>
      <w:tr>
        <w:trPr/>
        <w:tc>
          <w:tcPr>
            <w:tcW w:w="2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Issuer and Parent Company (Guarantor)</w:t>
            </w:r>
          </w:p>
        </w:tc>
      </w:tr>
      <w:tr>
        <w:trPr/>
        <w:tc>
          <w:tcPr>
            <w:tcW w:w="23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u w:val="single"/>
              </w:rPr>
            </w:pPr>
            <w:r>
              <w:rPr>
                <w:rFonts w:ascii="Times New Roman;serif" w:hAnsi="Times New Roman;serif"/>
                <w:b/>
                <w:i/>
                <w:color w:val="000000"/>
                <w:sz w:val="16"/>
                <w:u w:val="single"/>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4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2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245 </w:t>
            </w:r>
          </w:p>
        </w:tc>
        <w:tc>
          <w:tcPr>
            <w:tcW w:w="15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508 </w:t>
            </w:r>
          </w:p>
        </w:tc>
        <w:tc>
          <w:tcPr>
            <w:tcW w:w="24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635 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656 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1,754 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1,822 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4,910 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4,286 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56"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following is a description of the transactions between the combined Wabtec Netherlands, as the Issuer of the Euro Notes, and the Parent Company, as the parent Guarantor, with the subsidiaries of Westinghouse Air Brake Technologies Corp., other than Wabtec Netherlands, none of which are guarantors of the Euro Notes.</w:t>
      </w:r>
    </w:p>
    <w:p>
      <w:pPr>
        <w:pStyle w:val="TextBody"/>
        <w:bidi w:val="0"/>
        <w:spacing w:before="120" w:after="283"/>
        <w:ind w:left="0" w:right="0" w:firstLine="540"/>
        <w:jc w:val="left"/>
        <w:rPr/>
      </w:pPr>
      <w:r>
        <w:rPr/>
      </w:r>
    </w:p>
    <w:tbl>
      <w:tblPr>
        <w:tblW w:w="7001" w:type="dxa"/>
        <w:jc w:val="left"/>
        <w:tblInd w:w="0" w:type="dxa"/>
        <w:tblLayout w:type="fixed"/>
        <w:tblCellMar>
          <w:top w:w="28" w:type="dxa"/>
          <w:left w:w="28" w:type="dxa"/>
          <w:bottom w:w="28" w:type="dxa"/>
          <w:right w:w="28" w:type="dxa"/>
        </w:tblCellMar>
      </w:tblPr>
      <w:tblGrid>
        <w:gridCol w:w="1281"/>
        <w:gridCol w:w="1124"/>
        <w:gridCol w:w="1134"/>
        <w:gridCol w:w="109"/>
        <w:gridCol w:w="109"/>
        <w:gridCol w:w="109"/>
        <w:gridCol w:w="673"/>
        <w:gridCol w:w="1967"/>
        <w:gridCol w:w="495"/>
      </w:tblGrid>
      <w:tr>
        <w:trPr/>
        <w:tc>
          <w:tcPr>
            <w:tcW w:w="1281" w:type="dxa"/>
            <w:tcBorders/>
            <w:vAlign w:val="center"/>
          </w:tcPr>
          <w:p>
            <w:pPr>
              <w:pStyle w:val="TableContents"/>
              <w:bidi w:val="0"/>
              <w:spacing w:before="0" w:after="283"/>
              <w:jc w:val="left"/>
              <w:rPr>
                <w:sz w:val="4"/>
                <w:szCs w:val="4"/>
              </w:rPr>
            </w:pPr>
            <w:r>
              <w:rPr>
                <w:sz w:val="4"/>
                <w:szCs w:val="4"/>
              </w:rPr>
            </w:r>
          </w:p>
        </w:tc>
        <w:tc>
          <w:tcPr>
            <w:tcW w:w="1124" w:type="dxa"/>
            <w:tcBorders/>
            <w:vAlign w:val="center"/>
          </w:tcPr>
          <w:p>
            <w:pPr>
              <w:pStyle w:val="TableContents"/>
              <w:bidi w:val="0"/>
              <w:spacing w:before="0" w:after="283"/>
              <w:jc w:val="left"/>
              <w:rPr>
                <w:sz w:val="4"/>
                <w:szCs w:val="4"/>
              </w:rPr>
            </w:pPr>
            <w:r>
              <w:rPr>
                <w:sz w:val="4"/>
                <w:szCs w:val="4"/>
              </w:rPr>
            </w:r>
          </w:p>
        </w:tc>
        <w:tc>
          <w:tcPr>
            <w:tcW w:w="1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1967"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r>
      <w:tr>
        <w:trPr/>
        <w:tc>
          <w:tcPr>
            <w:tcW w:w="3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Unaudited</w:t>
            </w:r>
          </w:p>
        </w:tc>
      </w:tr>
      <w:tr>
        <w:trPr/>
        <w:tc>
          <w:tcPr>
            <w:tcW w:w="3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Issuer and Parent Company (Guarantor)</w:t>
            </w:r>
          </w:p>
        </w:tc>
      </w:tr>
      <w:tr>
        <w:trPr/>
        <w:tc>
          <w:tcPr>
            <w:tcW w:w="35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u w:val="single"/>
              </w:rPr>
            </w:pPr>
            <w:r>
              <w:rPr>
                <w:rFonts w:ascii="Times New Roman;serif" w:hAnsi="Times New Roman;serif"/>
                <w:b/>
                <w:i/>
                <w:color w:val="000000"/>
                <w:sz w:val="16"/>
                <w:u w:val="single"/>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 2026</w:t>
            </w:r>
          </w:p>
        </w:tc>
      </w:tr>
      <w:tr>
        <w:trPr/>
        <w:tc>
          <w:tcPr>
            <w:tcW w:w="3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 to non-guarantor subsidiaries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96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49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 from non-guarantor subsidiaries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9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62 </w:t>
            </w:r>
          </w:p>
        </w:tc>
        <w:tc>
          <w:tcPr>
            <w:tcW w:w="4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Unaudited</w:t>
            </w:r>
          </w:p>
        </w:tc>
      </w:tr>
      <w:tr>
        <w:trPr/>
        <w:tc>
          <w:tcPr>
            <w:tcW w:w="3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Issuer and Parent Company (Guarantor)</w:t>
            </w:r>
          </w:p>
        </w:tc>
      </w:tr>
      <w:tr>
        <w:trPr/>
        <w:tc>
          <w:tcPr>
            <w:tcW w:w="35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u w:val="single"/>
              </w:rPr>
            </w:pPr>
            <w:r>
              <w:rPr>
                <w:rFonts w:ascii="Times New Roman;serif" w:hAnsi="Times New Roman;serif"/>
                <w:b/>
                <w:i/>
                <w:color w:val="000000"/>
                <w:sz w:val="16"/>
                <w:u w:val="single"/>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r>
      <w:tr>
        <w:trPr/>
        <w:tc>
          <w:tcPr>
            <w:tcW w:w="3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Amount due to non-guarantor subsidiaries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96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9,697 </w:t>
            </w:r>
          </w:p>
        </w:tc>
        <w:tc>
          <w:tcPr>
            <w:tcW w:w="49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Company Stock Repurchase Plan</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On February 6, 2026, the Board of Directors reauthorized the stock repurchase program and refreshed the amount available for stock repurchases to $1.2 billion of the Company’s outstanding shares. This new stock repurchase authorization supersedes the previous authorization of $1.0 billion, of which approximately $760 million remained at the reauthorization date. No time limit was set for the completion of the program, which conforms to the requirements under the agreements governing the Company's credit facilities and the indentures for the Senior Notes currently outstanding. The Company may repurchase shares in the future at any time, depending upon market conditions, our capital needs and other factors. Purchases of shares may be made by open market purchases or privately negotiated purchases and may be made pursuant to Rule 10b5-1 plan or otherwise. As of June 30, 2026, approximately $760 million was remaining under the stock repurchase plan.</w:t>
      </w:r>
    </w:p>
    <w:p>
      <w:pPr>
        <w:pStyle w:val="TextBody"/>
        <w:bidi w:val="0"/>
        <w:spacing w:before="12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 xml:space="preserve">Forward Looking Statements </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We believe that all statements other than statements of historical facts included in this report, including certain statements under “Business” and “Management’s Discussion and Analysis of Financial Condition and Results of Operations,” may constitute forward-looking statements. We have based these forward-looking statements on our current expectations and projections about future events. Although we believe that our assumptions made in connection with the forward-looking statements are reasonable, we cannot assure that our assumptions and expectations are correct. </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These forward-looking statements are subject to various risks, uncertainties and assumptions about us, including, among other things: </w:t>
      </w:r>
    </w:p>
    <w:p>
      <w:pPr>
        <w:pStyle w:val="TextBody"/>
        <w:bidi w:val="0"/>
        <w:spacing w:before="0" w:after="0"/>
        <w:ind w:left="0" w:right="0" w:firstLine="54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Economic and industry conditions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changes in general economic and/or industry specific conditions, including the impacts of tax and tariff programs, inflation, supply chain disruptions, foreign currency exchange, and industry consolidation;</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impacts of significant recent shifts in trade policies, including the imposition of tariffs, retaliatory tariff measures, and subsequent modifications or suspensions thereof, and market reactions to such policies and resulting trade disputes;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prolonged unfavorable economic and industry conditions in the markets served by us, including North America, South America, Europe, Australia, Asia and Africa;</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decline in demand for freight cars, locomotives, passenger transit cars, buses and related products and services;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reliance on major original equipment manufacturer customers;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original equipment manufacturers’ program delays;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decreased demand for services in the freight and passenger rail industry;</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decreased demand for our products and services;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orders either being delayed, canceled, not returning to historical levels or being reduced, and/or economic conditions affecting the ability of our customers to pay timely for goods and services delivered;</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consolidations in the rail industry;</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continued outsourcing by our customers;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industry demand for faster and more efficient braking equipment;</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fluctuations in interest rates and foreign currency exchange rates;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availability of credit or difficulty in obtaining debt or equity financing;</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changes in market consensus as to what attributes are required for projects to be considered "green" or "sustainable" or negative perceptions regarding determinations in such regard with respect to our Green Finance Framework or sustainability strategy; or</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changes in the sustainability topics that have the highest relative priority for Wabtec's external stakeholders;</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Operating factors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supply disruptions;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technical difficulties;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changes in operating conditions and costs;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increases in raw material costs;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challenges associated with the successful introduction of new products;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product safety, quality and reliability;</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performance under material long-term contracts;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labor availability constraints and labor relations challenges;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outcome of our existing or any future legal proceedings, including litigation involving our principal customers and any litigation with respect to environmental matters, asbestos-related matters, pension liabilities, warranties, product liabilities, competition and anti-trust matters or intellectual property claims;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our ability to successfully complete and integrate acquisitions;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risks associated with the development and use of new technology; or</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cybersecurity and data protection risks;</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Competitive factors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actions of competitors; or</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adverse outcomes of negotiations with partners, suppliers, customers or others;</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Political/governmental factors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political instability in relevant areas of the world, including the impacts of war, conflicts, global military action, and acts of terrorism;</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future regulation/deregulation of our customers and/or the rail industry;</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decreases in levels of governmental funding on transit projects, including for some of our customers;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political developments and laws and regulations, including those related to Positive Train Control;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consequences of federal and state income tax legislation;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5"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sanctions imposed on countries and persons; or</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outcome of negotiations with governments;</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Natural hazards / health crises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impacts of climate change, including evolving climate change policy;</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disruptive natural hazards, including earthquakes, fires, floods, tornadoes, hurricanes or other weather conditions;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epidemics, pandemics, or similar public health crises;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deterioration of general economic conditions as a result of natural hazards or health crises;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shutdown of one or more of our operating facilities as a result of natural hazards and health crises; or</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supply chain and sourcing disruptions as a result of natural hazards, health crises or other external factors </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Statements in this Quarterly Report on Form 10-Q apply only as of the date on which such statements are made, and except as required by law, we undertake no obligation to update any statement to reflect events or circumstances after the date on which the statement is made or to reflect the occurrence of unanticipated events. Reference is also made to the risk factors set forth in the Company’s Annual Report on Form 10-K for the year ended December 31, 2025. </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 xml:space="preserve">Critical Accounting Estimates </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A summary of critical accounting estimates is included in the Company’s Annual Report on Form 10-K for the year ended December 31, 2025. In particular, judgment is used in areas such as inventories, business combinations, goodwill and indefinite-lived intangible assets, warranty reserves, income taxes, and revenue recognition. There have been no significant changes in the related accounting policies since December 31, 2025. </w:t>
      </w:r>
    </w:p>
    <w:p>
      <w:pPr>
        <w:pStyle w:val="TextBody"/>
        <w:bidi w:val="0"/>
        <w:spacing w:before="12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6"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hanging="1080"/>
        <w:jc w:val="left"/>
        <w:rPr>
          <w:rFonts w:ascii="Times New Roman;serif" w:hAnsi="Times New Roman;serif"/>
          <w:b/>
          <w:color w:val="000000"/>
          <w:sz w:val="20"/>
        </w:rPr>
      </w:pPr>
      <w:r>
        <w:rPr>
          <w:rFonts w:ascii="Times New Roman;serif" w:hAnsi="Times New Roman;serif"/>
          <w:b/>
          <w:color w:val="000000"/>
          <w:sz w:val="20"/>
        </w:rPr>
        <w:t>Item 3.    QUANTITATIVE AND QUALITATIVE DISCLOSURES ABOUT MARKET RISK</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See "Quantitative and Qualitative Disclosures About Market Risk" in Item 7A of Part II of our Annual Report on Form 10-K for the year ended December 31, 2025. Our exposure to market risk has not changed materially since December 31, 2025. Refer to Note 13 - Fair Value Measurement and Derivative Instruments of "Notes to Condensed Consolidated Financial Statements" included in Part I, Item 1 of this report for additional information regarding interest rate and foreign currency exchange risk.</w:t>
      </w:r>
    </w:p>
    <w:p>
      <w:pPr>
        <w:pStyle w:val="TextBody"/>
        <w:bidi w:val="0"/>
        <w:spacing w:before="0" w:after="0"/>
        <w:ind w:left="0" w:right="0" w:firstLine="5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1080"/>
        <w:jc w:val="left"/>
        <w:rPr>
          <w:rFonts w:ascii="Times New Roman;serif" w:hAnsi="Times New Roman;serif"/>
          <w:b/>
          <w:color w:val="000000"/>
          <w:sz w:val="20"/>
        </w:rPr>
      </w:pPr>
      <w:r>
        <w:rPr>
          <w:rFonts w:ascii="Times New Roman;serif" w:hAnsi="Times New Roman;serif"/>
          <w:b/>
          <w:color w:val="000000"/>
          <w:sz w:val="20"/>
        </w:rPr>
        <w:t>Item 4.    CONTROLS AND PROCEDURES</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Wabtec’s principal executive officer and its principal financial officer have evaluated the effectiveness of Wabtec’s “disclosure controls and procedures,” (as defined in Exchange Act Rule 13a-15(e)) as of June 30, 2026. Based upon their evaluation, the principal executive officer and principal financial officer concluded that Wabtec’s disclosure controls and procedures are effective to provide reasonable assurance that information required to be disclosed by Wabtec in the reports filed or submitted by it under the Exchange Act is recorded, processed, summarized and reported accurately within the time periods specified in the SEC’s rules and forms, and to provide reasonable assurance that information required to be disclosed by Wabtec in such reports is accumulated and communicated to Wabtec’s Management, including its principal executive officer and principal financial officer, as appropriate to allow timely decisions regarding required disclosure. </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There was no change in Wabtec’s “internal control over financial reporting” (as defined in Rule 13a-15(f) under the Exchange Act) that occurred during the quarter ended June 30, 2026, that has materially affected, or is reasonably likely to materially affect, Wabtec’s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7"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 xml:space="preserve">PART II—OTHER INFORMATION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1080"/>
        <w:jc w:val="left"/>
        <w:rPr>
          <w:rFonts w:ascii="Times New Roman;serif" w:hAnsi="Times New Roman;serif"/>
          <w:b/>
          <w:color w:val="000000"/>
          <w:sz w:val="20"/>
        </w:rPr>
      </w:pPr>
      <w:r>
        <w:rPr>
          <w:rFonts w:ascii="Times New Roman;serif" w:hAnsi="Times New Roman;serif"/>
          <w:b/>
          <w:color w:val="000000"/>
          <w:sz w:val="20"/>
        </w:rPr>
        <w:t>Item 1.    LEGAL PROCEEDINGS</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Additional information with respect to legal proceedings is included in Note 14 of “Notes to Condensed Consolidated Financial Statements” included in Part I, Item 1 of this report.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ind w:left="0" w:right="0" w:hanging="1080"/>
        <w:jc w:val="left"/>
        <w:rPr>
          <w:rFonts w:ascii="Times New Roman;serif" w:hAnsi="Times New Roman;serif"/>
          <w:b/>
          <w:color w:val="000000"/>
          <w:sz w:val="20"/>
        </w:rPr>
      </w:pPr>
      <w:r>
        <w:rPr>
          <w:rFonts w:ascii="Times New Roman;serif" w:hAnsi="Times New Roman;serif"/>
          <w:b/>
          <w:color w:val="000000"/>
          <w:sz w:val="20"/>
        </w:rPr>
        <w:t>Item 1A.    RISK FACTORS</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There have been no material changes in our risk factors from those disclosed in our Annual Report on Form 10-K for the year ended December 31, 2025.</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1080"/>
        <w:jc w:val="left"/>
        <w:rPr>
          <w:rFonts w:ascii="Times New Roman;serif" w:hAnsi="Times New Roman;serif"/>
          <w:b/>
          <w:color w:val="000000"/>
          <w:sz w:val="20"/>
        </w:rPr>
      </w:pPr>
      <w:r>
        <w:rPr>
          <w:rFonts w:ascii="Times New Roman;serif" w:hAnsi="Times New Roman;serif"/>
          <w:b/>
          <w:color w:val="000000"/>
          <w:sz w:val="20"/>
        </w:rPr>
        <w:t xml:space="preserve">Item 2.    UNREGISTERED SALES OF EQUITY SECURITIES AND USE OF PROCEEDS </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the Company's stock repurchase activity for the three months ended June 30, 2026:</w:t>
      </w:r>
    </w:p>
    <w:tbl>
      <w:tblPr>
        <w:tblW w:w="10205" w:type="dxa"/>
        <w:jc w:val="left"/>
        <w:tblInd w:w="0" w:type="dxa"/>
        <w:tblLayout w:type="fixed"/>
        <w:tblCellMar>
          <w:top w:w="28" w:type="dxa"/>
          <w:left w:w="28" w:type="dxa"/>
          <w:bottom w:w="28" w:type="dxa"/>
          <w:right w:w="28" w:type="dxa"/>
        </w:tblCellMar>
      </w:tblPr>
      <w:tblGrid>
        <w:gridCol w:w="512"/>
        <w:gridCol w:w="449"/>
        <w:gridCol w:w="453"/>
        <w:gridCol w:w="109"/>
        <w:gridCol w:w="109"/>
        <w:gridCol w:w="109"/>
        <w:gridCol w:w="632"/>
        <w:gridCol w:w="424"/>
        <w:gridCol w:w="425"/>
        <w:gridCol w:w="109"/>
        <w:gridCol w:w="109"/>
        <w:gridCol w:w="109"/>
        <w:gridCol w:w="270"/>
        <w:gridCol w:w="925"/>
        <w:gridCol w:w="139"/>
        <w:gridCol w:w="109"/>
        <w:gridCol w:w="109"/>
        <w:gridCol w:w="109"/>
        <w:gridCol w:w="889"/>
        <w:gridCol w:w="731"/>
        <w:gridCol w:w="734"/>
        <w:gridCol w:w="109"/>
        <w:gridCol w:w="109"/>
        <w:gridCol w:w="109"/>
        <w:gridCol w:w="585"/>
        <w:gridCol w:w="1292"/>
        <w:gridCol w:w="437"/>
      </w:tblGrid>
      <w:tr>
        <w:trPr/>
        <w:tc>
          <w:tcPr>
            <w:tcW w:w="512"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1292"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r>
      <w:tr>
        <w:trPr/>
        <w:tc>
          <w:tcPr>
            <w:tcW w:w="10205"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Issuer Purchases of Common Stock</w:t>
            </w:r>
          </w:p>
        </w:tc>
      </w:tr>
      <w:tr>
        <w:trPr/>
        <w:tc>
          <w:tcPr>
            <w:tcW w:w="141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u w:val="single"/>
              </w:rPr>
            </w:pPr>
            <w:r>
              <w:rPr>
                <w:rFonts w:ascii="Times New Roman;serif" w:hAnsi="Times New Roman;serif"/>
                <w:b/>
                <w:i/>
                <w:color w:val="000000"/>
                <w:sz w:val="16"/>
                <w:u w:val="single"/>
              </w:rPr>
              <w:t>In millions, except shares and price per share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Total Number of Shares Purchased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Average Price Paid per Share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Total Number of Shares Purchased as Part of Publicly Announced Programs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Maximum Dollar Value of Shares That May Yet Be Purchased Under the Programs (1)</w:t>
            </w:r>
          </w:p>
        </w:tc>
      </w:tr>
      <w:tr>
        <w:trPr/>
        <w:tc>
          <w:tcPr>
            <w:tcW w:w="141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April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260,107 </w:t>
            </w:r>
          </w:p>
        </w:tc>
        <w:tc>
          <w:tcPr>
            <w:tcW w:w="42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257.60 </w:t>
            </w:r>
          </w:p>
        </w:tc>
        <w:tc>
          <w:tcPr>
            <w:tcW w:w="13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260,107 </w:t>
            </w:r>
          </w:p>
        </w:tc>
        <w:tc>
          <w:tcPr>
            <w:tcW w:w="73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9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908 </w:t>
            </w:r>
          </w:p>
        </w:tc>
        <w:tc>
          <w:tcPr>
            <w:tcW w:w="43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May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245,741 </w:t>
            </w:r>
          </w:p>
        </w:tc>
        <w:tc>
          <w:tcPr>
            <w:tcW w:w="4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264.72 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245,741 </w:t>
            </w:r>
          </w:p>
        </w:tc>
        <w:tc>
          <w:tcPr>
            <w:tcW w:w="7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843 </w:t>
            </w:r>
          </w:p>
        </w:tc>
        <w:tc>
          <w:tcPr>
            <w:tcW w:w="4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June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312,111 </w:t>
            </w:r>
          </w:p>
        </w:tc>
        <w:tc>
          <w:tcPr>
            <w:tcW w:w="4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266.36 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312,111 </w:t>
            </w:r>
          </w:p>
        </w:tc>
        <w:tc>
          <w:tcPr>
            <w:tcW w:w="7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760 </w:t>
            </w:r>
          </w:p>
        </w:tc>
        <w:tc>
          <w:tcPr>
            <w:tcW w:w="4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quarter ended June 30,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817,959 </w:t>
            </w:r>
          </w:p>
        </w:tc>
        <w:tc>
          <w:tcPr>
            <w:tcW w:w="42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263.08 </w:t>
            </w:r>
          </w:p>
        </w:tc>
        <w:tc>
          <w:tcPr>
            <w:tcW w:w="13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817,959 </w:t>
            </w:r>
          </w:p>
        </w:tc>
        <w:tc>
          <w:tcPr>
            <w:tcW w:w="73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9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760 </w:t>
            </w:r>
          </w:p>
        </w:tc>
        <w:tc>
          <w:tcPr>
            <w:tcW w:w="43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(1)     On February 6, 2026, the Board of Directors reauthorized the stock repurchase program and refreshed the amount available for stock repurchases to $1.2 billion of the Company’s outstanding shares. This new stock repurchase authorization supersedes the previous authorization of $1.0 billion, of which approximately $760 million remained at the reauthorization date. No time limit was set for the completion of the program, which conforms to the requirements under the agreements governing the Company's credit facilities and the indentures for the Senior Notes currently outstanding. The Company may repurchase shares in the future at any time, depending upon market conditions, our capital needs and other factors. Purchases of shares may be made by open market purchases or privately negotiated purchases and may be made pursuant to Rule 10b5-1 plan or otherwise. As of June 30, 2026, approximately $760 million was remaining under the stock repurchase plan. </w:t>
      </w:r>
    </w:p>
    <w:p>
      <w:pPr>
        <w:pStyle w:val="TextBody"/>
        <w:bidi w:val="0"/>
        <w:spacing w:before="180" w:after="283"/>
        <w:ind w:left="0" w:right="0" w:firstLine="5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1080"/>
        <w:jc w:val="left"/>
        <w:rPr>
          <w:rFonts w:ascii="Times New Roman;serif" w:hAnsi="Times New Roman;serif"/>
          <w:b/>
          <w:color w:val="000000"/>
          <w:sz w:val="20"/>
        </w:rPr>
      </w:pPr>
      <w:r>
        <w:rPr>
          <w:rFonts w:ascii="Times New Roman;serif" w:hAnsi="Times New Roman;serif"/>
          <w:b/>
          <w:color w:val="000000"/>
          <w:sz w:val="20"/>
        </w:rPr>
        <w:t>Item 4.    MINE SAFETY DISCLOSURES</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Not Applicable </w:t>
      </w:r>
    </w:p>
    <w:p>
      <w:pPr>
        <w:pStyle w:val="TextBody"/>
        <w:bidi w:val="0"/>
        <w:spacing w:before="0" w:after="0"/>
        <w:ind w:left="0" w:right="0" w:hanging="108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5.    OTHER INFORMATION</w:t>
      </w:r>
    </w:p>
    <w:p>
      <w:pPr>
        <w:pStyle w:val="TextBody"/>
        <w:bidi w:val="0"/>
        <w:spacing w:lineRule="auto" w:line="288" w:before="18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On May 18, 2026, Rafael Santana, Wabtec's Chairman and Chief Executive Officer, entered into a stock trading plan (the "Plan") designed to comply with Rule 10b5-1(c) under the Securities Exchange Act of 1934, as amended. Under the terms of the plan, up to 13,053 shares jointly owned by Mr. Santana and his spouse may be sold from September 2026 to February 2027.</w:t>
      </w:r>
    </w:p>
    <w:p>
      <w:pPr>
        <w:pStyle w:val="TextBody"/>
        <w:bidi w:val="0"/>
        <w:spacing w:lineRule="auto" w:line="288" w:before="18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Other than with respect to Mr. Santana's Plan, none of Wabtec's Directors or Officers have adopted, terminated, or materially modified any trading plans, whether or not the plan was intended to qualify for the affirmative defense under Rule 10b5-1, during the second quarter ended June 30,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8"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6.    EXHIBITS</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exhibits are being filed with this report: </w:t>
      </w:r>
    </w:p>
    <w:tbl>
      <w:tblPr>
        <w:tblW w:w="7650" w:type="dxa"/>
        <w:jc w:val="left"/>
        <w:tblInd w:w="0" w:type="dxa"/>
        <w:tblLayout w:type="fixed"/>
        <w:tblCellMar>
          <w:top w:w="28" w:type="dxa"/>
          <w:left w:w="28" w:type="dxa"/>
          <w:bottom w:w="28" w:type="dxa"/>
          <w:right w:w="28" w:type="dxa"/>
        </w:tblCellMar>
      </w:tblPr>
      <w:tblGrid>
        <w:gridCol w:w="314"/>
        <w:gridCol w:w="277"/>
        <w:gridCol w:w="279"/>
        <w:gridCol w:w="1983"/>
        <w:gridCol w:w="1983"/>
        <w:gridCol w:w="2814"/>
      </w:tblGrid>
      <w:tr>
        <w:trPr/>
        <w:tc>
          <w:tcPr>
            <w:tcW w:w="314"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983" w:type="dxa"/>
            <w:tcBorders/>
            <w:vAlign w:val="center"/>
          </w:tcPr>
          <w:p>
            <w:pPr>
              <w:pStyle w:val="TableContents"/>
              <w:bidi w:val="0"/>
              <w:spacing w:before="0" w:after="283"/>
              <w:jc w:val="left"/>
              <w:rPr>
                <w:sz w:val="4"/>
                <w:szCs w:val="4"/>
              </w:rPr>
            </w:pPr>
            <w:r>
              <w:rPr>
                <w:sz w:val="4"/>
                <w:szCs w:val="4"/>
              </w:rPr>
            </w:r>
          </w:p>
        </w:tc>
        <w:tc>
          <w:tcPr>
            <w:tcW w:w="1983" w:type="dxa"/>
            <w:tcBorders/>
            <w:vAlign w:val="center"/>
          </w:tcPr>
          <w:p>
            <w:pPr>
              <w:pStyle w:val="TableContents"/>
              <w:bidi w:val="0"/>
              <w:spacing w:before="0" w:after="283"/>
              <w:jc w:val="left"/>
              <w:rPr>
                <w:sz w:val="4"/>
                <w:szCs w:val="4"/>
              </w:rPr>
            </w:pPr>
            <w:r>
              <w:rPr>
                <w:sz w:val="4"/>
                <w:szCs w:val="4"/>
              </w:rPr>
            </w:r>
          </w:p>
        </w:tc>
        <w:tc>
          <w:tcPr>
            <w:tcW w:w="2814" w:type="dxa"/>
            <w:tcBorders/>
            <w:vAlign w:val="center"/>
          </w:tcPr>
          <w:p>
            <w:pPr>
              <w:pStyle w:val="TableContents"/>
              <w:bidi w:val="0"/>
              <w:spacing w:before="0" w:after="283"/>
              <w:jc w:val="left"/>
              <w:rPr>
                <w:sz w:val="4"/>
                <w:szCs w:val="4"/>
              </w:rPr>
            </w:pPr>
            <w:r>
              <w:rPr>
                <w:sz w:val="4"/>
                <w:szCs w:val="4"/>
              </w:rPr>
            </w:r>
          </w:p>
        </w:tc>
      </w:tr>
      <w:tr>
        <w:trPr/>
        <w:tc>
          <w:tcPr>
            <w:tcW w:w="8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22.1</w:t>
            </w:r>
          </w:p>
        </w:tc>
        <w:tc>
          <w:tcPr>
            <w:tcW w:w="67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wabex2212q2026.htm">
              <w:r>
                <w:rPr>
                  <w:rStyle w:val="InternetLink"/>
                  <w:rFonts w:ascii="Times New Roman;serif" w:hAnsi="Times New Roman;serif"/>
                  <w:b w:val="false"/>
                  <w:color w:val="0000FF"/>
                  <w:sz w:val="20"/>
                  <w:u w:val="single"/>
                </w:rPr>
                <w:t>List of Subsidiary Guarantors</w:t>
              </w:r>
            </w:hyperlink>
          </w:p>
        </w:tc>
      </w:tr>
      <w:tr>
        <w:trPr/>
        <w:tc>
          <w:tcPr>
            <w:tcW w:w="8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31.1</w:t>
            </w:r>
          </w:p>
        </w:tc>
        <w:tc>
          <w:tcPr>
            <w:tcW w:w="67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wabex3112q2026.htm">
              <w:r>
                <w:rPr>
                  <w:rStyle w:val="InternetLink"/>
                  <w:rFonts w:ascii="Times New Roman;serif" w:hAnsi="Times New Roman;serif"/>
                  <w:b w:val="false"/>
                  <w:color w:val="0000FF"/>
                  <w:sz w:val="20"/>
                  <w:u w:val="single"/>
                </w:rPr>
                <w:t>Rule 13a-14(a) Certification of Chief Executive Officer.</w:t>
              </w:r>
            </w:hyperlink>
          </w:p>
        </w:tc>
      </w:tr>
      <w:tr>
        <w:trPr/>
        <w:tc>
          <w:tcPr>
            <w:tcW w:w="8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31.2</w:t>
            </w:r>
          </w:p>
        </w:tc>
        <w:tc>
          <w:tcPr>
            <w:tcW w:w="67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wabex3122q2026.htm">
              <w:r>
                <w:rPr>
                  <w:rStyle w:val="InternetLink"/>
                  <w:rFonts w:ascii="Times New Roman;serif" w:hAnsi="Times New Roman;serif"/>
                  <w:b w:val="false"/>
                  <w:color w:val="0000FF"/>
                  <w:sz w:val="20"/>
                  <w:u w:val="single"/>
                </w:rPr>
                <w:t>Rule 13a-14(a) Certification of Chief Financial Officer.</w:t>
              </w:r>
            </w:hyperlink>
          </w:p>
        </w:tc>
      </w:tr>
      <w:tr>
        <w:trPr/>
        <w:tc>
          <w:tcPr>
            <w:tcW w:w="8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32.1</w:t>
            </w:r>
          </w:p>
        </w:tc>
        <w:tc>
          <w:tcPr>
            <w:tcW w:w="67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wabex3212q2026.htm">
              <w:r>
                <w:rPr>
                  <w:rStyle w:val="InternetLink"/>
                  <w:rFonts w:ascii="Times New Roman;serif" w:hAnsi="Times New Roman;serif"/>
                  <w:b w:val="false"/>
                  <w:color w:val="0000FF"/>
                  <w:sz w:val="20"/>
                  <w:u w:val="single"/>
                </w:rPr>
                <w:t>Section 1350 Certification of Chief Executive Officer and Chief Financial Officer.</w:t>
              </w:r>
            </w:hyperlink>
          </w:p>
        </w:tc>
      </w:tr>
      <w:tr>
        <w:trPr/>
        <w:tc>
          <w:tcPr>
            <w:tcW w:w="8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101.INS</w:t>
            </w:r>
          </w:p>
        </w:tc>
        <w:tc>
          <w:tcPr>
            <w:tcW w:w="67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XBRL Instance Document.</w:t>
            </w:r>
          </w:p>
        </w:tc>
      </w:tr>
      <w:tr>
        <w:trPr/>
        <w:tc>
          <w:tcPr>
            <w:tcW w:w="8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101.SCH</w:t>
            </w:r>
          </w:p>
        </w:tc>
        <w:tc>
          <w:tcPr>
            <w:tcW w:w="67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Schema Document.</w:t>
            </w:r>
          </w:p>
        </w:tc>
      </w:tr>
      <w:tr>
        <w:trPr/>
        <w:tc>
          <w:tcPr>
            <w:tcW w:w="8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101.CAL</w:t>
            </w:r>
          </w:p>
        </w:tc>
        <w:tc>
          <w:tcPr>
            <w:tcW w:w="67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Calculation Linkbase Document.</w:t>
            </w:r>
          </w:p>
        </w:tc>
      </w:tr>
      <w:tr>
        <w:trPr/>
        <w:tc>
          <w:tcPr>
            <w:tcW w:w="8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101.DEF</w:t>
            </w:r>
          </w:p>
        </w:tc>
        <w:tc>
          <w:tcPr>
            <w:tcW w:w="67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Definition Linkbase Document.</w:t>
            </w:r>
          </w:p>
        </w:tc>
      </w:tr>
      <w:tr>
        <w:trPr/>
        <w:tc>
          <w:tcPr>
            <w:tcW w:w="8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101.LAB</w:t>
            </w:r>
          </w:p>
        </w:tc>
        <w:tc>
          <w:tcPr>
            <w:tcW w:w="67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Label Linkbase Document.</w:t>
            </w:r>
          </w:p>
        </w:tc>
      </w:tr>
      <w:tr>
        <w:trPr/>
        <w:tc>
          <w:tcPr>
            <w:tcW w:w="8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101.PRE</w:t>
            </w:r>
          </w:p>
        </w:tc>
        <w:tc>
          <w:tcPr>
            <w:tcW w:w="67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Presentation Linkbase Document.</w:t>
            </w:r>
          </w:p>
        </w:tc>
      </w:tr>
      <w:tr>
        <w:trPr/>
        <w:tc>
          <w:tcPr>
            <w:tcW w:w="8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67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pStyle w:val="TextBody"/>
        <w:bidi w:val="0"/>
        <w:spacing w:before="0" w:after="0"/>
        <w:ind w:left="0" w:right="0" w:hanging="495"/>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9"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49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SIGNATURES </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Company has duly caused this report to be signed on its behalf by the undersigned thereunto duly authorized.</w:t>
      </w:r>
    </w:p>
    <w:tbl>
      <w:tblPr>
        <w:tblW w:w="5640" w:type="dxa"/>
        <w:jc w:val="right"/>
        <w:tblInd w:w="0" w:type="dxa"/>
        <w:tblLayout w:type="fixed"/>
        <w:tblCellMar>
          <w:top w:w="28" w:type="dxa"/>
          <w:left w:w="28" w:type="dxa"/>
          <w:bottom w:w="28" w:type="dxa"/>
          <w:right w:w="28" w:type="dxa"/>
        </w:tblCellMar>
      </w:tblPr>
      <w:tblGrid>
        <w:gridCol w:w="977"/>
        <w:gridCol w:w="861"/>
        <w:gridCol w:w="861"/>
        <w:gridCol w:w="861"/>
        <w:gridCol w:w="861"/>
        <w:gridCol w:w="1219"/>
      </w:tblGrid>
      <w:tr>
        <w:trPr/>
        <w:tc>
          <w:tcPr>
            <w:tcW w:w="977"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1219" w:type="dxa"/>
            <w:tcBorders/>
            <w:vAlign w:val="center"/>
          </w:tcPr>
          <w:p>
            <w:pPr>
              <w:pStyle w:val="TableContents"/>
              <w:bidi w:val="0"/>
              <w:spacing w:before="0" w:after="283"/>
              <w:jc w:val="left"/>
              <w:rPr>
                <w:sz w:val="4"/>
                <w:szCs w:val="4"/>
              </w:rPr>
            </w:pPr>
            <w:r>
              <w:rPr>
                <w:sz w:val="4"/>
                <w:szCs w:val="4"/>
              </w:rPr>
            </w:r>
          </w:p>
        </w:tc>
      </w:tr>
      <w:tr>
        <w:trPr/>
        <w:tc>
          <w:tcPr>
            <w:tcW w:w="5640"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WESTINGHOUSE AIR BRAKE TECHNOLOGIES CORPORATION</w:t>
            </w:r>
          </w:p>
        </w:tc>
      </w:tr>
      <w:tr>
        <w:trPr/>
        <w:tc>
          <w:tcPr>
            <w:tcW w:w="26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9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/s/ JOHN A. OLIN</w:t>
            </w:r>
          </w:p>
        </w:tc>
      </w:tr>
      <w:tr>
        <w:trPr/>
        <w:tc>
          <w:tcPr>
            <w:tcW w:w="26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John A. Olin</w:t>
            </w:r>
          </w:p>
        </w:tc>
      </w:tr>
      <w:tr>
        <w:trPr/>
        <w:tc>
          <w:tcPr>
            <w:tcW w:w="26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Executive Vice President and</w:t>
              <w:br/>
              <w:t>Chief Financial Officer</w:t>
            </w:r>
          </w:p>
        </w:tc>
      </w:tr>
      <w:tr>
        <w:trPr/>
        <w:tc>
          <w:tcPr>
            <w:tcW w:w="26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0"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(Duly Authorized Officer and Principal Financial Officer)</w:t>
            </w:r>
          </w:p>
        </w:tc>
      </w:tr>
      <w:tr>
        <w:trPr/>
        <w:tc>
          <w:tcPr>
            <w:tcW w:w="26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29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July 22, 2026</w:t>
            </w:r>
          </w:p>
        </w:tc>
      </w:tr>
    </w:tbl>
    <w:p>
      <w:pPr>
        <w:pStyle w:val="TextBody"/>
        <w:bidi w:val="0"/>
        <w:ind w:left="0" w:right="0" w:firstLine="54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50"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v:textbox>
                <w10:wrap type="none"/>
              </v:rect>
            </w:pict>
          </mc:Fallback>
        </mc:AlternateContent>
      </w:r>
    </w:p>
    <w:p>
      <w:pPr>
        <w:pStyle w:val="TextBody"/>
        <w:bidi w:val="0"/>
        <w:spacing w:lineRule="auto" w:line="300" w:before="0" w:after="160"/>
        <w:jc w:val="right"/>
        <w:rPr>
          <w:rFonts w:ascii="Times New Roman;serif" w:hAnsi="Times New Roman;serif"/>
          <w:b/>
          <w:color w:val="000000"/>
          <w:sz w:val="22"/>
        </w:rPr>
      </w:pPr>
      <w:r>
        <w:rPr>
          <w:rFonts w:ascii="Times New Roman;serif" w:hAnsi="Times New Roman;serif"/>
          <w:b/>
          <w:color w:val="000000"/>
          <w:sz w:val="22"/>
        </w:rPr>
        <w:t>Exhibit 22.1</w:t>
      </w:r>
    </w:p>
    <w:p>
      <w:pPr>
        <w:pStyle w:val="TextBody"/>
        <w:bidi w:val="0"/>
        <w:spacing w:lineRule="auto" w:line="300" w:before="0" w:after="160"/>
        <w:jc w:val="center"/>
        <w:rPr>
          <w:rFonts w:ascii="Times New Roman;serif" w:hAnsi="Times New Roman;serif"/>
          <w:b/>
          <w:color w:val="000000"/>
          <w:sz w:val="22"/>
          <w:u w:val="single"/>
        </w:rPr>
      </w:pPr>
      <w:r>
        <w:rPr>
          <w:rFonts w:ascii="Times New Roman;serif" w:hAnsi="Times New Roman;serif"/>
          <w:b/>
          <w:color w:val="000000"/>
          <w:sz w:val="22"/>
          <w:u w:val="single"/>
        </w:rPr>
        <w:t xml:space="preserve">Guarantor Subsidiaries of Westinghouse Air Brake Technologies </w:t>
      </w:r>
    </w:p>
    <w:p>
      <w:pPr>
        <w:pStyle w:val="TextBody"/>
        <w:bidi w:val="0"/>
        <w:spacing w:lineRule="auto" w:line="256" w:before="0" w:after="0"/>
        <w:jc w:val="left"/>
        <w:rPr>
          <w:rFonts w:ascii="Times New Roman;serif" w:hAnsi="Times New Roman;serif"/>
          <w:b w:val="false"/>
          <w:color w:val="000000"/>
          <w:sz w:val="20"/>
        </w:rPr>
      </w:pPr>
      <w:r>
        <w:rPr>
          <w:rFonts w:ascii="Times New Roman;serif" w:hAnsi="Times New Roman;serif"/>
          <w:b w:val="false"/>
          <w:color w:val="000000"/>
          <w:sz w:val="20"/>
        </w:rPr>
        <w:t>The obligations under the Company's US Notes, the 2025 Credit Agreement and the 2025 Term Credit Agreement have been fully and unconditionally guaranteed by certain of the Company's U.S. subsidiaries. Each guarantor is 100% owned by the parent company. The Euro Notes are issued by Wabtec Netherlands and are fully and unconditionally guaranteed by the Company.</w:t>
      </w:r>
    </w:p>
    <w:p>
      <w:pPr>
        <w:pStyle w:val="TextBody"/>
        <w:bidi w:val="0"/>
        <w:spacing w:before="0" w:after="0"/>
        <w:jc w:val="left"/>
        <w:rPr/>
      </w:pPr>
      <w:r>
        <w:rPr/>
      </w:r>
    </w:p>
    <w:p>
      <w:pPr>
        <w:pStyle w:val="TextBody"/>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As of June 30, 2026:</w:t>
      </w:r>
    </w:p>
    <w:p>
      <w:pPr>
        <w:pStyle w:val="TextBody"/>
        <w:bidi w:val="0"/>
        <w:spacing w:before="0" w:after="2"/>
        <w:jc w:val="left"/>
        <w:rPr/>
      </w:pPr>
      <w:r>
        <w:rPr/>
      </w:r>
    </w:p>
    <w:p>
      <w:pPr>
        <w:pStyle w:val="TextBody"/>
        <w:bidi w:val="0"/>
        <w:spacing w:lineRule="auto" w:line="256" w:before="0" w:after="0"/>
        <w:jc w:val="left"/>
        <w:rPr>
          <w:rFonts w:ascii="Times New Roman;serif" w:hAnsi="Times New Roman;serif"/>
          <w:b/>
          <w:color w:val="000000"/>
          <w:sz w:val="20"/>
          <w:u w:val="single"/>
        </w:rPr>
      </w:pPr>
      <w:r>
        <w:rPr>
          <w:rFonts w:ascii="Times New Roman;serif" w:hAnsi="Times New Roman;serif"/>
          <w:b/>
          <w:color w:val="000000"/>
          <w:sz w:val="20"/>
          <w:u w:val="single"/>
        </w:rPr>
        <w:t>The US Notes, the 2025 Credit Agreement, and the 2025 Term Credit Agreement</w:t>
      </w:r>
    </w:p>
    <w:p>
      <w:pPr>
        <w:pStyle w:val="TextBody"/>
        <w:bidi w:val="0"/>
        <w:spacing w:lineRule="auto" w:line="268" w:before="0" w:after="0"/>
        <w:jc w:val="left"/>
        <w:rPr/>
      </w:pPr>
      <w:r>
        <w:rPr>
          <w:rFonts w:ascii="Times New Roman;serif" w:hAnsi="Times New Roman;serif"/>
          <w:b w:val="false"/>
          <w:i/>
          <w:color w:val="000000"/>
          <w:sz w:val="20"/>
          <w:u w:val="single"/>
        </w:rPr>
        <w:t>Issuer</w:t>
      </w:r>
      <w:r>
        <w:rPr>
          <w:rFonts w:ascii="Times New Roman;serif" w:hAnsi="Times New Roman;serif"/>
          <w:b w:val="false"/>
          <w:color w:val="000000"/>
          <w:sz w:val="20"/>
        </w:rPr>
        <w:t>:    Westinghouse Air Brake Technologies Corporation</w:t>
      </w:r>
    </w:p>
    <w:p>
      <w:pPr>
        <w:pStyle w:val="TextBody"/>
        <w:bidi w:val="0"/>
        <w:spacing w:lineRule="auto" w:line="300" w:before="0" w:after="0"/>
        <w:jc w:val="left"/>
        <w:rPr/>
      </w:pPr>
      <w:r>
        <w:rPr>
          <w:rFonts w:ascii="Times New Roman;serif" w:hAnsi="Times New Roman;serif"/>
          <w:b w:val="false"/>
          <w:i/>
          <w:color w:val="000000"/>
          <w:sz w:val="20"/>
          <w:u w:val="single"/>
        </w:rPr>
        <w:t>Guarantors</w:t>
      </w:r>
      <w:r>
        <w:rPr>
          <w:rFonts w:ascii="Times New Roman;serif" w:hAnsi="Times New Roman;serif"/>
          <w:b w:val="false"/>
          <w:color w:val="000000"/>
          <w:sz w:val="20"/>
        </w:rPr>
        <w:t xml:space="preserve">:    GE Transportation, a Wabtec Company </w:t>
      </w:r>
    </w:p>
    <w:p>
      <w:pPr>
        <w:pStyle w:val="TextBody"/>
        <w:bidi w:val="0"/>
        <w:spacing w:lineRule="auto" w:line="268" w:before="0" w:after="0"/>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 xml:space="preserve">RFPC Holding Corp. </w:t>
      </w:r>
    </w:p>
    <w:p>
      <w:pPr>
        <w:pStyle w:val="TextBody"/>
        <w:bidi w:val="0"/>
        <w:spacing w:lineRule="auto" w:line="268" w:before="0" w:after="0"/>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 xml:space="preserve">Transportation IP Holdings, LLC </w:t>
      </w:r>
    </w:p>
    <w:p>
      <w:pPr>
        <w:pStyle w:val="TextBody"/>
        <w:bidi w:val="0"/>
        <w:spacing w:lineRule="auto" w:line="268" w:before="0" w:after="0"/>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 xml:space="preserve">Transportation Systems Services Operations Inc. </w:t>
      </w:r>
    </w:p>
    <w:p>
      <w:pPr>
        <w:pStyle w:val="TextBody"/>
        <w:bidi w:val="0"/>
        <w:spacing w:lineRule="auto" w:line="268" w:before="0" w:after="0"/>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Wabtec Components, LLC</w:t>
      </w:r>
    </w:p>
    <w:p>
      <w:pPr>
        <w:pStyle w:val="TextBody"/>
        <w:bidi w:val="0"/>
        <w:spacing w:lineRule="auto" w:line="268" w:before="0" w:after="0"/>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Wabtec Holding, LLC</w:t>
      </w:r>
    </w:p>
    <w:p>
      <w:pPr>
        <w:pStyle w:val="TextBody"/>
        <w:bidi w:val="0"/>
        <w:spacing w:lineRule="auto" w:line="268" w:before="0" w:after="0"/>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 xml:space="preserve">Wabtec Railway Electronics Holdings, LLC </w:t>
      </w:r>
    </w:p>
    <w:p>
      <w:pPr>
        <w:pStyle w:val="TextBody"/>
        <w:bidi w:val="0"/>
        <w:spacing w:lineRule="auto" w:line="268" w:before="0" w:after="0"/>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 xml:space="preserve">Wabtec Transportation Systems, LLC </w:t>
      </w:r>
    </w:p>
    <w:p>
      <w:pPr>
        <w:pStyle w:val="TextBody"/>
        <w:bidi w:val="0"/>
        <w:spacing w:lineRule="auto" w:line="268" w:before="0" w:after="0"/>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Wabtec US Rail, Inc.</w:t>
      </w:r>
    </w:p>
    <w:p>
      <w:pPr>
        <w:pStyle w:val="TextBody"/>
        <w:bidi w:val="0"/>
        <w:spacing w:before="0" w:after="2"/>
        <w:jc w:val="left"/>
        <w:rPr/>
      </w:pPr>
      <w:r>
        <w:rPr/>
      </w:r>
    </w:p>
    <w:p>
      <w:pPr>
        <w:pStyle w:val="TextBody"/>
        <w:bidi w:val="0"/>
        <w:spacing w:lineRule="auto" w:line="268" w:before="0" w:after="20"/>
        <w:jc w:val="left"/>
        <w:rPr>
          <w:rFonts w:ascii="Times New Roman;serif" w:hAnsi="Times New Roman;serif"/>
          <w:b/>
          <w:color w:val="000000"/>
          <w:sz w:val="20"/>
          <w:u w:val="single"/>
        </w:rPr>
      </w:pPr>
      <w:r>
        <w:rPr>
          <w:rFonts w:ascii="Times New Roman;serif" w:hAnsi="Times New Roman;serif"/>
          <w:b/>
          <w:color w:val="000000"/>
          <w:sz w:val="20"/>
          <w:u w:val="single"/>
        </w:rPr>
        <w:t>The Euro Notes</w:t>
      </w:r>
    </w:p>
    <w:p>
      <w:pPr>
        <w:pStyle w:val="TextBody"/>
        <w:bidi w:val="0"/>
        <w:spacing w:lineRule="auto" w:line="268" w:before="0" w:after="0"/>
        <w:jc w:val="left"/>
        <w:rPr/>
      </w:pPr>
      <w:r>
        <w:rPr>
          <w:rFonts w:ascii="Times New Roman;serif" w:hAnsi="Times New Roman;serif"/>
          <w:b w:val="false"/>
          <w:i/>
          <w:color w:val="000000"/>
          <w:sz w:val="20"/>
          <w:u w:val="single"/>
        </w:rPr>
        <w:t>Issuer</w:t>
      </w:r>
      <w:r>
        <w:rPr>
          <w:rFonts w:ascii="Times New Roman;serif" w:hAnsi="Times New Roman;serif"/>
          <w:b w:val="false"/>
          <w:color w:val="000000"/>
          <w:sz w:val="20"/>
        </w:rPr>
        <w:t>:        Wabtec Transportation Netherlands B.V.</w:t>
      </w:r>
    </w:p>
    <w:p>
      <w:pPr>
        <w:pStyle w:val="TextBody"/>
        <w:bidi w:val="0"/>
        <w:spacing w:lineRule="auto" w:line="268" w:before="0" w:after="0"/>
        <w:jc w:val="left"/>
        <w:rPr/>
      </w:pPr>
      <w:r>
        <w:rPr>
          <w:rFonts w:ascii="Times New Roman;serif" w:hAnsi="Times New Roman;serif"/>
          <w:b w:val="false"/>
          <w:i/>
          <w:color w:val="000000"/>
          <w:sz w:val="20"/>
          <w:u w:val="single"/>
        </w:rPr>
        <w:t>Guarantor</w:t>
      </w:r>
      <w:r>
        <w:rPr>
          <w:rFonts w:ascii="Times New Roman;serif" w:hAnsi="Times New Roman;serif"/>
          <w:b w:val="false"/>
          <w:color w:val="000000"/>
          <w:sz w:val="20"/>
        </w:rPr>
        <w:t>:    Westinghouse Air Brake Technologies Corporation</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75260"/>
                <wp:effectExtent l="0" t="0" r="0" b="0"/>
                <wp:wrapNone/>
                <wp:docPr id="51" name="Frame5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31.1</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CERTIFICATION</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 Rafael Santana, certify that:</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1. I have reviewed this quarterly report on Form 10-Q of Westinghouse Air Brake Technologies Corporation.</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2. 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3. 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we have:</w:t>
      </w:r>
    </w:p>
    <w:p>
      <w:pPr>
        <w:pStyle w:val="TextBody"/>
        <w:bidi w:val="0"/>
        <w:spacing w:lineRule="auto" w:line="288" w:before="120" w:after="283"/>
        <w:ind w:left="0" w:right="0" w:firstLine="1125"/>
        <w:jc w:val="left"/>
        <w:rPr>
          <w:rFonts w:ascii="Times New Roman;serif" w:hAnsi="Times New Roman;serif"/>
          <w:b w:val="false"/>
          <w:color w:val="000000"/>
          <w:sz w:val="20"/>
        </w:rPr>
      </w:pPr>
      <w:r>
        <w:rPr>
          <w:rFonts w:ascii="Times New Roman;serif" w:hAnsi="Times New Roman;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pStyle w:val="TextBody"/>
        <w:bidi w:val="0"/>
        <w:spacing w:lineRule="auto" w:line="288" w:before="120" w:after="283"/>
        <w:ind w:left="0" w:right="0" w:firstLine="1125"/>
        <w:jc w:val="left"/>
        <w:rPr>
          <w:rFonts w:ascii="Times New Roman;serif" w:hAnsi="Times New Roman;serif"/>
          <w:b w:val="false"/>
          <w:color w:val="000000"/>
          <w:sz w:val="20"/>
        </w:rPr>
      </w:pPr>
      <w:r>
        <w:rPr>
          <w:rFonts w:ascii="Times New Roman;serif" w:hAnsi="Times New Roman;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20" w:after="283"/>
        <w:ind w:left="0" w:right="0" w:firstLine="1125"/>
        <w:jc w:val="left"/>
        <w:rPr>
          <w:rFonts w:ascii="Times New Roman;serif" w:hAnsi="Times New Roman;serif"/>
          <w:b w:val="false"/>
          <w:color w:val="000000"/>
          <w:sz w:val="20"/>
        </w:rPr>
      </w:pPr>
      <w:r>
        <w:rPr>
          <w:rFonts w:ascii="Times New Roman;serif" w:hAnsi="Times New Roman;serif"/>
          <w:b w:val="false"/>
          <w:color w:val="000000"/>
          <w:sz w:val="20"/>
        </w:rPr>
        <w:t>(c) Evaluated the effectiveness of the registrant’s disclosure controls and procedures and presented in this quarterly report our conclusions about the effectiveness of the disclosure controls and procedures, as of the end of the period covered by this quarterly report based on such evaluation; and</w:t>
      </w:r>
    </w:p>
    <w:p>
      <w:pPr>
        <w:pStyle w:val="TextBody"/>
        <w:bidi w:val="0"/>
        <w:spacing w:lineRule="auto" w:line="288" w:before="120" w:after="283"/>
        <w:ind w:left="0" w:right="0" w:firstLine="1125"/>
        <w:jc w:val="left"/>
        <w:rPr>
          <w:rFonts w:ascii="Times New Roman;serif" w:hAnsi="Times New Roman;serif"/>
          <w:b w:val="false"/>
          <w:color w:val="000000"/>
          <w:sz w:val="20"/>
        </w:rPr>
      </w:pPr>
      <w:r>
        <w:rPr>
          <w:rFonts w:ascii="Times New Roman;serif" w:hAnsi="Times New Roman;serif"/>
          <w:b w:val="false"/>
          <w:color w:val="000000"/>
          <w:sz w:val="20"/>
        </w:rPr>
        <w:t>(d) Disclosed in this quarterly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5. 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pStyle w:val="TextBody"/>
        <w:bidi w:val="0"/>
        <w:spacing w:lineRule="auto" w:line="288" w:before="120" w:after="283"/>
        <w:ind w:left="0" w:right="0" w:firstLine="1125"/>
        <w:jc w:val="left"/>
        <w:rPr>
          <w:rFonts w:ascii="Times New Roman;serif" w:hAnsi="Times New Roman;serif"/>
          <w:b w:val="false"/>
          <w:color w:val="000000"/>
          <w:sz w:val="20"/>
        </w:rPr>
      </w:pPr>
      <w:r>
        <w:rPr>
          <w:rFonts w:ascii="Times New Roman;serif" w:hAnsi="Times New Roman;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20" w:after="283"/>
        <w:ind w:left="0" w:right="0" w:firstLine="1125"/>
        <w:jc w:val="left"/>
        <w:rPr>
          <w:rFonts w:ascii="Times New Roman;serif" w:hAnsi="Times New Roman;serif"/>
          <w:b w:val="false"/>
          <w:color w:val="000000"/>
          <w:sz w:val="20"/>
        </w:rPr>
      </w:pPr>
      <w:r>
        <w:rPr>
          <w:rFonts w:ascii="Times New Roman;serif" w:hAnsi="Times New Roman;serif"/>
          <w:b w:val="false"/>
          <w:color w:val="000000"/>
          <w:sz w:val="20"/>
        </w:rPr>
        <w:t>(b) Any fraud, whether or not material, that involves management or other employees who have a significant role in the registrant’s internal control over financial reporting.</w:t>
      </w:r>
    </w:p>
    <w:p>
      <w:pPr>
        <w:pStyle w:val="TextBody"/>
        <w:bidi w:val="0"/>
        <w:spacing w:lineRule="auto" w:line="288" w:before="240" w:after="283"/>
        <w:jc w:val="left"/>
        <w:rPr/>
      </w:pPr>
      <w:r>
        <w:rPr>
          <w:rFonts w:ascii="Times New Roman;serif" w:hAnsi="Times New Roman;serif"/>
          <w:b/>
          <w:color w:val="000000"/>
          <w:sz w:val="20"/>
        </w:rPr>
        <w:t xml:space="preserve">Date: </w:t>
      </w:r>
      <w:r>
        <w:rPr>
          <w:rFonts w:ascii="Times New Roman;serif" w:hAnsi="Times New Roman;serif"/>
          <w:b w:val="false"/>
          <w:color w:val="000000"/>
          <w:sz w:val="20"/>
        </w:rPr>
        <w:t xml:space="preserve">July 22, 2026 </w:t>
      </w:r>
    </w:p>
    <w:p>
      <w:pPr>
        <w:pStyle w:val="TextBody"/>
        <w:bidi w:val="0"/>
        <w:spacing w:lineRule="auto" w:line="288" w:before="0" w:after="0"/>
        <w:jc w:val="left"/>
        <w:rPr>
          <w:color w:val="000000"/>
        </w:rPr>
      </w:pPr>
      <w:r>
        <w:rPr>
          <w:color w:val="000000"/>
        </w:rPr>
        <w:t> </w:t>
      </w:r>
    </w:p>
    <w:tbl>
      <w:tblPr>
        <w:tblW w:w="3956" w:type="dxa"/>
        <w:jc w:val="left"/>
        <w:tblInd w:w="0" w:type="dxa"/>
        <w:tblLayout w:type="fixed"/>
        <w:tblCellMar>
          <w:top w:w="28" w:type="dxa"/>
          <w:left w:w="28" w:type="dxa"/>
          <w:bottom w:w="28" w:type="dxa"/>
          <w:right w:w="28" w:type="dxa"/>
        </w:tblCellMar>
      </w:tblPr>
      <w:tblGrid>
        <w:gridCol w:w="242"/>
        <w:gridCol w:w="215"/>
        <w:gridCol w:w="218"/>
        <w:gridCol w:w="109"/>
        <w:gridCol w:w="109"/>
        <w:gridCol w:w="109"/>
        <w:gridCol w:w="865"/>
        <w:gridCol w:w="865"/>
        <w:gridCol w:w="1224"/>
      </w:tblGrid>
      <w:tr>
        <w:trPr/>
        <w:tc>
          <w:tcPr>
            <w:tcW w:w="242"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1224" w:type="dxa"/>
            <w:tcBorders/>
            <w:vAlign w:val="center"/>
          </w:tcPr>
          <w:p>
            <w:pPr>
              <w:pStyle w:val="TableContents"/>
              <w:bidi w:val="0"/>
              <w:spacing w:before="0" w:after="283"/>
              <w:jc w:val="left"/>
              <w:rPr>
                <w:sz w:val="4"/>
                <w:szCs w:val="4"/>
              </w:rPr>
            </w:pPr>
            <w:r>
              <w:rPr>
                <w:sz w:val="4"/>
                <w:szCs w:val="4"/>
              </w:rPr>
            </w:r>
          </w:p>
        </w:tc>
      </w:tr>
      <w:tr>
        <w:trPr/>
        <w:tc>
          <w:tcPr>
            <w:tcW w:w="6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295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/s/    RAFAEL SANTANA</w:t>
            </w:r>
            <w:r>
              <w:rPr>
                <w:color w:val="000000"/>
              </w:rPr>
              <w:t>         </w:t>
            </w:r>
          </w:p>
        </w:tc>
      </w:tr>
      <w:tr>
        <w:trPr/>
        <w:tc>
          <w:tcPr>
            <w:tcW w:w="67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Name:</w:t>
            </w:r>
          </w:p>
        </w:tc>
        <w:tc>
          <w:tcPr>
            <w:tcW w:w="32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295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Rafael Santana</w:t>
            </w:r>
          </w:p>
        </w:tc>
      </w:tr>
      <w:tr>
        <w:trPr/>
        <w:tc>
          <w:tcPr>
            <w:tcW w:w="6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Title: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29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Chairman and Chief Executive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75260"/>
                <wp:effectExtent l="0" t="0" r="0" b="0"/>
                <wp:wrapNone/>
                <wp:docPr id="52" name="Frame5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31.2</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CERTIFICATION</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 John A. Olin, certify that:</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1. I have reviewed this quarterly report on Form 10-Q of Westinghouse Air Brake Technologies Corporation.</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2. 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3. 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we have:</w:t>
      </w:r>
    </w:p>
    <w:p>
      <w:pPr>
        <w:pStyle w:val="TextBody"/>
        <w:bidi w:val="0"/>
        <w:spacing w:lineRule="auto" w:line="288" w:before="120" w:after="283"/>
        <w:ind w:left="0" w:right="0" w:firstLine="1125"/>
        <w:jc w:val="left"/>
        <w:rPr>
          <w:rFonts w:ascii="Times New Roman;serif" w:hAnsi="Times New Roman;serif"/>
          <w:b w:val="false"/>
          <w:color w:val="000000"/>
          <w:sz w:val="20"/>
        </w:rPr>
      </w:pPr>
      <w:r>
        <w:rPr>
          <w:rFonts w:ascii="Times New Roman;serif" w:hAnsi="Times New Roman;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pStyle w:val="TextBody"/>
        <w:bidi w:val="0"/>
        <w:spacing w:lineRule="auto" w:line="288" w:before="120" w:after="283"/>
        <w:ind w:left="0" w:right="0" w:firstLine="1125"/>
        <w:jc w:val="left"/>
        <w:rPr>
          <w:rFonts w:ascii="Times New Roman;serif" w:hAnsi="Times New Roman;serif"/>
          <w:b w:val="false"/>
          <w:color w:val="000000"/>
          <w:sz w:val="20"/>
        </w:rPr>
      </w:pPr>
      <w:r>
        <w:rPr>
          <w:rFonts w:ascii="Times New Roman;serif" w:hAnsi="Times New Roman;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20" w:after="283"/>
        <w:ind w:left="0" w:right="0" w:firstLine="1125"/>
        <w:jc w:val="left"/>
        <w:rPr>
          <w:rFonts w:ascii="Times New Roman;serif" w:hAnsi="Times New Roman;serif"/>
          <w:b w:val="false"/>
          <w:color w:val="000000"/>
          <w:sz w:val="20"/>
        </w:rPr>
      </w:pPr>
      <w:r>
        <w:rPr>
          <w:rFonts w:ascii="Times New Roman;serif" w:hAnsi="Times New Roman;serif"/>
          <w:b w:val="false"/>
          <w:color w:val="000000"/>
          <w:sz w:val="20"/>
        </w:rPr>
        <w:t>(c) Evaluated the effectiveness of the registrant’s disclosure controls and procedures and presented in this quarterly report our conclusions about the effectiveness of the disclosure controls and procedures, as of the end of the period covered by this quarterly report based on such evaluation; and</w:t>
      </w:r>
    </w:p>
    <w:p>
      <w:pPr>
        <w:pStyle w:val="TextBody"/>
        <w:bidi w:val="0"/>
        <w:spacing w:lineRule="auto" w:line="288" w:before="120" w:after="283"/>
        <w:ind w:left="0" w:right="0" w:firstLine="1125"/>
        <w:jc w:val="left"/>
        <w:rPr>
          <w:rFonts w:ascii="Times New Roman;serif" w:hAnsi="Times New Roman;serif"/>
          <w:b w:val="false"/>
          <w:color w:val="000000"/>
          <w:sz w:val="20"/>
        </w:rPr>
      </w:pPr>
      <w:r>
        <w:rPr>
          <w:rFonts w:ascii="Times New Roman;serif" w:hAnsi="Times New Roman;serif"/>
          <w:b w:val="false"/>
          <w:color w:val="000000"/>
          <w:sz w:val="20"/>
        </w:rPr>
        <w:t>(d) Disclosed in this quarterly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5. 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pStyle w:val="TextBody"/>
        <w:bidi w:val="0"/>
        <w:spacing w:lineRule="auto" w:line="288" w:before="120" w:after="283"/>
        <w:ind w:left="0" w:right="0" w:firstLine="1125"/>
        <w:jc w:val="left"/>
        <w:rPr>
          <w:rFonts w:ascii="Times New Roman;serif" w:hAnsi="Times New Roman;serif"/>
          <w:b w:val="false"/>
          <w:color w:val="000000"/>
          <w:sz w:val="20"/>
        </w:rPr>
      </w:pPr>
      <w:r>
        <w:rPr>
          <w:rFonts w:ascii="Times New Roman;serif" w:hAnsi="Times New Roman;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20" w:after="283"/>
        <w:ind w:left="0" w:right="0" w:firstLine="1125"/>
        <w:jc w:val="left"/>
        <w:rPr>
          <w:rFonts w:ascii="Times New Roman;serif" w:hAnsi="Times New Roman;serif"/>
          <w:b w:val="false"/>
          <w:color w:val="000000"/>
          <w:sz w:val="20"/>
        </w:rPr>
      </w:pPr>
      <w:r>
        <w:rPr>
          <w:rFonts w:ascii="Times New Roman;serif" w:hAnsi="Times New Roman;serif"/>
          <w:b w:val="false"/>
          <w:color w:val="000000"/>
          <w:sz w:val="20"/>
        </w:rPr>
        <w:t>(b) Any fraud, whether or not material, that involves management or other employees who have a significant role in the registrant’s internal control over financial reporting.</w:t>
      </w:r>
    </w:p>
    <w:p>
      <w:pPr>
        <w:pStyle w:val="TextBody"/>
        <w:bidi w:val="0"/>
        <w:spacing w:lineRule="auto" w:line="288" w:before="240" w:after="283"/>
        <w:jc w:val="left"/>
        <w:rPr/>
      </w:pPr>
      <w:r>
        <w:rPr>
          <w:rFonts w:ascii="Times New Roman;serif" w:hAnsi="Times New Roman;serif"/>
          <w:b/>
          <w:color w:val="000000"/>
          <w:sz w:val="20"/>
        </w:rPr>
        <w:t xml:space="preserve">Date: </w:t>
      </w:r>
      <w:r>
        <w:rPr>
          <w:rFonts w:ascii="Times New Roman;serif" w:hAnsi="Times New Roman;serif"/>
          <w:b w:val="false"/>
          <w:color w:val="000000"/>
          <w:sz w:val="20"/>
        </w:rPr>
        <w:t>July 22, 2026</w:t>
      </w:r>
      <w:r>
        <w:rPr>
          <w:color w:val="000000"/>
        </w:rPr>
        <w:t xml:space="preserve"> </w:t>
      </w:r>
    </w:p>
    <w:p>
      <w:pPr>
        <w:pStyle w:val="TextBody"/>
        <w:bidi w:val="0"/>
        <w:spacing w:lineRule="auto" w:line="288" w:before="0" w:after="0"/>
        <w:jc w:val="left"/>
        <w:rPr>
          <w:color w:val="000000"/>
        </w:rPr>
      </w:pPr>
      <w:r>
        <w:rPr>
          <w:color w:val="000000"/>
        </w:rPr>
        <w:t> </w:t>
      </w:r>
    </w:p>
    <w:tbl>
      <w:tblPr>
        <w:tblW w:w="4977" w:type="dxa"/>
        <w:jc w:val="left"/>
        <w:tblInd w:w="0" w:type="dxa"/>
        <w:tblLayout w:type="fixed"/>
        <w:tblCellMar>
          <w:top w:w="28" w:type="dxa"/>
          <w:left w:w="28" w:type="dxa"/>
          <w:bottom w:w="28" w:type="dxa"/>
          <w:right w:w="28" w:type="dxa"/>
        </w:tblCellMar>
      </w:tblPr>
      <w:tblGrid>
        <w:gridCol w:w="242"/>
        <w:gridCol w:w="215"/>
        <w:gridCol w:w="218"/>
        <w:gridCol w:w="109"/>
        <w:gridCol w:w="109"/>
        <w:gridCol w:w="109"/>
        <w:gridCol w:w="1163"/>
        <w:gridCol w:w="1163"/>
        <w:gridCol w:w="1649"/>
      </w:tblGrid>
      <w:tr>
        <w:trPr/>
        <w:tc>
          <w:tcPr>
            <w:tcW w:w="242"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3" w:type="dxa"/>
            <w:tcBorders/>
            <w:vAlign w:val="center"/>
          </w:tcPr>
          <w:p>
            <w:pPr>
              <w:pStyle w:val="TableContents"/>
              <w:bidi w:val="0"/>
              <w:spacing w:before="0" w:after="283"/>
              <w:jc w:val="left"/>
              <w:rPr>
                <w:sz w:val="4"/>
                <w:szCs w:val="4"/>
              </w:rPr>
            </w:pPr>
            <w:r>
              <w:rPr>
                <w:sz w:val="4"/>
                <w:szCs w:val="4"/>
              </w:rPr>
            </w:r>
          </w:p>
        </w:tc>
        <w:tc>
          <w:tcPr>
            <w:tcW w:w="1163" w:type="dxa"/>
            <w:tcBorders/>
            <w:vAlign w:val="center"/>
          </w:tcPr>
          <w:p>
            <w:pPr>
              <w:pStyle w:val="TableContents"/>
              <w:bidi w:val="0"/>
              <w:spacing w:before="0" w:after="283"/>
              <w:jc w:val="left"/>
              <w:rPr>
                <w:sz w:val="4"/>
                <w:szCs w:val="4"/>
              </w:rPr>
            </w:pPr>
            <w:r>
              <w:rPr>
                <w:sz w:val="4"/>
                <w:szCs w:val="4"/>
              </w:rPr>
            </w:r>
          </w:p>
        </w:tc>
        <w:tc>
          <w:tcPr>
            <w:tcW w:w="1649" w:type="dxa"/>
            <w:tcBorders/>
            <w:vAlign w:val="center"/>
          </w:tcPr>
          <w:p>
            <w:pPr>
              <w:pStyle w:val="TableContents"/>
              <w:bidi w:val="0"/>
              <w:spacing w:before="0" w:after="283"/>
              <w:jc w:val="left"/>
              <w:rPr>
                <w:sz w:val="4"/>
                <w:szCs w:val="4"/>
              </w:rPr>
            </w:pPr>
            <w:r>
              <w:rPr>
                <w:sz w:val="4"/>
                <w:szCs w:val="4"/>
              </w:rPr>
            </w:r>
          </w:p>
        </w:tc>
      </w:tr>
      <w:tr>
        <w:trPr/>
        <w:tc>
          <w:tcPr>
            <w:tcW w:w="6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97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w:t>
            </w:r>
            <w:r>
              <w:rPr>
                <w:rFonts w:ascii="Times New Roman;serif" w:hAnsi="Times New Roman;serif"/>
                <w:b w:val="false"/>
                <w:color w:val="000000"/>
                <w:sz w:val="16"/>
              </w:rPr>
              <w:t>S</w:t>
            </w:r>
            <w:r>
              <w:rPr>
                <w:rFonts w:ascii="Times New Roman;serif" w:hAnsi="Times New Roman;serif"/>
                <w:b w:val="false"/>
                <w:color w:val="000000"/>
                <w:sz w:val="20"/>
              </w:rPr>
              <w:t>/    JOHN A. OLIN</w:t>
            </w:r>
            <w:r>
              <w:rPr>
                <w:color w:val="000000"/>
              </w:rPr>
              <w:t>         </w:t>
            </w:r>
          </w:p>
        </w:tc>
      </w:tr>
      <w:tr>
        <w:trPr/>
        <w:tc>
          <w:tcPr>
            <w:tcW w:w="67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Name:</w:t>
            </w:r>
          </w:p>
        </w:tc>
        <w:tc>
          <w:tcPr>
            <w:tcW w:w="32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97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John A. Olin</w:t>
            </w:r>
          </w:p>
        </w:tc>
      </w:tr>
      <w:tr>
        <w:trPr/>
        <w:tc>
          <w:tcPr>
            <w:tcW w:w="6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Title: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9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Executive Vice President and Chief Financial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75260"/>
                <wp:effectExtent l="0" t="0" r="0" b="0"/>
                <wp:wrapNone/>
                <wp:docPr id="53" name="Frame5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32.1</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CERTIFICATION</w:t>
      </w:r>
    </w:p>
    <w:p>
      <w:pPr>
        <w:pStyle w:val="TextBody"/>
        <w:bidi w:val="0"/>
        <w:spacing w:lineRule="auto" w:line="288" w:before="240" w:after="283"/>
        <w:ind w:left="0" w:right="0" w:firstLine="540"/>
        <w:jc w:val="left"/>
        <w:rPr/>
      </w:pPr>
      <w:r>
        <w:rPr>
          <w:rFonts w:ascii="Times New Roman;serif" w:hAnsi="Times New Roman;serif"/>
          <w:b w:val="false"/>
          <w:color w:val="000000"/>
          <w:sz w:val="20"/>
        </w:rPr>
        <w:t>Pursuant to 18 U.S.C. § 1350, the undersigned officers of Westinghouse Air Brake Technologies Corporation (the “</w:t>
      </w:r>
      <w:r>
        <w:rPr>
          <w:rFonts w:ascii="Times New Roman;serif" w:hAnsi="Times New Roman;serif"/>
          <w:b w:val="false"/>
          <w:i/>
          <w:color w:val="000000"/>
          <w:sz w:val="20"/>
        </w:rPr>
        <w:t>Company</w:t>
      </w:r>
      <w:r>
        <w:rPr>
          <w:color w:val="000000"/>
        </w:rPr>
        <w:t>”</w:t>
      </w:r>
      <w:r>
        <w:rPr>
          <w:rFonts w:ascii="Times New Roman;serif" w:hAnsi="Times New Roman;serif"/>
          <w:b w:val="false"/>
          <w:color w:val="000000"/>
          <w:sz w:val="20"/>
        </w:rPr>
        <w:t>), hereby certify, to the best of their knowledge, that the Company’s Quarterly Report on Form 10-Q for the quarter ended June 30, 2026 (the “</w:t>
      </w:r>
      <w:r>
        <w:rPr>
          <w:rFonts w:ascii="Times New Roman;serif" w:hAnsi="Times New Roman;serif"/>
          <w:b w:val="false"/>
          <w:i/>
          <w:color w:val="000000"/>
          <w:sz w:val="20"/>
        </w:rPr>
        <w:t>Report</w:t>
      </w:r>
      <w:r>
        <w:rPr>
          <w:color w:val="000000"/>
        </w:rPr>
        <w:t>”</w:t>
      </w:r>
      <w:r>
        <w:rPr>
          <w:rFonts w:ascii="Times New Roman;serif" w:hAnsi="Times New Roman;serif"/>
          <w:b w:val="false"/>
          <w:color w:val="000000"/>
          <w:sz w:val="20"/>
        </w:rPr>
        <w:t>) fully complies with the requirements of Section 13(a) or 15(d), as applicable, of the Securities Exchange Act of 1934 and that the information contained in the Report fairly presents, in all material respects, the financial condition and results of operations of the Company.</w:t>
      </w:r>
    </w:p>
    <w:p>
      <w:pPr>
        <w:pStyle w:val="TextBody"/>
        <w:bidi w:val="0"/>
        <w:spacing w:lineRule="auto" w:line="288" w:before="0" w:after="0"/>
        <w:jc w:val="left"/>
        <w:rPr>
          <w:color w:val="000000"/>
        </w:rPr>
      </w:pPr>
      <w:r>
        <w:rPr>
          <w:color w:val="000000"/>
        </w:rPr>
        <w:t> </w:t>
      </w:r>
    </w:p>
    <w:tbl>
      <w:tblPr>
        <w:tblW w:w="4871" w:type="dxa"/>
        <w:jc w:val="left"/>
        <w:tblInd w:w="0" w:type="dxa"/>
        <w:tblLayout w:type="fixed"/>
        <w:tblCellMar>
          <w:top w:w="28" w:type="dxa"/>
          <w:left w:w="28" w:type="dxa"/>
          <w:bottom w:w="28" w:type="dxa"/>
          <w:right w:w="28" w:type="dxa"/>
        </w:tblCellMar>
      </w:tblPr>
      <w:tblGrid>
        <w:gridCol w:w="205"/>
        <w:gridCol w:w="181"/>
        <w:gridCol w:w="184"/>
        <w:gridCol w:w="109"/>
        <w:gridCol w:w="109"/>
        <w:gridCol w:w="109"/>
        <w:gridCol w:w="1163"/>
        <w:gridCol w:w="1163"/>
        <w:gridCol w:w="1648"/>
      </w:tblGrid>
      <w:tr>
        <w:trPr/>
        <w:tc>
          <w:tcPr>
            <w:tcW w:w="205"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3" w:type="dxa"/>
            <w:tcBorders/>
            <w:vAlign w:val="center"/>
          </w:tcPr>
          <w:p>
            <w:pPr>
              <w:pStyle w:val="TableContents"/>
              <w:bidi w:val="0"/>
              <w:spacing w:before="0" w:after="283"/>
              <w:jc w:val="left"/>
              <w:rPr>
                <w:sz w:val="4"/>
                <w:szCs w:val="4"/>
              </w:rPr>
            </w:pPr>
            <w:r>
              <w:rPr>
                <w:sz w:val="4"/>
                <w:szCs w:val="4"/>
              </w:rPr>
            </w:r>
          </w:p>
        </w:tc>
        <w:tc>
          <w:tcPr>
            <w:tcW w:w="1163" w:type="dxa"/>
            <w:tcBorders/>
            <w:vAlign w:val="center"/>
          </w:tcPr>
          <w:p>
            <w:pPr>
              <w:pStyle w:val="TableContents"/>
              <w:bidi w:val="0"/>
              <w:spacing w:before="0" w:after="283"/>
              <w:jc w:val="left"/>
              <w:rPr>
                <w:sz w:val="4"/>
                <w:szCs w:val="4"/>
              </w:rPr>
            </w:pPr>
            <w:r>
              <w:rPr>
                <w:sz w:val="4"/>
                <w:szCs w:val="4"/>
              </w:rPr>
            </w:r>
          </w:p>
        </w:tc>
        <w:tc>
          <w:tcPr>
            <w:tcW w:w="1648" w:type="dxa"/>
            <w:tcBorders/>
            <w:vAlign w:val="center"/>
          </w:tcPr>
          <w:p>
            <w:pPr>
              <w:pStyle w:val="TableContents"/>
              <w:bidi w:val="0"/>
              <w:spacing w:before="0" w:after="283"/>
              <w:jc w:val="left"/>
              <w:rPr>
                <w:sz w:val="4"/>
                <w:szCs w:val="4"/>
              </w:rPr>
            </w:pPr>
            <w:r>
              <w:rPr>
                <w:sz w:val="4"/>
                <w:szCs w:val="4"/>
              </w:rPr>
            </w:r>
          </w:p>
        </w:tc>
      </w:tr>
      <w:tr>
        <w:trPr/>
        <w:tc>
          <w:tcPr>
            <w:tcW w:w="5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97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/s/    RAFAEL SANTANA   </w:t>
            </w:r>
            <w:r>
              <w:rPr>
                <w:color w:val="000000"/>
              </w:rPr>
              <w:t>     </w:t>
            </w:r>
          </w:p>
        </w:tc>
      </w:tr>
      <w:tr>
        <w:trPr/>
        <w:tc>
          <w:tcPr>
            <w:tcW w:w="57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97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Rafael Santana</w:t>
              <w:br/>
              <w:t>Chairman and Chief Executive Officer</w:t>
            </w:r>
          </w:p>
        </w:tc>
      </w:tr>
      <w:tr>
        <w:trPr/>
        <w:tc>
          <w:tcPr>
            <w:tcW w:w="5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Date: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9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July 22, 2026</w:t>
            </w:r>
          </w:p>
        </w:tc>
      </w:tr>
      <w:tr>
        <w:trPr/>
        <w:tc>
          <w:tcPr>
            <w:tcW w:w="57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97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5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97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/s/    JOHN A. OLIN</w:t>
            </w:r>
            <w:r>
              <w:rPr>
                <w:color w:val="000000"/>
              </w:rPr>
              <w:t>       </w:t>
            </w:r>
          </w:p>
        </w:tc>
      </w:tr>
      <w:tr>
        <w:trPr/>
        <w:tc>
          <w:tcPr>
            <w:tcW w:w="57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97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John A. Olin</w:t>
              <w:br/>
              <w:t>Executive Vice President and Chief Financial Officer</w:t>
            </w:r>
          </w:p>
        </w:tc>
      </w:tr>
      <w:tr>
        <w:trPr/>
        <w:tc>
          <w:tcPr>
            <w:tcW w:w="5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Date: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9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July 22, 2026</w:t>
            </w:r>
          </w:p>
        </w:tc>
      </w:tr>
    </w:tbl>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75260"/>
                <wp:effectExtent l="0" t="0" r="0" b="0"/>
                <wp:wrapNone/>
                <wp:docPr id="54" name="Frame5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21743</Words>
  <Characters>120438</Characters>
  <CharactersWithSpaces>140453</CharactersWithSpaces>
  <Paragraphs>3543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