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1"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86" w:lineRule="exact"/>
        <w:rPr>
          <w:rFonts w:ascii="MS PGothic" w:cs="MS PGothic" w:eastAsia="MS PGothic" w:hAnsi="MS PGothic"/>
          <w:sz w:val="22"/>
          <w:szCs w:val="22"/>
          <w:color w:val="auto"/>
        </w:rPr>
      </w:pPr>
    </w:p>
    <w:p>
      <w:pPr>
        <w:ind w:left="4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5"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6" w:lineRule="exact"/>
        <w:rPr>
          <w:sz w:val="24"/>
          <w:szCs w:val="24"/>
          <w:color w:val="auto"/>
        </w:rPr>
      </w:pPr>
    </w:p>
    <w:p>
      <w:pPr>
        <w:ind w:left="460"/>
        <w:spacing w:after="0"/>
        <w:tabs>
          <w:tab w:leader="none" w:pos="3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auto"/>
        </w:rPr>
        <w:t>WESTINGHOUSE AIR BRAKE TECHNOLOGIES</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8"/>
          <w:szCs w:val="38"/>
          <w:b w:val="1"/>
          <w:bCs w:val="1"/>
          <w:color w:val="auto"/>
        </w:rPr>
        <w:t>CORPORATION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4" w:lineRule="exact"/>
        <w:rPr>
          <w:sz w:val="24"/>
          <w:szCs w:val="24"/>
          <w:color w:val="auto"/>
        </w:rPr>
      </w:pPr>
    </w:p>
    <w:tbl>
      <w:tblPr>
        <w:tblLayout w:type="fixed"/>
        <w:tblInd w:w="1060" w:type="dxa"/>
        <w:tblCellMar>
          <w:top w:w="0" w:type="dxa"/>
          <w:left w:w="0" w:type="dxa"/>
          <w:bottom w:w="0" w:type="dxa"/>
          <w:right w:w="0" w:type="dxa"/>
        </w:tblCellMar>
      </w:tblPr>
      <w:tr>
        <w:trPr>
          <w:trHeight w:val="226"/>
        </w:trPr>
        <w:tc>
          <w:tcPr>
            <w:tcW w:w="4920" w:type="dxa"/>
            <w:vAlign w:val="bottom"/>
          </w:tcPr>
          <w:p>
            <w:pPr>
              <w:jc w:val="center"/>
              <w:ind w:right="134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480" w:type="dxa"/>
            <w:vAlign w:val="bottom"/>
          </w:tcPr>
          <w:p>
            <w:pPr>
              <w:jc w:val="right"/>
              <w:ind w:right="544"/>
              <w:spacing w:after="0"/>
              <w:rPr>
                <w:sz w:val="20"/>
                <w:szCs w:val="20"/>
                <w:color w:val="auto"/>
              </w:rPr>
            </w:pPr>
            <w:r>
              <w:rPr>
                <w:rFonts w:ascii="Times New Roman" w:cs="Times New Roman" w:eastAsia="Times New Roman" w:hAnsi="Times New Roman"/>
                <w:sz w:val="17"/>
                <w:szCs w:val="17"/>
                <w:b w:val="1"/>
                <w:bCs w:val="1"/>
                <w:color w:val="auto"/>
              </w:rPr>
              <w:t>25-1615902</w:t>
            </w:r>
          </w:p>
        </w:tc>
      </w:tr>
      <w:tr>
        <w:trPr>
          <w:trHeight w:val="190"/>
        </w:trPr>
        <w:tc>
          <w:tcPr>
            <w:tcW w:w="4920" w:type="dxa"/>
            <w:vAlign w:val="bottom"/>
          </w:tcPr>
          <w:p>
            <w:pPr>
              <w:jc w:val="center"/>
              <w:ind w:right="1344"/>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3480" w:type="dxa"/>
            <w:vAlign w:val="bottom"/>
          </w:tcPr>
          <w:p>
            <w:pPr>
              <w:jc w:val="center"/>
              <w:ind w:left="1344"/>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82"/>
        </w:trPr>
        <w:tc>
          <w:tcPr>
            <w:tcW w:w="4920" w:type="dxa"/>
            <w:vAlign w:val="bottom"/>
          </w:tcPr>
          <w:p>
            <w:pPr>
              <w:jc w:val="center"/>
              <w:ind w:right="1344"/>
              <w:spacing w:after="0"/>
              <w:rPr>
                <w:sz w:val="20"/>
                <w:szCs w:val="20"/>
                <w:color w:val="auto"/>
              </w:rPr>
            </w:pPr>
            <w:r>
              <w:rPr>
                <w:rFonts w:ascii="Times New Roman" w:cs="Times New Roman" w:eastAsia="Times New Roman" w:hAnsi="Times New Roman"/>
                <w:sz w:val="17"/>
                <w:szCs w:val="17"/>
                <w:b w:val="1"/>
                <w:bCs w:val="1"/>
                <w:color w:val="auto"/>
              </w:rPr>
              <w:t>30 Isabella Street Pittsburgh, Pennsylvania</w:t>
            </w:r>
          </w:p>
        </w:tc>
        <w:tc>
          <w:tcPr>
            <w:tcW w:w="3480" w:type="dxa"/>
            <w:vAlign w:val="bottom"/>
          </w:tcPr>
          <w:p>
            <w:pPr>
              <w:jc w:val="right"/>
              <w:ind w:right="744"/>
              <w:spacing w:after="0"/>
              <w:rPr>
                <w:sz w:val="20"/>
                <w:szCs w:val="20"/>
                <w:color w:val="auto"/>
              </w:rPr>
            </w:pPr>
            <w:r>
              <w:rPr>
                <w:rFonts w:ascii="Times New Roman" w:cs="Times New Roman" w:eastAsia="Times New Roman" w:hAnsi="Times New Roman"/>
                <w:sz w:val="17"/>
                <w:szCs w:val="17"/>
                <w:b w:val="1"/>
                <w:bCs w:val="1"/>
                <w:color w:val="auto"/>
              </w:rPr>
              <w:t>15212</w:t>
            </w:r>
          </w:p>
        </w:tc>
      </w:tr>
      <w:tr>
        <w:trPr>
          <w:trHeight w:val="190"/>
        </w:trPr>
        <w:tc>
          <w:tcPr>
            <w:tcW w:w="4920" w:type="dxa"/>
            <w:vAlign w:val="bottom"/>
          </w:tcPr>
          <w:p>
            <w:pPr>
              <w:jc w:val="center"/>
              <w:ind w:right="134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480" w:type="dxa"/>
            <w:vAlign w:val="bottom"/>
          </w:tcPr>
          <w:p>
            <w:pPr>
              <w:jc w:val="center"/>
              <w:ind w:left="13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11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2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192"/>
        </w:trPr>
        <w:tc>
          <w:tcPr>
            <w:tcW w:w="428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Pr>
          <w:p>
            <w:pPr>
              <w:jc w:val="center"/>
              <w:ind w:right="386"/>
              <w:spacing w:after="0"/>
              <w:rPr>
                <w:sz w:val="20"/>
                <w:szCs w:val="20"/>
                <w:color w:val="auto"/>
              </w:rPr>
            </w:pPr>
            <w:r>
              <w:rPr>
                <w:rFonts w:ascii="Times New Roman" w:cs="Times New Roman" w:eastAsia="Times New Roman" w:hAnsi="Times New Roman"/>
                <w:sz w:val="15"/>
                <w:szCs w:val="15"/>
                <w:color w:val="auto"/>
              </w:rPr>
              <w:t>New York Stock Exchange</w:t>
            </w:r>
          </w:p>
        </w:tc>
      </w:tr>
    </w:tbl>
    <w:p>
      <w:pPr>
        <w:spacing w:after="0" w:line="89" w:lineRule="exact"/>
        <w:rPr>
          <w:sz w:val="24"/>
          <w:szCs w:val="24"/>
          <w:color w:val="auto"/>
        </w:rPr>
      </w:pPr>
    </w:p>
    <w:p>
      <w:pPr>
        <w:ind w:right="80" w:firstLine="486"/>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486"/>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86"/>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132" w:right="399" w:bottom="1440" w:gutter="0" w:footer="0" w:header="0"/>
        </w:sectPr>
      </w:pPr>
    </w:p>
    <w:p>
      <w:pPr>
        <w:spacing w:after="0" w:line="27" w:lineRule="exact"/>
        <w:rPr>
          <w:sz w:val="24"/>
          <w:szCs w:val="24"/>
          <w:color w:val="auto"/>
        </w:rPr>
      </w:pPr>
    </w:p>
    <w:p>
      <w:pPr>
        <w:ind w:left="20" w:right="40"/>
        <w:spacing w:after="0" w:line="317" w:lineRule="auto"/>
        <w:rPr>
          <w:sz w:val="20"/>
          <w:szCs w:val="20"/>
          <w:color w:val="auto"/>
        </w:rPr>
      </w:pPr>
      <w:r>
        <w:rPr>
          <w:rFonts w:ascii="Times New Roman" w:cs="Times New Roman" w:eastAsia="Times New Roman" w:hAnsi="Times New Roman"/>
          <w:sz w:val="15"/>
          <w:szCs w:val="15"/>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11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79" w:lineRule="exact"/>
        <w:rPr>
          <w:sz w:val="24"/>
          <w:szCs w:val="24"/>
          <w:color w:val="auto"/>
        </w:rPr>
      </w:pPr>
    </w:p>
    <w:p>
      <w:pPr>
        <w:sectPr>
          <w:pgSz w:w="11900" w:h="16838" w:orient="portrait"/>
          <w:cols w:equalWidth="0" w:num="6">
            <w:col w:w="1740" w:space="720"/>
            <w:col w:w="140" w:space="320"/>
            <w:col w:w="1700" w:space="720"/>
            <w:col w:w="120" w:space="340"/>
            <w:col w:w="1280" w:space="620"/>
            <w:col w:w="3480"/>
          </w:cols>
          <w:pgMar w:left="320" w:top="1132" w:right="399" w:bottom="1440" w:gutter="0" w:footer="0" w:header="0"/>
          <w:type w:val="continuous"/>
        </w:sectPr>
      </w:pPr>
    </w:p>
    <w:p>
      <w:pPr>
        <w:ind w:right="20" w:firstLine="486"/>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4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22, 2022, there were 182,647,656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32"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WESTINGHOUSE AIR BRAKE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TECHNOLOGIES CORPORATION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9700" w:type="dxa"/>
            <w:vAlign w:val="bottom"/>
            <w:gridSpan w:val="16"/>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700" w:type="dxa"/>
            <w:vAlign w:val="bottom"/>
            <w:gridSpan w:val="16"/>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 (Unaudited)</w:t>
            </w: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31, 2022 and 2021</w:t>
            </w: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2022 and 2021</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2022 and 2021</w:t>
            </w: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9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months ended March 31, 2022 and 2021</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700" w:type="dxa"/>
            <w:vAlign w:val="bottom"/>
            <w:tcBorders>
              <w:bottom w:val="single" w:sz="8" w:color="CCEEFF"/>
            </w:tcBorders>
            <w:gridSpan w:val="9"/>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40" w:type="dxa"/>
            <w:vAlign w:val="bottom"/>
            <w:tcBorders>
              <w:bottom w:val="single" w:sz="8" w:color="CCEEFF"/>
            </w:tcBorders>
            <w:shd w:val="clear" w:color="auto" w:fill="CCEEFF"/>
          </w:tcPr>
          <w:p>
            <w:pPr>
              <w:spacing w:after="0"/>
              <w:rPr>
                <w:sz w:val="18"/>
                <w:szCs w:val="18"/>
                <w:color w:val="auto"/>
              </w:rPr>
            </w:pPr>
          </w:p>
        </w:tc>
        <w:tc>
          <w:tcPr>
            <w:tcW w:w="432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80" w:type="dxa"/>
            <w:vAlign w:val="bottom"/>
            <w:tcBorders>
              <w:bottom w:val="single" w:sz="8" w:color="CCEEFF"/>
            </w:tcBorders>
            <w:gridSpan w:val="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40" w:type="dxa"/>
            <w:vAlign w:val="bottom"/>
            <w:shd w:val="clear" w:color="auto" w:fill="CCEEFF"/>
          </w:tcPr>
          <w:p>
            <w:pPr>
              <w:spacing w:after="0"/>
              <w:rPr>
                <w:sz w:val="19"/>
                <w:szCs w:val="19"/>
                <w:color w:val="auto"/>
              </w:rPr>
            </w:pPr>
          </w:p>
        </w:tc>
        <w:tc>
          <w:tcPr>
            <w:tcW w:w="9840" w:type="dxa"/>
            <w:vAlign w:val="bottom"/>
            <w:gridSpan w:val="17"/>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4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4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920" w:type="dxa"/>
            <w:vAlign w:val="bottom"/>
            <w:tcBorders>
              <w:bottom w:val="single" w:sz="8" w:color="CCEEFF"/>
            </w:tcBorders>
            <w:gridSpan w:val="11"/>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189"/>
        </w:trPr>
        <w:tc>
          <w:tcPr>
            <w:tcW w:w="8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17"/>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rPr>
              <w:t>36</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40" w:type="dxa"/>
            <w:vAlign w:val="bottom"/>
            <w:shd w:val="clear" w:color="auto" w:fill="CCEEFF"/>
          </w:tcPr>
          <w:p>
            <w:pPr>
              <w:spacing w:after="0"/>
              <w:rPr>
                <w:sz w:val="16"/>
                <w:szCs w:val="16"/>
                <w:color w:val="auto"/>
              </w:rPr>
            </w:pPr>
          </w:p>
        </w:tc>
        <w:tc>
          <w:tcPr>
            <w:tcW w:w="9840" w:type="dxa"/>
            <w:vAlign w:val="bottom"/>
            <w:gridSpan w:val="17"/>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0"/>
              <w:spacing w:after="0" w:line="127"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700" w:type="dxa"/>
            <w:vAlign w:val="bottom"/>
            <w:tcBorders>
              <w:top w:val="single" w:sz="8" w:color="auto"/>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6360" w:type="dxa"/>
            <w:vAlign w:val="bottom"/>
            <w:shd w:val="clear" w:color="auto" w:fill="CCEEFF"/>
          </w:tcPr>
          <w:p>
            <w:pPr>
              <w:jc w:val="center"/>
              <w:ind w:right="16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6360" w:type="dxa"/>
            <w:vAlign w:val="bottom"/>
            <w:shd w:val="clear" w:color="auto" w:fill="CCEEFF"/>
          </w:tcPr>
          <w:p>
            <w:pPr>
              <w:jc w:val="center"/>
              <w:ind w:right="1648"/>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deposits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Accrued warranty</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postretirement and pension benefits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Common stock, $.01 par value; 500.0 shares authorized: 226.9 and 226.9 shares issued and 182.9 and 185.8 outstanding at</w:t>
            </w:r>
          </w:p>
        </w:tc>
        <w:tc>
          <w:tcPr>
            <w:tcW w:w="2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31, 2022 and December 31, 2021, respectively</w:t>
            </w:r>
          </w:p>
        </w:tc>
        <w:tc>
          <w:tcPr>
            <w:tcW w:w="2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Treasury stock, at cost, 44.0 and 41.1 shares, at March 31, 2022 and December 31, 2021, respectively</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Westinghouse Air Brake Technologies Corporation shareholders’ equity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6"/>
                <w:szCs w:val="16"/>
                <w:color w:val="auto"/>
              </w:rPr>
            </w:pPr>
          </w:p>
        </w:tc>
        <w:tc>
          <w:tcPr>
            <w:tcW w:w="186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3"/>
              <w:spacing w:after="0" w:line="160"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ind w:right="511"/>
              <w:spacing w:after="0" w:line="160"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of goods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Sales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Engineering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1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6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center"/>
              <w:ind w:right="271"/>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80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13"/>
              <w:spacing w:after="0" w:line="146"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511"/>
              <w:spacing w:after="0" w:line="146"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(loss) on derivative contracts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pension benefit plans and post-retirement benefit plans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components of Other comprehensive income (loss)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Wabtec shareholders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ind w:left="290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center"/>
              <w:ind w:left="61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6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center"/>
              <w:ind w:right="270"/>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61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8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jc w:val="right"/>
              <w:ind w:right="510"/>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on disposal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Accounts receivable and unbilled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Accrued liabilities and customer deposits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spacing w:after="0"/>
              <w:rPr>
                <w:sz w:val="19"/>
                <w:szCs w:val="19"/>
                <w:color w:val="auto"/>
              </w:rPr>
            </w:pPr>
          </w:p>
        </w:tc>
        <w:tc>
          <w:tcPr>
            <w:tcW w:w="74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Payments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dividends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for) provided by financing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Increase (decrease) in cash</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ind w:left="2900"/>
        <w:spacing w:after="0"/>
        <w:rPr>
          <w:sz w:val="20"/>
          <w:szCs w:val="20"/>
          <w:color w:val="auto"/>
        </w:rPr>
      </w:pPr>
      <w:r>
        <w:rPr>
          <w:rFonts w:ascii="Times New Roman" w:cs="Times New Roman" w:eastAsia="Times New Roman" w:hAnsi="Times New Roman"/>
          <w:sz w:val="18"/>
          <w:szCs w:val="18"/>
          <w:b w:val="1"/>
          <w:bCs w:val="1"/>
          <w:color w:val="auto"/>
        </w:rPr>
        <w:t>WESTINGHOUSE AIR BRAKE TECHNOLOGIES CORPORATION</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40" w:type="dxa"/>
            <w:vAlign w:val="bottom"/>
          </w:tcPr>
          <w:p>
            <w:pPr>
              <w:spacing w:after="0"/>
              <w:rPr>
                <w:sz w:val="12"/>
                <w:szCs w:val="12"/>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Treasury</w:t>
            </w:r>
          </w:p>
        </w:tc>
        <w:tc>
          <w:tcPr>
            <w:tcW w:w="4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40" w:type="dxa"/>
            <w:vAlign w:val="bottom"/>
          </w:tcPr>
          <w:p>
            <w:pPr>
              <w:spacing w:after="0"/>
              <w:rPr>
                <w:sz w:val="12"/>
                <w:szCs w:val="12"/>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4"/>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4"/>
                <w:szCs w:val="4"/>
                <w:color w:val="auto"/>
              </w:rPr>
            </w:pPr>
          </w:p>
        </w:tc>
        <w:tc>
          <w:tcPr>
            <w:tcW w:w="600" w:type="dxa"/>
            <w:vAlign w:val="bottom"/>
            <w:vMerge w:val="restart"/>
          </w:tcPr>
          <w:p>
            <w:pPr>
              <w:jc w:val="right"/>
              <w:ind w:right="177"/>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000" w:type="dxa"/>
            <w:vAlign w:val="bottom"/>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40" w:type="dxa"/>
            <w:vAlign w:val="bottom"/>
          </w:tcPr>
          <w:p>
            <w:pPr>
              <w:spacing w:after="0"/>
              <w:rPr>
                <w:sz w:val="5"/>
                <w:szCs w:val="5"/>
                <w:color w:val="auto"/>
              </w:rPr>
            </w:pPr>
          </w:p>
        </w:tc>
        <w:tc>
          <w:tcPr>
            <w:tcW w:w="9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Stock Shares</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80" w:type="dxa"/>
            <w:vAlign w:val="bottom"/>
            <w:gridSpan w:val="5"/>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dividends ($0.15 dividend per share)</w:t>
            </w:r>
          </w:p>
        </w:tc>
        <w:tc>
          <w:tcPr>
            <w:tcW w:w="4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Proceeds from treasury stock issued from</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exercise of stock options and other</w:t>
            </w: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benefit plans, net of tax</w:t>
            </w:r>
          </w:p>
        </w:tc>
        <w:tc>
          <w:tcPr>
            <w:tcW w:w="4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4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4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repurchase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March 31, 2022</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10,088</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4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(1,010)</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dividends ($0.12 dividend per share)</w:t>
            </w:r>
          </w:p>
        </w:tc>
        <w:tc>
          <w:tcPr>
            <w:tcW w:w="4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240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Proceeds from treasury stock issued from the</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exercise of stock options and other benefit</w:t>
            </w:r>
          </w:p>
        </w:tc>
        <w:tc>
          <w:tcPr>
            <w:tcW w:w="40" w:type="dxa"/>
            <w:vAlign w:val="bottom"/>
            <w:shd w:val="clear" w:color="auto" w:fill="CCEEFF"/>
          </w:tcPr>
          <w:p>
            <w:pPr>
              <w:spacing w:after="0"/>
              <w:rPr>
                <w:sz w:val="10"/>
                <w:szCs w:val="10"/>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plans, net of tax</w:t>
            </w:r>
          </w:p>
        </w:tc>
        <w:tc>
          <w:tcPr>
            <w:tcW w:w="40" w:type="dxa"/>
            <w:vAlign w:val="bottom"/>
            <w:shd w:val="clear" w:color="auto" w:fill="CCEEFF"/>
          </w:tcPr>
          <w:p>
            <w:pPr>
              <w:spacing w:after="0"/>
              <w:rPr>
                <w:sz w:val="15"/>
                <w:szCs w:val="15"/>
                <w:color w:val="auto"/>
              </w:rPr>
            </w:pPr>
          </w:p>
        </w:tc>
        <w:tc>
          <w:tcPr>
            <w:tcW w:w="98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 based compensation</w:t>
            </w:r>
          </w:p>
        </w:tc>
        <w:tc>
          <w:tcPr>
            <w:tcW w:w="4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40" w:type="dxa"/>
            <w:vAlign w:val="bottom"/>
          </w:tcPr>
          <w:p>
            <w:pPr>
              <w:spacing w:after="0"/>
              <w:rPr>
                <w:sz w:val="14"/>
                <w:szCs w:val="14"/>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 repurchase</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 March 31, 2021</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6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7,884</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3,678</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jc w:val="center"/>
        <w:ind w:left="340" w:right="2560"/>
        <w:spacing w:after="0" w:line="291"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MARCH 31, 2022 (UNAUDITED)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Westinghouse Air Brake Technologies Corporation (“Wabtec” or the "Company") is one of the world’s largest providers of value-added, technology-based locomotives,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2022, approximately 60% of the Company’s net sales came from customers outside the United States.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104"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The unaudited condensed consolidated interim financial statements have been prepared in accordance with generally accepted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5" w:lineRule="exact"/>
        <w:rPr>
          <w:sz w:val="20"/>
          <w:szCs w:val="20"/>
          <w:color w:val="auto"/>
        </w:rPr>
      </w:pPr>
    </w:p>
    <w:p>
      <w:pPr>
        <w:ind w:right="60" w:firstLine="486"/>
        <w:spacing w:after="0" w:line="238" w:lineRule="auto"/>
        <w:rPr>
          <w:sz w:val="20"/>
          <w:szCs w:val="20"/>
          <w:color w:val="auto"/>
        </w:rPr>
      </w:pPr>
      <w:r>
        <w:rPr>
          <w:rFonts w:ascii="Times New Roman" w:cs="Times New Roman" w:eastAsia="Times New Roman" w:hAnsi="Times New Roman"/>
          <w:sz w:val="18"/>
          <w:szCs w:val="18"/>
          <w:color w:val="auto"/>
        </w:rPr>
        <w:t>Results for these interim periods are not necessarily indicative of results to be expected for the full year particularly in light of the ongoing COVID-19 pandemic, supply chain disruptions, labor availability, broad-based inflation, and the impacts resulting from Russia's invasion of Ukraine.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78"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2021, Wabtec had earnings of approximately $40 million attributable to customers in Russia, while earnings from customers in Ukraine and Belarus were not significant. As of March 31, 2022, Wabtec had approximately $16 million of assets related to Russian operations, which were primarily cash and inventory. Assets related to Ukraine and Belarus operations are not significant.</w:t>
      </w:r>
    </w:p>
    <w:p>
      <w:pPr>
        <w:spacing w:after="0" w:line="82"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The Company operates on a four-four-five week accounting quarter, and the quarters end on or about March 31, June 30, September 30 and December 31.</w:t>
      </w:r>
    </w:p>
    <w:p>
      <w:pPr>
        <w:spacing w:after="0" w:line="5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notes included herein should be read in conjunction with the audited consolidated financial statements included in Wabtec’s Annual Report on Form 10-K for the year ended December 31, 2021. The December 31, 2021 information has been derived from the Company’s Annual Report on Form 10-K for the year ended December 31, 2021.</w:t>
      </w:r>
    </w:p>
    <w:p>
      <w:pPr>
        <w:spacing w:after="0" w:line="64" w:lineRule="exact"/>
        <w:rPr>
          <w:sz w:val="20"/>
          <w:szCs w:val="20"/>
          <w:color w:val="auto"/>
        </w:rPr>
      </w:pPr>
    </w:p>
    <w:p>
      <w:pPr>
        <w:ind w:right="2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in the United States requires the Company to make estimates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8" w:lineRule="exact"/>
        <w:rPr>
          <w:sz w:val="20"/>
          <w:szCs w:val="20"/>
          <w:color w:val="auto"/>
        </w:rPr>
      </w:pPr>
    </w:p>
    <w:p>
      <w:pPr>
        <w:jc w:val="both"/>
        <w:ind w:right="3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A majority of the Company’s revenues are derived from performance obligations that are satisfied at a point in time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6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 w:name="page9"/>
    <w:bookmarkEnd w:id="8"/>
    <w:p>
      <w:pPr>
        <w:ind w:right="540"/>
        <w:spacing w:after="0" w:line="282" w:lineRule="auto"/>
        <w:rPr>
          <w:sz w:val="20"/>
          <w:szCs w:val="20"/>
          <w:color w:val="auto"/>
        </w:rPr>
      </w:pPr>
      <w:r>
        <w:rPr>
          <w:rFonts w:ascii="Times New Roman" w:cs="Times New Roman" w:eastAsia="Times New Roman" w:hAnsi="Times New Roman"/>
          <w:sz w:val="18"/>
          <w:szCs w:val="18"/>
          <w:color w:val="auto"/>
        </w:rPr>
        <w:t>revenues and cost estimates are reviewed and revised periodically throughout the year and adjustments are reflected in the accounting period as such amounts are determined.</w:t>
      </w:r>
    </w:p>
    <w:p>
      <w:pPr>
        <w:spacing w:after="0" w:line="5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8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customer orders subject to standard industry cancellation provisions and substantial scope-of-work adjustments. As of March 31, 2022, the Company's remaining performance obligations were approximately $22.2 billion. The Company expects to recognize revenue of approximately 25% of the remaining performance obligations over the next 12 months, with the remainder recognized thereafter.</w:t>
      </w:r>
    </w:p>
    <w:p>
      <w:pPr>
        <w:spacing w:after="0" w:line="68" w:lineRule="exact"/>
        <w:rPr>
          <w:sz w:val="20"/>
          <w:szCs w:val="20"/>
          <w:color w:val="auto"/>
        </w:rPr>
      </w:pPr>
    </w:p>
    <w:p>
      <w:pPr>
        <w:ind w:right="18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Receivables Program </w:t>
      </w:r>
      <w:r>
        <w:rPr>
          <w:rFonts w:ascii="Times New Roman" w:cs="Times New Roman" w:eastAsia="Times New Roman" w:hAnsi="Times New Roman"/>
          <w:sz w:val="18"/>
          <w:szCs w:val="18"/>
          <w:color w:val="auto"/>
        </w:rPr>
        <w:t>The Company utilizes a revolving agreement to transfer up to $200 million of certain receivables of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of the Company (the "Originators") through our bankruptcy-remote subsidiary to a financial institution on a recurring basis in exchange for cash equal to the gross receivables transferred. The bankruptcy remote subsidiary is a separate legal entity with its own creditors, and its assets are not available to pay creditors of the Company or any other affiliates of the Company. As customers pay their balances, we transfer additional receivables into the program, which resulted in our gross receivables sold exceeding collections reinvested for the periods presented. The sold receivables are fully guaranteed by our bankruptcy-remote subsidiary, which holds additional receivables that are pledged as collateral under this agreement.</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March 31, 2022 and 2021 the bankruptcy-remote subsidiary held receivables of $367 million and $260 million, respectively. The transfers are</w:t>
      </w:r>
    </w:p>
    <w:p>
      <w:pPr>
        <w:spacing w:after="0" w:line="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recorded at the fair value of the proceeds received and obligations assumed less derecognized receivables. No obligation was recorded at March 31, 2022 or 2021 as the estimated expected credit losses on receivables sold is insignificant. Our maximum exposure to losses related to these receivables transferred is limited to the amount outstanding. The Company has agreed to guarantee the performance of the Originators respective obligations under the revolving agreement. None of the Company (except for the bankruptcy-remote consolidated subsidiary referenced above) nor the Originators guarantees the collectability of the receivables under the revolving agreements.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 summary of receivables sold: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2"/>
                <w:szCs w:val="12"/>
                <w:color w:val="auto"/>
              </w:rPr>
            </w:pPr>
          </w:p>
        </w:tc>
        <w:tc>
          <w:tcPr>
            <w:tcW w:w="1420" w:type="dxa"/>
            <w:vAlign w:val="bottom"/>
          </w:tcPr>
          <w:p>
            <w:pPr>
              <w:jc w:val="right"/>
              <w:ind w:right="197"/>
              <w:spacing w:after="0" w:line="127"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receivables sold/cash proceeds received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917"/>
              <w:spacing w:after="0"/>
              <w:rPr>
                <w:sz w:val="20"/>
                <w:szCs w:val="20"/>
                <w:color w:val="auto"/>
              </w:rPr>
            </w:pPr>
            <w:r>
              <w:rPr>
                <w:rFonts w:ascii="Times New Roman" w:cs="Times New Roman" w:eastAsia="Times New Roman" w:hAnsi="Times New Roman"/>
                <w:sz w:val="18"/>
                <w:szCs w:val="18"/>
                <w:color w:val="auto"/>
                <w:w w:val="96"/>
              </w:rPr>
              <w:t>312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Collections reinvested under revolving agreement</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 received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center"/>
              <w:ind w:left="917"/>
              <w:spacing w:after="0"/>
              <w:rPr>
                <w:sz w:val="20"/>
                <w:szCs w:val="20"/>
                <w:color w:val="auto"/>
              </w:rPr>
            </w:pPr>
            <w:r>
              <w:rPr>
                <w:rFonts w:ascii="Times New Roman" w:cs="Times New Roman" w:eastAsia="Times New Roman" w:hAnsi="Times New Roman"/>
                <w:sz w:val="18"/>
                <w:szCs w:val="18"/>
                <w:color w:val="auto"/>
                <w:w w:val="96"/>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60" w:firstLine="48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Cost of goods or Cost of services. Depreciation of other property, plant and equipment that is not attributable to the manufacturing of products or services provided is included in Selling, general and administrative expenses or Engineering expense depending on how the property, plant and equipment is used.</w:t>
      </w:r>
    </w:p>
    <w:p>
      <w:pPr>
        <w:spacing w:after="0" w:line="45" w:lineRule="exact"/>
        <w:rPr>
          <w:sz w:val="20"/>
          <w:szCs w:val="20"/>
          <w:color w:val="auto"/>
        </w:rPr>
      </w:pPr>
    </w:p>
    <w:p>
      <w:pPr>
        <w:ind w:right="1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Intangible Assets </w:t>
      </w:r>
      <w:r>
        <w:rPr>
          <w:rFonts w:ascii="Times New Roman" w:cs="Times New Roman" w:eastAsia="Times New Roman" w:hAnsi="Times New Roman"/>
          <w:sz w:val="18"/>
          <w:szCs w:val="18"/>
          <w:color w:val="auto"/>
        </w:rPr>
        <w:t>Goodwill and other intangible assets with indefinite lives are not amortized. Other intangibles (with definite lives)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 w:name="page10"/>
    <w:bookmarkEnd w:id="9"/>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annual impairment test during the fourth quarter after the annual forecasting process is completed, and also tests for impairment whenever events or changes in circumstances indicate the carrying value may not be recoverable. Periodically, management of the Company assesses whether or not an indicator of impairment is present that would necessitate an impairment analysis to be performed.</w:t>
      </w:r>
    </w:p>
    <w:p>
      <w:pPr>
        <w:spacing w:after="0" w:line="64"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Recently Issued </w:t>
      </w:r>
      <w:r>
        <w:rPr>
          <w:rFonts w:ascii="Times New Roman" w:cs="Times New Roman" w:eastAsia="Times New Roman" w:hAnsi="Times New Roman"/>
          <w:sz w:val="18"/>
          <w:szCs w:val="18"/>
          <w:color w:val="auto"/>
        </w:rPr>
        <w:t>In October 2021, the Financial Accounting Standards Board ("FASB") issued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8"/>
          <w:szCs w:val="18"/>
          <w:color w:val="auto"/>
        </w:rPr>
        <w:t xml:space="preserve"> The amendments in this update provide specific guidance on how to recognize and measure acquired contract assets and contract liabilities from revenue contracts in a business combination and address how to determine whether a contract liability is recognized by the acquirer in a business combination. The amendments in this update will be effective for Wabtec on January 1, 2023 and will be applied prospectively to business combinations occurring on or after the effective date.</w:t>
      </w:r>
    </w:p>
    <w:p>
      <w:pPr>
        <w:spacing w:after="0" w:line="74"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Accumulated Other Comprehensive Loss </w:t>
      </w:r>
      <w:r>
        <w:rPr>
          <w:rFonts w:ascii="Times New Roman" w:cs="Times New Roman" w:eastAsia="Times New Roman" w:hAnsi="Times New Roman"/>
          <w:sz w:val="18"/>
          <w:szCs w:val="18"/>
          <w:color w:val="auto"/>
        </w:rPr>
        <w:t>Comprehensive income comprises both net income and Other comprehensive income (loss) resulting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change in equity from transactions and other events and circumstances from non-owner sources.</w:t>
      </w:r>
    </w:p>
    <w:p>
      <w:pPr>
        <w:spacing w:after="0" w:line="51" w:lineRule="exact"/>
        <w:rPr>
          <w:sz w:val="20"/>
          <w:szCs w:val="20"/>
          <w:color w:val="auto"/>
        </w:rPr>
      </w:pPr>
    </w:p>
    <w:p>
      <w:pPr>
        <w:ind w:right="100" w:firstLine="486"/>
        <w:spacing w:after="0" w:line="270"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including any tax impacts, for the three months ended March 31, 2022 are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00" w:type="dxa"/>
            <w:vAlign w:val="bottom"/>
          </w:tcPr>
          <w:p>
            <w:pPr>
              <w:spacing w:after="0"/>
              <w:rPr>
                <w:sz w:val="12"/>
                <w:szCs w:val="12"/>
                <w:color w:val="auto"/>
              </w:rPr>
            </w:pP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benefit plans</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70"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including any tax impacts, for the three months ended March 31, 2021 are as follows:</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Pension and</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300" w:type="dxa"/>
            <w:vAlign w:val="bottom"/>
          </w:tcPr>
          <w:p>
            <w:pPr>
              <w:spacing w:after="0"/>
              <w:rPr>
                <w:sz w:val="12"/>
                <w:szCs w:val="12"/>
                <w:color w:val="auto"/>
              </w:rPr>
            </w:pPr>
          </w:p>
        </w:tc>
        <w:tc>
          <w:tcPr>
            <w:tcW w:w="10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 plans</w:t>
            </w: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are recognized in "Other income, net" with the tax impact recognized in "Income tax expense."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Nordco</w:t>
      </w:r>
    </w:p>
    <w:p>
      <w:pPr>
        <w:spacing w:after="0" w:line="11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On March 31, 2021, the Company acquired Nordco, a leading North American supplier of new, rebuilt and used maintenance of way equipment. Nordco's products and services portfolio includes mobile railcar movers and ultrasonic rail flaw detection technologies. The purchase price paid for 100% ownership of Nordco was approximately $410 million.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fair value of the Nordco assets acquired and liabilities assumed: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assets acquired</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w:t>
      </w:r>
    </w:p>
    <w:p>
      <w:pPr>
        <w:spacing w:after="0" w:line="75" w:lineRule="exact"/>
        <w:rPr>
          <w:sz w:val="20"/>
          <w:szCs w:val="20"/>
          <w:color w:val="auto"/>
        </w:rPr>
      </w:pPr>
    </w:p>
    <w:p>
      <w:pPr>
        <w:jc w:val="both"/>
        <w:ind w:right="80" w:firstLine="486"/>
        <w:spacing w:after="0" w:line="258" w:lineRule="auto"/>
        <w:rPr>
          <w:sz w:val="20"/>
          <w:szCs w:val="20"/>
          <w:color w:val="auto"/>
        </w:rPr>
      </w:pPr>
      <w:r>
        <w:rPr>
          <w:rFonts w:ascii="Times New Roman" w:cs="Times New Roman" w:eastAsia="Times New Roman" w:hAnsi="Times New Roman"/>
          <w:sz w:val="18"/>
          <w:szCs w:val="18"/>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Freight Segment and the Services product line. The pro forma impact on Wabtec’s sales and results of operations, including the pro forma effect of events that are directly attributable to the acquisition, was not significant.</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also made smaller acquisitions in prior periods not listed above which are individually and collectively immaterial.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inventory, net of reserves, were: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the carrying amount of goodwill by segment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4"/>
                <w:szCs w:val="14"/>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r>
      <w:tr>
        <w:trPr>
          <w:trHeight w:val="230"/>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Additions/adjustments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Company’s trade names had a net carrying amount of $621 million and $635 million, respectively. The Company believes these intangibles have indefinite lives, with the exception of the right to use the GE Transportation trade name, to which the Company has assigned a useful life of 5 years.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of the Company, other than goodwill and trade names, consist of the following: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Backlog, net of accumulated amortization of $342 and $309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Customer relationships, net of accumulated amortization of $345 and $331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Acquired technology, net of accumulated amortization of $360 and $334</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weighted average remaining useful lives of backlog, customer relationships and acquired technology were 10 years, 17 years and 9 years, respectively. The backlog intangible asset primarily consists of in-place long-term service agreements acquired by the Company in conjunction with the acquisition of GE Transportation in 2019. Amortization expense for intangible assets was $73 million and $70 million for the three months ended March 31, 2022 and 2021, respectively.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expense for the five succeeding years is estimated to be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7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7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2023</w:t>
            </w:r>
          </w:p>
        </w:tc>
        <w:tc>
          <w:tcPr>
            <w:tcW w:w="4900" w:type="dxa"/>
            <w:vAlign w:val="bottom"/>
          </w:tcPr>
          <w:p>
            <w:pPr>
              <w:spacing w:after="0"/>
              <w:rPr>
                <w:sz w:val="19"/>
                <w:szCs w:val="19"/>
                <w:color w:val="auto"/>
              </w:rPr>
            </w:pPr>
          </w:p>
        </w:tc>
        <w:tc>
          <w:tcPr>
            <w:tcW w:w="4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6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2024</w:t>
            </w:r>
          </w:p>
        </w:tc>
        <w:tc>
          <w:tcPr>
            <w:tcW w:w="4900" w:type="dxa"/>
            <w:vAlign w:val="bottom"/>
            <w:shd w:val="clear" w:color="auto" w:fill="CCEEFF"/>
          </w:tcPr>
          <w:p>
            <w:pPr>
              <w:spacing w:after="0"/>
              <w:rPr>
                <w:sz w:val="19"/>
                <w:szCs w:val="19"/>
                <w:color w:val="auto"/>
              </w:rPr>
            </w:pPr>
          </w:p>
        </w:tc>
        <w:tc>
          <w:tcPr>
            <w:tcW w:w="47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6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2025</w:t>
            </w:r>
          </w:p>
        </w:tc>
        <w:tc>
          <w:tcPr>
            <w:tcW w:w="4900" w:type="dxa"/>
            <w:vAlign w:val="bottom"/>
          </w:tcPr>
          <w:p>
            <w:pPr>
              <w:spacing w:after="0"/>
              <w:rPr>
                <w:sz w:val="19"/>
                <w:szCs w:val="19"/>
                <w:color w:val="auto"/>
              </w:rPr>
            </w:pPr>
          </w:p>
        </w:tc>
        <w:tc>
          <w:tcPr>
            <w:tcW w:w="4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9"/>
        </w:trPr>
        <w:tc>
          <w:tcPr>
            <w:tcW w:w="6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2026</w:t>
            </w:r>
          </w:p>
        </w:tc>
        <w:tc>
          <w:tcPr>
            <w:tcW w:w="4900" w:type="dxa"/>
            <w:vAlign w:val="bottom"/>
            <w:shd w:val="clear" w:color="auto" w:fill="CCEEFF"/>
          </w:tcPr>
          <w:p>
            <w:pPr>
              <w:spacing w:after="0"/>
              <w:rPr>
                <w:sz w:val="19"/>
                <w:szCs w:val="19"/>
                <w:color w:val="auto"/>
              </w:rPr>
            </w:pPr>
          </w:p>
        </w:tc>
        <w:tc>
          <w:tcPr>
            <w:tcW w:w="47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CONTRACT ASSETS AND CONTRACT LIABILITIES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sheets. Noncurrent contract assets were $184 million at March 31, 2022 and $153 million at December 31, 2021.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81"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sheets. Noncurrent contract liabilities were $86 million at March 31, 2022 and $88 million at December 31, 2021.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$106 million and $107 million at March 31, 2022 and December 31, 2021, respectively. These provisions for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estimated losses are classified as current liabilities and included within the caption “Other accrued liabilities” on the consolidated balance sheets.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 in the carrying amount of contract assets and contract liabilities for the three months ended March 31, 2022 and 2021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Recognized in current year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Reclassified to 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Recognized in current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Amounts in beginning balance reclassified to revenue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 amounts reclassified to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The right-of-use assets are classified as noncurrent and included within the caption "Other noncurrent assets" on the consolidated balance sheets. The current portion of lease liabilities are classified under the caption "Other accrued liabilities," while the noncurrent portion of lease liabilities are classified under the caption "Other long-term liabilities" on the consolidated balance sheets.</w:t>
      </w:r>
    </w:p>
    <w:p>
      <w:pPr>
        <w:spacing w:after="0" w:line="79" w:lineRule="exact"/>
        <w:rPr>
          <w:sz w:val="20"/>
          <w:szCs w:val="20"/>
          <w:color w:val="auto"/>
        </w:rPr>
      </w:pPr>
    </w:p>
    <w:p>
      <w:pPr>
        <w:jc w:val="both"/>
        <w:ind w:right="120" w:firstLine="486"/>
        <w:spacing w:after="0" w:line="250" w:lineRule="auto"/>
        <w:rPr>
          <w:sz w:val="20"/>
          <w:szCs w:val="20"/>
          <w:color w:val="auto"/>
        </w:rPr>
      </w:pPr>
      <w:r>
        <w:rPr>
          <w:rFonts w:ascii="Times New Roman" w:cs="Times New Roman" w:eastAsia="Times New Roman" w:hAnsi="Times New Roman"/>
          <w:sz w:val="18"/>
          <w:szCs w:val="18"/>
          <w:color w:val="auto"/>
        </w:rPr>
        <w:t>Operating lease expense for the three months ended March 31, 2022 and 2021, was $15 million and $14 million, respectively. New operating leases of $2 million were added during the three months ended March 31, 2022. Wabtec does not have material financing leases, short-term or variable leases or sublease income.</w:t>
      </w:r>
    </w:p>
    <w:p>
      <w:pPr>
        <w:spacing w:after="0" w:line="8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 readily stated discount rate, the Company must estimate the rate to discount lease payments using its incremental borrowing rate. The Company has established discount rates by geographic region ranging from 1% to 9%.</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Scheduled payments of lease liabilities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2022</w:t>
            </w:r>
          </w:p>
        </w:tc>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4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4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4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31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ind w:right="6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remaining lease term and discount rate assumptions used to develop the present value of operating lease liabilities: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6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549"/>
        </w:trPr>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12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9"/>
                <w:szCs w:val="19"/>
                <w:color w:val="auto"/>
              </w:rPr>
            </w:pPr>
          </w:p>
        </w:tc>
        <w:tc>
          <w:tcPr>
            <w:tcW w:w="3000" w:type="dxa"/>
            <w:vAlign w:val="bottom"/>
            <w:gridSpan w:val="6"/>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Face Value</w:t>
            </w:r>
          </w:p>
        </w:tc>
        <w:tc>
          <w:tcPr>
            <w:tcW w:w="200" w:type="dxa"/>
            <w:vAlign w:val="bottom"/>
          </w:tcPr>
          <w:p>
            <w:pPr>
              <w:spacing w:after="0"/>
              <w:rPr>
                <w:sz w:val="13"/>
                <w:szCs w:val="13"/>
                <w:color w:val="auto"/>
              </w:rPr>
            </w:pPr>
          </w:p>
        </w:tc>
        <w:tc>
          <w:tcPr>
            <w:tcW w:w="1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00" w:type="dxa"/>
            <w:vAlign w:val="bottom"/>
          </w:tcPr>
          <w:p>
            <w:pPr>
              <w:spacing w:after="0"/>
              <w:rPr>
                <w:sz w:val="13"/>
                <w:szCs w:val="13"/>
                <w:color w:val="auto"/>
              </w:rPr>
            </w:pP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3"/>
                <w:szCs w:val="13"/>
                <w:color w:val="auto"/>
              </w:rPr>
            </w:pP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80" w:type="dxa"/>
            <w:vAlign w:val="bottom"/>
          </w:tcPr>
          <w:p>
            <w:pPr>
              <w:spacing w:after="0"/>
              <w:rPr>
                <w:sz w:val="13"/>
                <w:szCs w:val="13"/>
                <w:color w:val="auto"/>
              </w:rPr>
            </w:pPr>
          </w:p>
        </w:tc>
        <w:tc>
          <w:tcPr>
            <w:tcW w:w="16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0" w:type="dxa"/>
            <w:vAlign w:val="bottom"/>
            <w:gridSpan w:val="3"/>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500" w:type="dxa"/>
            <w:vAlign w:val="bottom"/>
            <w:tcBorders>
              <w:top w:val="single" w:sz="8" w:color="auto"/>
              <w:bottom w:val="single" w:sz="8" w:color="CCEEFF"/>
            </w:tcBorders>
          </w:tcPr>
          <w:p>
            <w:pPr>
              <w:spacing w:after="0"/>
              <w:rPr>
                <w:sz w:val="2"/>
                <w:szCs w:val="2"/>
                <w:color w:val="auto"/>
              </w:rPr>
            </w:pPr>
          </w:p>
        </w:tc>
        <w:tc>
          <w:tcPr>
            <w:tcW w:w="1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Credit Facility:</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Multi-Currency Revolving loan facility</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4.375% Senior Notes, due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4.15%</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9"/>
              </w:rPr>
              <w:t>3.20%</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3.45%</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9"/>
              </w:rPr>
              <w:t>1.25%</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(EUR), due 2027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9"/>
              </w:rPr>
              <w:t>4.70%</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Borrowings</w:t>
            </w: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4"/>
                <w:szCs w:val="14"/>
                <w:color w:val="auto"/>
              </w:rPr>
              <w:t>Less - current portion</w:t>
            </w: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30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Long-term portion</w:t>
            </w: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Variances between Face Value and Book Value are the result of unamortized discounts and debt issuance fees.</w:t>
      </w:r>
    </w:p>
    <w:p>
      <w:pPr>
        <w:spacing w:after="0" w:line="11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March 31, 2022 and December 31, 2021, the Company had total combined unamortized discount and debt issuance costs of $21 million and $23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 million in multi-currency revolving loans (inclusive of swingline loans of up to $75 million and letters of credit of up to $450 million (the "Revolving Credit Facility")). The Revolving Credit Facility will mature on June 8, 2023.</w:t>
      </w:r>
    </w:p>
    <w:p>
      <w:pPr>
        <w:spacing w:after="0" w:line="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Under the Senior Credit Facility, we can elect to receive advances bearing interest based on either the Alternate Base Rate ("ABR"), the London Interbank Offered Rate ("LIBOR") or the adjusted risk-free rate (each as defined in the Senior Credit Facility) plus applicable margin that is determined based on our credit ratings or the Company's Leverage (as defined in the Senior Credit Facility). The agreement contains affirmative, negative and financial covenants, and events of default customary for facilities of this type. The obligations under the Senior Credit Facility are guaranteed by Wabtec and certain of Wabtec's U.S. subsidiaries, as guarantors.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then ended: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Interest Coverage Ratio </w:t>
            </w:r>
            <w:r>
              <w:rPr>
                <w:rFonts w:ascii="Times New Roman" w:cs="Times New Roman" w:eastAsia="Times New Roman" w:hAnsi="Times New Roman"/>
                <w:sz w:val="21"/>
                <w:szCs w:val="21"/>
                <w:color w:val="auto"/>
                <w:vertAlign w:val="superscript"/>
              </w:rPr>
              <w:t>1</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3.0x</w:t>
            </w:r>
          </w:p>
        </w:tc>
      </w:tr>
      <w:tr>
        <w:trPr>
          <w:trHeight w:val="308"/>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Leverage Ratio </w:t>
            </w:r>
            <w:r>
              <w:rPr>
                <w:rFonts w:ascii="Times New Roman" w:cs="Times New Roman" w:eastAsia="Times New Roman" w:hAnsi="Times New Roman"/>
                <w:sz w:val="21"/>
                <w:szCs w:val="21"/>
                <w:color w:val="auto"/>
                <w:vertAlign w:val="superscript"/>
              </w:rPr>
              <w:t>2</w:t>
            </w:r>
          </w:p>
        </w:tc>
        <w:tc>
          <w:tcPr>
            <w:tcW w:w="4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3.25x</w:t>
            </w:r>
          </w:p>
        </w:tc>
      </w:tr>
    </w:tbl>
    <w:p>
      <w:pPr>
        <w:spacing w:after="0" w:line="169" w:lineRule="exact"/>
        <w:rPr>
          <w:sz w:val="20"/>
          <w:szCs w:val="20"/>
          <w:color w:val="auto"/>
        </w:rPr>
      </w:pPr>
    </w:p>
    <w:p>
      <w:pPr>
        <w:ind w:right="160" w:firstLine="8"/>
        <w:spacing w:after="0" w:line="261" w:lineRule="auto"/>
        <w:tabs>
          <w:tab w:leader="none" w:pos="14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coverage ratio is defined as EBITDA (earnings before interest, taxes, depreciation, and amortization) to net interest expense (each as defined in the Senior Credit Facility) for the four quarters then ended.</w:t>
      </w:r>
    </w:p>
    <w:p>
      <w:pPr>
        <w:ind w:left="160" w:hanging="152"/>
        <w:spacing w:after="0"/>
        <w:tabs>
          <w:tab w:leader="none" w:pos="1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leverage ratio is defined as net debt as of the last day of such fiscal quarter to EBITDA, as defined in the Senior Credit Facility, for the four quarters then ended.</w:t>
      </w:r>
    </w:p>
    <w:p>
      <w:pPr>
        <w:spacing w:after="0" w:line="101" w:lineRule="exact"/>
        <w:rPr>
          <w:sz w:val="20"/>
          <w:szCs w:val="20"/>
          <w:color w:val="auto"/>
        </w:rPr>
      </w:pPr>
    </w:p>
    <w:p>
      <w:pPr>
        <w:ind w:right="80" w:firstLine="486"/>
        <w:spacing w:after="0" w:line="236" w:lineRule="auto"/>
        <w:rPr>
          <w:sz w:val="20"/>
          <w:szCs w:val="20"/>
          <w:color w:val="auto"/>
        </w:rPr>
      </w:pPr>
      <w:r>
        <w:rPr>
          <w:rFonts w:ascii="Times New Roman" w:cs="Times New Roman" w:eastAsia="Times New Roman" w:hAnsi="Times New Roman"/>
          <w:sz w:val="18"/>
          <w:szCs w:val="18"/>
          <w:color w:val="auto"/>
        </w:rPr>
        <w:t>The Senior Credit Facility was amended in the second quarter of 2021 so the Company may increase the maximum leverage ratio to (x) 3.75 to 1.00 at the end of the fiscal quarter in which the Nordco acquisition was consummated and each of the three fiscal quarters immediately following such fiscal quarter and (y) 3.50 to 1.00 at the end of each of the fourth and fifth full fiscal quarters after the consummation of the Nordco acquisition upon the Company's request. The Company has not requested any increase in the leverage ratio at this time.</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was in compliance with all covenants in the Senior Credit Facility as of March 31, 2022.</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availability under the Senior Credit Facility at March 31, 2022: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Senior Credit</w:t>
            </w:r>
          </w:p>
        </w:tc>
      </w:tr>
      <w:tr>
        <w:trPr>
          <w:trHeight w:val="214"/>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Facility</w:t>
            </w:r>
          </w:p>
        </w:tc>
      </w:tr>
      <w:tr>
        <w:trPr>
          <w:trHeight w:val="211"/>
        </w:trPr>
        <w:tc>
          <w:tcPr>
            <w:tcW w:w="9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Availability</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3"/>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Borrowings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19"/>
        </w:trPr>
        <w:tc>
          <w:tcPr>
            <w:tcW w:w="9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Letters of Credit Under Credit Agreement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4"/>
        </w:trPr>
        <w:tc>
          <w:tcPr>
            <w:tcW w:w="9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Availability</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 1.25% Senior Notes (EUR) due 2027 (the "Euro Notes"),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Senior Credit Facility. The Euro Notes were issued by Wabtec Transportation Netherlands B.V. and are fully and unconditionally guaranteed by the Company.</w:t>
      </w:r>
    </w:p>
    <w:p>
      <w:pPr>
        <w:spacing w:after="0" w:line="7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As of March 31, 2022,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as of March 31, 2022 the number of shares available for future grants under the 2011 Plan was 6.1 million shares, which includes remaining shares available under the 2000 Plan. The Company also maintains a 1995 Non-Employee Directors’ Fee and Stock Option Plan as amended and restated (“the Directors Plan”).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Stock-based compensation expense was $11 million and $8 million for the three months ended March 31, 2022 and 2021, respectively. At March 31, 2022, unamortized compensation expense related to stock options, non-vested restricted shares and incentive stock units expected to vest totaled $71 million.</w:t>
      </w:r>
    </w:p>
    <w:p>
      <w:pPr>
        <w:spacing w:after="0" w:line="64" w:lineRule="exact"/>
        <w:rPr>
          <w:sz w:val="20"/>
          <w:szCs w:val="20"/>
          <w:color w:val="auto"/>
        </w:rPr>
      </w:pPr>
    </w:p>
    <w:p>
      <w:pPr>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options are granted to eligible employees at an exercise price equivalent to the stock's fair market value, which is the average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high and low Wabtec stock price on the date of grant. New options granted become exercisable over a three-year vesting period. Options expire 10 years from the date of grant. No stock options were granted during the three months ended March 31, 2022.</w:t>
      </w:r>
    </w:p>
    <w:p>
      <w:pPr>
        <w:spacing w:after="0" w:line="67" w:lineRule="exact"/>
        <w:rPr>
          <w:sz w:val="20"/>
          <w:szCs w:val="20"/>
          <w:color w:val="auto"/>
        </w:rPr>
      </w:pPr>
    </w:p>
    <w:p>
      <w:pPr>
        <w:ind w:right="4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and related information for the 2011 Plan, the 2000 Plan and the Directors Plan for the three months ended March 31, 2022:</w:t>
      </w: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3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left="424"/>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4820" w:type="dxa"/>
            <w:vAlign w:val="bottom"/>
          </w:tcPr>
          <w:p>
            <w:pPr>
              <w:spacing w:after="0"/>
              <w:rPr>
                <w:sz w:val="6"/>
                <w:szCs w:val="6"/>
                <w:color w:val="auto"/>
              </w:rPr>
            </w:pPr>
          </w:p>
        </w:tc>
        <w:tc>
          <w:tcPr>
            <w:tcW w:w="1520" w:type="dxa"/>
            <w:vAlign w:val="bottom"/>
            <w:vMerge w:val="restart"/>
          </w:tcPr>
          <w:p>
            <w:pPr>
              <w:jc w:val="right"/>
              <w:ind w:right="433"/>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vMerge w:val="restart"/>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restart"/>
          </w:tcPr>
          <w:p>
            <w:pPr>
              <w:jc w:val="center"/>
              <w:ind w:left="404"/>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20"/>
        </w:trPr>
        <w:tc>
          <w:tcPr>
            <w:tcW w:w="48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75.40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(47,964)</w:t>
            </w:r>
          </w:p>
        </w:tc>
        <w:tc>
          <w:tcPr>
            <w:tcW w:w="1140" w:type="dxa"/>
            <w:vAlign w:val="bottom"/>
            <w:gridSpan w:val="2"/>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68.54</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140" w:type="dxa"/>
            <w:vAlign w:val="bottom"/>
            <w:gridSpan w:val="2"/>
            <w:shd w:val="clear" w:color="auto" w:fill="CCEEFF"/>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75.85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476,978</w:t>
            </w:r>
          </w:p>
        </w:tc>
        <w:tc>
          <w:tcPr>
            <w:tcW w:w="1140" w:type="dxa"/>
            <w:vAlign w:val="bottom"/>
            <w:gridSpan w:val="2"/>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75.47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365,205</w:t>
            </w:r>
          </w:p>
        </w:tc>
        <w:tc>
          <w:tcPr>
            <w:tcW w:w="1140" w:type="dxa"/>
            <w:vAlign w:val="bottom"/>
            <w:gridSpan w:val="2"/>
            <w:shd w:val="clear" w:color="auto" w:fill="CCEEFF"/>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74.31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firstLine="48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Units and Incentive Stock </w:t>
      </w:r>
      <w:r>
        <w:rPr>
          <w:rFonts w:ascii="Times New Roman" w:cs="Times New Roman" w:eastAsia="Times New Roman" w:hAnsi="Times New Roman"/>
          <w:sz w:val="17"/>
          <w:szCs w:val="17"/>
          <w:color w:val="auto"/>
        </w:rPr>
        <w:t>As provided for under the 2011 Plan and 2000 Plan, eligible employees are granted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that generally vests over three years from the date of grant. Under the Directors Plan, restricted stock awards vest one year from the date of grant.</w:t>
      </w:r>
    </w:p>
    <w:p>
      <w:pPr>
        <w:spacing w:after="0" w:line="28"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March 31, 2022, the Company estimates that it will achieve 121%, 117% and 100% for the incentive stock awards expected to vest based on performance for the three-year periods ending December 31, 2022, 2023, and 2024, respectively, and has recorded incentive compensation expense accordingly. If the estimate of the number of these incentive stock units expected to vest changes in a future accounting period, cumulative compensation expense could increase or decrease resulting in recognition in the current period for the elapsed portion of the vesting period and would change future expense for the remaining vesting period.</w:t>
      </w:r>
    </w:p>
    <w:p>
      <w:pPr>
        <w:spacing w:after="0" w:line="8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restricted stock activity and incentive stock units' activity for the three months ended March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6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Units</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607,101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302,085</w:t>
            </w:r>
          </w:p>
        </w:tc>
        <w:tc>
          <w:tcPr>
            <w:tcW w:w="100" w:type="dxa"/>
            <w:vAlign w:val="bottom"/>
          </w:tcPr>
          <w:p>
            <w:pPr>
              <w:spacing w:after="0"/>
              <w:rPr>
                <w:sz w:val="19"/>
                <w:szCs w:val="19"/>
                <w:color w:val="auto"/>
              </w:rPr>
            </w:pPr>
          </w:p>
        </w:tc>
        <w:tc>
          <w:tcPr>
            <w:tcW w:w="15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175,620</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(193,736)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(43,039)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(16,606)</w:t>
            </w:r>
          </w:p>
        </w:tc>
        <w:tc>
          <w:tcPr>
            <w:tcW w:w="32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723,076</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overall effective tax rate of 25.1% for the three months ended March 31, 2022 differs from the U.S. Federal statutory rate of 21.0% primarily due to the impact of state and foreign taxes.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for Net income attributable to Wabtec shareholders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8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Assumed conversion of dilutive stock-based compensation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Wabtec shareholders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80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Approximately 0.3 million outstanding shares of stock options for the three months ended March 31, 2021 were not included in the computation of quarterly diluted earnings per share because their exercise price exceeded the average market price of the Company's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changes in the Company’s product warranty reserve for the three months ended March 31, 2022 and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claim payments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impact/other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 AND DERIVATIVE INSTRUMENTS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8"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Valuation Hierarchy. </w:t>
      </w:r>
      <w:r>
        <w:rPr>
          <w:rFonts w:ascii="Times New Roman" w:cs="Times New Roman" w:eastAsia="Times New Roman" w:hAnsi="Times New Roman"/>
          <w:sz w:val="18"/>
          <w:szCs w:val="18"/>
          <w:color w:val="auto"/>
        </w:rPr>
        <w:t>ASC 820 establishes a valuation hierarchy for disclosure of the inputs to valuation used to measure fair value. This hierarchy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and,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7" w:name="page18"/>
    <w:bookmarkEnd w:id="17"/>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March 31, 2022 and December 31, 2021. The Company’s defined benefit pension plan assets consist primarily of equity security funds, debt security funds, insurance contracts,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At March 31, 2022 and December 31, 2021, $110 million was classified as "Other accrued liabilities" on the Company's Consolidated Balance Sheets and $142 million and $141 million, respectively, was included within long-term liabilities classified as "Contingent consideration" on the Company's Consolidated Balance Sheets. The fair value approximates the carrying value at March 31, 2022 and December 31, 2021.</w:t>
      </w:r>
    </w:p>
    <w:p>
      <w:pPr>
        <w:spacing w:after="0" w:line="80"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Hedging Activities </w:t>
      </w:r>
      <w:r>
        <w:rPr>
          <w:rFonts w:ascii="Times New Roman" w:cs="Times New Roman" w:eastAsia="Times New Roman" w:hAnsi="Times New Roman"/>
          <w:sz w:val="18"/>
          <w:szCs w:val="18"/>
          <w:color w:val="auto"/>
        </w:rPr>
        <w:t>In the normal course of business, the Company is exposed to market risk related to interest rates, commodity prices and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160" w:firstLine="486"/>
        <w:spacing w:after="0" w:line="277"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months ended March 31, 2022 and 2021, the amounts reclassified into income were not material.</w:t>
      </w:r>
    </w:p>
    <w:p>
      <w:pPr>
        <w:spacing w:after="0" w:line="60"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8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loss related to these contracts was $1 million and $2 million for the three months ended March 31, 2022 and 2021, respectively. These contracts typically mature within one year.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8" w:name="page19"/>
    <w:bookmarkEnd w:id="18"/>
    <w:p>
      <w:pPr>
        <w:ind w:right="420"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gross notional amounts and fair values of the designated and non-designated hedges discussed in the above sections as of March 31, 2022, which are included in "Other current assets" and "Other accrued liabilities" on the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8"/>
                <w:szCs w:val="18"/>
                <w:color w:val="auto"/>
              </w:rPr>
            </w:pPr>
          </w:p>
        </w:tc>
        <w:tc>
          <w:tcPr>
            <w:tcW w:w="292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Gross Notional Amount</w:t>
            </w:r>
          </w:p>
        </w:tc>
      </w:tr>
      <w:tr>
        <w:trPr>
          <w:trHeight w:val="162"/>
        </w:trPr>
        <w:tc>
          <w:tcPr>
            <w:tcW w:w="20" w:type="dxa"/>
            <w:vAlign w:val="bottom"/>
          </w:tcPr>
          <w:p>
            <w:pPr>
              <w:spacing w:after="0"/>
              <w:rPr>
                <w:sz w:val="14"/>
                <w:szCs w:val="14"/>
                <w:color w:val="auto"/>
              </w:rPr>
            </w:pPr>
          </w:p>
        </w:tc>
        <w:tc>
          <w:tcPr>
            <w:tcW w:w="3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6"/>
                <w:szCs w:val="16"/>
                <w:b w:val="1"/>
                <w:bCs w:val="1"/>
                <w:color w:val="auto"/>
              </w:rPr>
              <w:t>Level</w:t>
            </w: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Non-Designated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6"/>
                <w:szCs w:val="16"/>
                <w:b w:val="1"/>
                <w:bCs w:val="1"/>
                <w:color w:val="auto"/>
              </w:rPr>
              <w:t>Non-Designated</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firstLine="486"/>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gross notional amounts and fair values of the designated and non-designated hedges discussed in the above sections as of December 31, 2021, which are included in "Other current assets" and "Other accrued liabilities" on the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8"/>
                <w:szCs w:val="18"/>
                <w:color w:val="auto"/>
              </w:rPr>
            </w:pPr>
          </w:p>
        </w:tc>
        <w:tc>
          <w:tcPr>
            <w:tcW w:w="290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Gross Notional Amount</w:t>
            </w:r>
          </w:p>
        </w:tc>
      </w:tr>
      <w:tr>
        <w:trPr>
          <w:trHeight w:val="161"/>
        </w:trPr>
        <w:tc>
          <w:tcPr>
            <w:tcW w:w="20" w:type="dxa"/>
            <w:vAlign w:val="bottom"/>
          </w:tcPr>
          <w:p>
            <w:pPr>
              <w:spacing w:after="0"/>
              <w:rPr>
                <w:sz w:val="14"/>
                <w:szCs w:val="14"/>
                <w:color w:val="auto"/>
              </w:rPr>
            </w:pPr>
          </w:p>
        </w:tc>
        <w:tc>
          <w:tcPr>
            <w:tcW w:w="3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Level</w:t>
            </w: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Non-Designated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6"/>
                <w:szCs w:val="16"/>
                <w:b w:val="1"/>
                <w:bCs w:val="1"/>
                <w:color w:val="auto"/>
              </w:rPr>
              <w:t>Designated</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6"/>
                <w:szCs w:val="16"/>
                <w:b w:val="1"/>
                <w:bCs w:val="1"/>
                <w:color w:val="auto"/>
              </w:rPr>
              <w:t>Non-Designated</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ind w:right="260" w:firstLine="486"/>
        <w:spacing w:after="0" w:line="273" w:lineRule="auto"/>
        <w:rPr>
          <w:sz w:val="20"/>
          <w:szCs w:val="20"/>
          <w:color w:val="auto"/>
        </w:rPr>
      </w:pPr>
      <w:r>
        <w:rPr>
          <w:rFonts w:ascii="Times New Roman" w:cs="Times New Roman" w:eastAsia="Times New Roman" w:hAnsi="Times New Roman"/>
          <w:sz w:val="18"/>
          <w:szCs w:val="18"/>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w:t>
      </w:r>
    </w:p>
    <w:p>
      <w:pPr>
        <w:spacing w:after="0" w:line="2" w:lineRule="exact"/>
        <w:rPr>
          <w:sz w:val="20"/>
          <w:szCs w:val="20"/>
          <w:color w:val="auto"/>
        </w:rPr>
      </w:pPr>
    </w:p>
    <w:p>
      <w:pPr>
        <w:ind w:right="480"/>
        <w:spacing w:after="0" w:line="297" w:lineRule="auto"/>
        <w:rPr>
          <w:sz w:val="20"/>
          <w:szCs w:val="20"/>
          <w:color w:val="auto"/>
        </w:rPr>
      </w:pPr>
      <w:r>
        <w:rPr>
          <w:rFonts w:ascii="Times New Roman" w:cs="Times New Roman" w:eastAsia="Times New Roman" w:hAnsi="Times New Roman"/>
          <w:sz w:val="18"/>
          <w:szCs w:val="18"/>
          <w:color w:val="auto"/>
        </w:rPr>
        <w:t>activities that would put principal capital at risk. For the three months ended March 31, 2022 and 2021 the amounts reclassified into income were not material.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119"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Company may use commodity forward contracts and futures to mitigate its exposure to commodity price changes and to reduce its overall cost of manufacturing. For the three months ended March 31, 2022 and 2021 the amounts recognized as income or expense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8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t>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notices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complaint generally supports Xorail’s position and does not name or implicate Xorail. DTC's claim against RTD proceeded to trial on September 21, 2020; the trial has been completed, included post-trial submission.</w:t>
      </w:r>
    </w:p>
    <w:p>
      <w:pPr>
        <w:spacing w:after="0" w:line="7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w:t>
      </w:r>
    </w:p>
    <w:p>
      <w:pPr>
        <w:spacing w:after="0" w:line="50"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Freight Segment </w:t>
      </w:r>
      <w:r>
        <w:rPr>
          <w:rFonts w:ascii="Times New Roman" w:cs="Times New Roman" w:eastAsia="Times New Roman" w:hAnsi="Times New Roman"/>
          <w:sz w:val="18"/>
          <w:szCs w:val="18"/>
          <w:color w:val="auto"/>
        </w:rPr>
        <w:t>primarily builds new locomotives, manufactures and services components for new and existing freight cars and locomotives,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 We refer to sales of both goods, such as spare parts and equipment upgrades, and related services, such as monitoring, maintenance and repairs, as sales in our Services product line.</w:t>
      </w:r>
    </w:p>
    <w:p>
      <w:pPr>
        <w:spacing w:after="0" w:line="71"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Transit Segment </w:t>
      </w:r>
      <w:r>
        <w:rPr>
          <w:rFonts w:ascii="Times New Roman" w:cs="Times New Roman" w:eastAsia="Times New Roman" w:hAnsi="Times New Roman"/>
          <w:sz w:val="18"/>
          <w:szCs w:val="18"/>
          <w:color w:val="auto"/>
        </w:rPr>
        <w:t>primarily manufactures and services components for new and existing passenger transit vehicles, typically regional trains, high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72"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Segment financial information for the three months ended March 31, 2022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Transit</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Activities and</w:t>
            </w:r>
          </w:p>
        </w:tc>
        <w:tc>
          <w:tcPr>
            <w:tcW w:w="360" w:type="dxa"/>
            <w:vAlign w:val="bottom"/>
          </w:tcPr>
          <w:p>
            <w:pPr>
              <w:spacing w:after="0"/>
              <w:rPr>
                <w:sz w:val="14"/>
                <w:szCs w:val="14"/>
                <w:color w:val="auto"/>
              </w:rPr>
            </w:pPr>
          </w:p>
        </w:tc>
        <w:tc>
          <w:tcPr>
            <w:tcW w:w="1180" w:type="dxa"/>
            <w:vAlign w:val="bottom"/>
            <w:vMerge w:val="restart"/>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0" w:type="dxa"/>
            <w:vAlign w:val="bottom"/>
          </w:tcPr>
          <w:p>
            <w:pPr>
              <w:spacing w:after="0"/>
              <w:rPr>
                <w:sz w:val="14"/>
                <w:szCs w:val="14"/>
                <w:color w:val="auto"/>
              </w:rPr>
            </w:pPr>
          </w:p>
        </w:tc>
        <w:tc>
          <w:tcPr>
            <w:tcW w:w="144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b w:val="1"/>
                <w:bCs w:val="1"/>
                <w:color w:val="auto"/>
              </w:rPr>
              <w:t>Elimination</w:t>
            </w: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913"/>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873"/>
              <w:spacing w:after="0" w:line="203" w:lineRule="exact"/>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873"/>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center"/>
              <w:ind w:left="873"/>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ind w:left="500"/>
        <w:spacing w:after="0"/>
        <w:rPr>
          <w:sz w:val="20"/>
          <w:szCs w:val="20"/>
          <w:color w:val="auto"/>
        </w:rPr>
      </w:pPr>
      <w:r>
        <w:rPr>
          <w:rFonts w:ascii="Times New Roman" w:cs="Times New Roman" w:eastAsia="Times New Roman" w:hAnsi="Times New Roman"/>
          <w:sz w:val="18"/>
          <w:szCs w:val="18"/>
          <w:color w:val="auto"/>
        </w:rPr>
        <w:t>Segment financial information for the three months ended March 31, 2021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Freight</w:t>
            </w:r>
          </w:p>
        </w:tc>
        <w:tc>
          <w:tcPr>
            <w:tcW w:w="300" w:type="dxa"/>
            <w:vAlign w:val="bottom"/>
          </w:tcPr>
          <w:p>
            <w:pPr>
              <w:spacing w:after="0"/>
              <w:rPr>
                <w:sz w:val="16"/>
                <w:szCs w:val="16"/>
                <w:color w:val="auto"/>
              </w:rPr>
            </w:pP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Transit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Activities and</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300" w:type="dxa"/>
            <w:vAlign w:val="bottom"/>
          </w:tcPr>
          <w:p>
            <w:pPr>
              <w:spacing w:after="0"/>
              <w:rPr>
                <w:sz w:val="14"/>
                <w:szCs w:val="14"/>
                <w:color w:val="auto"/>
              </w:rPr>
            </w:pPr>
          </w:p>
        </w:tc>
        <w:tc>
          <w:tcPr>
            <w:tcW w:w="13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6"/>
                <w:szCs w:val="16"/>
                <w:b w:val="1"/>
                <w:bCs w:val="1"/>
                <w:color w:val="auto"/>
              </w:rPr>
              <w:t>Segment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6"/>
                <w:szCs w:val="16"/>
                <w:b w:val="1"/>
                <w:bCs w:val="1"/>
                <w:color w:val="auto"/>
              </w:rPr>
              <w:t>Elimination</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to external customers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sales/(elimination)</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7"/>
                <w:szCs w:val="17"/>
                <w:color w:val="auto"/>
              </w:rPr>
            </w:pPr>
          </w:p>
        </w:tc>
        <w:tc>
          <w:tcPr>
            <w:tcW w:w="220" w:type="dxa"/>
            <w:vAlign w:val="bottom"/>
            <w:gridSpan w:val="3"/>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980"/>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Sales to external customers by product line are as follows:</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left="79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 Segment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Components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Digital Electronics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Freight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Transit Segment</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Aftermarket</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Transit Segment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OTHER INCOME, NET</w:t>
            </w: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8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components of Other income, net are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ind w:left="813"/>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ind w:left="420"/>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income</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pension assets/amortization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miscellaneous expense, net</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4"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2021, filed with the Securities and Exchange Commission on February 17,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Wabtec is one of the world’s largest providers of value-added, technology-based locomotives,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2022, approximately 60% of the Company’s net sales came from customers outside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Update</w:t>
      </w:r>
    </w:p>
    <w:p>
      <w:pPr>
        <w:spacing w:after="0" w:line="11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unfavorable global economic conditions driven by the impacts of the COVID-19 pandemic and supply chain disruptions, and further intensified by the Russian invasion of Ukraine, continue to have an adverse impact on our operations and business results. Impacts for the three months ended March 31, 2022 and 2021, are discussed in more detail in the Results of Operations section below. Supply chain disruptions and labor availability have caused component, raw material and chip shortages resulting in an adverse effect on the timing of the Company’s revenue generation. Additionally, broad-based inflation, escalation of diesel, metals and other commodity costs, transportation and logistics costs, and labor costs all continue to impact our results.</w:t>
      </w:r>
    </w:p>
    <w:p>
      <w:pPr>
        <w:spacing w:after="0" w:line="7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Russian invasion of Ukraine and the resultant sanctions related to Russia and Belarus have further impacted our supply and distribution channels and caused significant price inflation which had, and are expected to continue to have, adverse effects on Wabtec’s business results. For the year ended December 31, 2021, Wabtec had earnings of approximately $40 million attributable to customers in Russia, while earnings from customers in Ukraine and Belarus were not significant. As of March 31, 2022, Wabtec had approximately $16 million of assets related to Russian operations, which were primarily cash and inventory. Management has determined, based on information currently available, that these assets are expected to be recoverable and therefore no impairment was recorded in the first quarter of 2022. This will continue to be monitored and may result in a future impairment charge based on changes in the situation. Management determined that inventory related to operations in Ukraine were not expected to be recoverable and were written off resulting in an insignificant charge during the first quarter of 2022. Remaining assets related to Ukraine and those in Belarus were not significant.</w:t>
      </w:r>
    </w:p>
    <w:p>
      <w:pPr>
        <w:spacing w:after="0" w:line="8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has implemented various mitigating actions intended to lessen the impact of these unfavorable economic conditions.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where possible. The Company expects to continue to incur increased costs in future quarters. Management will continue to monitor the evolving situations but, as a result of the numerous uncertainties surrounding the COVID-19 pandemic, recent supply chain disruptions and the Russian invasion of Ukraine, we are unable to specifically predict the extent and length of time that our business may be negatively impacted. We also face the possibility that additional actions may be taken by governmental authorities and private industry, or government policies may become more restrictive in response to the COVID-19 pandemic, especially if COVID-19 transmission rates increase in certain areas as is currently happening in China. Changes in trade regulations and sanctions including retaliatory measures, advancements or changes in the conflict in Ukraine, the impact of variants of COVID-19, actions taken in response to COVID-19 including curtailing operations of our plants, or significant adverse impacts to our customers, suppliers, distribution channels and operating locations, could result in material adverse impacts to the business, including impairment charges from changes in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Integration 2.0</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quarter of 2022, Wabtec announced a three-year strategic review expected to target incremental run rate synergies estimated to be between $75 million and $90 million by 2025. The scope of the review will include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in the future to execute on decisions resulting from the review, currently estimated to be approximately $135 million to $165 million. The estimate could change based on the specific programs approved or changes to the scope of the review.</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COMPARED TO FIRST QUARTER 2021</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the periods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532"/>
              <w:spacing w:after="0" w:line="157"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31"/>
              <w:spacing w:after="0" w:line="157"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Sales of goods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services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20" w:type="dxa"/>
            <w:vAlign w:val="bottom"/>
          </w:tcPr>
          <w:p>
            <w:pPr>
              <w:spacing w:after="0"/>
              <w:rPr>
                <w:sz w:val="19"/>
                <w:szCs w:val="19"/>
                <w:color w:val="auto"/>
              </w:rPr>
            </w:pPr>
          </w:p>
        </w:tc>
        <w:tc>
          <w:tcPr>
            <w:tcW w:w="64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Cost of goods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20" w:type="dxa"/>
            <w:vAlign w:val="bottom"/>
          </w:tcPr>
          <w:p>
            <w:pPr>
              <w:spacing w:after="0"/>
              <w:rPr>
                <w:sz w:val="19"/>
                <w:szCs w:val="19"/>
                <w:color w:val="auto"/>
              </w:rPr>
            </w:pPr>
          </w:p>
        </w:tc>
        <w:tc>
          <w:tcPr>
            <w:tcW w:w="6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Engineering expenses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and expenses: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11220" w:type="dxa"/>
            <w:vAlign w:val="bottom"/>
            <w:gridSpan w:val="13"/>
          </w:tcPr>
          <w:p>
            <w:pPr>
              <w:ind w:left="480"/>
              <w:spacing w:after="0"/>
              <w:rPr>
                <w:sz w:val="20"/>
                <w:szCs w:val="20"/>
                <w:color w:val="auto"/>
              </w:rPr>
            </w:pPr>
            <w:r>
              <w:rPr>
                <w:rFonts w:ascii="Times New Roman" w:cs="Times New Roman" w:eastAsia="Times New Roman" w:hAnsi="Times New Roman"/>
                <w:sz w:val="18"/>
                <w:szCs w:val="18"/>
                <w:color w:val="auto"/>
              </w:rPr>
              <w:t>The following table shows the major components of the change in sales in the three months ended March 31, 2022 from the three months ended</w:t>
            </w:r>
          </w:p>
        </w:tc>
      </w:tr>
      <w:tr>
        <w:trPr>
          <w:trHeight w:val="234"/>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5"/>
                <w:szCs w:val="15"/>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180" w:type="dxa"/>
            <w:vAlign w:val="bottom"/>
          </w:tcPr>
          <w:p>
            <w:pPr>
              <w:spacing w:after="0"/>
              <w:rPr>
                <w:sz w:val="15"/>
                <w:szCs w:val="15"/>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440" w:type="dxa"/>
            <w:vAlign w:val="bottom"/>
          </w:tcPr>
          <w:p>
            <w:pPr>
              <w:spacing w:after="0"/>
              <w:rPr>
                <w:sz w:val="15"/>
                <w:szCs w:val="15"/>
                <w:color w:val="auto"/>
              </w:rPr>
            </w:pPr>
          </w:p>
        </w:tc>
        <w:tc>
          <w:tcPr>
            <w:tcW w:w="10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Three Months of 2021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30"/>
        </w:trPr>
        <w:tc>
          <w:tcPr>
            <w:tcW w:w="20" w:type="dxa"/>
            <w:vAlign w:val="bottom"/>
          </w:tcPr>
          <w:p>
            <w:pPr>
              <w:spacing w:after="0"/>
              <w:rPr>
                <w:sz w:val="19"/>
                <w:szCs w:val="19"/>
                <w:color w:val="auto"/>
              </w:rPr>
            </w:pPr>
          </w:p>
        </w:tc>
        <w:tc>
          <w:tcPr>
            <w:tcW w:w="6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Organic</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Three Months of 2022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0"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color w:val="auto"/>
        </w:rPr>
        <w:t>Net sales for the three months ended March 31, 2022 increased by $97 million, or 5.3%, to $1.93 billion compared to the same period in 2021. Freight Segment organic sales increased $104 million driven primarily by Services sales from higher locomotive modernizations and a decrease in locomotive parkings. In addition, Components sales increased due to a higher railcar build and lower railcar parkings and Equipment sales increased due to higher volumes for mining equipment, partially offset by lower sales in Digital Electronics due primarily to chip shortages caused by continued global supply chain disruptions. Transit Segment organic sales decreased $10 million primarily due to the prior year exit of low margin contracts in the United Kingdom and supply chain issues caused by the COVID-19 pandemic, particularly in China, despite higher demand for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p>
      <w:pPr>
        <w:ind w:right="420"/>
        <w:spacing w:after="0" w:line="266" w:lineRule="auto"/>
        <w:rPr>
          <w:sz w:val="20"/>
          <w:szCs w:val="20"/>
          <w:color w:val="auto"/>
        </w:rPr>
      </w:pPr>
      <w:r>
        <w:rPr>
          <w:rFonts w:ascii="Times New Roman" w:cs="Times New Roman" w:eastAsia="Times New Roman" w:hAnsi="Times New Roman"/>
          <w:sz w:val="18"/>
          <w:szCs w:val="18"/>
          <w:color w:val="auto"/>
        </w:rPr>
        <w:t>Original Equipment Manufacturing driven by an increase in government transportation spending. Sales from acquisitions contributed $40 million and unfavorable exchange rates, primarily in the Transit Segment, decreased sales by $37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Cost of sales for the three months ended March 31, 2022 increased by $36 million, or 2.8%, to $1.33 billion compared to the same period in 2021. The increase is primarily due to the increase in sales and increased raw materials, commodity, labor and shipping costs. Cost of sales as a percentage of sales was 69.1% and 70.8% for the three months ended March 31, 2022 and 2021, respectively, representing a 1.7 percentage point decrease. The decrease as a percentage of sales can be attributed to favorable product mix, higher pricing, improved productivity, synergy savings and structured cost actions taken in prior years, partially offset by the increase in the costs described above. Cost of sales for the three months ended March 31, 2022 and 2021 included $5 million and $4 million, respectively, of restructuring costs, primarily for headcount actions and footprint rationalization.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Total operating expenses increased $14 million, or 4.1%, for the three months ended March 31, 2022 compared to the same period in 2021. Operating expenses as a percentage of sales was 18.4% and 18.7% for the three months ended March 31, 2022 and 2021, respectively. Selling, general and administrative expenses ("SG&amp;A") increased $4 million for the three months ended March 31, 2022 compared to the same period in 2021. The increase is primarily due to higher technology costs and incremental expense from the acquisition of Nordco, partially offset by decreased restructuring and transaction costs. Restructuring and transaction costs included in SG&amp;A were $2 million and $11 million for the three months ended March 31, 2022 and 2021, respectively, and were primarily for headcount actions and footprint rationalization programs. Engineering expense increased $7 million primarily due to investments in new technology and incremental expense from the acquisition of Nordco. Amortization expense increased $3 million due to the acquisition of Nordco.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decreased $5 million for the three months ended March 31, 2022 compared to the same period in 2021 attributable to lower overall average debt balances and lower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net, was $4 million of income for the three months ended March 31, 2022 compared to $14 million of income in the same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variance is primarily driven by lower foreign exchange gains and lower equity income in the current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25.1% and 27.5% for the three months ended March 31, 2022 and 2021, respectively. The difference in the quarterly effective tax rate is primarily the result of withholding tax expense on intercompany dividends incurred during the three months ended March 31, 2021 that did not recur in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Freight Segment for the periods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3"/>
                <w:szCs w:val="13"/>
                <w:color w:val="auto"/>
              </w:rPr>
            </w:pPr>
          </w:p>
        </w:tc>
        <w:tc>
          <w:tcPr>
            <w:tcW w:w="1260" w:type="dxa"/>
            <w:vAlign w:val="bottom"/>
          </w:tcPr>
          <w:p>
            <w:pPr>
              <w:jc w:val="right"/>
              <w:ind w:right="572"/>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of goods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1,183</w:t>
            </w: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goods</w:t>
            </w:r>
          </w:p>
        </w:tc>
        <w:tc>
          <w:tcPr>
            <w:tcW w:w="38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(827)</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30"/>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356</w:t>
            </w:r>
          </w:p>
        </w:tc>
      </w:tr>
      <w:tr>
        <w:trPr>
          <w:trHeight w:val="108"/>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(214)</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1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30"/>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486"/>
        <w:spacing w:after="0" w:line="269" w:lineRule="auto"/>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Freight Segment in the first quarter of 2022 from the first quarter of 2021:</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2021 Net Sales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in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Components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Digital Electronics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2022 Net Sales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Freight Segment sales increased by $139 million or 11.7%, to $1.32 billion, compared to the same period in 2021. Services sales increased from higher locomotive modernizations and a decrease in locomotive parkings, Components sales increased due to a higher railcar build and lower railcar parkings and Equipment sales increased due to higher volumes for mining equipment, partially offset by lower sales in Digital Electronics caused by continued global supply chain disruptions, particularly chip shortages. Sales from the Nordco acquisition contributed $39 million and the effects of unfavorable foreign exchange rates decreased sales by $4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Freight Segment cost of sales for the three months ended March 31, 2022 increased by $71 million, or 8.5%, to $898 million, compared to the same period in 2021. The increase is primarily due to the increase in sales and increased raw materials, commodity, transportation and labor costs. Cost of sales as a percentage of sales was 67.9% and 69.9% for the three months ended March 31, 2022 and 2021, respectively, representing a 2.0 percentage point decrease which benefited from favorable product mix, increased pricing, improved productivity and synergy savings. Cost of sales for the three months ended March 31, 2022 and 2021 includes $2 million and $1 million, respectively, of restructuring costs, primarily for headcount actions.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Freight Segment operating expenses increased $21 million, or 9.8%, for the three months ended March 31, 2022 compared to the same period in 2021. SG&amp;A increased $10 million for the three months ended March 31, 2022 compared to the same period in 2021. The increase is primarily due to incremental expense from the acquisition of Nordco and higher technology costs, partially offset by a decrease in restructuring and transaction costs. There were no restructuring and transaction costs included in SG&amp;A for the three months ended March 31, 2022 compared to $6 million for the same period in 2021 primarily for headcount actions as part of the integration of GE Transportation. Engineering expense increased $8 million primarily due to investments in new technology and incremental expense from the acquisition of Nordco. Amortization expense increased $3 million due to the acquisition of Nordco.</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5"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Consolidated Statements of Operations for our Transit Segment for the periods indicated: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87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3"/>
                <w:szCs w:val="13"/>
                <w:color w:val="auto"/>
              </w:rPr>
            </w:pPr>
          </w:p>
        </w:tc>
        <w:tc>
          <w:tcPr>
            <w:tcW w:w="126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(469)</w:t>
            </w:r>
          </w:p>
        </w:tc>
      </w:tr>
      <w:tr>
        <w:trPr>
          <w:trHeight w:val="223"/>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(108)</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10.7 %</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10.8 %</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69" w:lineRule="auto"/>
        <w:rPr>
          <w:sz w:val="20"/>
          <w:szCs w:val="20"/>
          <w:color w:val="auto"/>
        </w:rPr>
      </w:pPr>
      <w:r>
        <w:rPr>
          <w:rFonts w:ascii="Times New Roman" w:cs="Times New Roman" w:eastAsia="Times New Roman" w:hAnsi="Times New Roman"/>
          <w:sz w:val="18"/>
          <w:szCs w:val="18"/>
          <w:color w:val="auto"/>
        </w:rPr>
        <w:t>The following table shows the major components of the change in net sales for the Transit Segment in the first quarter of 2022 from the first quarter of 2021:</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9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 2021 Net Sales</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Acquisitions</w:t>
            </w:r>
          </w:p>
        </w:tc>
        <w:tc>
          <w:tcPr>
            <w:tcW w:w="6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20" w:type="dxa"/>
            <w:vAlign w:val="bottom"/>
          </w:tcPr>
          <w:p>
            <w:pPr>
              <w:spacing w:after="0"/>
              <w:rPr>
                <w:sz w:val="19"/>
                <w:szCs w:val="19"/>
                <w:color w:val="auto"/>
              </w:rPr>
            </w:pPr>
          </w:p>
        </w:tc>
        <w:tc>
          <w:tcPr>
            <w:tcW w:w="9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in Sales by Product Line:</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Original Equipment Manufacturing</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Aftermarket</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 2022 Net Sales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Transit Segment sales for the three months ended March 31, 2022 decreased by $42 million, or 6.5%, to $605 million compared to the same period in 2021, with foreign exchange rates being the primary driver of the decrease. Sales of Original Equipment Manufacturing increased due to higher demand and an increase in government transportation spending. This increase was more than offset by a decrease in Aftermarket sales from lower maintenance and overhaul driven by the prior year exit of low margin contracts in the United Kingdom, as well as supply chain issues caused by the COVID-19 pandemic resulting in an overall decrease in Transit segment organic sales of $10 million as compared to the same period in 2021.</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Transit Segment cost of sales for the three months ended March 31, 2022 decreased by $35 million, or 7.5%, to $434 million compared to the same period in 2021. The decrease is primarily due to the decrease in sales discussed above, partially offset by increased raw materials, commodity, transportation and labor costs. Cost of sales as a percentage of sales was 71.7% and 72.5% for the three months ended March 31, 2022 and 2021, respectively, representing a 0.8 percentage point decrease which can be attributed to improved productivity, higher pricing, the exit of low margin business in the United Kingdom, and prior year structured cost actions taken through restructuring programs. Cost of sales for the three months ended March 31, 2022 and 2021 each included $3 million of restructuring costs, primarily for headcount actions in Europe and footprint rationalization in the UK,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21"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Transit Segment operating expenses decreased $2 million, or 1.9%, for the three months ended March 31, 2022 compared to the same period in 2021. SG&amp;A decreased $1 million for the three months ended March 31, 2022 compared to the same period in 2021 due to the decrease in sales and the effects of foreign exchange rates. SG&amp;A for the three months ended March 31, 2022 and 2021 includes $1 million of restructuring costs, respectively, primarily for headcount actions in Europe. Additionally, engineering and amortization expenses remained consistent year over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Liquidity is provided primarily by operating cash flow and borrowings under the Company’s Senior Notes and unsecured credit facility with a consortium of commercial banks. Additionally, the Company utilizes the revolving receivables program and supply chain financing program described below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4"/>
          </w:tcPr>
          <w:p>
            <w:pPr>
              <w:jc w:val="right"/>
              <w:ind w:right="752"/>
              <w:spacing w:after="0" w:line="171" w:lineRule="exact"/>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8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7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4"/>
        </w:trPr>
        <w:tc>
          <w:tcPr>
            <w:tcW w:w="20" w:type="dxa"/>
            <w:vAlign w:val="bottom"/>
          </w:tcPr>
          <w:p>
            <w:pPr>
              <w:spacing w:after="0"/>
              <w:rPr>
                <w:sz w:val="20"/>
                <w:szCs w:val="20"/>
                <w:color w:val="auto"/>
              </w:rPr>
            </w:pPr>
          </w:p>
        </w:tc>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29" w:lineRule="exact"/>
        <w:rPr>
          <w:sz w:val="20"/>
          <w:szCs w:val="20"/>
          <w:color w:val="auto"/>
        </w:rPr>
      </w:pPr>
    </w:p>
    <w:p>
      <w:pPr>
        <w:ind w:right="4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In the first three months of 2022, cash provided by operating activities was $161 million compared to cash provided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activities of $292 million in the first three months of 2021. Significant changes to the sources and (uses) of cash for the three month periods include the following:</w:t>
      </w:r>
    </w:p>
    <w:p>
      <w:pPr>
        <w:spacing w:after="0" w:line="6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attributable to higher Net income and other changes in the related statements of income;</w:t>
      </w:r>
    </w:p>
    <w:p>
      <w:pPr>
        <w:spacing w:after="0" w:line="11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from net changes in working capital primarily driven by: $84 million related to changes in receivables due to timing and volume of sales and the net change in the Revolving Receivables Program, and ($126) million unfavorable change in inventory primarily from inventory build-ups in response to supply chain challenges;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million from higher employee related benefit payments and $(16) million from changes in the timing of customer deposits;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of changes in other assets and liabilities, primarily from changes in contract assets and liabilities.</w:t>
      </w:r>
    </w:p>
    <w:p>
      <w:pPr>
        <w:spacing w:after="0" w:line="113" w:lineRule="exact"/>
        <w:rPr>
          <w:sz w:val="20"/>
          <w:szCs w:val="20"/>
          <w:color w:val="auto"/>
        </w:rPr>
      </w:pPr>
    </w:p>
    <w:p>
      <w:pPr>
        <w:ind w:right="1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In the first three months of 2022 and 2021, cash used for investing activities was $(18) million and $(422)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major components of the cash outflow in 2022 were $(20) million in additions to property, plant and equipment for investments in our facilities and manufacturing processes. This compares to $(27) million in property, plant, and equipment for additions in the first three months of 2021 and $(401) million in net cash paid for acquisitions during 2021. Additional information with respect to acquisitions is included in Note 3 of the “Notes to Condensed Consolidated Financial Statements” included in Part I, Item 1 of this report.</w:t>
      </w:r>
    </w:p>
    <w:p>
      <w:pPr>
        <w:spacing w:after="0" w:line="71"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In the first three months of 2022, cash used for financing activities was $(133) million which included $2,012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from debt, $(1,817) million in repayments of debt, $(296) million in stock repurchases and $(28) million of dividend payments. In the first three months of 2021, cash provided by financing activities was $8 million, which included $1,435 million in proceeds from debt, $(1,398) million in repayments of debt, $(1) million in stock repurchases and $(23) million of dividend payments.</w:t>
      </w:r>
    </w:p>
    <w:p>
      <w:pPr>
        <w:spacing w:after="0" w:line="7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held approximately $488 million of cash and cash equivalents. Of the $488 million, approximately $13 million was held within the United States and approximately $475 million was held outside of the United States, primarily in India, Europe, China, and Brazil. While repatriation of some cash held outside the United States may be restricted by local laws, most of the Company’s foreign cash could be repatriated to the United States net of any tax impacts.</w:t>
      </w:r>
    </w:p>
    <w:p>
      <w:pPr>
        <w:spacing w:after="0" w:line="7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with respect to credit facilities and long-term debt is included in Note 8 of the "Notes to Condensed Consolidated Financial Statements" included in Part I, Item 1 of this report.</w:t>
      </w:r>
    </w:p>
    <w:p>
      <w:pPr>
        <w:spacing w:after="0" w:line="54"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Receivables Program</w:t>
      </w:r>
    </w:p>
    <w:p>
      <w:pPr>
        <w:spacing w:after="0" w:line="11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utilizes a revolving agreement to transfer up to $200 million of certain receivables to a financial institution on a recurring basis in exchange for cash equal to the gross receivables transferred. As customers pay their balances, we transfer additional receivables into the program, which resulted in our gross receivables sold exceeding collections reinvested for the periods presented. Net cash proceeds from the revolving receivables program were $155 million and $93 million for the three months ended March 31, 2022 and 2021, respectively. Additional information with respect to the Revolving Receivables Program is included in Note 2 of "Notes to Consolidated Financial Statements" included in Part I, Item 1 of this report.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Supply Chain Financing Program</w:t>
      </w:r>
    </w:p>
    <w:p>
      <w:pPr>
        <w:spacing w:after="0" w:line="119" w:lineRule="exact"/>
        <w:rPr>
          <w:sz w:val="20"/>
          <w:szCs w:val="20"/>
          <w:color w:val="auto"/>
        </w:rPr>
      </w:pPr>
    </w:p>
    <w:p>
      <w:pPr>
        <w:ind w:right="380"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and does not receive an economic benefit from the financial institutions. The arrangements do not change the payable terms negotiated by the Company and our vendors and does not result in a change in the classification of amounts due as accounts payable in the consolidated balance sheets.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Guarantor Summarized Financial Information</w:t>
      </w:r>
    </w:p>
    <w:p>
      <w:pPr>
        <w:spacing w:after="0" w:line="11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obligations under the Company's US Notes and Senior Credit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72"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On January 1, 2022, the Company completed an internal legal entity reorganization that resulted in changes to the subsidiaries and operating divisions serving as guarantors under the Company's US Notes and Senior Credit Facility. As such, certain prior year amounts have been reclassified, where necessary, to conform to the current year presentation in line with the legal reorganization. Refer to Exhibit 22.1 for the updated list of guarantor subsidiaries.</w:t>
      </w:r>
    </w:p>
    <w:p>
      <w:pPr>
        <w:spacing w:after="0" w:line="72"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and the guarantor subsidiaries on a combined basis for the Company's US Notes and Senior Credit Facility.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w:t>
            </w: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Technologies Corp. and Guarantor</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50"/>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380" w:type="dxa"/>
            <w:vAlign w:val="bottom"/>
          </w:tcPr>
          <w:p>
            <w:pPr>
              <w:spacing w:after="0"/>
              <w:rPr>
                <w:sz w:val="13"/>
                <w:szCs w:val="13"/>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1"/>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34"/>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73"/>
        </w:trPr>
        <w:tc>
          <w:tcPr>
            <w:tcW w:w="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w:t>
            </w: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center"/>
              <w:ind w:left="14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60" w:type="dxa"/>
            <w:vAlign w:val="bottom"/>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0" w:type="dxa"/>
            <w:vAlign w:val="bottom"/>
            <w:gridSpan w:val="4"/>
          </w:tcPr>
          <w:p>
            <w:pPr>
              <w:jc w:val="center"/>
              <w:ind w:right="152"/>
              <w:spacing w:after="0" w:line="159" w:lineRule="exact"/>
              <w:rPr>
                <w:sz w:val="20"/>
                <w:szCs w:val="20"/>
                <w:color w:val="auto"/>
              </w:rPr>
            </w:pPr>
            <w:r>
              <w:rPr>
                <w:rFonts w:ascii="Times New Roman" w:cs="Times New Roman" w:eastAsia="Times New Roman" w:hAnsi="Times New Roman"/>
                <w:sz w:val="14"/>
                <w:szCs w:val="14"/>
                <w:b w:val="1"/>
                <w:bCs w:val="1"/>
                <w:color w:val="auto"/>
              </w:rPr>
              <w:t>Westinghouse Air Brake Technologies Corp. and Guarantor</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3"/>
          </w:tcPr>
          <w:p>
            <w:pPr>
              <w:jc w:val="center"/>
              <w:ind w:left="141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76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20" w:type="dxa"/>
            <w:vAlign w:val="bottom"/>
          </w:tcPr>
          <w:p>
            <w:pPr>
              <w:spacing w:after="0"/>
              <w:rPr>
                <w:sz w:val="14"/>
                <w:szCs w:val="14"/>
                <w:color w:val="auto"/>
              </w:rPr>
            </w:pP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8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0" w:name="page31"/>
    <w:bookmarkEnd w:id="30"/>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description of the transactions between the combined Westinghouse Air Brake Technologies Corp. and guarantor subsidiaries with non-guarantor subsidiaries.</w:t>
      </w: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Westinghouse Air Brake</w:t>
            </w: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Technologies Corp. and Guarantor</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50"/>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380" w:type="dxa"/>
            <w:vAlign w:val="bottom"/>
          </w:tcPr>
          <w:p>
            <w:pPr>
              <w:spacing w:after="0"/>
              <w:rPr>
                <w:sz w:val="13"/>
                <w:szCs w:val="13"/>
                <w:color w:val="auto"/>
              </w:rPr>
            </w:pP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1"/>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from non-guarantor subsidiaries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44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6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Westinghouse Air Brake</w:t>
            </w:r>
          </w:p>
        </w:tc>
      </w:tr>
      <w:tr>
        <w:trPr>
          <w:trHeight w:val="146"/>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1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Technologies Corp. and Guarantor</w:t>
            </w: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162"/>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4"/>
                <w:szCs w:val="14"/>
                <w:color w:val="auto"/>
              </w:rPr>
            </w:pPr>
          </w:p>
        </w:tc>
        <w:tc>
          <w:tcPr>
            <w:tcW w:w="196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from/(to) non-guarantor subsidiaries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Summarized Financial Information—Euro Notes</w:t>
      </w:r>
    </w:p>
    <w:p>
      <w:pPr>
        <w:spacing w:after="0" w:line="106" w:lineRule="exact"/>
        <w:rPr>
          <w:sz w:val="20"/>
          <w:szCs w:val="20"/>
          <w:color w:val="auto"/>
        </w:rPr>
      </w:pPr>
    </w:p>
    <w:p>
      <w:pPr>
        <w:ind w:right="140" w:firstLine="486"/>
        <w:spacing w:after="0" w:line="232" w:lineRule="auto"/>
        <w:rPr>
          <w:sz w:val="20"/>
          <w:szCs w:val="20"/>
          <w:color w:val="auto"/>
        </w:rPr>
      </w:pPr>
      <w:r>
        <w:rPr>
          <w:rFonts w:ascii="Times New Roman" w:cs="Times New Roman" w:eastAsia="Times New Roman" w:hAnsi="Times New Roman"/>
          <w:sz w:val="18"/>
          <w:szCs w:val="18"/>
          <w:color w:val="auto"/>
        </w:rPr>
        <w:t>The obligations under Wabtec Netherlands’ Euro Notes are fully and unconditionally guaranteed by the Company. Wabtec Netherlands is a wholly-owned, indirect subsidiary of the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77" w:lineRule="exact"/>
        <w:rPr>
          <w:sz w:val="20"/>
          <w:szCs w:val="20"/>
          <w:color w:val="auto"/>
        </w:rPr>
      </w:pPr>
    </w:p>
    <w:p>
      <w:pPr>
        <w:jc w:val="both"/>
        <w:ind w:right="100" w:firstLine="486"/>
        <w:spacing w:after="0" w:line="236" w:lineRule="auto"/>
        <w:rPr>
          <w:sz w:val="20"/>
          <w:szCs w:val="20"/>
          <w:color w:val="auto"/>
        </w:rPr>
      </w:pPr>
      <w:r>
        <w:rPr>
          <w:rFonts w:ascii="Times New Roman" w:cs="Times New Roman" w:eastAsia="Times New Roman" w:hAnsi="Times New Roman"/>
          <w:sz w:val="18"/>
          <w:szCs w:val="18"/>
          <w:color w:val="auto"/>
        </w:rPr>
        <w:t>On January 1, 2022, the Company completed an internal legal entity reorganization that resulted in changes to the operating divisions serving as the parent guarantor under the Company's Euro Notes. As such, certain prior year amounts have been reclassified, where necessary, to conform to the current year presentation in line with the legal reorganization.</w:t>
      </w:r>
    </w:p>
    <w:p>
      <w:pPr>
        <w:spacing w:after="0" w:line="78" w:lineRule="exact"/>
        <w:rPr>
          <w:sz w:val="20"/>
          <w:szCs w:val="20"/>
          <w:color w:val="auto"/>
        </w:rPr>
      </w:pPr>
    </w:p>
    <w:p>
      <w:pPr>
        <w:ind w:right="100" w:firstLine="486"/>
        <w:spacing w:after="0" w:line="23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Wabtec Netherlands, as the Issuer of the Euro Notes, and the Company, as the parent Guarantor, on a combined basis. The combined summarized financial information eliminates all intercompany balances and transactions among Wabtec Netherlands and the Company as well as all equity in earnings from and investments in any subsidiary of the Company, other than Wabtec Netherlands, which we refer to below as the Non-Issuer and Non-Guarantor Subsidiaries. The summarized financial information is provided in accordance with the reporting requirements of Rule 13-01 under SEC Regulation S-X for the issuer and parent guarantor.</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Summarized Statement of Income</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Issuer and Guarantor</w:t>
            </w:r>
          </w:p>
        </w:tc>
        <w:tc>
          <w:tcPr>
            <w:tcW w:w="0" w:type="dxa"/>
            <w:vAlign w:val="bottom"/>
          </w:tcPr>
          <w:p>
            <w:pPr>
              <w:spacing w:after="0"/>
              <w:rPr>
                <w:sz w:val="1"/>
                <w:szCs w:val="1"/>
                <w:color w:val="auto"/>
              </w:rPr>
            </w:pPr>
          </w:p>
        </w:tc>
      </w:tr>
      <w:tr>
        <w:trPr>
          <w:trHeight w:val="161"/>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3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1"/>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27"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4"/>
        </w:trPr>
        <w:tc>
          <w:tcPr>
            <w:tcW w:w="2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Wabtec shareholders</w:t>
            </w:r>
          </w:p>
        </w:tc>
        <w:tc>
          <w:tcPr>
            <w:tcW w:w="2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73"/>
        </w:trPr>
        <w:tc>
          <w:tcPr>
            <w:tcW w:w="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Summarized Balance Sheet</w:t>
            </w: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00" w:type="dxa"/>
            <w:vAlign w:val="bottom"/>
            <w:gridSpan w:val="4"/>
          </w:tcPr>
          <w:p>
            <w:pPr>
              <w:jc w:val="right"/>
              <w:ind w:right="1472"/>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72"/>
        </w:trPr>
        <w:tc>
          <w:tcPr>
            <w:tcW w:w="20" w:type="dxa"/>
            <w:vAlign w:val="bottom"/>
          </w:tcPr>
          <w:p>
            <w:pPr>
              <w:spacing w:after="0"/>
              <w:rPr>
                <w:sz w:val="14"/>
                <w:szCs w:val="1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00" w:type="dxa"/>
            <w:vAlign w:val="bottom"/>
          </w:tcPr>
          <w:p>
            <w:pPr>
              <w:spacing w:after="0"/>
              <w:rPr>
                <w:sz w:val="14"/>
                <w:szCs w:val="14"/>
                <w:color w:val="auto"/>
              </w:rPr>
            </w:pPr>
          </w:p>
        </w:tc>
        <w:tc>
          <w:tcPr>
            <w:tcW w:w="17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8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ind w:right="80" w:firstLine="486"/>
        <w:spacing w:after="0" w:line="250" w:lineRule="auto"/>
        <w:rPr>
          <w:sz w:val="20"/>
          <w:szCs w:val="20"/>
          <w:color w:val="auto"/>
        </w:rPr>
      </w:pPr>
      <w:r>
        <w:rPr>
          <w:rFonts w:ascii="Times New Roman" w:cs="Times New Roman" w:eastAsia="Times New Roman" w:hAnsi="Times New Roman"/>
          <w:sz w:val="18"/>
          <w:szCs w:val="18"/>
          <w:color w:val="auto"/>
        </w:rPr>
        <w:t>The following is a description of the transactions between the combined Westinghouse Air Brake Technologies Corp. and Wabtec Netherlands, with the subsidiaries of Westinghouse Air Brake Technologies Corp., other than Wabtec Netherlands, none of which are guarantors of the Euro Notes.</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Issuer and Guarantor</w:t>
            </w:r>
          </w:p>
        </w:tc>
        <w:tc>
          <w:tcPr>
            <w:tcW w:w="0" w:type="dxa"/>
            <w:vAlign w:val="bottom"/>
          </w:tcPr>
          <w:p>
            <w:pPr>
              <w:spacing w:after="0"/>
              <w:rPr>
                <w:sz w:val="1"/>
                <w:szCs w:val="1"/>
                <w:color w:val="auto"/>
              </w:rPr>
            </w:pPr>
          </w:p>
        </w:tc>
      </w:tr>
      <w:tr>
        <w:trPr>
          <w:trHeight w:val="15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380" w:type="dxa"/>
            <w:vAlign w:val="bottom"/>
          </w:tcPr>
          <w:p>
            <w:pPr>
              <w:spacing w:after="0"/>
              <w:rPr>
                <w:sz w:val="13"/>
                <w:szCs w:val="13"/>
                <w:color w:val="auto"/>
              </w:rPr>
            </w:pPr>
          </w:p>
        </w:tc>
        <w:tc>
          <w:tcPr>
            <w:tcW w:w="21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vMerge w:val="continue"/>
          </w:tcPr>
          <w:p>
            <w:pPr>
              <w:spacing w:after="0"/>
              <w:rPr>
                <w:sz w:val="12"/>
                <w:szCs w:val="12"/>
                <w:color w:val="auto"/>
              </w:rPr>
            </w:pPr>
          </w:p>
        </w:tc>
        <w:tc>
          <w:tcPr>
            <w:tcW w:w="10560" w:type="dxa"/>
            <w:vAlign w:val="bottom"/>
            <w:gridSpan w:val="2"/>
          </w:tcPr>
          <w:p>
            <w:pPr>
              <w:jc w:val="center"/>
              <w:ind w:left="830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to non-guarantor subsidiaries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from non-guarantor subsidiaries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4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Issuer and Guarantor</w:t>
            </w:r>
          </w:p>
        </w:tc>
      </w:tr>
      <w:tr>
        <w:trPr>
          <w:trHeight w:val="172"/>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4"/>
                <w:szCs w:val="14"/>
                <w:color w:val="auto"/>
              </w:rPr>
            </w:pPr>
          </w:p>
        </w:tc>
        <w:tc>
          <w:tcPr>
            <w:tcW w:w="19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34"/>
        </w:trPr>
        <w:tc>
          <w:tcPr>
            <w:tcW w:w="20" w:type="dxa"/>
            <w:vAlign w:val="bottom"/>
            <w:tcBorders>
              <w:bottom w:val="single" w:sz="8" w:color="CCEEFF"/>
            </w:tcBorders>
          </w:tcPr>
          <w:p>
            <w:pPr>
              <w:spacing w:after="0"/>
              <w:rPr>
                <w:sz w:val="2"/>
                <w:szCs w:val="2"/>
                <w:color w:val="auto"/>
              </w:rPr>
            </w:pPr>
          </w:p>
        </w:tc>
        <w:tc>
          <w:tcPr>
            <w:tcW w:w="660" w:type="dxa"/>
            <w:vAlign w:val="bottom"/>
            <w:tcBorders>
              <w:top w:val="single" w:sz="8" w:color="auto"/>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from/(to) non-guarantor subsidiaries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Stock Repurchase Plan</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On February 10, 2022, the Board of Directors increased its stock repurchase authorization to increase the amount available for stock repurchases to $750 million of the Company’s outstanding shares. This new stock repurchase authorization superseded the previous authorization of $500 million of which approximately $155 million remained.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industry conditions</w:t>
      </w:r>
    </w:p>
    <w:p>
      <w:pPr>
        <w:spacing w:after="0" w:line="67" w:lineRule="exact"/>
        <w:rPr>
          <w:sz w:val="20"/>
          <w:szCs w:val="20"/>
          <w:color w:val="auto"/>
        </w:rPr>
      </w:pPr>
    </w:p>
    <w:p>
      <w:pPr>
        <w:ind w:left="620" w:right="40" w:hanging="329"/>
        <w:spacing w:after="0" w:line="281"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unfavorable economic and industry conditions in the markets served by us, including North America, South America, Europe, Australia, Asia and Africa;</w:t>
      </w:r>
    </w:p>
    <w:p>
      <w:pPr>
        <w:spacing w:after="0" w:line="1"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demand for freight cars, locomotives, passenger transit cars, buses and related products and services;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major original equipment manufacturer customers;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equipment manufacturers’ program delays;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 in the freight and passenger rail industry;</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either being delayed, canceled, not returning to historical levels, or reduced or any combination of the foregoing;</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in the rail industry;</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outsourcing by our customers;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demand for faster and more efficient braking equipment;</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foreign currency exchange rates;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credit; or</w:t>
      </w:r>
    </w:p>
    <w:p>
      <w:pPr>
        <w:spacing w:after="0" w:line="63" w:lineRule="exact"/>
        <w:rPr>
          <w:rFonts w:ascii="Times New Roman" w:cs="Times New Roman" w:eastAsia="Times New Roman" w:hAnsi="Times New Roman"/>
          <w:sz w:val="18"/>
          <w:szCs w:val="18"/>
          <w:color w:val="auto"/>
        </w:rPr>
      </w:pPr>
    </w:p>
    <w:p>
      <w:pPr>
        <w:ind w:left="620" w:right="560" w:hanging="329"/>
        <w:spacing w:after="0" w:line="279"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2" w:name="page33"/>
    <w:bookmarkEnd w:id="32"/>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difficulties;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conditions and costs;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raw material costs;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introduction of new products;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under material long-term contracts;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relations;</w:t>
      </w:r>
    </w:p>
    <w:p>
      <w:pPr>
        <w:spacing w:after="0" w:line="63" w:lineRule="exact"/>
        <w:rPr>
          <w:rFonts w:ascii="Times New Roman" w:cs="Times New Roman" w:eastAsia="Times New Roman" w:hAnsi="Times New Roman"/>
          <w:sz w:val="18"/>
          <w:szCs w:val="18"/>
          <w:color w:val="auto"/>
        </w:rPr>
      </w:pPr>
    </w:p>
    <w:p>
      <w:pPr>
        <w:jc w:val="both"/>
        <w:ind w:left="620" w:hanging="329"/>
        <w:spacing w:after="0" w:line="266"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1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and integration of acquisitions; or</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competitors; or</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partners, suppliers, customers or others;</w:t>
      </w:r>
    </w:p>
    <w:p>
      <w:pPr>
        <w:spacing w:after="0" w:line="5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Political/governmental factors</w:t>
      </w:r>
    </w:p>
    <w:p>
      <w:pPr>
        <w:spacing w:after="0" w:line="6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stability in relevant areas of the world, including the impacts of war and conflicts;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regulation/deregulation of our customers and/or the rail industry;</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governmental funding on transit projects, including for some of our customers;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developments and laws and regulations, including those related to Positive Train Control;</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income tax legislation;</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imposed on countries and persons; or</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factors</w:t>
      </w:r>
    </w:p>
    <w:p>
      <w:pPr>
        <w:spacing w:after="0" w:line="67" w:lineRule="exact"/>
        <w:rPr>
          <w:sz w:val="20"/>
          <w:szCs w:val="20"/>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duration of the pandemic;</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general economic conditions;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shutdown of one or more of our operating facilities;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sourcing disruptions;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to pay timely for goods and services delivered;</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of our employees;</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retain and recruit talented employees; or</w:t>
      </w:r>
    </w:p>
    <w:p>
      <w:pPr>
        <w:spacing w:after="0" w:line="6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debt or equity financing;</w:t>
      </w:r>
    </w:p>
    <w:p>
      <w:pPr>
        <w:spacing w:after="0" w:line="11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2021 and the risk factor added in Part II, Item 1A of this report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A summary of critical accounting estimates is included in the Company’s Annual Report on Form 10-K for the year ended December 31, 2021. In particular, judgment is used in areas such as accounts receivable and the allowance for doubtful accounts, inventories, goodwill and indefinite-lived intangibles, business combinations, warranty reserves, stock-based compensation, income taxes and revenue recognition. There have been no significant changes in the related accounting policies since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3" w:name="page34"/>
    <w:bookmarkEnd w:id="3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See "Quantitative and Qualitative Disclosures About Market Risk" in Item 7A of Part II of our Annual Report on Form 10-K for the year ended December 31, 2021. Our exposure to market risk has not changed materially since December 31, 2021. Refer to Note 13 - Fair Value Measurement and Derivative Instruments of "Notes to Condensed Consolidated Financial Statements" included in Part I, Item 1 of this report for additional information regarding interest rate and foreign currency exchange risk.</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Wabtec’s principal executive officer and its principal financial officer have evaluated the effectiveness of Wabtec’s “disclosure controls and procedures,” (as defined in Exchange Act Rule 13a-15(e)) as of March 31, 2022.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216"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Wabtec’s “internal control over financial reporting” (as defined in Rule 13a-15(f) under the Exchange Act) that occurred during the quarter ended March 31, 2022, that has materially affected, or is reasonably likely to materially affect, Wabtec’s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with respect to legal proceedings is included in Note 14 of “Notes to Condensed Consolidated Financial Statements” included in Part I, Item 1 of this report.</w:t>
      </w:r>
    </w:p>
    <w:p>
      <w:pPr>
        <w:spacing w:after="0" w:line="29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response to the Russian invasion of Ukraine and the impact of the conflict on the Company and the global markets, the Company is providing the below additional risk factor. Other than the below, there have been no material changes in our risk factors from those disclosed in our Annual Report on Form 10-K for the year ended December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 between Russia and Ukraine may adversely affect our business and results of operations.</w:t>
      </w:r>
    </w:p>
    <w:p>
      <w:pPr>
        <w:spacing w:after="0" w:line="121"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18"/>
          <w:szCs w:val="18"/>
          <w:color w:val="auto"/>
        </w:rPr>
        <w:t>Given the nature of our business and our global operations, political, economic, and other conditions in foreign countries and regions, including geopolitical risks such as those arising from the current conflict between Russia and Ukraine, may adversely affect our business and results of operations. The broader consequences of this conflict, which may include further sanctions, embargoes, regional instability, and geopolitical shifts; disruptions to transportation and distribution routes, or strategic decisions to alter certain routes; potential retaliatory action by the Russian government against companies, including us, including nationalization of foreign businesses and/or assets in Russia; increased tensions between the United States and countries in which we operate; and the extent of the conflict’s effect on our business and results of operations as well as the global economy, cannot be predicted.</w:t>
      </w:r>
    </w:p>
    <w:p>
      <w:pPr>
        <w:spacing w:after="0" w:line="72"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18"/>
          <w:szCs w:val="18"/>
          <w:color w:val="auto"/>
        </w:rPr>
        <w:t>Additionally, Wabtec has operations and a strategic joint venture in Kazakhstan that have continued operating but have incurred supply, distribution and currency impacts as an indirect result from the Russian invasion of Ukraine. To date, the operations in Kazakhstan have not been significantly impacted by the ongoing conflict outside of the overall unfavorable impact to economic conditions; however, the future impact to these operations cannot be predicted.</w:t>
      </w:r>
    </w:p>
    <w:p>
      <w:pPr>
        <w:spacing w:after="0" w:line="69"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18"/>
          <w:szCs w:val="18"/>
          <w:color w:val="auto"/>
        </w:rPr>
        <w:t>To the extent the current conflict between Russia and Ukraine adversely affects our business, particularly in Russia and Kazakhstan, it may also have the effect of heightening many other risks disclosed in our Annual Report, any of which could materially and adversely affect our business and results of operations. Such risks include, but are not limited to, adverse effects on macroeconomic conditions, including inflation and business spending; disruptions to our global technology infrastructure, including through cyberattack, ransom attack, or cyber-intrusion; adverse changes in international trade policies and relations; our ability to maintain or increase our prices, our ability to implement and execute our business strategy, disruptions in global supply chains, our exposure to foreign currency fluctuations, and constraints, volatility, or disruption in the capital markets, difficulty staffing and managing impacted operations, and the recoverability of assets in the region.</w:t>
      </w:r>
    </w:p>
    <w:p>
      <w:pPr>
        <w:spacing w:after="0" w:line="2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repurchase activity for the three months ended March 31, 2022:</w:t>
      </w:r>
    </w:p>
    <w:p>
      <w:pPr>
        <w:spacing w:after="0" w:line="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Borders>
              <w:top w:val="single" w:sz="8" w:color="auto"/>
            </w:tcBorders>
          </w:tcPr>
          <w:p>
            <w:pPr>
              <w:spacing w:after="0"/>
              <w:rPr>
                <w:sz w:val="11"/>
                <w:szCs w:val="11"/>
                <w:color w:val="auto"/>
              </w:rPr>
            </w:pPr>
          </w:p>
        </w:tc>
        <w:tc>
          <w:tcPr>
            <w:tcW w:w="270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color w:val="auto"/>
              </w:rPr>
              <w:t>Total Number of Shares</w:t>
            </w:r>
          </w:p>
        </w:tc>
        <w:tc>
          <w:tcPr>
            <w:tcW w:w="166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Maximum Dollar Value of</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Purchased as Part of</w:t>
            </w:r>
          </w:p>
        </w:tc>
        <w:tc>
          <w:tcPr>
            <w:tcW w:w="120" w:type="dxa"/>
            <w:vAlign w:val="bottom"/>
          </w:tcPr>
          <w:p>
            <w:pPr>
              <w:spacing w:after="0"/>
              <w:rPr>
                <w:sz w:val="12"/>
                <w:szCs w:val="12"/>
                <w:color w:val="auto"/>
              </w:rPr>
            </w:pPr>
          </w:p>
        </w:tc>
        <w:tc>
          <w:tcPr>
            <w:tcW w:w="1540" w:type="dxa"/>
            <w:vAlign w:val="bottom"/>
          </w:tcPr>
          <w:p>
            <w:pPr>
              <w:jc w:val="center"/>
              <w:ind w:right="38"/>
              <w:spacing w:after="0" w:line="139" w:lineRule="exact"/>
              <w:rPr>
                <w:sz w:val="20"/>
                <w:szCs w:val="20"/>
                <w:color w:val="auto"/>
              </w:rPr>
            </w:pPr>
            <w:r>
              <w:rPr>
                <w:rFonts w:ascii="Times New Roman" w:cs="Times New Roman" w:eastAsia="Times New Roman" w:hAnsi="Times New Roman"/>
                <w:sz w:val="14"/>
                <w:szCs w:val="14"/>
                <w:color w:val="auto"/>
              </w:rPr>
              <w:t>Shares That May Yet Be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color w:val="auto"/>
              </w:rPr>
              <w:t>Total Number of Shares</w:t>
            </w:r>
          </w:p>
        </w:tc>
        <w:tc>
          <w:tcPr>
            <w:tcW w:w="1380" w:type="dxa"/>
            <w:vAlign w:val="bottom"/>
            <w:gridSpan w:val="3"/>
          </w:tcPr>
          <w:p>
            <w:pPr>
              <w:jc w:val="right"/>
              <w:ind w:right="200"/>
              <w:spacing w:after="0" w:line="158" w:lineRule="exact"/>
              <w:rPr>
                <w:sz w:val="20"/>
                <w:szCs w:val="20"/>
                <w:color w:val="auto"/>
              </w:rPr>
            </w:pPr>
            <w:r>
              <w:rPr>
                <w:rFonts w:ascii="Times New Roman" w:cs="Times New Roman" w:eastAsia="Times New Roman" w:hAnsi="Times New Roman"/>
                <w:sz w:val="14"/>
                <w:szCs w:val="14"/>
                <w:color w:val="auto"/>
              </w:rPr>
              <w:t>Average Price Paid</w:t>
            </w:r>
          </w:p>
        </w:tc>
        <w:tc>
          <w:tcPr>
            <w:tcW w:w="166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color w:val="auto"/>
              </w:rPr>
              <w:t>Publicly Announced</w:t>
            </w:r>
          </w:p>
        </w:tc>
        <w:tc>
          <w:tcPr>
            <w:tcW w:w="120" w:type="dxa"/>
            <w:vAlign w:val="bottom"/>
          </w:tcPr>
          <w:p>
            <w:pPr>
              <w:spacing w:after="0"/>
              <w:rPr>
                <w:sz w:val="13"/>
                <w:szCs w:val="13"/>
                <w:color w:val="auto"/>
              </w:rPr>
            </w:pPr>
          </w:p>
        </w:tc>
        <w:tc>
          <w:tcPr>
            <w:tcW w:w="1540" w:type="dxa"/>
            <w:vAlign w:val="bottom"/>
          </w:tcPr>
          <w:p>
            <w:pPr>
              <w:jc w:val="center"/>
              <w:ind w:right="38"/>
              <w:spacing w:after="0" w:line="158" w:lineRule="exact"/>
              <w:rPr>
                <w:sz w:val="20"/>
                <w:szCs w:val="20"/>
                <w:color w:val="auto"/>
              </w:rPr>
            </w:pPr>
            <w:r>
              <w:rPr>
                <w:rFonts w:ascii="Times New Roman" w:cs="Times New Roman" w:eastAsia="Times New Roman" w:hAnsi="Times New Roman"/>
                <w:sz w:val="14"/>
                <w:szCs w:val="14"/>
                <w:color w:val="auto"/>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gridSpan w:val="3"/>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240" w:type="dxa"/>
            <w:vAlign w:val="bottom"/>
          </w:tcPr>
          <w:p>
            <w:pPr>
              <w:spacing w:after="0"/>
              <w:rPr>
                <w:sz w:val="12"/>
                <w:szCs w:val="12"/>
                <w:color w:val="auto"/>
              </w:rPr>
            </w:pPr>
          </w:p>
        </w:tc>
        <w:tc>
          <w:tcPr>
            <w:tcW w:w="1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per Share</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Programs (1)</w:t>
            </w:r>
          </w:p>
        </w:tc>
        <w:tc>
          <w:tcPr>
            <w:tcW w:w="120" w:type="dxa"/>
            <w:vAlign w:val="bottom"/>
          </w:tcPr>
          <w:p>
            <w:pPr>
              <w:spacing w:after="0"/>
              <w:rPr>
                <w:sz w:val="12"/>
                <w:szCs w:val="12"/>
                <w:color w:val="auto"/>
              </w:rPr>
            </w:pPr>
          </w:p>
        </w:tc>
        <w:tc>
          <w:tcPr>
            <w:tcW w:w="15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color w:val="auto"/>
              </w:rPr>
              <w:t>Programs (1)</w:t>
            </w: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2700" w:type="dxa"/>
            <w:vAlign w:val="bottom"/>
            <w:tcBorders>
              <w:top w:val="single" w:sz="8" w:color="auto"/>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1,057,841</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1,746,895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quarter ended March 31, 2022</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3,122,836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3,122,836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firstLine="8"/>
        <w:spacing w:after="0" w:line="256" w:lineRule="auto"/>
        <w:tabs>
          <w:tab w:leader="none" w:pos="3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10, 2022, the Board of Directors increased its stock repurchase authorization to increase the amount available for stock repurchases to $750 million of the Company’s outstanding shares. This new stock repurchase authorization superseded the previous authorization of $500 million, of which approximately $155 million remained at the reauthorization date. No time limit was set for the completion of the program which conforms to the requirements under the Senior Credit Facility and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076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The following exhibits are being filed with this report:</w:t>
            </w:r>
          </w:p>
        </w:tc>
      </w:tr>
      <w:tr>
        <w:trPr>
          <w:trHeight w:val="21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18"/>
                <w:szCs w:val="18"/>
                <w:color w:val="auto"/>
              </w:rPr>
            </w:pPr>
          </w:p>
        </w:tc>
        <w:tc>
          <w:tcPr>
            <w:tcW w:w="93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Amended and Restated 2011 Stock Incentive Plan (incorporated by reference to the Current Report on Form 8-K filed on April 6,</w:t>
              </w:r>
            </w:hyperlink>
          </w:p>
        </w:tc>
      </w:tr>
      <w:tr>
        <w:trPr>
          <w:trHeight w:val="156"/>
        </w:trPr>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55">
              <w:r>
                <w:rPr>
                  <w:rFonts w:ascii="Times New Roman" w:cs="Times New Roman" w:eastAsia="Times New Roman" w:hAnsi="Times New Roman"/>
                  <w:sz w:val="18"/>
                  <w:szCs w:val="18"/>
                  <w:color w:val="0000FF"/>
                  <w:w w:val="95"/>
                </w:rPr>
                <w:t>2022)</w:t>
              </w:r>
            </w:hyperlink>
          </w:p>
        </w:tc>
        <w:tc>
          <w:tcPr>
            <w:tcW w:w="1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27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720" w:type="dxa"/>
            <w:vAlign w:val="bottom"/>
          </w:tcPr>
          <w:p>
            <w:pPr>
              <w:spacing w:after="0"/>
              <w:rPr>
                <w:sz w:val="24"/>
                <w:szCs w:val="24"/>
                <w:color w:val="auto"/>
              </w:rPr>
            </w:pPr>
          </w:p>
        </w:tc>
        <w:tc>
          <w:tcPr>
            <w:tcW w:w="2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List of Subsidiary Guarantors</w:t>
            </w:r>
          </w:p>
        </w:tc>
        <w:tc>
          <w:tcPr>
            <w:tcW w:w="7180" w:type="dxa"/>
            <w:vAlign w:val="bottom"/>
            <w:gridSpan w:val="4"/>
          </w:tcPr>
          <w:p>
            <w:pPr>
              <w:spacing w:after="0"/>
              <w:rPr>
                <w:sz w:val="24"/>
                <w:szCs w:val="24"/>
                <w:color w:val="auto"/>
              </w:rPr>
            </w:pPr>
          </w:p>
        </w:tc>
      </w:tr>
      <w:tr>
        <w:trPr>
          <w:trHeight w:val="26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20" w:type="dxa"/>
            <w:vAlign w:val="bottom"/>
          </w:tcPr>
          <w:p>
            <w:pPr>
              <w:spacing w:after="0"/>
              <w:rPr>
                <w:sz w:val="22"/>
                <w:szCs w:val="22"/>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13a-14(a) Certification of Chief Executive Officer.</w:t>
            </w:r>
          </w:p>
        </w:tc>
      </w:tr>
      <w:tr>
        <w:trPr>
          <w:trHeight w:val="26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20" w:type="dxa"/>
            <w:vAlign w:val="bottom"/>
          </w:tcPr>
          <w:p>
            <w:pPr>
              <w:spacing w:after="0"/>
              <w:rPr>
                <w:sz w:val="22"/>
                <w:szCs w:val="22"/>
                <w:color w:val="auto"/>
              </w:rPr>
            </w:pPr>
          </w:p>
        </w:tc>
        <w:tc>
          <w:tcPr>
            <w:tcW w:w="40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Chief Financial Officer.</w:t>
            </w:r>
          </w:p>
        </w:tc>
        <w:tc>
          <w:tcPr>
            <w:tcW w:w="40" w:type="dxa"/>
            <w:vAlign w:val="bottom"/>
            <w:tcBorders>
              <w:top w:val="single" w:sz="8" w:color="0000FF"/>
            </w:tcBorders>
          </w:tcPr>
          <w:p>
            <w:pPr>
              <w:spacing w:after="0"/>
              <w:rPr>
                <w:sz w:val="22"/>
                <w:szCs w:val="22"/>
                <w:color w:val="auto"/>
              </w:rPr>
            </w:pPr>
          </w:p>
        </w:tc>
        <w:tc>
          <w:tcPr>
            <w:tcW w:w="5280" w:type="dxa"/>
            <w:vAlign w:val="bottom"/>
            <w:gridSpan w:val="2"/>
          </w:tcPr>
          <w:p>
            <w:pPr>
              <w:spacing w:after="0"/>
              <w:rPr>
                <w:sz w:val="22"/>
                <w:szCs w:val="22"/>
                <w:color w:val="auto"/>
              </w:rPr>
            </w:pPr>
          </w:p>
        </w:tc>
      </w:tr>
      <w:tr>
        <w:trPr>
          <w:trHeight w:val="26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720" w:type="dxa"/>
            <w:vAlign w:val="bottom"/>
          </w:tcPr>
          <w:p>
            <w:pPr>
              <w:spacing w:after="0"/>
              <w:rPr>
                <w:sz w:val="22"/>
                <w:szCs w:val="22"/>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30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20" w:type="dxa"/>
            <w:vAlign w:val="bottom"/>
          </w:tcPr>
          <w:p>
            <w:pPr>
              <w:spacing w:after="0"/>
              <w:rPr>
                <w:sz w:val="24"/>
                <w:szCs w:val="24"/>
                <w:color w:val="auto"/>
              </w:rPr>
            </w:pPr>
          </w:p>
        </w:tc>
        <w:tc>
          <w:tcPr>
            <w:tcW w:w="59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400" w:type="dxa"/>
            <w:vAlign w:val="bottom"/>
          </w:tcPr>
          <w:p>
            <w:pPr>
              <w:spacing w:after="0"/>
              <w:rPr>
                <w:sz w:val="24"/>
                <w:szCs w:val="24"/>
                <w:color w:val="auto"/>
              </w:rPr>
            </w:pPr>
          </w:p>
        </w:tc>
      </w:tr>
      <w:tr>
        <w:trPr>
          <w:trHeight w:val="28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2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2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2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2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20" w:type="dxa"/>
            <w:vAlign w:val="bottom"/>
          </w:tcPr>
          <w:p>
            <w:pPr>
              <w:spacing w:after="0"/>
              <w:rPr>
                <w:sz w:val="24"/>
                <w:szCs w:val="24"/>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left="1440" w:hanging="1414"/>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170" w:right="819" w:bottom="1440" w:gutter="0" w:footer="0" w:header="0"/>
        </w:sectPr>
      </w:pPr>
    </w:p>
    <w:bookmarkStart w:id="36" w:name="page37"/>
    <w:bookmarkEnd w:id="3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report to be signed on its behalf by the undersigned thereunto duly authorized.</w:t>
      </w:r>
    </w:p>
    <w:p>
      <w:pPr>
        <w:spacing w:after="0" w:line="20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88" w:lineRule="exact"/>
        <w:rPr>
          <w:sz w:val="20"/>
          <w:szCs w:val="20"/>
          <w:color w:val="auto"/>
        </w:rPr>
      </w:pPr>
    </w:p>
    <w:p>
      <w:pPr>
        <w:ind w:left="5980"/>
        <w:spacing w:after="0"/>
        <w:tabs>
          <w:tab w:leader="none" w:pos="8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863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0"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4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spacing w:after="0" w:line="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7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(Duly Authorized Officer and Principal Financial Officer)</w:t>
      </w:r>
    </w:p>
    <w:p>
      <w:pPr>
        <w:spacing w:after="0" w:line="27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8"/>
          <w:szCs w:val="18"/>
          <w:color w:val="auto"/>
        </w:rPr>
        <w:t>DATE:</w:t>
        <w:tab/>
        <w:t>April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927"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0"/>
          <w:szCs w:val="20"/>
          <w:color w:val="auto"/>
        </w:rPr>
        <w:t>Exhibit 22.1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Guarantor Subsidiaries of Westinghouse Air Brake Technologies</w:t>
      </w:r>
    </w:p>
    <w:p>
      <w:pPr>
        <w:spacing w:after="0" w:line="14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The obligations under the Company's US Notes and the Senior Credit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US Notes and Senior Credit Facility</w:t>
      </w:r>
    </w:p>
    <w:p>
      <w:pPr>
        <w:spacing w:after="0" w:line="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i w:val="1"/>
          <w:iCs w:val="1"/>
          <w:u w:val="single" w:color="auto"/>
          <w:color w:val="auto"/>
        </w:rPr>
        <w:t>Guarantors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RFPC Holding Corp.</w:t>
      </w:r>
    </w:p>
    <w:p>
      <w:pPr>
        <w:ind w:left="1300"/>
        <w:spacing w:after="0" w:line="234" w:lineRule="auto"/>
        <w:rPr>
          <w:sz w:val="20"/>
          <w:szCs w:val="20"/>
          <w:color w:val="auto"/>
        </w:rPr>
      </w:pPr>
      <w:r>
        <w:rPr>
          <w:rFonts w:ascii="Times New Roman" w:cs="Times New Roman" w:eastAsia="Times New Roman" w:hAnsi="Times New Roman"/>
          <w:sz w:val="18"/>
          <w:szCs w:val="18"/>
          <w:color w:val="auto"/>
        </w:rPr>
        <w:t>Transportation IP Holdings, LLC</w:t>
      </w:r>
    </w:p>
    <w:p>
      <w:pPr>
        <w:ind w:left="1300"/>
        <w:spacing w:after="0" w:line="235" w:lineRule="auto"/>
        <w:rPr>
          <w:sz w:val="20"/>
          <w:szCs w:val="20"/>
          <w:color w:val="auto"/>
        </w:rPr>
      </w:pPr>
      <w:r>
        <w:rPr>
          <w:rFonts w:ascii="Times New Roman" w:cs="Times New Roman" w:eastAsia="Times New Roman" w:hAnsi="Times New Roman"/>
          <w:sz w:val="18"/>
          <w:szCs w:val="18"/>
          <w:color w:val="auto"/>
        </w:rPr>
        <w:t>Transportation Systems Services Operations Inc.</w:t>
      </w:r>
    </w:p>
    <w:p>
      <w:pPr>
        <w:ind w:left="1300"/>
        <w:spacing w:after="0" w:line="235" w:lineRule="auto"/>
        <w:rPr>
          <w:sz w:val="20"/>
          <w:szCs w:val="20"/>
          <w:color w:val="auto"/>
        </w:rPr>
      </w:pPr>
      <w:r>
        <w:rPr>
          <w:rFonts w:ascii="Times New Roman" w:cs="Times New Roman" w:eastAsia="Times New Roman" w:hAnsi="Times New Roman"/>
          <w:sz w:val="18"/>
          <w:szCs w:val="18"/>
          <w:color w:val="auto"/>
        </w:rPr>
        <w:t>Wabtec Components, LLC</w:t>
      </w:r>
    </w:p>
    <w:p>
      <w:pPr>
        <w:ind w:left="1300"/>
        <w:spacing w:after="0" w:line="219" w:lineRule="auto"/>
        <w:rPr>
          <w:sz w:val="20"/>
          <w:szCs w:val="20"/>
          <w:color w:val="auto"/>
        </w:rPr>
      </w:pPr>
      <w:r>
        <w:rPr>
          <w:rFonts w:ascii="Times New Roman" w:cs="Times New Roman" w:eastAsia="Times New Roman" w:hAnsi="Times New Roman"/>
          <w:sz w:val="18"/>
          <w:szCs w:val="18"/>
          <w:color w:val="auto"/>
        </w:rPr>
        <w:t>Wabtec Holding, LLC</w:t>
      </w:r>
    </w:p>
    <w:p>
      <w:pPr>
        <w:ind w:left="1300"/>
        <w:spacing w:after="0" w:line="235" w:lineRule="auto"/>
        <w:rPr>
          <w:sz w:val="20"/>
          <w:szCs w:val="20"/>
          <w:color w:val="auto"/>
        </w:rPr>
      </w:pPr>
      <w:r>
        <w:rPr>
          <w:rFonts w:ascii="Times New Roman" w:cs="Times New Roman" w:eastAsia="Times New Roman" w:hAnsi="Times New Roman"/>
          <w:sz w:val="18"/>
          <w:szCs w:val="18"/>
          <w:color w:val="auto"/>
        </w:rPr>
        <w:t>Wabtec Railway Electronics Holdings, LLC</w:t>
      </w:r>
    </w:p>
    <w:p>
      <w:pPr>
        <w:ind w:left="1300"/>
        <w:spacing w:after="0"/>
        <w:rPr>
          <w:sz w:val="20"/>
          <w:szCs w:val="20"/>
          <w:color w:val="auto"/>
        </w:rPr>
      </w:pPr>
      <w:r>
        <w:rPr>
          <w:rFonts w:ascii="Times New Roman" w:cs="Times New Roman" w:eastAsia="Times New Roman" w:hAnsi="Times New Roman"/>
          <w:sz w:val="18"/>
          <w:szCs w:val="18"/>
          <w:color w:val="auto"/>
        </w:rPr>
        <w:t>Wabtec Transportation Systems,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Euro Notes</w:t>
      </w:r>
    </w:p>
    <w:p>
      <w:pPr>
        <w:spacing w:after="0" w:line="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i w:val="1"/>
          <w:iCs w:val="1"/>
          <w:u w:val="single" w:color="auto"/>
          <w:color w:val="auto"/>
        </w:rPr>
        <w:t>Issuer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Wabtec Transportation Netherlands B.V.</w:t>
      </w:r>
    </w:p>
    <w:p>
      <w:pPr>
        <w:spacing w:after="0" w:line="1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i w:val="1"/>
          <w:iCs w:val="1"/>
          <w:u w:val="single" w:color="auto"/>
          <w:color w:val="auto"/>
        </w:rPr>
        <w:t>Guarantor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ectPr>
          <w:pgSz w:w="11900" w:h="16838" w:orient="portrait"/>
          <w:cols w:equalWidth="0" w:num="1">
            <w:col w:w="11240"/>
          </w:cols>
          <w:pgMar w:left="320" w:top="142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Westinghouse Air Brake Technologies Corporation.</w:t>
      </w:r>
    </w:p>
    <w:p>
      <w:pPr>
        <w:spacing w:after="0" w:line="11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ind w:firstLine="1020"/>
        <w:spacing w:after="0" w:line="266" w:lineRule="auto"/>
        <w:tabs>
          <w:tab w:leader="none" w:pos="12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right="40" w:firstLine="1020"/>
        <w:spacing w:after="0" w:line="266" w:lineRule="auto"/>
        <w:tabs>
          <w:tab w:leader="none" w:pos="12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020"/>
        <w:spacing w:after="0" w:line="282" w:lineRule="auto"/>
        <w:tabs>
          <w:tab w:leader="none" w:pos="12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3" w:lineRule="exact"/>
        <w:rPr>
          <w:rFonts w:ascii="Times New Roman" w:cs="Times New Roman" w:eastAsia="Times New Roman" w:hAnsi="Times New Roman"/>
          <w:sz w:val="18"/>
          <w:szCs w:val="18"/>
          <w:color w:val="auto"/>
        </w:rPr>
      </w:pPr>
    </w:p>
    <w:p>
      <w:pPr>
        <w:ind w:right="140" w:firstLine="1020"/>
        <w:spacing w:after="0" w:line="266" w:lineRule="auto"/>
        <w:tabs>
          <w:tab w:leader="none" w:pos="12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180" w:firstLine="494"/>
        <w:spacing w:after="0" w:line="282" w:lineRule="auto"/>
        <w:tabs>
          <w:tab w:leader="none" w:pos="6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00" w:firstLine="1020"/>
        <w:spacing w:after="0" w:line="282" w:lineRule="auto"/>
        <w:tabs>
          <w:tab w:leader="none" w:pos="12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1020"/>
        <w:spacing w:after="0" w:line="282" w:lineRule="auto"/>
        <w:tabs>
          <w:tab w:leader="none" w:pos="126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April 27, 2022</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  RAFAEL SANTANA</w:t>
            </w:r>
          </w:p>
        </w:tc>
      </w:tr>
      <w:tr>
        <w:trPr>
          <w:trHeight w:val="22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3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2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Olin, certify that:</w:t>
      </w:r>
    </w:p>
    <w:p>
      <w:pPr>
        <w:spacing w:after="0" w:line="117" w:lineRule="exact"/>
        <w:rPr>
          <w:sz w:val="20"/>
          <w:szCs w:val="20"/>
          <w:color w:val="auto"/>
        </w:rPr>
      </w:pPr>
    </w:p>
    <w:p>
      <w:pPr>
        <w:ind w:left="680" w:hanging="186"/>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Westinghouse Air Brake Technologies Corporation.</w:t>
      </w:r>
    </w:p>
    <w:p>
      <w:pPr>
        <w:spacing w:after="0" w:line="11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7" w:lineRule="exact"/>
        <w:rPr>
          <w:rFonts w:ascii="Times New Roman" w:cs="Times New Roman" w:eastAsia="Times New Roman" w:hAnsi="Times New Roman"/>
          <w:sz w:val="18"/>
          <w:szCs w:val="18"/>
          <w:color w:val="auto"/>
        </w:rPr>
      </w:pPr>
    </w:p>
    <w:p>
      <w:pPr>
        <w:ind w:firstLine="1020"/>
        <w:spacing w:after="0" w:line="266" w:lineRule="auto"/>
        <w:tabs>
          <w:tab w:leader="none" w:pos="12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right="40" w:firstLine="1020"/>
        <w:spacing w:after="0" w:line="266" w:lineRule="auto"/>
        <w:tabs>
          <w:tab w:leader="none" w:pos="12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100" w:firstLine="1020"/>
        <w:spacing w:after="0" w:line="282" w:lineRule="auto"/>
        <w:tabs>
          <w:tab w:leader="none" w:pos="12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3" w:lineRule="exact"/>
        <w:rPr>
          <w:rFonts w:ascii="Times New Roman" w:cs="Times New Roman" w:eastAsia="Times New Roman" w:hAnsi="Times New Roman"/>
          <w:sz w:val="18"/>
          <w:szCs w:val="18"/>
          <w:color w:val="auto"/>
        </w:rPr>
      </w:pPr>
    </w:p>
    <w:p>
      <w:pPr>
        <w:ind w:right="140" w:firstLine="1020"/>
        <w:spacing w:after="0" w:line="266" w:lineRule="auto"/>
        <w:tabs>
          <w:tab w:leader="none" w:pos="12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180" w:firstLine="494"/>
        <w:spacing w:after="0" w:line="282" w:lineRule="auto"/>
        <w:tabs>
          <w:tab w:leader="none" w:pos="6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00" w:firstLine="1020"/>
        <w:spacing w:after="0" w:line="282" w:lineRule="auto"/>
        <w:tabs>
          <w:tab w:leader="none" w:pos="12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1020"/>
        <w:spacing w:after="0" w:line="282" w:lineRule="auto"/>
        <w:tabs>
          <w:tab w:leader="none" w:pos="12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April 27, 2022</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JOHN A. OLIN</w:t>
            </w:r>
          </w:p>
        </w:tc>
      </w:tr>
      <w:tr>
        <w:trPr>
          <w:trHeight w:val="22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1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1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Pursuant to 18 U.S.C. § 1350, the undersigned officers of Westinghouse Air Brake Technologies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the best of their knowledge, that the Company’s Quarterly Report on Form 10-Q for the quarter ended March 31, 2022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AFAEL SANTANA</w:t>
            </w:r>
          </w:p>
        </w:tc>
      </w:tr>
      <w:tr>
        <w:trPr>
          <w:trHeight w:val="137"/>
        </w:trPr>
        <w:tc>
          <w:tcPr>
            <w:tcW w:w="1440" w:type="dxa"/>
            <w:vAlign w:val="bottom"/>
          </w:tcPr>
          <w:p>
            <w:pPr>
              <w:spacing w:after="0"/>
              <w:rPr>
                <w:sz w:val="11"/>
                <w:szCs w:val="11"/>
                <w:color w:val="auto"/>
              </w:rPr>
            </w:pPr>
          </w:p>
        </w:tc>
        <w:tc>
          <w:tcPr>
            <w:tcW w:w="97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90"/>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4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27, 2022</w:t>
            </w:r>
          </w:p>
        </w:tc>
      </w:tr>
      <w:tr>
        <w:trPr>
          <w:trHeight w:val="49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A. OLIN</w:t>
            </w:r>
          </w:p>
        </w:tc>
      </w:tr>
      <w:tr>
        <w:trPr>
          <w:trHeight w:val="137"/>
        </w:trPr>
        <w:tc>
          <w:tcPr>
            <w:tcW w:w="1440" w:type="dxa"/>
            <w:vAlign w:val="bottom"/>
          </w:tcPr>
          <w:p>
            <w:pPr>
              <w:spacing w:after="0"/>
              <w:rPr>
                <w:sz w:val="11"/>
                <w:szCs w:val="11"/>
                <w:color w:val="auto"/>
              </w:rPr>
            </w:pPr>
          </w:p>
        </w:tc>
        <w:tc>
          <w:tcPr>
            <w:tcW w:w="976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90"/>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40"/>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27,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5" Type="http://schemas.openxmlformats.org/officeDocument/2006/relationships/hyperlink" Target="http://www.sec.gov/Archives/edgar/data/943452/000114036122013268/brhc10036113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2022-04-27T10:07:13Z</dcterms:created>
  <dcterms:modified xsi:type="dcterms:W3CDTF">2022-04-27T10:07:13Z</dcterms:modified>
</cp:coreProperties>
</file>