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17, 2025, there were 170,957,186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628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September 30, 2025 and December 31, 2024</w:t>
            </w:r>
          </w:p>
        </w:tc>
        <w:tc>
          <w:tcPr>
            <w:tcW w:w="328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and nine months ended September 30, 2025 and 2024</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0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nine months ended September 30, 2025 and 2024</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top w:val="single" w:sz="8" w:color="0000FF"/>
              <w:bottom w:val="single" w:sz="8" w:color="0000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nine months ended September 30, 2025 and 2024</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878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and nine months ended September 30, 2025 and 2024</w:t>
            </w:r>
          </w:p>
        </w:tc>
        <w:tc>
          <w:tcPr>
            <w:tcW w:w="78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6"/>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29</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50</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44"/>
              <w:spacing w:after="0" w:line="123"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21,527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171.9 shares issued and 170.9 outstanding at September 30, 2025; 226.9</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issued and 171.3 outstanding at December 31, 2024</w:t>
            </w: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1.0 and 55.6 shares, at September 30, 2025 and December 31, 2024, respectively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88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37"/>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37"/>
              <w:spacing w:after="0" w:line="153"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80" w:type="dxa"/>
            <w:vAlign w:val="bottom"/>
            <w:tcBorders>
              <w:bottom w:val="single" w:sz="8" w:color="auto"/>
            </w:tcBorders>
          </w:tcPr>
          <w:p>
            <w:pPr>
              <w:spacing w:after="0"/>
              <w:rPr>
                <w:sz w:val="16"/>
                <w:szCs w:val="16"/>
                <w:color w:val="auto"/>
              </w:rPr>
            </w:pPr>
          </w:p>
        </w:tc>
      </w:tr>
      <w:tr>
        <w:trPr>
          <w:trHeight w:val="142"/>
        </w:trPr>
        <w:tc>
          <w:tcPr>
            <w:tcW w:w="5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0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1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51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23"/>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55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57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2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5"/>
          </w:tcPr>
          <w:p>
            <w:pPr>
              <w:jc w:val="center"/>
              <w:ind w:right="460"/>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3"/>
                <w:szCs w:val="13"/>
                <w:color w:val="auto"/>
              </w:rPr>
            </w:pPr>
          </w:p>
        </w:tc>
        <w:tc>
          <w:tcPr>
            <w:tcW w:w="2800" w:type="dxa"/>
            <w:vAlign w:val="bottom"/>
            <w:gridSpan w:val="4"/>
          </w:tcPr>
          <w:p>
            <w:pPr>
              <w:jc w:val="center"/>
              <w:ind w:right="275"/>
              <w:spacing w:after="0" w:line="160"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20" w:type="dxa"/>
            <w:vAlign w:val="bottom"/>
            <w:tcBorders>
              <w:bottom w:val="single" w:sz="8" w:color="auto"/>
            </w:tcBorders>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right"/>
              <w:ind w:right="53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(loss) gain on derivative contracts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68"/>
        </w:trPr>
        <w:tc>
          <w:tcPr>
            <w:tcW w:w="20" w:type="dxa"/>
            <w:vAlign w:val="bottom"/>
          </w:tcPr>
          <w:p>
            <w:pPr>
              <w:spacing w:after="0"/>
              <w:rPr>
                <w:sz w:val="14"/>
                <w:szCs w:val="14"/>
                <w:color w:val="auto"/>
              </w:rPr>
            </w:pPr>
          </w:p>
        </w:tc>
        <w:tc>
          <w:tcPr>
            <w:tcW w:w="480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Change in unrealized gain (loss) on pension and post-retirement</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benefit plans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before tax</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168"/>
        </w:trPr>
        <w:tc>
          <w:tcPr>
            <w:tcW w:w="20" w:type="dxa"/>
            <w:vAlign w:val="bottom"/>
          </w:tcPr>
          <w:p>
            <w:pPr>
              <w:spacing w:after="0"/>
              <w:rPr>
                <w:sz w:val="14"/>
                <w:szCs w:val="14"/>
                <w:color w:val="auto"/>
              </w:rPr>
            </w:pPr>
          </w:p>
        </w:tc>
        <w:tc>
          <w:tcPr>
            <w:tcW w:w="480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Income tax expense related to components of other comprehensive</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2"/>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55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54"/>
              <w:spacing w:after="0" w:line="160"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mark-to-market derivatives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Current and noncurrent customer deposits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dispositions of businesses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(used for) financing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Decrease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40" w:type="dxa"/>
            <w:vAlign w:val="bottom"/>
          </w:tcPr>
          <w:p>
            <w:pPr>
              <w:spacing w:after="0"/>
              <w:rPr>
                <w:sz w:val="5"/>
                <w:szCs w:val="5"/>
                <w:color w:val="auto"/>
              </w:rPr>
            </w:pPr>
          </w:p>
        </w:tc>
        <w:tc>
          <w:tcPr>
            <w:tcW w:w="560" w:type="dxa"/>
            <w:vAlign w:val="bottom"/>
            <w:vMerge w:val="restart"/>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Amount</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4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Cash dividends ($0.25 dividend per</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retirement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23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Cash dividends ($0.25 dividend per</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232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Cash dividends ($0.25 dividend per</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0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8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3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34"/>
        </w:trPr>
        <w:tc>
          <w:tcPr>
            <w:tcW w:w="2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3"/>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4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4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9"/>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r>
        <w:trPr>
          <w:trHeight w:val="121"/>
        </w:trPr>
        <w:tc>
          <w:tcPr>
            <w:tcW w:w="2340" w:type="dxa"/>
            <w:vAlign w:val="bottom"/>
            <w:gridSpan w:val="3"/>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8"/>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9"/>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121"/>
        </w:trPr>
        <w:tc>
          <w:tcPr>
            <w:tcW w:w="2340" w:type="dxa"/>
            <w:vAlign w:val="bottom"/>
            <w:gridSpan w:val="3"/>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8"/>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42"/>
        </w:trPr>
        <w:tc>
          <w:tcPr>
            <w:tcW w:w="23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8"/>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94"/>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0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 w:name="page9"/>
    <w:bookmarkEnd w:id="8"/>
    <w:p>
      <w:pPr>
        <w:jc w:val="center"/>
        <w:ind w:left="340" w:right="2520"/>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SEPTEMBER 30, 2025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passenger transit vehicles and other modes of transportation. Wabtec is a global company with operations in over 50 countries and our products can be found in more than 100 countries throughout the world. In the first nine months of 2025, approximately half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 The December 31, 2024 information included herein has been derived from the Company’s Annual Report on Form 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w:t>
      </w:r>
    </w:p>
    <w:p>
      <w:pPr>
        <w:spacing w:after="0" w:line="91"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ind w:right="68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September 30, 2025, the Company's remaining performance obligations were approximately $25.6 billion. The Company expects to recognize revenue of approximately 32%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Effective January 1, 2025, the Company utilizes its Revolving Receivables Program to request borrowings from a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institution against certain collateralized receivables for up to $350 million. During the third quarter of 2025, the Company amended the Revolving Receivables Program to increase its availability from $350 million to up to $450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 Prior to January 1, 2025, the Company utilized its Revolving Receivables Program to sell up to $350 million of certain receivables from the Originators. Receivables were sold to a financial institution on a recurring basis in exchange for cash equal to the gross receivables sold. Proceeds and remittances of receivables sold under the program prior to January 1, 2025, are classified as Operating activities on our Condensed Consolidated Statement of Cash Flows.</w:t>
      </w:r>
    </w:p>
    <w:p>
      <w:pPr>
        <w:spacing w:after="0" w:line="74"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2"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At September 30, 2025 and December 31, 2024, the bankruptcy-remote subsidiary held receivables of $723 million and $693 million, respectively, which are included in the Company's Condensed Consolidated Balance Sheets. The receivables held by the bankruptcy-remote subsidiary collateralize the outstanding receivables sold and outstanding borrowings. There were outstanding borrowings of $200 million at September 30, 2025 and no outstanding receivables sold at December 31, 2024. The transfers are recorded at the fair value of the proceeds received and obligations assumed less derecognized receivables, if applicable. Our maximum exposure to losses related to these receivables transferred to the program is limited to the amount outstanding.</w:t>
      </w:r>
    </w:p>
    <w:p>
      <w:pPr>
        <w:spacing w:after="0" w:line="72"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used as collateral for requested borrowings and the resulting impact of net cash proceeds included in cash from financing activities. There were no receivables sold under the program during the nine months ended September 30, 2025.</w:t>
      </w:r>
    </w:p>
    <w:tbl>
      <w:tblPr>
        <w:tblLayout w:type="fixed"/>
        <w:tblInd w:w="0" w:type="dxa"/>
        <w:tblCellMar>
          <w:top w:w="0" w:type="dxa"/>
          <w:left w:w="0" w:type="dxa"/>
          <w:bottom w:w="0" w:type="dxa"/>
          <w:right w:w="0" w:type="dxa"/>
        </w:tblCellMar>
      </w:tblPr>
      <w:tr>
        <w:trPr>
          <w:trHeight w:val="142"/>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0"/>
        </w:trPr>
        <w:tc>
          <w:tcPr>
            <w:tcW w:w="4780" w:type="dxa"/>
            <w:vAlign w:val="bottom"/>
            <w:gridSpan w:val="3"/>
            <w:vMerge w:val="continue"/>
          </w:tcPr>
          <w:p>
            <w:pPr>
              <w:spacing w:after="0"/>
              <w:rPr>
                <w:sz w:val="12"/>
                <w:szCs w:val="12"/>
                <w:color w:val="auto"/>
              </w:rPr>
            </w:pPr>
          </w:p>
        </w:tc>
        <w:tc>
          <w:tcPr>
            <w:tcW w:w="3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0" w:type="dxa"/>
            <w:vAlign w:val="bottom"/>
          </w:tcPr>
          <w:p>
            <w:pPr>
              <w:ind w:left="400"/>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collateralized/cash borrowings received</w:t>
            </w:r>
          </w:p>
        </w:tc>
        <w:tc>
          <w:tcPr>
            <w:tcW w:w="35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center"/>
              <w:ind w:left="1942"/>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35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center"/>
              <w:ind w:left="1902"/>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w:t>
            </w:r>
          </w:p>
        </w:tc>
        <w:tc>
          <w:tcPr>
            <w:tcW w:w="35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Borders>
              <w:bottom w:val="single" w:sz="8" w:color="auto"/>
            </w:tcBorders>
            <w:shd w:val="clear" w:color="auto" w:fill="CCEEFF"/>
          </w:tcPr>
          <w:p>
            <w:pPr>
              <w:jc w:val="center"/>
              <w:ind w:left="1942"/>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574"/>
              <w:spacing w:after="0"/>
              <w:rPr>
                <w:sz w:val="20"/>
                <w:szCs w:val="20"/>
                <w:color w:val="auto"/>
              </w:rPr>
            </w:pPr>
            <w:r>
              <w:rPr>
                <w:rFonts w:ascii="Times New Roman" w:cs="Times New Roman" w:eastAsia="Times New Roman" w:hAnsi="Times New Roman"/>
                <w:sz w:val="17"/>
                <w:szCs w:val="17"/>
                <w:color w:val="auto"/>
              </w:rPr>
              <w:t>10</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 w:name="page11"/>
    <w:bookmarkEnd w:id="10"/>
    <w:p>
      <w:pPr>
        <w:ind w:right="8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operating activities during the nine months ended September 30, 2024:</w:t>
      </w:r>
    </w:p>
    <w:tbl>
      <w:tblPr>
        <w:tblLayout w:type="fixed"/>
        <w:tblInd w:w="0" w:type="dxa"/>
        <w:tblCellMar>
          <w:top w:w="0" w:type="dxa"/>
          <w:left w:w="0" w:type="dxa"/>
          <w:bottom w:w="0" w:type="dxa"/>
          <w:right w:w="0" w:type="dxa"/>
        </w:tblCellMar>
      </w:tblPr>
      <w:tr>
        <w:trPr>
          <w:trHeight w:val="142"/>
        </w:trPr>
        <w:tc>
          <w:tcPr>
            <w:tcW w:w="8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 w:type="dxa"/>
            <w:vAlign w:val="bottom"/>
          </w:tcPr>
          <w:p>
            <w:pPr>
              <w:spacing w:after="0"/>
              <w:rPr>
                <w:sz w:val="12"/>
                <w:szCs w:val="12"/>
                <w:color w:val="auto"/>
              </w:rPr>
            </w:pPr>
          </w:p>
        </w:tc>
        <w:tc>
          <w:tcPr>
            <w:tcW w:w="2400" w:type="dxa"/>
            <w:vAlign w:val="bottom"/>
          </w:tcPr>
          <w:p>
            <w:pPr>
              <w:jc w:val="right"/>
              <w:ind w:right="762"/>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0"/>
        </w:trPr>
        <w:tc>
          <w:tcPr>
            <w:tcW w:w="83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2400" w:type="dxa"/>
            <w:vAlign w:val="bottom"/>
          </w:tcPr>
          <w:p>
            <w:pPr>
              <w:jc w:val="right"/>
              <w:ind w:right="782"/>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4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w:t>
            </w: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6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September 30, 2025 and December 31, 2024, the Company classified cash of $28 million and $9 million, respectively, as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for cash held in escrow related to acquisitions.</w:t>
      </w:r>
    </w:p>
    <w:p>
      <w:pPr>
        <w:spacing w:after="0" w:line="88" w:lineRule="exact"/>
        <w:rPr>
          <w:sz w:val="20"/>
          <w:szCs w:val="20"/>
          <w:color w:val="auto"/>
        </w:rPr>
      </w:pPr>
    </w:p>
    <w:p>
      <w:pPr>
        <w:ind w:right="2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5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2024,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2024-03, </w:t>
      </w:r>
      <w:r>
        <w:rPr>
          <w:rFonts w:ascii="Times New Roman" w:cs="Times New Roman" w:eastAsia="Times New Roman" w:hAnsi="Times New Roman"/>
          <w:sz w:val="17"/>
          <w:szCs w:val="17"/>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 Expenses</w:t>
      </w:r>
      <w:r>
        <w:rPr>
          <w:rFonts w:ascii="Times New Roman" w:cs="Times New Roman" w:eastAsia="Times New Roman" w:hAnsi="Times New Roman"/>
          <w:sz w:val="17"/>
          <w:szCs w:val="17"/>
          <w:color w:val="auto"/>
        </w:rPr>
        <w:t>. The amendments in this update require entities to disclose disaggregated information about certain costs and expenses in commonly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67"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the Accounting for Internal-Use Software</w:t>
      </w:r>
      <w:r>
        <w:rPr>
          <w:rFonts w:ascii="Times New Roman" w:cs="Times New Roman" w:eastAsia="Times New Roman" w:hAnsi="Times New Roman"/>
          <w:sz w:val="17"/>
          <w:szCs w:val="17"/>
          <w:color w:val="auto"/>
        </w:rPr>
        <w:t>. The amendments in this update remove all references to prescriptive and sequential software development stages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 the operability of the guidance to different software development methods. The amendments in this update will be effective for Wabtec's annual and interim reporting periods beginning January 1, 2028. The Company is assessing the extent of the impact of the amendments on its future filings.</w:t>
      </w:r>
    </w:p>
    <w:p>
      <w:pPr>
        <w:spacing w:after="0" w:line="60"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Adopted </w:t>
      </w:r>
      <w:r>
        <w:rPr>
          <w:rFonts w:ascii="Times New Roman" w:cs="Times New Roman" w:eastAsia="Times New Roman" w:hAnsi="Times New Roman"/>
          <w:sz w:val="17"/>
          <w:szCs w:val="17"/>
          <w:color w:val="auto"/>
        </w:rPr>
        <w:t>In December 2023, the FASB issued ASU 2023-09,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are effective for Wabtec's annual reporting periods beginning January 1, 2025. The amendments require increased annual disclosures on current and comparable reporting periods presented in annual company filings. The resulting new annual disclosure requirements will be reflected in our 2025 report on Form 10-K.</w:t>
      </w:r>
    </w:p>
    <w:p>
      <w:pPr>
        <w:spacing w:after="0" w:line="65"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(loss) income comprises both Net income and Other comprehensive (loss) income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 w:name="page12"/>
    <w:bookmarkEnd w:id="11"/>
    <w:p>
      <w:pPr>
        <w:ind w:right="6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September 30, 2025 and 2024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w w:val="97"/>
              </w:rPr>
              <w:t>(678)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7"/>
                <w:szCs w:val="17"/>
                <w:color w:val="auto"/>
                <w:w w:val="93"/>
              </w:rPr>
              <w:t>114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w w:val="97"/>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nine months ended September 30, 2025 and 2024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3"/>
                <w:szCs w:val="13"/>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320" w:firstLine="464"/>
        <w:spacing w:after="0" w:line="264" w:lineRule="auto"/>
        <w:rPr>
          <w:sz w:val="20"/>
          <w:szCs w:val="20"/>
          <w:color w:val="auto"/>
        </w:rPr>
      </w:pPr>
      <w:r>
        <w:rPr>
          <w:rFonts w:ascii="Times New Roman" w:cs="Times New Roman" w:eastAsia="Times New Roman" w:hAnsi="Times New Roman"/>
          <w:sz w:val="17"/>
          <w:szCs w:val="17"/>
          <w:color w:val="auto"/>
        </w:rPr>
        <w:t>Amounts included under Derivative contracts related to interest rate hedges reclassified from Accumulated other comprehensive loss are recognized in "Interest expense, net" with the tax impact recognized in "Income tax expense" on the Condensed Consolidated Statements of Income. All other amounts reclassified from Accumulated other comprehensive loss are recognized in "Other income, net" with the tax impact recognized in "Income tax expense" on the Condensed Consolidated Statements of Income.</w:t>
      </w:r>
    </w:p>
    <w:p>
      <w:pPr>
        <w:spacing w:after="0" w:line="62" w:lineRule="exact"/>
        <w:rPr>
          <w:sz w:val="20"/>
          <w:szCs w:val="20"/>
          <w:color w:val="auto"/>
        </w:rPr>
      </w:pPr>
    </w:p>
    <w:p>
      <w:pPr>
        <w:ind w:right="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Stock </w:t>
      </w:r>
      <w:r>
        <w:rPr>
          <w:rFonts w:ascii="Times New Roman" w:cs="Times New Roman" w:eastAsia="Times New Roman" w:hAnsi="Times New Roman"/>
          <w:sz w:val="17"/>
          <w:szCs w:val="17"/>
          <w:color w:val="auto"/>
        </w:rPr>
        <w:t>During the first quarter of 2025, we retired 55 million shares of treasury stock. The retirement of treasury stock is recognized as a deduction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common stock for the shares' par value and any excess over par as a deduction from retained earnings.</w:t>
      </w:r>
    </w:p>
    <w:p>
      <w:pPr>
        <w:spacing w:after="0" w:line="37"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does not result in a change in the classification of amounts due as Accounts payable in the Condensed Consolidated Balance Sheets. Suppliers utilized the program to accelerate receipt of payment from these financial institutions for $301 million and $311 million of the Company's outstanding Accounts payable as of September 30, 2025 and December 31, 2024,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05" w:lineRule="exact"/>
        <w:rPr>
          <w:sz w:val="20"/>
          <w:szCs w:val="20"/>
          <w:color w:val="auto"/>
        </w:rPr>
      </w:pPr>
    </w:p>
    <w:p>
      <w:pPr>
        <w:ind w:right="20" w:firstLine="464"/>
        <w:spacing w:after="0" w:line="244" w:lineRule="auto"/>
        <w:rPr>
          <w:sz w:val="20"/>
          <w:szCs w:val="20"/>
          <w:color w:val="auto"/>
        </w:rPr>
      </w:pPr>
      <w:r>
        <w:rPr>
          <w:rFonts w:ascii="Times New Roman" w:cs="Times New Roman" w:eastAsia="Times New Roman" w:hAnsi="Times New Roman"/>
          <w:sz w:val="17"/>
          <w:szCs w:val="17"/>
          <w:color w:val="auto"/>
        </w:rPr>
        <w:t>On July 1, 2025, Wabtec acquired 100% ownership in Evident’s Inspection Technologies division ("Inspection Technologies") for approximately $1.788 billion. Inspection Technologies was formerly part of the Scientific Solutions Division of Olympus Corporation,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reports within the Digital Intelligence product line of the Freight Segment. The acquisition was funded with a combination of cash on hand, proceeds from the 2035 Notes, and borrowings under other sources of available liquidity.</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preliminary fair value of the Inspection Technologies assets acquired and liabilities assumed: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Discounted cash flow models were used to estimate the fair values of acquired intangible assets.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70" w:lineRule="exact"/>
        <w:rPr>
          <w:sz w:val="20"/>
          <w:szCs w:val="20"/>
          <w:color w:val="auto"/>
        </w:rPr>
      </w:pPr>
    </w:p>
    <w:p>
      <w:pPr>
        <w:ind w:right="300" w:firstLine="464"/>
        <w:spacing w:after="0" w:line="264"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Approximately half of the purchased goodwill is expected to be deductible for tax purposes. The pro forma impact on Wabtec’s sales and results of operations, including the pro forma effect of events that are directly attributable to the acquisition, was not significant.</w:t>
      </w:r>
    </w:p>
    <w:p>
      <w:pPr>
        <w:spacing w:after="0" w:line="55" w:lineRule="exact"/>
        <w:rPr>
          <w:sz w:val="20"/>
          <w:szCs w:val="20"/>
          <w:color w:val="auto"/>
        </w:rPr>
      </w:pPr>
    </w:p>
    <w:p>
      <w:pPr>
        <w:ind w:right="800" w:firstLine="464"/>
        <w:spacing w:after="0" w:line="271" w:lineRule="auto"/>
        <w:rPr>
          <w:sz w:val="20"/>
          <w:szCs w:val="20"/>
          <w:color w:val="auto"/>
        </w:rPr>
      </w:pPr>
      <w:r>
        <w:rPr>
          <w:rFonts w:ascii="Times New Roman" w:cs="Times New Roman" w:eastAsia="Times New Roman" w:hAnsi="Times New Roman"/>
          <w:sz w:val="17"/>
          <w:szCs w:val="17"/>
          <w:color w:val="auto"/>
        </w:rPr>
        <w:t>Also during the nine months ended September 30, 2025, the Freight Segment completed two additional acquisitions which were individually and collectively immaterial.</w:t>
      </w:r>
    </w:p>
    <w:p>
      <w:pPr>
        <w:spacing w:after="0" w:line="48" w:lineRule="exact"/>
        <w:rPr>
          <w:sz w:val="20"/>
          <w:szCs w:val="20"/>
          <w:color w:val="auto"/>
        </w:rPr>
      </w:pPr>
    </w:p>
    <w:p>
      <w:pPr>
        <w:ind w:right="140" w:firstLine="464"/>
        <w:spacing w:after="0" w:line="271" w:lineRule="auto"/>
        <w:rPr>
          <w:sz w:val="20"/>
          <w:szCs w:val="20"/>
          <w:color w:val="auto"/>
        </w:rPr>
      </w:pPr>
      <w:r>
        <w:rPr>
          <w:rFonts w:ascii="Times New Roman" w:cs="Times New Roman" w:eastAsia="Times New Roman" w:hAnsi="Times New Roman"/>
          <w:sz w:val="17"/>
          <w:szCs w:val="17"/>
          <w:color w:val="auto"/>
        </w:rPr>
        <w:t>On July 7, 2025, Wabtec announced a definitive agreement to acquire Frauscher Sensor Technology Group GmbH ("Frauscher"), a global market leader in train detection, wayside object control solutions and axle counting systems for approximately €675 million.</w:t>
      </w:r>
    </w:p>
    <w:p>
      <w:pPr>
        <w:spacing w:after="0" w:line="48" w:lineRule="exact"/>
        <w:rPr>
          <w:sz w:val="20"/>
          <w:szCs w:val="20"/>
          <w:color w:val="auto"/>
        </w:rPr>
      </w:pPr>
    </w:p>
    <w:p>
      <w:pPr>
        <w:ind w:right="620" w:firstLine="464"/>
        <w:spacing w:after="0" w:line="271" w:lineRule="auto"/>
        <w:rPr>
          <w:sz w:val="20"/>
          <w:szCs w:val="20"/>
          <w:color w:val="auto"/>
        </w:rPr>
      </w:pPr>
      <w:r>
        <w:rPr>
          <w:rFonts w:ascii="Times New Roman" w:cs="Times New Roman" w:eastAsia="Times New Roman" w:hAnsi="Times New Roman"/>
          <w:sz w:val="17"/>
          <w:szCs w:val="17"/>
          <w:color w:val="auto"/>
        </w:rPr>
        <w:t>On March 18, 2025, Wabtec announced a definitive agreement to acquire Dellner Couplers, a global leader in highly engineered safety-critical train connection systems and services for passenger rail rolling stock, for approximately €890 million.</w:t>
      </w:r>
    </w:p>
    <w:p>
      <w:pPr>
        <w:spacing w:after="0" w:line="48" w:lineRule="exact"/>
        <w:rPr>
          <w:sz w:val="20"/>
          <w:szCs w:val="20"/>
          <w:color w:val="auto"/>
        </w:rPr>
      </w:pPr>
    </w:p>
    <w:p>
      <w:pPr>
        <w:ind w:right="40" w:firstLine="464"/>
        <w:spacing w:after="0" w:line="246" w:lineRule="auto"/>
        <w:rPr>
          <w:sz w:val="20"/>
          <w:szCs w:val="20"/>
          <w:color w:val="auto"/>
        </w:rPr>
      </w:pPr>
      <w:r>
        <w:rPr>
          <w:rFonts w:ascii="Times New Roman" w:cs="Times New Roman" w:eastAsia="Times New Roman" w:hAnsi="Times New Roman"/>
          <w:sz w:val="17"/>
          <w:szCs w:val="17"/>
          <w:color w:val="auto"/>
        </w:rPr>
        <w:t>Both announced transactions are subject to customary closing conditions and regulatory approvals. Transaction costs related to the completed and announced acquisitions for the three and nine months ended September 30, 2025, were approximately $9 million and $44 million, respectively, and are included in Selling, general, and administrative expenses.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were individually and collectively immaterial.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6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79"/>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39"/>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4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180" w:type="dxa"/>
            <w:vAlign w:val="bottom"/>
          </w:tcPr>
          <w:p>
            <w:pPr>
              <w:spacing w:after="0"/>
              <w:rPr>
                <w:sz w:val="14"/>
                <w:szCs w:val="14"/>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Transit Segment</w:t>
            </w:r>
          </w:p>
        </w:tc>
        <w:tc>
          <w:tcPr>
            <w:tcW w:w="240" w:type="dxa"/>
            <w:vAlign w:val="bottom"/>
          </w:tcPr>
          <w:p>
            <w:pPr>
              <w:spacing w:after="0"/>
              <w:rPr>
                <w:sz w:val="14"/>
                <w:szCs w:val="14"/>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8,710</w:t>
            </w:r>
          </w:p>
        </w:tc>
        <w:tc>
          <w:tcPr>
            <w:tcW w:w="0" w:type="dxa"/>
            <w:vAlign w:val="bottom"/>
          </w:tcPr>
          <w:p>
            <w:pPr>
              <w:spacing w:after="0"/>
              <w:rPr>
                <w:sz w:val="1"/>
                <w:szCs w:val="1"/>
                <w:color w:val="auto"/>
              </w:rPr>
            </w:pP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 2025</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As of September 30, 2025 and December 31, 2024, the Company’s trade names had a net carrying amount of $788 million and $595 million, respectively. The Company believes these intangibles have indefinite lives, with the exception of the right to use the GE Transportation trade name, to which the Company had assigned a useful life of 5 years and became fully amortized in the first quarter of 2024.</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3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3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40"/>
        </w:trPr>
        <w:tc>
          <w:tcPr>
            <w:tcW w:w="2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0" w:type="dxa"/>
            <w:vAlign w:val="bottom"/>
          </w:tcPr>
          <w:p>
            <w:pPr>
              <w:spacing w:after="0"/>
              <w:rPr>
                <w:sz w:val="1"/>
                <w:szCs w:val="1"/>
                <w:color w:val="auto"/>
              </w:rPr>
            </w:pPr>
          </w:p>
        </w:tc>
      </w:tr>
      <w:tr>
        <w:trPr>
          <w:trHeight w:val="206"/>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4,587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(1,829)</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4,062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At September 30, 2025, the weighted average remaining useful lives of backlog, customer relationships and acquired technology were 8 years, 16 years and 7 years, respectively. The backlog intangible asset primarily consists of in-place long-term service agreements acquired by the Company in conjunction with the acquisition of GE Transportation. Amortization expense for intangible assets was $77 million and $219 million for the three and nine months ended September 30, 2025, respectively, and $79 million and $224 million for the three and nine months ended September 30, 2024,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2029</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320" w:firstLine="464"/>
        <w:spacing w:after="0" w:line="260"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$191 million at September 30, 2025 and $170 million at December 31, 2024. The Company has elected to use the practical expedient and does not consider unbilled amounts anticipated to be paid within one year as significant financing components.</w:t>
      </w:r>
    </w:p>
    <w:p>
      <w:pPr>
        <w:spacing w:after="0" w:line="70"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$187 million at September 30, 2025 and $389 million at December 31, 2024.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$86 million and $91 million at September 30, 2025 and December 31, 2024, respectively. These provisions for estimated losses are classified as current liabilities and included within the caption “Other accrued liabilities” on the Condensed Consolidated Balance Sheets.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nine months ended September 30, 2025 and 2024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jc w:val="both"/>
        <w:ind w:right="140" w:firstLine="464"/>
        <w:spacing w:after="0" w:line="264" w:lineRule="auto"/>
        <w:rPr>
          <w:sz w:val="20"/>
          <w:szCs w:val="20"/>
          <w:color w:val="auto"/>
        </w:rPr>
      </w:pPr>
      <w:r>
        <w:rPr>
          <w:rFonts w:ascii="Times New Roman" w:cs="Times New Roman" w:eastAsia="Times New Roman" w:hAnsi="Times New Roman"/>
          <w:sz w:val="17"/>
          <w:szCs w:val="17"/>
          <w:color w:val="auto"/>
        </w:rPr>
        <w:t>Operating lease expense was $19 million and $52 million for the three and nine months ended September 30, 2025, respectively, and $18 million and $50 million for the three and nine months ended September 30, 2024, respectively. New operating leases of $82 million and $117 million were added during the three and nine months ended September 30, 2025, respectively, and $8 million and $40 million for the three and nine months ended September 30, 2024, respectively. Wabtec does not have material financing leases, short-term or variable leases or sublease income.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6"/>
              </w:rPr>
              <w:t>Face Value</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3"/>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2025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N/A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Facility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3.20% Senior Notes, due 2025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3.45% Senior Notes, due 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1.25% Senior Notes (EUR), due 2027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4.70% Senior Notes, due 2028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3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4.90% Senior Notes, due 2030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3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5.50% Senior Notes, due 2035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346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2025 and December 31, 2024, the Company had total combined unamortized discount and debt issuance costs of $27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20" w:lineRule="exact"/>
        <w:rPr>
          <w:sz w:val="20"/>
          <w:szCs w:val="20"/>
          <w:color w:val="auto"/>
        </w:rPr>
      </w:pPr>
    </w:p>
    <w:p>
      <w:pPr>
        <w:jc w:val="both"/>
        <w:ind w:right="260" w:firstLine="464"/>
        <w:spacing w:after="0" w:line="264" w:lineRule="auto"/>
        <w:rPr>
          <w:sz w:val="20"/>
          <w:szCs w:val="20"/>
          <w:color w:val="auto"/>
        </w:rPr>
      </w:pPr>
      <w:r>
        <w:rPr>
          <w:rFonts w:ascii="Times New Roman" w:cs="Times New Roman" w:eastAsia="Times New Roman" w:hAnsi="Times New Roman"/>
          <w:sz w:val="17"/>
          <w:szCs w:val="17"/>
          <w:color w:val="auto"/>
        </w:rPr>
        <w:t>On August 15, 2022, the Company entered into an unsecured credit agreement (the "2022 Credit Agreement"). The 2022 Credit Agreement provided for borrowings consisting of (i) a multi-currency revolving credit facility for an equivalent in U.S. dollars of up to $1.5 billion and (ii) a $250 million delayed draw term loan facility (the “Delayed Draw Term Loan”), all pursuant to the terms and conditions of the 2022 Credit Agreement. On March 14, 2024, the Company entered into a new stand-alone credit agreement (the "2024 Credit Agreement") for a term loan of $225 million.</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On April 23, 2025, the Company entered into a new unsecured credit agreement (the "2025 Credit Agreement"), which amended and restated the 2022 Credit Agreement and refinanced the 2024 Credit Agreement.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(i) $250 million of the outstanding Delayed Draw Term Loan under the 2022 Credit Agreement and (ii) $225 million of the outstanding Term Loan under the 2024 Credit Agreement. During the third quarter of 2025, the remaining $250 million under the Term Loan Facility was drawn and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ind w:right="100"/>
        <w:spacing w:after="0" w:line="287" w:lineRule="auto"/>
        <w:rPr>
          <w:sz w:val="20"/>
          <w:szCs w:val="20"/>
          <w:color w:val="auto"/>
        </w:rPr>
      </w:pPr>
      <w:r>
        <w:rPr>
          <w:rFonts w:ascii="Times New Roman" w:cs="Times New Roman" w:eastAsia="Times New Roman" w:hAnsi="Times New Roman"/>
          <w:sz w:val="17"/>
          <w:szCs w:val="17"/>
          <w:color w:val="auto"/>
        </w:rPr>
        <w:t>new incremental term loan commitments (the "Incremental Facility"). The agreement contains affirmative, negative and financial covenants, and events of default customary for facilities of this type.</w:t>
      </w:r>
    </w:p>
    <w:p>
      <w:pPr>
        <w:spacing w:after="0" w:line="4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The Revolving Credit Facility matures on April 23, 2030. The Term Loan Facility was fully drawn at September 30, 2025, and all borrowings under the Term Loan Facility mature on April 23, 2030. Amounts borrowed and repaid under the Term Loan Facility may not be reborrowed. The applicable interest rate for borrowings under the 2025 Credit Agreement includes a base rate (per the Interest Election terms of the agreement) plus an interest rate spread up to 1.75% based on the lower of the pricing corresponding to (i) the Company’s financial leverage or (ii) the Company’s public credit rating. At September 30, 2025, the interest rate on the Term Loan Facility was 5.5% and the interest rate on the undrawn Revolving Credit Facility was 5.4%. Obligations under the 2025 Credit Agreement have been guaranteed by certain of the Company’s subsidiaries.</w:t>
      </w:r>
    </w:p>
    <w:p>
      <w:pPr>
        <w:spacing w:after="0" w:line="70"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was in compliance with all financial covenants in the 2025 Credit Agreement as of September 30, 2025.</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2025 Credit Agreement at September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00" w:type="dxa"/>
            <w:vAlign w:val="bottom"/>
          </w:tcPr>
          <w:p>
            <w:pPr>
              <w:spacing w:after="0"/>
              <w:rPr>
                <w:sz w:val="15"/>
                <w:szCs w:val="15"/>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Term Loan Facility</w:t>
            </w:r>
          </w:p>
        </w:tc>
        <w:tc>
          <w:tcPr>
            <w:tcW w:w="340" w:type="dxa"/>
            <w:vAlign w:val="bottom"/>
          </w:tcPr>
          <w:p>
            <w:pPr>
              <w:spacing w:after="0"/>
              <w:rPr>
                <w:sz w:val="15"/>
                <w:szCs w:val="15"/>
                <w:color w:val="auto"/>
              </w:rPr>
            </w:pPr>
          </w:p>
        </w:tc>
        <w:tc>
          <w:tcPr>
            <w:tcW w:w="118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1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2,725</w:t>
            </w:r>
          </w:p>
        </w:tc>
        <w:tc>
          <w:tcPr>
            <w:tcW w:w="0" w:type="dxa"/>
            <w:vAlign w:val="bottom"/>
          </w:tcPr>
          <w:p>
            <w:pPr>
              <w:spacing w:after="0"/>
              <w:rPr>
                <w:sz w:val="1"/>
                <w:szCs w:val="1"/>
                <w:color w:val="auto"/>
              </w:rPr>
            </w:pPr>
          </w:p>
        </w:tc>
      </w:tr>
      <w:tr>
        <w:trPr>
          <w:trHeight w:val="203"/>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6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0" w:type="dxa"/>
            <w:vAlign w:val="bottom"/>
          </w:tcPr>
          <w:p>
            <w:pPr>
              <w:spacing w:after="0"/>
              <w:rPr>
                <w:sz w:val="1"/>
                <w:szCs w:val="1"/>
                <w:color w:val="auto"/>
              </w:rPr>
            </w:pPr>
          </w:p>
        </w:tc>
      </w:tr>
      <w:tr>
        <w:trPr>
          <w:trHeight w:val="20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05"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3.20% Senior Notes due 2025 (the "2025 Notes"), 3.45% Senior Notes due 2026 (the "2026 Notes"), 1.25% Senior Notes (EUR) due 2027 (the "Euro Notes"), 4.70% Senior Notes due 2028 (the "2028 Notes"), 4.90% Senior Notes due 2030 (the "2030 Notes"), 5.611% Senior Notes due 2034 (the "2034 Notes"), and 5.50% Senior Notes due 2035 (the "2035 Notes"). The 2025 Notes, 2026 Notes, 2028 Notes, 2030 Notes, 2034 Notes, and 2035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76" w:lineRule="exact"/>
        <w:rPr>
          <w:sz w:val="20"/>
          <w:szCs w:val="20"/>
          <w:color w:val="auto"/>
        </w:rPr>
      </w:pPr>
    </w:p>
    <w:p>
      <w:pPr>
        <w:jc w:val="both"/>
        <w:ind w:right="40" w:firstLine="464"/>
        <w:spacing w:after="0" w:line="264" w:lineRule="auto"/>
        <w:rPr>
          <w:sz w:val="20"/>
          <w:szCs w:val="20"/>
          <w:color w:val="auto"/>
        </w:rPr>
      </w:pPr>
      <w:r>
        <w:rPr>
          <w:rFonts w:ascii="Times New Roman" w:cs="Times New Roman" w:eastAsia="Times New Roman" w:hAnsi="Times New Roman"/>
          <w:sz w:val="17"/>
          <w:szCs w:val="17"/>
          <w:color w:val="auto"/>
        </w:rPr>
        <w:t>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w:t>
      </w:r>
    </w:p>
    <w:p>
      <w:pPr>
        <w:spacing w:after="0" w:line="68" w:lineRule="exact"/>
        <w:rPr>
          <w:sz w:val="20"/>
          <w:szCs w:val="20"/>
          <w:color w:val="auto"/>
        </w:rPr>
      </w:pPr>
    </w:p>
    <w:p>
      <w:pPr>
        <w:jc w:val="both"/>
        <w:ind w:right="6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2030 Notes and cash on hand were utilized to repay the outstanding amount of the 2025 Notes at maturity. Proceeds from the 2035 Notes were utilized as part of funding for the Inspection Technologies acquisition, which closed July 1, 2025.</w:t>
      </w:r>
    </w:p>
    <w:p>
      <w:pPr>
        <w:spacing w:after="0" w:line="48" w:lineRule="exact"/>
        <w:rPr>
          <w:sz w:val="20"/>
          <w:szCs w:val="20"/>
          <w:color w:val="auto"/>
        </w:rPr>
      </w:pPr>
    </w:p>
    <w:p>
      <w:pPr>
        <w:ind w:right="360" w:firstLine="464"/>
        <w:spacing w:after="0" w:line="287"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The 2034 Notes were issued at 100% of face value and the Company recognized approximately $5 million of total deferred financing costs. Interest on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ind w:right="120"/>
        <w:spacing w:after="0" w:line="287" w:lineRule="auto"/>
        <w:rPr>
          <w:sz w:val="20"/>
          <w:szCs w:val="20"/>
          <w:color w:val="auto"/>
        </w:rPr>
      </w:pPr>
      <w:r>
        <w:rPr>
          <w:rFonts w:ascii="Times New Roman" w:cs="Times New Roman" w:eastAsia="Times New Roman" w:hAnsi="Times New Roman"/>
          <w:sz w:val="17"/>
          <w:szCs w:val="17"/>
          <w:color w:val="auto"/>
        </w:rPr>
        <w:t>2034 Notes accrues at a rate of 5.611% per year, payable semi-annually on March 11 and September 11 of each year, commencing September 11, 2024. The 2034 Notes will mature on March 11, 2034.</w:t>
      </w:r>
    </w:p>
    <w:p>
      <w:pPr>
        <w:spacing w:after="0" w:line="48"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repay the outstanding amount of our 4.15% Senior Notes due 2024 (the "2024 Notes") at maturity.</w:t>
      </w:r>
    </w:p>
    <w:p>
      <w:pPr>
        <w:spacing w:after="0" w:line="4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Parent Company.</w:t>
      </w:r>
    </w:p>
    <w:p>
      <w:pPr>
        <w:spacing w:after="0" w:line="282"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September 30, 2025, the number of shares available for future grants under the 2011 Plan was approximately 3.9 million shares. The Company also maintains a 1995 Non-Employee Directors’ Fee and Stock Option Plan as amended and restated (“the Directors Plan”).</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Stock-based compensation expense was $24 million and $68 million for the three and nine months ended September 30, 2025, respectively, and $23 million and $57 million for the three and nine months ended September 30, 2024, respectively. At September 30, 2025, unamortized compensation expense related to stock options, non-vested restricted shares and incentive stock units expected to vest was approximately $105 million.</w:t>
      </w:r>
    </w:p>
    <w:p>
      <w:pPr>
        <w:spacing w:after="0" w:line="56"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September 30, 2025, there were 92,925 shares issuable pursuant to exercisable stock options.</w:t>
      </w:r>
    </w:p>
    <w:p>
      <w:pPr>
        <w:spacing w:after="0" w:line="184" w:lineRule="exact"/>
        <w:rPr>
          <w:sz w:val="20"/>
          <w:szCs w:val="20"/>
          <w:color w:val="auto"/>
        </w:rPr>
      </w:pPr>
    </w:p>
    <w:p>
      <w:pPr>
        <w:ind w:right="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Units </w:t>
      </w:r>
      <w:r>
        <w:rPr>
          <w:rFonts w:ascii="Times New Roman" w:cs="Times New Roman" w:eastAsia="Times New Roman" w:hAnsi="Times New Roman"/>
          <w:sz w:val="17"/>
          <w:szCs w:val="17"/>
          <w:color w:val="auto"/>
        </w:rPr>
        <w:t>As provided for under the 2011 Plan and 2000 Plan, eligible employees are granted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and restricted stock units that generally vest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or 20% depending on the plan year.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September 30, 2025, the Company estimates that it will achieve 188%, 200% and 139% for the incentive stock awards expected to vest, inclusive of the RTSR modifier, based on the estimated performance for the three-year periods ending December 31, 2025, 2026, and 2027,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728,036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115.71</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278,954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163,177</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187.34</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(381,737)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(298,747)</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100.59</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112,531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140.81</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604,468</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852,863</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overall effective tax rate for the three and nine months ended September 30,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3Q25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3Q24</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3Q25 YTD</w:t>
            </w: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3Q24 YTD</w:t>
            </w:r>
          </w:p>
        </w:tc>
      </w:tr>
      <w:tr>
        <w:trPr>
          <w:trHeight w:val="212"/>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Overall Effective Tax Rate</w:t>
            </w: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24.1 %</w:t>
            </w:r>
          </w:p>
        </w:tc>
      </w:tr>
    </w:tbl>
    <w:p>
      <w:pPr>
        <w:spacing w:after="0" w:line="164"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The year over year increase in the effective rate for the both the three and nine months ended September 30, 2025 was primarily driven by audit closures that occurred during the third quarter of 2024 and the jurisdictional mix of earnings. Additionally, the year over year increase in the effective tax rate for the nine month period ended September 30, 2025 was impacted by non-deductible transaction related expenses.</w:t>
      </w:r>
    </w:p>
    <w:p>
      <w:pPr>
        <w:spacing w:after="0" w:line="62"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Company is evaluating the impacts of these provisions and does not expect the OBBBA to have a material impact on our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0.3% of Net income attributable to Wabtec shareholders being allocated to non-vested restricted stock in all periods presented.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42"/>
        </w:trPr>
        <w:tc>
          <w:tcPr>
            <w:tcW w:w="5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8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non-vested restricted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earnings per common share</w:t>
            </w: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68"/>
        </w:trPr>
        <w:tc>
          <w:tcPr>
            <w:tcW w:w="51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Assumed conversion of dilutive stock-based compensation plans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excluding non-vested restricted stock</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2"/>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516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common share attributable to Wabtec shareholders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nine months ended September 30, 2025 and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September 30</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1" w:name="page22"/>
    <w:bookmarkEnd w:id="21"/>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September 30, 2025 and December 31, 2024. The Senior Notes are considered Level 2 based on the fair value valuation hierarchy.</w:t>
      </w:r>
    </w:p>
    <w:p>
      <w:pPr>
        <w:spacing w:after="0" w:line="56"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nine months ended September 30, 2025 and 2024, the amounts reclassified into income were not material.</w:t>
      </w:r>
    </w:p>
    <w:p>
      <w:pPr>
        <w:spacing w:after="0" w:line="7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Canadian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income, net. The net gains and losses related to these contracts, except as described below, were not material for the three and nine months ended September 30, 2025 and 2024. These contracts typically mature within one year.</w:t>
      </w:r>
    </w:p>
    <w:p>
      <w:pPr>
        <w:spacing w:after="0" w:line="6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connection with the announced definitive agreements to acquire Dellner Couplers and Frauscher, the Company entered into foreign exchange contracts for a notional value of €890 million to mitigate foreign currency exposure of the purchase price. The contracts are not designated as accounting hedges under Topic 815 of ASC, and as such, the gains and losses are recorded as a component of Other (expense) income, net. For the three and nine months ended September 30, 2025 these contracts resulted in a net loss of $(2) million and a net gain of $30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05" w:lineRule="exact"/>
        <w:rPr>
          <w:sz w:val="20"/>
          <w:szCs w:val="20"/>
          <w:color w:val="auto"/>
        </w:rPr>
      </w:pPr>
    </w:p>
    <w:p>
      <w:pPr>
        <w:ind w:right="120" w:firstLine="464"/>
        <w:spacing w:after="0" w:line="245"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 put principal capital at risk. During the second quarter of 2025, interest rate hedge contracts related to Senior Notes issued during 2025 closed. During the first quarter of 2024, interest rate hedge contracts related to the 2034 Notes closed. For the three and nine months ended September 30, 2025 and 2024, the amounts reclassified into income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and nine months ended September 30, 2025 and 2024, the amounts recognized as income or expense were not material.</w:t>
      </w:r>
    </w:p>
    <w:p>
      <w:pPr>
        <w:spacing w:after="0" w:line="48"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September 30, 2025,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ind w:left="60"/>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center"/>
              <w:ind w:left="978"/>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938"/>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center"/>
              <w:ind w:left="938"/>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center"/>
              <w:ind w:left="977"/>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center"/>
              <w:ind w:left="977"/>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On June 12, 2025, the Court dismissed the antitrust claims against Wabtec saying that no harmful effects on competition resulting from the merger had been shown. The Court did not dismiss the alleged breach of contract, unfair competition, defamation and false advertising claims, which Wabtec intends to vigorously defend.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3" w:name="page24"/>
    <w:bookmarkEnd w:id="23"/>
    <w:p>
      <w:pPr>
        <w:ind w:right="40" w:firstLine="464"/>
        <w:spacing w:after="0" w:line="245"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received notices from Denver Transit Constructors (“DTC”) alleging breach of contract related to the operation of a wireless crossing system provided by Xorail for use by the Denver Regional Transit District ("RTD"). DTC’s alleged damages stem from a delay in approval of the wireless crossing system by regulatory authorities, which resulted in the interim use of flaggers at the crossings. Xorail denied DTC's assertions, stating that the system satisfied the contractual requirements. DTC has since contacted Xorail seeking $58 million in damages; Xorail has denied liability, but there can be no assurances as to the ultimate outcome of this claim.</w:t>
      </w:r>
    </w:p>
    <w:p>
      <w:pPr>
        <w:spacing w:after="0" w:line="85"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Freight Segment 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6"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Transit Segment primarily manufactures and services components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76"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w:t>
      </w:r>
    </w:p>
    <w:p>
      <w:pPr>
        <w:spacing w:after="0" w:line="72"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7"/>
          <w:szCs w:val="17"/>
          <w:color w:val="auto"/>
        </w:rPr>
        <w:t>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72" w:lineRule="exact"/>
        <w:rPr>
          <w:sz w:val="20"/>
          <w:szCs w:val="20"/>
          <w:color w:val="auto"/>
        </w:rPr>
      </w:pPr>
    </w:p>
    <w:p>
      <w:pPr>
        <w:jc w:val="both"/>
        <w:ind w:right="6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September 30, 2025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31.7 %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15,471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4,454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21,527</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September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35.0 %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28.2 %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13,259</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4,102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18,644</w:t>
            </w:r>
          </w:p>
        </w:tc>
        <w:tc>
          <w:tcPr>
            <w:tcW w:w="0" w:type="dxa"/>
            <w:vAlign w:val="bottom"/>
          </w:tcPr>
          <w:p>
            <w:pPr>
              <w:spacing w:after="0"/>
              <w:rPr>
                <w:sz w:val="1"/>
                <w:szCs w:val="1"/>
                <w:color w:val="auto"/>
              </w:rPr>
            </w:pPr>
          </w:p>
        </w:tc>
      </w:tr>
      <w:tr>
        <w:trPr>
          <w:trHeight w:val="84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nine months ended September 30, 2025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(3,781)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2,132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36.1 %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30.9 %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314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nine months ended September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5,674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(3,707)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(1,528)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1,967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34.7 %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28.2 %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4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r>
      <w:tr>
        <w:trPr>
          <w:trHeight w:val="212"/>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1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OTHER (EXPENSE) INCOME, NET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Other (expense) income, net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700" w:type="dxa"/>
            <w:vAlign w:val="bottom"/>
            <w:gridSpan w:val="4"/>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4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2"/>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(Loss) gain on mark-to-market derivatives</w:t>
            </w:r>
          </w:p>
        </w:tc>
        <w:tc>
          <w:tcPr>
            <w:tcW w:w="1000" w:type="dxa"/>
            <w:vAlign w:val="bottom"/>
          </w:tcPr>
          <w:p>
            <w:pPr>
              <w:spacing w:after="0"/>
              <w:rPr>
                <w:sz w:val="19"/>
                <w:szCs w:val="19"/>
                <w:color w:val="auto"/>
              </w:rPr>
            </w:pPr>
          </w:p>
        </w:tc>
        <w:tc>
          <w:tcPr>
            <w:tcW w:w="52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1000" w:type="dxa"/>
            <w:vAlign w:val="bottom"/>
          </w:tcPr>
          <w:p>
            <w:pPr>
              <w:spacing w:after="0"/>
              <w:rPr>
                <w:sz w:val="19"/>
                <w:szCs w:val="19"/>
                <w:color w:val="auto"/>
              </w:rPr>
            </w:pPr>
          </w:p>
        </w:tc>
        <w:tc>
          <w:tcPr>
            <w:tcW w:w="52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100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connection with the announced definitive agreements to acquire Dellner Couplers and Frauscher, the Company entered into foreign exchange contracts for a notional value of €890 million to mitigate foreign currency exposure of the purchase price. The contracts are not designated as accounting hedges under Topic 815 of ASC, and as such, the gains and losses are recorded as a component of Other (expense) income, net. For the three and nine months ended September 30, 2025, these contracts resulted in a net loss of $(2) million and a net gain of $30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600" w:firstLine="464"/>
        <w:spacing w:after="0" w:line="271"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key strategic initiatives aimed at achieving these focus areas.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3.0</w:t>
      </w:r>
    </w:p>
    <w:p>
      <w:pPr>
        <w:spacing w:after="0" w:line="105" w:lineRule="exact"/>
        <w:rPr>
          <w:sz w:val="20"/>
          <w:szCs w:val="20"/>
          <w:color w:val="auto"/>
        </w:rPr>
      </w:pPr>
    </w:p>
    <w:p>
      <w:pPr>
        <w:ind w:right="320" w:firstLine="464"/>
        <w:spacing w:after="0" w:line="248" w:lineRule="auto"/>
        <w:rPr>
          <w:sz w:val="20"/>
          <w:szCs w:val="20"/>
          <w:color w:val="auto"/>
        </w:rPr>
      </w:pPr>
      <w:r>
        <w:rPr>
          <w:rFonts w:ascii="Times New Roman" w:cs="Times New Roman" w:eastAsia="Times New Roman" w:hAnsi="Times New Roman"/>
          <w:sz w:val="17"/>
          <w:szCs w:val="17"/>
          <w:color w:val="auto"/>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Amounts recorded to date are approximately $24 million, including amounts recorded during the fourth quarter 2024, and are primarily for employee-related costs. Cash payments for the three and nine months ended September 30, 2025 were not material.</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3.0 initiative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4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55"/>
        </w:trPr>
        <w:tc>
          <w:tcPr>
            <w:tcW w:w="6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40" w:type="dxa"/>
            <w:vAlign w:val="bottom"/>
          </w:tcPr>
          <w:p>
            <w:pPr>
              <w:jc w:val="right"/>
              <w:ind w:right="96"/>
              <w:spacing w:after="0" w:line="135" w:lineRule="exact"/>
              <w:rPr>
                <w:sz w:val="20"/>
                <w:szCs w:val="20"/>
                <w:color w:val="auto"/>
              </w:rPr>
            </w:pPr>
            <w:r>
              <w:rPr>
                <w:rFonts w:ascii="Times New Roman" w:cs="Times New Roman" w:eastAsia="Times New Roman" w:hAnsi="Times New Roman"/>
                <w:sz w:val="15"/>
                <w:szCs w:val="15"/>
                <w:b w:val="1"/>
                <w:bCs w:val="1"/>
                <w:color w:val="auto"/>
              </w:rPr>
              <w:t>September 30, 2025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Pr>
          <w:p>
            <w:pPr>
              <w:jc w:val="right"/>
              <w:ind w:right="316"/>
              <w:spacing w:after="0" w:line="135" w:lineRule="exact"/>
              <w:rPr>
                <w:sz w:val="20"/>
                <w:szCs w:val="20"/>
                <w:color w:val="auto"/>
              </w:rPr>
            </w:pPr>
            <w:r>
              <w:rPr>
                <w:rFonts w:ascii="Times New Roman" w:cs="Times New Roman" w:eastAsia="Times New Roman" w:hAnsi="Times New Roman"/>
                <w:sz w:val="15"/>
                <w:szCs w:val="15"/>
                <w:b w:val="1"/>
                <w:bCs w:val="1"/>
                <w:color w:val="auto"/>
              </w:rPr>
              <w:t>September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9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2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2040" w:type="dxa"/>
            <w:vAlign w:val="bottom"/>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2040" w:type="dxa"/>
            <w:vAlign w:val="bottom"/>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03"/>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98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2040" w:type="dxa"/>
            <w:vAlign w:val="bottom"/>
            <w:shd w:val="clear" w:color="auto" w:fill="CCEEFF"/>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2040" w:type="dxa"/>
            <w:vAlign w:val="bottom"/>
            <w:shd w:val="clear" w:color="auto" w:fill="CCEEFF"/>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90"/>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60" w:type="dxa"/>
            <w:vAlign w:val="bottom"/>
          </w:tcPr>
          <w:p>
            <w:pPr>
              <w:spacing w:after="0"/>
              <w:rPr>
                <w:sz w:val="7"/>
                <w:szCs w:val="7"/>
                <w:color w:val="auto"/>
              </w:rPr>
            </w:pPr>
          </w:p>
        </w:tc>
      </w:tr>
      <w:tr>
        <w:trPr>
          <w:trHeight w:val="21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40" w:type="dxa"/>
            <w:vAlign w:val="bottom"/>
            <w:tcBorders>
              <w:bottom w:val="single" w:sz="8" w:color="auto"/>
            </w:tcBorders>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6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Integration 3.0 restructuring charges</w:t>
            </w:r>
          </w:p>
        </w:tc>
        <w:tc>
          <w:tcPr>
            <w:tcW w:w="2040" w:type="dxa"/>
            <w:vAlign w:val="bottom"/>
            <w:tcBorders>
              <w:bottom w:val="single" w:sz="8" w:color="auto"/>
            </w:tcBorders>
            <w:shd w:val="clear" w:color="auto" w:fill="CCEEFF"/>
          </w:tcPr>
          <w:p>
            <w:pPr>
              <w:jc w:val="right"/>
              <w:ind w:right="183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Portfolio Optimization</w:t>
      </w:r>
    </w:p>
    <w:p>
      <w:pPr>
        <w:spacing w:after="0" w:line="105" w:lineRule="exact"/>
        <w:rPr>
          <w:sz w:val="20"/>
          <w:szCs w:val="20"/>
          <w:color w:val="auto"/>
        </w:rPr>
      </w:pPr>
    </w:p>
    <w:p>
      <w:pPr>
        <w:jc w:val="both"/>
        <w:ind w:right="140" w:firstLine="464"/>
        <w:spacing w:after="0" w:line="248" w:lineRule="auto"/>
        <w:rPr>
          <w:sz w:val="20"/>
          <w:szCs w:val="20"/>
          <w:color w:val="auto"/>
        </w:rPr>
      </w:pPr>
      <w:r>
        <w:rPr>
          <w:rFonts w:ascii="Times New Roman" w:cs="Times New Roman" w:eastAsia="Times New Roman" w:hAnsi="Times New Roman"/>
          <w:sz w:val="17"/>
          <w:szCs w:val="17"/>
          <w:color w:val="auto"/>
        </w:rPr>
        <w:t>Wabtec is focused on exiting various low margin product offerings through Portfolio Optimization to improve profitability while reducing manufacturing complexity. Wabtec recorded net charges of approximately $3 million during the nine months ended September 30, 2025, and $8 million and $13 million during the three and nine months ended September 30, 2024, respectively, primarily for asset write downs related to Portfolio Optimization. Total one-time restructuring charges related to Portfolio Optimization to date are approximately $59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2.0</w:t>
      </w:r>
    </w:p>
    <w:p>
      <w:pPr>
        <w:spacing w:after="0" w:line="105" w:lineRule="exact"/>
        <w:rPr>
          <w:sz w:val="20"/>
          <w:szCs w:val="20"/>
          <w:color w:val="auto"/>
        </w:rPr>
      </w:pPr>
    </w:p>
    <w:p>
      <w:pPr>
        <w:ind w:right="60" w:firstLine="464"/>
        <w:spacing w:after="0" w:line="241" w:lineRule="auto"/>
        <w:rPr>
          <w:sz w:val="20"/>
          <w:szCs w:val="20"/>
          <w:color w:val="auto"/>
        </w:rPr>
      </w:pPr>
      <w:r>
        <w:rPr>
          <w:rFonts w:ascii="Times New Roman" w:cs="Times New Roman" w:eastAsia="Times New Roman" w:hAnsi="Times New Roman"/>
          <w:sz w:val="17"/>
          <w:szCs w:val="17"/>
          <w:color w:val="auto"/>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$147 million has been incurred to date. There were no material charges or cash payments during the three and nine months ended September 30, 2025. Wabtec recorded charges of $10 million and $22 million for the three and nine months ended September 30, 2024, respectively. Cash payments made during the three and nine months ended September 30, 2024 were approximately $5 million and $35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10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2024, filed with the Securities and Exchange Commission on February 12,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passenger transit vehicles and other modes of transportation. Wabtec is a global company with operations in over 50 countries and our products can be found in more than 100 countries throughout the world. In the first nine months of 2025, approximately half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105" w:lineRule="exact"/>
        <w:rPr>
          <w:sz w:val="20"/>
          <w:szCs w:val="20"/>
          <w:color w:val="auto"/>
        </w:rPr>
      </w:pPr>
    </w:p>
    <w:p>
      <w:pPr>
        <w:ind w:right="260" w:firstLine="464"/>
        <w:spacing w:after="0" w:line="248" w:lineRule="auto"/>
        <w:rPr>
          <w:sz w:val="20"/>
          <w:szCs w:val="20"/>
          <w:color w:val="auto"/>
        </w:rPr>
      </w:pPr>
      <w:r>
        <w:rPr>
          <w:rFonts w:ascii="Times New Roman" w:cs="Times New Roman" w:eastAsia="Times New Roman" w:hAnsi="Times New Roman"/>
          <w:sz w:val="17"/>
          <w:szCs w:val="17"/>
          <w:color w:val="auto"/>
        </w:rPr>
        <w:t>On July 1, 2025, Wabtec completed the previously announced acquisition of Evident’s Inspection Technologies division ("Inspection Technologies"), formerly part of the Scientific Solutions Division of Olympus Corporation, for approximately $1.788 billion. Inspection Technologies is a global leader in Non-Destructive Testing, Remote Visual Inspection and Analytical Instruments solutions for mission critical assets. Inspection Technologies' industry presence and innovative product portfolio will significantly expand Wabtec's capabilities and complement the existing product portfolio of Digital Intelligence.</w:t>
      </w:r>
    </w:p>
    <w:p>
      <w:pPr>
        <w:spacing w:after="0" w:line="69" w:lineRule="exact"/>
        <w:rPr>
          <w:sz w:val="20"/>
          <w:szCs w:val="20"/>
          <w:color w:val="auto"/>
        </w:rPr>
      </w:pPr>
    </w:p>
    <w:p>
      <w:pPr>
        <w:ind w:firstLine="464"/>
        <w:spacing w:after="0"/>
        <w:rPr>
          <w:sz w:val="20"/>
          <w:szCs w:val="20"/>
          <w:color w:val="auto"/>
        </w:rPr>
      </w:pPr>
      <w:r>
        <w:rPr>
          <w:rFonts w:ascii="Times New Roman" w:cs="Times New Roman" w:eastAsia="Times New Roman" w:hAnsi="Times New Roman"/>
          <w:sz w:val="17"/>
          <w:szCs w:val="17"/>
          <w:color w:val="auto"/>
        </w:rPr>
        <w:t xml:space="preserve">On July 7, 2025, the Company announced a definitive agreement to acquire Frauscher Sensor Technology Group, GmbH ("Frauscher"), a global market leader in train detection, wayside object control solutions and axle counting systems, for approximately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675 million. The acquisition positions Wabtec for accelerated, profitable growth, and further strengthens the Company’s product portfolio by adding highly attractive and complementary railway signaling technologies. Additionally, during the first quarter of 2025, Wabtec announced a definitive agreement to acquire Dellner Couplers for approximately </w:t>
      </w:r>
      <w:r>
        <w:rPr>
          <w:rFonts w:ascii="Arial" w:cs="Arial" w:eastAsia="Arial" w:hAnsi="Arial"/>
          <w:sz w:val="17"/>
          <w:szCs w:val="17"/>
          <w:color w:val="auto"/>
        </w:rPr>
        <w:t>€</w:t>
      </w:r>
      <w:r>
        <w:rPr>
          <w:rFonts w:ascii="Times New Roman" w:cs="Times New Roman" w:eastAsia="Times New Roman" w:hAnsi="Times New Roman"/>
          <w:sz w:val="17"/>
          <w:szCs w:val="17"/>
          <w:color w:val="auto"/>
        </w:rPr>
        <w:t>890 million. Dellner Couplers is a global leader in highly engineered safety-critical train connection systems and services for passenger rail rolling stock. The acquisition brings highly attractive and complementary technologies and provides synergies by complementing our core transit systems portfolio. Both announced acquisitions are subject to customary closing conditions and regulatory approval.</w:t>
      </w:r>
    </w:p>
    <w:p>
      <w:pPr>
        <w:spacing w:after="0" w:line="74" w:lineRule="exact"/>
        <w:rPr>
          <w:sz w:val="20"/>
          <w:szCs w:val="20"/>
          <w:color w:val="auto"/>
        </w:rPr>
      </w:pPr>
    </w:p>
    <w:p>
      <w:pPr>
        <w:ind w:right="1020" w:firstLine="464"/>
        <w:spacing w:after="0" w:line="271" w:lineRule="auto"/>
        <w:rPr>
          <w:sz w:val="20"/>
          <w:szCs w:val="20"/>
          <w:color w:val="auto"/>
        </w:rPr>
      </w:pPr>
      <w:r>
        <w:rPr>
          <w:rFonts w:ascii="Times New Roman" w:cs="Times New Roman" w:eastAsia="Times New Roman" w:hAnsi="Times New Roman"/>
          <w:sz w:val="17"/>
          <w:szCs w:val="17"/>
          <w:color w:val="auto"/>
        </w:rPr>
        <w:t>Transaction costs incurred during the three and nine months ended September 30, 2025 related to completed and announced acquisitions were approximately $9 million and $44 million, respectively.</w:t>
      </w:r>
    </w:p>
    <w:p>
      <w:pPr>
        <w:spacing w:after="0" w:line="48" w:lineRule="exact"/>
        <w:rPr>
          <w:sz w:val="20"/>
          <w:szCs w:val="20"/>
          <w:color w:val="auto"/>
        </w:rPr>
      </w:pPr>
    </w:p>
    <w:p>
      <w:pPr>
        <w:ind w:right="20" w:firstLine="464"/>
        <w:spacing w:after="0" w:line="243" w:lineRule="auto"/>
        <w:rPr>
          <w:sz w:val="20"/>
          <w:szCs w:val="20"/>
          <w:color w:val="auto"/>
        </w:rPr>
      </w:pPr>
      <w:r>
        <w:rPr>
          <w:rFonts w:ascii="Times New Roman" w:cs="Times New Roman" w:eastAsia="Times New Roman" w:hAnsi="Times New Roman"/>
          <w:sz w:val="17"/>
          <w:szCs w:val="17"/>
          <w:color w:val="auto"/>
        </w:rPr>
        <w:t>On September 22, 2025, Wabtec announced an agreement with National Company Kazakhstan Temir Zholy ("KTZ"), the national railway of Kazakhstan, to deliver Evolution Series locomotives and provide long-term service support. The multi-national order, valued by the Company at approximately $4.2 billion, marks the largest locomotive agreement in Wabtec's history. Wabtec also continued to drive recurring revenue in the global market by winning a new service contract in Kazakhstan worth $299 million earlier in 2025. Additionally in the Freight Segment, during the third quarter of 2025, the first Simandou locomotives reached Guinea, marking the first exports from the Company's India locomotive facility. During the first nine months of 2025, the Freight Segment also signed a $140 million new locomotive order with a North American Class I railroad, signed new locomotive, mining and service orders in the Asia-Pacific region totaling $127 million, and signed a $125 million ultra class mining order.</w:t>
      </w:r>
    </w:p>
    <w:p>
      <w:pPr>
        <w:spacing w:after="0" w:line="71" w:lineRule="exact"/>
        <w:rPr>
          <w:sz w:val="20"/>
          <w:szCs w:val="20"/>
          <w:color w:val="auto"/>
        </w:rPr>
      </w:pPr>
    </w:p>
    <w:p>
      <w:pPr>
        <w:ind w:right="20" w:firstLine="464"/>
        <w:spacing w:after="0" w:line="243" w:lineRule="auto"/>
        <w:rPr>
          <w:sz w:val="20"/>
          <w:szCs w:val="20"/>
          <w:color w:val="auto"/>
        </w:rPr>
      </w:pPr>
      <w:r>
        <w:rPr>
          <w:rFonts w:ascii="Times New Roman" w:cs="Times New Roman" w:eastAsia="Times New Roman" w:hAnsi="Times New Roman"/>
          <w:sz w:val="17"/>
          <w:szCs w:val="17"/>
          <w:color w:val="auto"/>
        </w:rPr>
        <w:t>During the three months ended September 30, 2025, the Transit Segment signed $140 million in new Transit brake orders. Additionally, during the first nine months of 2025, the Transit Segment signed two multi-year transit platform door contracts valued at $85 million and a $47 million order to provide brakes and couplers for servicing a North American customer. In March of 2025, Moody's upgraded the Senior Notes ratings to Baa2 from Baa3 and changed the outlook to stable from positive, and S&amp;P Global Ratings reaffirmed Wabtec's credit rating at BBB with a stable outlook.</w:t>
      </w:r>
    </w:p>
    <w:p>
      <w:pPr>
        <w:spacing w:after="0" w:line="72" w:lineRule="exact"/>
        <w:rPr>
          <w:sz w:val="20"/>
          <w:szCs w:val="20"/>
          <w:color w:val="auto"/>
        </w:rPr>
      </w:pPr>
    </w:p>
    <w:p>
      <w:pPr>
        <w:ind w:right="40" w:firstLine="464"/>
        <w:spacing w:after="0" w:line="254"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nine months of 2025, Wabtec incurred $21 million of restructuring costs primarily for employee-related costs on programs under these initiatives.</w:t>
      </w:r>
    </w:p>
    <w:p>
      <w:pPr>
        <w:spacing w:after="0" w:line="63"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Future macroeconomic volatility, changes to tariffs and trade policies, supply chain disruptions, and labor availability, amongst other things, could cause a negative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including the impact of current tariffs. These actions include implementing price escalations and surcharges, driving operational efficiencies through various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9" w:name="page30"/>
    <w:bookmarkEnd w:id="29"/>
    <w:p>
      <w:pPr>
        <w:spacing w:after="0" w:line="248" w:lineRule="auto"/>
        <w:rPr>
          <w:sz w:val="20"/>
          <w:szCs w:val="20"/>
          <w:color w:val="auto"/>
        </w:rPr>
      </w:pPr>
      <w:r>
        <w:rPr>
          <w:rFonts w:ascii="Times New Roman" w:cs="Times New Roman" w:eastAsia="Times New Roman" w:hAnsi="Times New Roman"/>
          <w:sz w:val="17"/>
          <w:szCs w:val="17"/>
          <w:color w:val="auto"/>
        </w:rPr>
        <w:t>cost mitigation efforts and discretionary spend management, strategically sourcing materials, reviewing and modifying distribution logistics, and accelerating integration synergies through our strategic initiatives. The Company has experienced increased tariff costs which unfavorably impacted our cash from operations for the nine months ended September 30, 2025. Although we do not expect a material impact to our results of operations in 2025 because of mitigation efforts, due to the volatility of trade policies, we are unable to reasonably predict the future impact.</w:t>
      </w:r>
    </w:p>
    <w:p>
      <w:pPr>
        <w:spacing w:after="0" w:line="82" w:lineRule="exact"/>
        <w:rPr>
          <w:sz w:val="20"/>
          <w:szCs w:val="20"/>
          <w:color w:val="auto"/>
        </w:rPr>
      </w:pPr>
    </w:p>
    <w:p>
      <w:pPr>
        <w:jc w:val="both"/>
        <w:ind w:right="2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2025 COMPARED TO THIRD QUARTER 2024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September 30, 2025 from the three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Third Quarter 2025 Net sales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Net sales for the three months ended September 30, 2025 increased by $223 million, or 8.4%, to $2.89 billion compared to the same period in 2024. Organic sales increased $79 million which was attributable to both the Freight and Transit Segments. Freight Equipment sales increased primarily due to higher North American locomotive deliveries. Freight Services sales decreased from lower deliveries of locomotive modernizations and engine overhauls. Transit sales increased from higher demand for Aftermarket and Original Equipment Manufacturing products and services driven by increased investments in sustainable infrastructure, fleet expansion and renewals and increased passenger ridership levels. Sales from acquisitions contributed $134 million, primarily from Inspection Technologies in the Freight Segment, and favorable changes in foreign exchange increased Net sales by $23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05" w:lineRule="exact"/>
        <w:rPr>
          <w:sz w:val="20"/>
          <w:szCs w:val="20"/>
          <w:color w:val="auto"/>
        </w:rPr>
      </w:pPr>
    </w:p>
    <w:p>
      <w:pPr>
        <w:ind w:right="40" w:firstLine="464"/>
        <w:spacing w:after="0"/>
        <w:rPr>
          <w:sz w:val="20"/>
          <w:szCs w:val="20"/>
          <w:color w:val="auto"/>
        </w:rPr>
      </w:pPr>
      <w:r>
        <w:rPr>
          <w:rFonts w:ascii="Times New Roman" w:cs="Times New Roman" w:eastAsia="Times New Roman" w:hAnsi="Times New Roman"/>
          <w:sz w:val="17"/>
          <w:szCs w:val="17"/>
          <w:color w:val="auto"/>
        </w:rPr>
        <w:t>Cost of sales for the three months ended September 30, 2025 increased by $101 million, or 5.7%, to $1.88 billion compared to the same period in 2024. The increase is primarily due to the increase in Net sales. Cost of sales as a percentage of Net sales was 65.3% and 67.0% for the three months ended September 30, 2025 and 2024, respectively. The improvement in gross margin is attributable to strong productivity and cost management, Integration 2.0 and 3.0 savings, and the exit of low margin business offerings through Portfolio Optimization, partially offset by unfavorable mix within the Freight Segment. Cost of sales for the three months ended September 30, 2025 included $24 million of costs related to purchase price accounting for the step-up of Inspection Technologies inventory to fair value on the date of acquisition. Cost of sales for the three months ended September 30, 2025 and 2024 included $2 million and $7 million, respectively, of costs related to restructuring initiatives.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05" w:lineRule="exact"/>
        <w:rPr>
          <w:sz w:val="20"/>
          <w:szCs w:val="20"/>
          <w:color w:val="auto"/>
        </w:rPr>
      </w:pPr>
    </w:p>
    <w:p>
      <w:pPr>
        <w:ind w:firstLine="464"/>
        <w:spacing w:after="0" w:line="242" w:lineRule="auto"/>
        <w:rPr>
          <w:sz w:val="20"/>
          <w:szCs w:val="20"/>
          <w:color w:val="auto"/>
        </w:rPr>
      </w:pPr>
      <w:r>
        <w:rPr>
          <w:rFonts w:ascii="Times New Roman" w:cs="Times New Roman" w:eastAsia="Times New Roman" w:hAnsi="Times New Roman"/>
          <w:sz w:val="17"/>
          <w:szCs w:val="17"/>
          <w:color w:val="auto"/>
        </w:rPr>
        <w:t>Total operating expenses increased $64 million, or 14.3%, for the three months ended September 30, 2025 compared to the same period in 2024, primarily due to the increase in Selling, general and administrative expenses ("SG&amp;A"). Operating expenses as a percentage of sales were 17.7% and 16.8% for the three months ended September 30, 2025 and 2024, respectively. SG&amp;A increased $57 million for the three months ended September 30, 2025 compared to the same period in 2024. The increase is primarily from incremental expense from acquisitions, transaction costs associated with completed and announced acquisitions, and costs incurred to support the higher sales volume, partially offset by the impacts of Integration 2.0 and 3.0. Transaction costs associated with completed and announced acquisitions included in SG&amp;A were $9 million for three months ended September 30, 2025. SG&amp;A for the three months ended September 30, 2025 and 2024 included $4 million and $5 million, respectively, of costs related to restructuring initiatives. Engineering expenses increased $9 million due to incremental expense from acquisitions.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increased $13 million to $65 million for the three months ended September 30, 2025 compared to the same period in 2024, primarily due to higher average overall debt balances in the current period, primarily related to the Inspection Technologies acquisition.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 net</w:t>
      </w:r>
    </w:p>
    <w:p>
      <w:pPr>
        <w:spacing w:after="0" w:line="118"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Other expense, net decreased $2 million to $1 million for the three months ended September 30, 2025 compared to the same period in 2024, primarily due to lower foreign exchange losses, partially offset by a loss on mark-to-market derivatives in the current period associated with the anticipated acquisitions of Dellner Couplers and Frauscher.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26.4% and 24.2% for the three months ended September 30, 2025 and 2024, respectively. The year over year increase in the effective rate was primarily driven by audit closures that occurred during the third quarter of 2024 and the jurisdictional mix of earnings.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64.2 %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19.8 %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1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third quarter of 2025 from the third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Third Quarter 2025 Net sales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Freight Segment organic sales increased by $41 million driven primarily by Equipment sales from higher North American locomotive deliveries. This was partially offset by decreased Services sales from lower deliveries of locomotive modernizations and engine overhauls, decreased Digital Intelligence sales from softness in the North American market, and decreased Components sales from lower North America rail car build and lower maintenance of way sales. Sales from acquisitions contributed $128 million, primarily from Inspection Technologies, and favorable changes in foreign exchange increased sales by $1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jc w:val="both"/>
        <w:ind w:right="380" w:firstLine="464"/>
        <w:spacing w:after="0" w:line="264" w:lineRule="auto"/>
        <w:rPr>
          <w:sz w:val="20"/>
          <w:szCs w:val="20"/>
          <w:color w:val="auto"/>
        </w:rPr>
      </w:pPr>
      <w:r>
        <w:rPr>
          <w:rFonts w:ascii="Times New Roman" w:cs="Times New Roman" w:eastAsia="Times New Roman" w:hAnsi="Times New Roman"/>
          <w:sz w:val="17"/>
          <w:szCs w:val="17"/>
          <w:color w:val="auto"/>
        </w:rPr>
        <w:t>Freight Segment Cost of sales increased $86 million, primarily due to higher sales volume, and Cost of sales as a percentage of Net sales decreased 0.8 percentage points. The improvement in gross margin is attributable to strong productivity and cost management and the exit of low margin business offerings through Portfolio Optimization, partially offset by unfavorable mix within the Freight Segment. Cost of sales for the three months ended September 30, 2025 included $24 million of costs related to purchase price accounting for the step-up of Inspection Technologies inventory to fair value on the date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3" w:name="page34"/>
    <w:bookmarkEnd w:id="33"/>
    <w:p>
      <w:pPr>
        <w:ind w:right="700"/>
        <w:spacing w:after="0" w:line="287" w:lineRule="auto"/>
        <w:rPr>
          <w:sz w:val="20"/>
          <w:szCs w:val="20"/>
          <w:color w:val="auto"/>
        </w:rPr>
      </w:pPr>
      <w:r>
        <w:rPr>
          <w:rFonts w:ascii="Times New Roman" w:cs="Times New Roman" w:eastAsia="Times New Roman" w:hAnsi="Times New Roman"/>
          <w:sz w:val="17"/>
          <w:szCs w:val="17"/>
          <w:color w:val="auto"/>
        </w:rPr>
        <w:t>acquisition. Cost of sales for the three months ended September 30, 2025 and 2024 included $1 million and $2 million, respectively, of costs related to restructuring initiatives.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Freight Segment Operating expenses as a percentage of Net sales were 16.0% and 14.8% for the three months ended September 30, 2025 and 2024, respectively. Freight Segment Operating expenses increased by $53 million, primarily driven by higher SG&amp;A costs from higher costs to support increased sales volume and incremental SG&amp;A and engineering expenses from acquisitions.</w:t>
      </w: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000"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10.8 %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1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third quarter of 2025 from the third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Third Quarter 2024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Third Quarter 2025 Net sales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$38 million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acquisitions contributed $6 million, and favorable changes in foreign exchange rates increased sales by $22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$15 million, primarily due to higher sales volume, and Cost of sales as a percentage of Net sales decreased by 3.5 percentage points. The increase in gross margin was attributable to increased productivity and the benefits from structured cost actions taken through Integration 2.0 and 3.0. Transit Segment Cost of sales for the three months ended September 30, 2025 and 2024 included $1 million and $5 million, respectively, of costs related to restructuring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as a percentage of Net sales were 17.2% and 17.4% for the three months ended September 30, 2025 and 2024, respectively. Transit Segment Operating expenses increased by $9 million as compared to the prior year. Higher SG&amp;A expenses to support higher sales volume were partially offset by benefits from structured cost actions taken through Integration 2.0 and 3.0. Transit SG&amp;A expenses for the three months ended September 30, 2025 and 2024 included $2 million and $3 million, respectively, of costs related to restructuring initiatives.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FIRST NINE MONTHS OF 2025 COMPARED TO FIRST NINE MONTHS OF 2024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(5,235)</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nine months ended September 30, 2025 from the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Nine Months of 2025 Net sales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8,202</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Net sales for the nine months ended September 30, 2025 increased by $398 million, or 5.1%, to $8.20 billion compared to the same period in 2024. Organic sales increased $274 million which was attributable to both the Freight and Transit Segments. Freight Services sales increased from higher deliveries of locomotive modernizations and engine overhauls. Freight Equipment sales increased primarily due to higher North American locomotive deliveries. Freight Components sales decreased due to lower North America rail car build, lower maintenance of way sales, and the exit of low margin business offerings through Portfolio Optimization. Transit sales increased from higher demand for Aftermarket and Original Equipment Manufacturing products and services driven by increased investments in sustainable infrastructure, fleet expansion and renewals and increased passenger ridership levels. Sales from acquisitions contributed $184 million, primarily from Inspection Technologies in the Freight Segment, and unfavorable changes in foreign exchange rates decreased Net sales by $9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05" w:lineRule="exact"/>
        <w:rPr>
          <w:sz w:val="20"/>
          <w:szCs w:val="20"/>
          <w:color w:val="auto"/>
        </w:rPr>
      </w:pPr>
    </w:p>
    <w:p>
      <w:pPr>
        <w:ind w:right="60" w:firstLine="464"/>
        <w:spacing w:after="0" w:line="244" w:lineRule="auto"/>
        <w:rPr>
          <w:sz w:val="20"/>
          <w:szCs w:val="20"/>
          <w:color w:val="auto"/>
        </w:rPr>
      </w:pPr>
      <w:r>
        <w:rPr>
          <w:rFonts w:ascii="Times New Roman" w:cs="Times New Roman" w:eastAsia="Times New Roman" w:hAnsi="Times New Roman"/>
          <w:sz w:val="17"/>
          <w:szCs w:val="17"/>
          <w:color w:val="auto"/>
        </w:rPr>
        <w:t>Cost of sales for the nine months ended September 30, 2025 increased by $127 million, or 2.4%, to $5.36 billion compared to the same period in 2024. The increase is primarily due to the increase in Net sales. Cost of sales as a percentage of Net sales was 65.4% and 67.1% for the nine months ended September 30, 2025 and 2024, respectively. The improvement in gross margin is attributable to strong productivity and cost management, Integration 2.0 and 3.0 savings, and the exit of low margin business offerings through Portfolio Optimization. Cost of sales for the nine months ended September 30, 2025 included $24 million of costs related to purchase price accounting for the step-up of Inspection Technologies inventory to fair value on the date of acquisition. Cost of sales for the nine months ended September 30, 2025 and 2024 included $8 million and $19 million, respectively, of costs related to restructuring initiatives.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05" w:lineRule="exact"/>
        <w:rPr>
          <w:sz w:val="20"/>
          <w:szCs w:val="20"/>
          <w:color w:val="auto"/>
        </w:rPr>
      </w:pPr>
    </w:p>
    <w:p>
      <w:pPr>
        <w:ind w:right="20" w:firstLine="464"/>
        <w:spacing w:after="0" w:line="243" w:lineRule="auto"/>
        <w:rPr>
          <w:sz w:val="20"/>
          <w:szCs w:val="20"/>
          <w:color w:val="auto"/>
        </w:rPr>
      </w:pPr>
      <w:r>
        <w:rPr>
          <w:rFonts w:ascii="Times New Roman" w:cs="Times New Roman" w:eastAsia="Times New Roman" w:hAnsi="Times New Roman"/>
          <w:sz w:val="17"/>
          <w:szCs w:val="17"/>
          <w:color w:val="auto"/>
        </w:rPr>
        <w:t>Total operating expenses increased $109 million, or 8.4%, for the nine months ended September 30, 2025 compared to the same period in 2024, primarily due to the increase in SG&amp;A. Operating expenses as a percentage of sales were 17.1% and 16.6% for the nine months ended September 30, 2025 and 2024, respectively. SG&amp;A expenses increased $114 million for the nine months ended September 30, 2025 compared to the same period in 2024. The increase is primarily from costs incurred to support the higher sales volume, transaction costs associated with completed and announced acquisitions, incremental expense from acquisitions, and higher employee compensation and benefit costs, partially offset by the impacts of Integration 2.0 and 3.0. Transaction costs associated with completed and announced acquisitions included in SG&amp;A were $44 million for the nine months ended September 30, 2025. SG&amp;A for the nine months ended September 30, 2025 and 2024 included $12 million and $11 million, respectively, of costs related to restructuring initiatives.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increased $9 million to $157 million for the nine months ended September 30, 2025 compared to the same period in 2024, primarily due to higher average overall debt balances in the current period, primarily related to the Inspection Technologies acquisition.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1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Other income (expense), net, increased $22 million to $21 million for the nine months ended September 30, 2025 compared to the same period in 2024, primarily due to a $30 million net gain on mark-to-market derivatives in the current period associated with the anticipated acquisitions of Dellner Couplers and Frauscher, partially offset by lower equity income and higher foreign exchange losses.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The effective income tax rate was 24.8% and 24.1% for the nine months ended September 30, 2025 and 2024, respectively. The year over year increase in the effective tax rate was primarily driven by audit closures that occurred during the third quarter of 2024, non-deductible transaction related expenses in the current year and the jurisdictional mix of earnings.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4,524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4,200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5,913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5,674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(2,889)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(3,781)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(3,707)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63.9 %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21.1 %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38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nine months of 2025 from the first nine months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Nine Months of 2025 Net sales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320" w:firstLine="464"/>
        <w:spacing w:after="0" w:line="264" w:lineRule="auto"/>
        <w:rPr>
          <w:sz w:val="20"/>
          <w:szCs w:val="20"/>
          <w:color w:val="auto"/>
        </w:rPr>
      </w:pPr>
      <w:r>
        <w:rPr>
          <w:rFonts w:ascii="Times New Roman" w:cs="Times New Roman" w:eastAsia="Times New Roman" w:hAnsi="Times New Roman"/>
          <w:sz w:val="17"/>
          <w:szCs w:val="17"/>
          <w:color w:val="auto"/>
        </w:rPr>
        <w:t>Freight Segment organic sales increased by $148 million driven primarily by Equipment sales from higher North American locomotive deliveries and Services sales from higher deliveries of locomotive modernizations and engine overhauls. This was partially offset by decreased Components sales from lower North America rail car build, lower maintenance of way sales, and the exit of low margin business offerings through Portfolio Optimization. Sales from acquisitions contributed $161 million, primarily from Inspection Technologies, and unfavorable changes in foreign exchange decreased sales by $36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80" w:firstLine="464"/>
        <w:spacing w:after="0" w:line="263" w:lineRule="auto"/>
        <w:rPr>
          <w:sz w:val="20"/>
          <w:szCs w:val="20"/>
          <w:color w:val="auto"/>
        </w:rPr>
      </w:pPr>
      <w:r>
        <w:rPr>
          <w:rFonts w:ascii="Times New Roman" w:cs="Times New Roman" w:eastAsia="Times New Roman" w:hAnsi="Times New Roman"/>
          <w:sz w:val="17"/>
          <w:szCs w:val="17"/>
          <w:color w:val="auto"/>
        </w:rPr>
        <w:t>Freight Segment Cost of sales increased by $74 million, primarily due to higher sales volume, and Cost of sales as a percentage of Net sales decreased 1.4 percentage points. The improvement in gross margin is attributable to strong productivity and cost management, Portfolio Optimization and Integration 2.0 and</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3.0. Cost of sales for the nine months ended September 30, 2025 included $24 million of costs related to purchase price accounting for the step-up of Inspection Technologies inventory to fair value on the date of acquisition. Cost of sales for the nine months ended September 30, 2025 and 2024 included $5 million and $10 million, respectively, of costs related to restructuring initiatives.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Freight Segment Operating expenses as a percentage of Net sales were 14.9% and 14.4% for the nine months ended September 30, 2025 and 2024, respectively. Freight Segment Operating expenses increased by $65 million, primarily driven by higher SG&amp;A expenses resulting from higher costs to support increased sales volume, higher employee compensation and benefit costs and incremental expense from acquisitions.</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318"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1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(1,581)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(1,528)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(2.7)</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13.7 %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nine months of 2025 from the first nine months of 2024:</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Nine Months of 2024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2"/>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Nine Months of 2025 Net sales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$126 million driven by strong Original Equipment Manufacturing and Aftermarket sales primarily as a result of increased demand for products and services due to fleet expansion and renewals, increased passenger ridership levels and increased investments in sustainable infrastructure. Sales from acquisitions contributed $23 million, and favorable changes in foreign exchange rates increased sales by $27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$53 million, primarily due to higher sales volume, and Costs of sales as a percentage of Net sales decreased by 2.7 percentage points. The increase in gross margin is primarily attributable to increased productivity and the benefits from structured cost actions taken through Integration 2.0 and 3.0. Transit Cost of sales for the nine months ended September 30, 2025 and 2024 included $3 million and $9 million, respectively, of costs related to restructuring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as a percentage of Net sales were 17.2% for both the nine months ended September 30, 2025 and 2024. Transit Segment Operating expenses increased by $27 million as compared to the prior year. Higher SG&amp;A expenses to support higher sales volume and higher employee compensation and benefit costs were partially offset by benefits from structured cost actions taken through Integration 2.0 and 3.0. Transit SG&amp;A expenses for the nine months ended September 30, 2025 and 2024 included $10 million and $9 million, respectively, of costs related to restructuring initiatives.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borrowings under the 2025 Credit Agreement with a consortium of commercial banks,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580" w:type="dxa"/>
            <w:vAlign w:val="bottom"/>
            <w:gridSpan w:val="4"/>
          </w:tcPr>
          <w:p>
            <w:pPr>
              <w:jc w:val="right"/>
              <w:ind w:right="256"/>
              <w:spacing w:after="0" w:line="162"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56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Pr>
          <w:p>
            <w:pPr>
              <w:spacing w:after="0"/>
              <w:rPr>
                <w:sz w:val="12"/>
                <w:szCs w:val="12"/>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r>
    </w:tbl>
    <w:p>
      <w:pPr>
        <w:spacing w:after="0" w:line="219" w:lineRule="exact"/>
        <w:rPr>
          <w:sz w:val="20"/>
          <w:szCs w:val="20"/>
          <w:color w:val="auto"/>
        </w:rPr>
      </w:pPr>
    </w:p>
    <w:p>
      <w:pPr>
        <w:ind w:right="30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nine months of 2025, cash provided by operating activities was $767 million compared to $1,111 million in the first nine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of 2024. Significant changes to the sources and (uses) of cash for the nine month periods include the following:</w:t>
      </w:r>
    </w:p>
    <w:p>
      <w:pPr>
        <w:spacing w:after="0" w:line="94" w:lineRule="exact"/>
        <w:rPr>
          <w:sz w:val="20"/>
          <w:szCs w:val="20"/>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 million from increased Net income, partially offset by $(30) million for a non-cash gain on mark-to-market derivatives;</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 million from changes in receivables driven by higher sales and the timing of collections from customers;</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$(113) million from changes in inventory due to increased raw material costs and tariffs and to support higher sales; and,</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 million from changes to employee related benefit payments.</w:t>
      </w:r>
    </w:p>
    <w:p>
      <w:pPr>
        <w:spacing w:after="0" w:line="108" w:lineRule="exact"/>
        <w:rPr>
          <w:sz w:val="20"/>
          <w:szCs w:val="20"/>
          <w:color w:val="auto"/>
        </w:rPr>
      </w:pPr>
    </w:p>
    <w:p>
      <w:pPr>
        <w:ind w:right="8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nine months of 2025 and 2024, cash used for investing activities was $(1,887) million and $(106) million, respectively.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the first nine months of 2025, Wabtec used $(1,755) million for acquisitions, primarily for Inspection Technologies, and used $(138) million for additions to property, plant and equipment for investments in our facilities and manufacturing processes. During the first nine months of 2024, Wabtec used $(123) million for additions to property, plant, and equipment, used $(13) million for acquisitions, received $17 million of proceeds from dispositions of businesses, and received $13 million of proceeds from disposals of property, plant and equipment.</w:t>
      </w:r>
    </w:p>
    <w:p>
      <w:pPr>
        <w:spacing w:after="0" w:line="63"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nine months of 2025, cash provided by financing activities was $907 million, which included $1,235 million from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changes in debt, $(148) million in stock repurchases, $(130) million of dividend payments, $(39) million of payments for income tax withholding on share-based compensation, and $(6) million for distributions to noncontrolling interest. In the first nine months of 2024, cash used for financing activities was $(1,209) million, which included $(62) million from net changes in debt, $(974) million in stock repurchases, $(106) million of dividend payments, $(42) million of contingent consideration payments related to the GE Transportation acquisition, $(24) million of payments for income tax withholding on share-based compensation, and $(6) million for distributions to noncontrolling interest.</w:t>
      </w:r>
    </w:p>
    <w:p>
      <w:pPr>
        <w:spacing w:after="0" w:line="71" w:lineRule="exact"/>
        <w:rPr>
          <w:sz w:val="20"/>
          <w:szCs w:val="20"/>
          <w:color w:val="auto"/>
        </w:rPr>
      </w:pPr>
    </w:p>
    <w:p>
      <w:pPr>
        <w:ind w:right="320" w:firstLine="464"/>
        <w:spacing w:after="0" w:line="261" w:lineRule="auto"/>
        <w:rPr>
          <w:sz w:val="20"/>
          <w:szCs w:val="20"/>
          <w:color w:val="auto"/>
        </w:rPr>
      </w:pPr>
      <w:r>
        <w:rPr>
          <w:rFonts w:ascii="Times New Roman" w:cs="Times New Roman" w:eastAsia="Times New Roman" w:hAnsi="Times New Roman"/>
          <w:sz w:val="17"/>
          <w:szCs w:val="17"/>
          <w:color w:val="auto"/>
        </w:rPr>
        <w:t>During the second quarter of 2025, the Company entered into the 2025 Credit Agreement, which amended and restated the 2022 Credit Agreement and refinanced the 2024 Credit Agreement. The 2025 Credit Agreement increased the amount available under the Revolving Credit Facility to $2.0 billion and provided a Term Loan Facility of $725 million. The Term Loan Facility was utilized to refinance (i) $250 million of the outstanding Delayed Draw Term Loan under the 2022 Credit Agreement and (ii) $225 million of the outstanding term loan under the 2024 Credit Agreement. During the third quarter of 2025, the remaining $250 million under the Term Loan Facility was drawn and utilized as part of funding for the Inspection Technologies acquisition.</w:t>
      </w:r>
    </w:p>
    <w:p>
      <w:pPr>
        <w:spacing w:after="0" w:line="72" w:lineRule="exact"/>
        <w:rPr>
          <w:sz w:val="20"/>
          <w:szCs w:val="20"/>
          <w:color w:val="auto"/>
        </w:rPr>
      </w:pPr>
    </w:p>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Also during the second quarter of 2025, the Company issued $500 million of Senior Notes due in 2030 and $750 million of Senior Notes due in 2035. Proceeds from the 2030 Notes and cash on hand were utilized to repay the outstanding amount of the 2025 Notes at maturity. Proceeds from the 2035 Notes were utilized as part of funding for the Inspection Technologies acquisition.</w:t>
      </w:r>
    </w:p>
    <w:p>
      <w:pPr>
        <w:spacing w:after="0" w:line="62"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1" w:name="page42"/>
    <w:bookmarkEnd w:id="41"/>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As of September 30, 2025, the Company held approximately $528 million of cash, cash equivalents and restricted cash, of which approximately $45 million was held within the United States and approximately $483 million was held outside of the United States, primarily in Europe, India, Brazil, and China. While repatriation of some cash held outside the United States may be restricted by local laws, most of the Company’s foreign cash could be repatriated to the United States net of any tax impacts. As of September 30, 2025, approximately $28 million of the Company's $528 million cash balance was classified as restricted.</w:t>
      </w:r>
    </w:p>
    <w:p>
      <w:pPr>
        <w:spacing w:after="0" w:line="6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Receivables Program</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Effective January 1, 2025, the Company utilizes its Revolving Receivables Program to request borrowings from a financial institution against certain collateralized receivables for up to $350 million. During the third quarter of 2025, the Company amended the Revolving Receivables Program to increase its availability from $350 million to up to $450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w:t>
      </w:r>
    </w:p>
    <w:p>
      <w:pPr>
        <w:spacing w:after="0" w:line="72"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Prior to January 1, 2025, the Company utilized its Revolving Receivables Program to sell certain receivables for up to $350 million on a recurring basis. Net cash proceeds received from the sale of receivables in exchange for cash equal to the gross receivables sold are included in cash from operations within the Condensed Consolidated Statement of Cash Flows.</w:t>
      </w:r>
    </w:p>
    <w:p>
      <w:pPr>
        <w:spacing w:after="0" w:line="62"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During the nine months ended September 30, 2025, the Company borrowed and repaid $800 million and $600 million, respectively, against the collateralized receivables. There were no receivables sold during the nine months ended September 30, 2025. Net cash proceeds included in cash from operations from the Revolving Receivables Program was $75 million for the nine months ended September 30, 2024. Additional information with respect to the Revolving Receivables Program is included in Note 2 of "Notes to Condensed Consolidated Financial Statements" included in Part I, Item 1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18"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Available Liquidity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total available liquidity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55"/>
        </w:trPr>
        <w:tc>
          <w:tcPr>
            <w:tcW w:w="3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r>
      <w:tr>
        <w:trPr>
          <w:trHeight w:val="21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1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Receivables Program</w:t>
            </w:r>
          </w:p>
        </w:tc>
        <w:tc>
          <w:tcPr>
            <w:tcW w:w="4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6"/>
        </w:trPr>
        <w:tc>
          <w:tcPr>
            <w:tcW w:w="2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Available Liquidity</w:t>
            </w:r>
          </w:p>
        </w:tc>
        <w:tc>
          <w:tcPr>
            <w:tcW w:w="4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w:t>
            </w:r>
          </w:p>
        </w:tc>
      </w:tr>
      <w:tr>
        <w:trPr>
          <w:trHeight w:val="86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00" w:type="dxa"/>
            <w:vAlign w:val="bottom"/>
          </w:tcPr>
          <w:p>
            <w:pPr>
              <w:jc w:val="right"/>
              <w:ind w:right="2314"/>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2" w:name="page43"/>
    <w:bookmarkEnd w:id="42"/>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On July 1, 2025, Wabtec acquired Inspection Technologies for approximately $1.788 billion, which was financed through a combination of cash on hand, proceeds from the 2035 Notes, and borrowings under other sources of available liquidity.</w:t>
      </w:r>
    </w:p>
    <w:p>
      <w:pPr>
        <w:spacing w:after="0" w:line="4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On March 18, 2025, Wabtec announced a definitive agreement to acquire Dellner Couplers, with a purchase price of approximately €890 million. In addition, on July 7, 2025, Wabtec announced a definitive agreement to acquire Frauscher Sensor Technology Group, with a purchase price of approximately €675 million. In connection with the announced definitive agreements to acquire Dellner Couplers and Frauscher, the Company entered into foreign exchange contracts for a notional amount of €890 million to mitigate foreign currency exposure associated with the acquisitions. Wabtec intends to finance these acquisitions using cash on hand, together with a mix of short- and long-term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Westinghouse Air Brake Technologies Corporation (the “Parent Company”) has issued 3.20% Senior Notes due 2025, 3.45% Senior Notes due 2026, 4.70% Senior Notes due 2028, 4.90% Senior Notes due 2030, 5.611% Senior Notes due 2034, and 5.50% Senior Notes due 2035 (collectively, the “US Notes”).</w:t>
      </w:r>
    </w:p>
    <w:p>
      <w:pPr>
        <w:spacing w:after="0" w:line="4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0"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 intercompany balances and transactions among the Parent Company and Guarantor Subsidiaries and (ii) equity in earnings from and investments in any subsidiary that is not a Guarantor Subsidiary.</w:t>
      </w:r>
    </w:p>
    <w:p>
      <w:pPr>
        <w:spacing w:after="0" w:line="62"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the Parent Company, as the issuer of the US Notes, and Guarantor Subsidiaries.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708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2025</w:t>
            </w:r>
          </w:p>
        </w:tc>
      </w:tr>
      <w:tr>
        <w:trPr>
          <w:trHeight w:val="32"/>
        </w:trPr>
        <w:tc>
          <w:tcPr>
            <w:tcW w:w="6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w:t>
            </w:r>
          </w:p>
        </w:tc>
      </w:tr>
      <w:tr>
        <w:trPr>
          <w:trHeight w:val="22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2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452"/>
        </w:trPr>
        <w:tc>
          <w:tcPr>
            <w:tcW w:w="20" w:type="dxa"/>
            <w:vAlign w:val="bottom"/>
          </w:tcPr>
          <w:p>
            <w:pPr>
              <w:spacing w:after="0"/>
              <w:rPr>
                <w:sz w:val="24"/>
                <w:szCs w:val="24"/>
                <w:color w:val="auto"/>
              </w:rPr>
            </w:pPr>
          </w:p>
        </w:tc>
        <w:tc>
          <w:tcPr>
            <w:tcW w:w="44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6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8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43</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180" w:type="dxa"/>
            <w:vAlign w:val="bottom"/>
          </w:tcPr>
          <w:p>
            <w:pPr>
              <w:spacing w:after="0"/>
              <w:rPr>
                <w:sz w:val="14"/>
                <w:szCs w:val="1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2025</w:t>
            </w:r>
          </w:p>
        </w:tc>
      </w:tr>
      <w:tr>
        <w:trPr>
          <w:trHeight w:val="32"/>
        </w:trPr>
        <w:tc>
          <w:tcPr>
            <w:tcW w:w="6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3"/>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20" w:type="dxa"/>
            <w:vAlign w:val="bottom"/>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0" w:type="dxa"/>
            <w:vAlign w:val="bottom"/>
          </w:tcPr>
          <w:p>
            <w:pPr>
              <w:spacing w:after="0"/>
              <w:rPr>
                <w:sz w:val="14"/>
                <w:szCs w:val="14"/>
                <w:color w:val="auto"/>
              </w:rPr>
            </w:pPr>
          </w:p>
        </w:tc>
        <w:tc>
          <w:tcPr>
            <w:tcW w:w="39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7"/>
              </w:rPr>
              <w:t>September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12"/>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7,205</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4"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76" w:lineRule="exact"/>
        <w:rPr>
          <w:sz w:val="20"/>
          <w:szCs w:val="20"/>
          <w:color w:val="auto"/>
        </w:rPr>
      </w:pPr>
    </w:p>
    <w:p>
      <w:pPr>
        <w:ind w:right="340" w:firstLine="464"/>
        <w:spacing w:after="0" w:line="238"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w:t>
      </w:r>
    </w:p>
    <w:p>
      <w:pPr>
        <w:spacing w:after="0" w:line="63" w:lineRule="exact"/>
        <w:rPr>
          <w:sz w:val="20"/>
          <w:szCs w:val="20"/>
          <w:color w:val="auto"/>
        </w:rPr>
      </w:pPr>
    </w:p>
    <w:p>
      <w:pPr>
        <w:ind w:right="400" w:firstLine="464"/>
        <w:spacing w:after="0" w:line="255"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Wabtec Netherlands, as the issuer of the Euro Notes, and Parent Company guarantor.</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Parent Company (Guarantor)</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2025</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940" w:type="dxa"/>
            <w:vAlign w:val="bottom"/>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436</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940" w:type="dxa"/>
            <w:vAlign w:val="bottom"/>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94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shd w:val="clear" w:color="auto" w:fill="CCEEFF"/>
          </w:tcPr>
          <w:p>
            <w:pPr>
              <w:jc w:val="center"/>
              <w:ind w:left="1494"/>
              <w:spacing w:after="0"/>
              <w:rPr>
                <w:sz w:val="20"/>
                <w:szCs w:val="20"/>
                <w:color w:val="auto"/>
              </w:rPr>
            </w:pPr>
            <w:r>
              <w:rPr>
                <w:rFonts w:ascii="Times New Roman" w:cs="Times New Roman" w:eastAsia="Times New Roman" w:hAnsi="Times New Roman"/>
                <w:sz w:val="17"/>
                <w:szCs w:val="17"/>
                <w:color w:val="auto"/>
              </w:rPr>
              <w:t>(223)</w:t>
            </w:r>
          </w:p>
        </w:tc>
      </w:tr>
    </w:tbl>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6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4"/>
                <w:szCs w:val="14"/>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9"/>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3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659</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3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r>
      <w:tr>
        <w:trPr>
          <w:trHeight w:val="219"/>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3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5,033</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r>
      <w:tr>
        <w:trPr>
          <w:trHeight w:val="219"/>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3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6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4" w:name="page45"/>
    <w:bookmarkEnd w:id="44"/>
    <w:p>
      <w:pPr>
        <w:ind w:right="200" w:firstLine="464"/>
        <w:spacing w:after="0" w:line="246"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(Guarantor)</w:t>
            </w:r>
          </w:p>
        </w:tc>
        <w:tc>
          <w:tcPr>
            <w:tcW w:w="0" w:type="dxa"/>
            <w:vAlign w:val="bottom"/>
          </w:tcPr>
          <w:p>
            <w:pPr>
              <w:spacing w:after="0"/>
              <w:rPr>
                <w:sz w:val="1"/>
                <w:szCs w:val="1"/>
                <w:color w:val="auto"/>
              </w:rPr>
            </w:pPr>
          </w:p>
        </w:tc>
      </w:tr>
      <w:tr>
        <w:trPr>
          <w:trHeight w:val="140"/>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2"/>
                <w:szCs w:val="12"/>
                <w:color w:val="auto"/>
              </w:rPr>
            </w:pPr>
          </w:p>
        </w:tc>
        <w:tc>
          <w:tcPr>
            <w:tcW w:w="2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7"/>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84"/>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(Guarantor)</w:t>
            </w:r>
          </w:p>
        </w:tc>
      </w:tr>
      <w:tr>
        <w:trPr>
          <w:trHeight w:val="153"/>
        </w:trPr>
        <w:tc>
          <w:tcPr>
            <w:tcW w:w="90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2000" w:type="dxa"/>
            <w:vAlign w:val="bottom"/>
          </w:tcPr>
          <w:p>
            <w:pPr>
              <w:jc w:val="center"/>
              <w:ind w:right="104"/>
              <w:spacing w:after="0" w:line="153" w:lineRule="exact"/>
              <w:rPr>
                <w:sz w:val="20"/>
                <w:szCs w:val="20"/>
                <w:color w:val="auto"/>
              </w:rPr>
            </w:pPr>
            <w:r>
              <w:rPr>
                <w:rFonts w:ascii="Times New Roman" w:cs="Times New Roman" w:eastAsia="Times New Roman" w:hAnsi="Times New Roman"/>
                <w:sz w:val="14"/>
                <w:szCs w:val="14"/>
                <w:b w:val="1"/>
                <w:bCs w:val="1"/>
                <w:color w:val="auto"/>
                <w:w w:val="97"/>
              </w:rPr>
              <w:t>September 30,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8,758</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18"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During the second quarter of 2025, the Company entered into the 2025 Credit Agreement and utilized the Term Loan Facility, which will mature on April 23, 2030 to refinance (i) $250 million of the outstanding Delayed Draw Term Loan that was scheduled to mature August 15, 2027 under the 2022 Credit Agreement and (ii) $225 million of the outstanding term loan that was scheduled to mature March 14, 2029 under the 2024 Credit Agreement. Also during the second quarter of 2025, the Company issued $500 million of 2030 Notes and $750 million of 2035 Notes. Proceeds from the 2030 Notes and cash on hand were utilized to repay the outstanding amount of the 2025 Notes at maturity. During the third quarter of 2025, the remaining $250 million under the Term Loan Facility was drawn and utilized as part of funding for the Inspection Technologies acquisition. As a result of the foregoing, as of September 30, 2025, contractual obligations related to the repayment of long-term debt decreased for 2026-2027 from $1,520 million to $1,270 million, and for 2028-2029 from $1,475 million to $1,250 million, and increased for 2030 and beyond from $500 million to $2,475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Stock Repurchase Plan</w:t>
      </w:r>
    </w:p>
    <w:p>
      <w:pPr>
        <w:spacing w:after="0" w:line="118" w:lineRule="exact"/>
        <w:rPr>
          <w:sz w:val="20"/>
          <w:szCs w:val="20"/>
          <w:color w:val="auto"/>
        </w:rPr>
      </w:pPr>
    </w:p>
    <w:p>
      <w:pPr>
        <w:ind w:firstLine="464"/>
        <w:spacing w:after="0" w:line="269" w:lineRule="auto"/>
        <w:rPr>
          <w:sz w:val="20"/>
          <w:szCs w:val="20"/>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 repurchases of the Company’s outstanding shares. This new authorization provides an additional $1.0 billion that became available for repurchases after the remaining availability as of December 3, 2024 was expended. No time limit was set for the completion of the program, which conformed to the requirements under the 2022 Credit Agreement and the 2024 Credit Agreement, and complies with the requirements under the 2025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2025, approximately $852 million was remaining under the stock repurchase plan.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11" w:lineRule="exact"/>
        <w:rPr>
          <w:sz w:val="20"/>
          <w:szCs w:val="20"/>
          <w:color w:val="auto"/>
        </w:rPr>
      </w:pPr>
    </w:p>
    <w:p>
      <w:pPr>
        <w:ind w:left="580" w:right="40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ind w:left="580" w:right="32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significant recent shifts in trade policies, including the imposition of tariffs, retaliatory tariff measures, and subsequent modifications or suspensions thereof, and market reactions to such policies and resulting trade disputes;</w:t>
      </w:r>
    </w:p>
    <w:p>
      <w:pPr>
        <w:ind w:left="580" w:right="180" w:hanging="306"/>
        <w:spacing w:after="0" w:line="266"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5" w:name="page46"/>
    <w:bookmarkEnd w:id="45"/>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services in the freight and passenger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28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sustainability strategy; or</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sustainability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the 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quality and reliability;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constraints and labor relations challenges;</w:t>
      </w:r>
    </w:p>
    <w:p>
      <w:pPr>
        <w:spacing w:after="0" w:line="10" w:lineRule="exact"/>
        <w:rPr>
          <w:rFonts w:ascii="Times New Roman" w:cs="Times New Roman" w:eastAsia="Times New Roman" w:hAnsi="Times New Roman"/>
          <w:sz w:val="17"/>
          <w:szCs w:val="17"/>
          <w:color w:val="auto"/>
        </w:rPr>
      </w:pPr>
    </w:p>
    <w:p>
      <w:pPr>
        <w:jc w:val="both"/>
        <w:ind w:left="580" w:right="46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and integrate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outcomes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2024.</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2024.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7" w:name="page48"/>
    <w:bookmarkEnd w:id="4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Our exposure to market risk has not changed materially since December 31, 2024.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September 30, 2025.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September 30, 2025,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2024.</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September 30, 2025:</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color w:val="auto"/>
                <w:w w:val="96"/>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 Number of Shares</w:t>
            </w: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Average Price Paid</w:t>
            </w:r>
          </w:p>
        </w:tc>
        <w:tc>
          <w:tcPr>
            <w:tcW w:w="16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9"/>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40" w:type="dxa"/>
            <w:vAlign w:val="bottom"/>
            <w:gridSpan w:val="4"/>
            <w:vMerge w:val="continue"/>
          </w:tcPr>
          <w:p>
            <w:pPr>
              <w:spacing w:after="0"/>
              <w:rPr>
                <w:sz w:val="12"/>
                <w:szCs w:val="12"/>
                <w:color w:val="auto"/>
              </w:rPr>
            </w:pPr>
          </w:p>
        </w:tc>
        <w:tc>
          <w:tcPr>
            <w:tcW w:w="1720" w:type="dxa"/>
            <w:vAlign w:val="bottom"/>
            <w:gridSpan w:val="2"/>
          </w:tcPr>
          <w:p>
            <w:pPr>
              <w:ind w:left="520"/>
              <w:spacing w:after="0" w:line="122" w:lineRule="exact"/>
              <w:rPr>
                <w:sz w:val="20"/>
                <w:szCs w:val="20"/>
                <w:color w:val="auto"/>
              </w:rPr>
            </w:pPr>
            <w:r>
              <w:rPr>
                <w:rFonts w:ascii="Times New Roman" w:cs="Times New Roman" w:eastAsia="Times New Roman" w:hAnsi="Times New Roman"/>
                <w:sz w:val="14"/>
                <w:szCs w:val="14"/>
                <w:color w:val="auto"/>
              </w:rPr>
              <w:t>Purchased</w:t>
            </w:r>
          </w:p>
        </w:tc>
        <w:tc>
          <w:tcPr>
            <w:tcW w:w="220" w:type="dxa"/>
            <w:vAlign w:val="bottom"/>
          </w:tcPr>
          <w:p>
            <w:pPr>
              <w:spacing w:after="0"/>
              <w:rPr>
                <w:sz w:val="12"/>
                <w:szCs w:val="12"/>
                <w:color w:val="auto"/>
              </w:rPr>
            </w:pPr>
          </w:p>
        </w:tc>
        <w:tc>
          <w:tcPr>
            <w:tcW w:w="112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per Share</w:t>
            </w:r>
          </w:p>
        </w:tc>
        <w:tc>
          <w:tcPr>
            <w:tcW w:w="16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19"/>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August 2025</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19"/>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2025</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12"/>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September 30, 2025</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hanging="413"/>
        <w:spacing w:after="0"/>
        <w:tabs>
          <w:tab w:leader="none" w:pos="8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w:t>
      </w:r>
    </w:p>
    <w:p>
      <w:pPr>
        <w:spacing w:after="0" w:line="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repurchases of the Company’s outstanding shares. This new authorization provides an additional $1.0 billion that became available for repurchases after the remaining availability as of December 3, 2024 was expended. No time limit was set for the completion of the program, which conformed to the requirements under the 2022 Credit Agreement and the 2024 Credit Agreement, and complies with the requirements under the 2025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2025, approximately $852 million was remaining under the stock repurchase plan.</w:t>
      </w: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third quarter ended September 30,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64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7100" w:type="dxa"/>
            <w:vAlign w:val="bottom"/>
            <w:gridSpan w:val="6"/>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180"/>
          </w:cols>
          <w:pgMar w:left="320" w:top="893"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and the 2025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and 2025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Wabtec Transportation Systems, LLC</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Wabtec US Rail,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October 22,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October 22,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September 30, 2025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22, 2025</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22, 2025</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2025-10-22T09:12:39Z</dcterms:created>
  <dcterms:modified xsi:type="dcterms:W3CDTF">2025-10-22T09:12:39Z</dcterms:modified>
</cp:coreProperties>
</file>