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179570.xml.htm"/>
      <w:bookmarkStart w:id="1" w:name="kswkform4_17851795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Gebhardt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ISABELLA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WESTINGHOUSE AIR BRAKE TECHNOLOGIES CORP</w:t>
              </w:r>
            </w:hyperlink>
            <w:r>
              <w:rPr/>
              <w:t xml:space="preserve"> [ </w:t>
            </w:r>
            <w:r>
              <w:rPr>
                <w:rFonts w:ascii="Times;serif" w:hAnsi="Times;serif"/>
                <w:color w:val="0000FF"/>
                <w:sz w:val="24"/>
                <w:shd w:fill="FFFFFF" w:val="clear"/>
              </w:rPr>
              <w:t>WAB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297.386</w:t>
            </w:r>
            <w:r>
              <w:rPr>
                <w:rFonts w:ascii="Times;serif" w:hAnsi="Times;serif"/>
                <w:color w:val="008000"/>
                <w:position w:val="7"/>
                <w:sz w:val="16"/>
                <w:sz w:val="20"/>
                <w:shd w:fill="FFFFFF" w:val="clear"/>
              </w:rPr>
              <w:t>(1)</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25,146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298.8574</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23,106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2,353</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299.6913</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20,753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300.4941</w:t>
            </w:r>
            <w:r>
              <w:rPr>
                <w:rFonts w:ascii="Times;serif" w:hAnsi="Times;serif"/>
                <w:color w:val="008000"/>
                <w:position w:val="7"/>
                <w:sz w:val="16"/>
                <w:sz w:val="20"/>
                <w:shd w:fill="FFFFFF" w:val="clear"/>
              </w:rPr>
              <w:t>(4)</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19,153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within $1.00 ranging from $297.00 to $297.96 inclusive. The reporting person undertakes to provide Westinghouse Air Brake Technologies Corporation ("Wabtec"), any security holder of Wabtec, or the staff of the Securities and Exchange Commission, upon request, full information regarding the number of shares sold at each separate price within the range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within $1.00 ranging from $298.18 to $299.175 inclusive. The reporting person undertakes to provide Wabtec, any security holder of Wabtec, or the staff of the Securities and Exchange Commission, upon request, full information regarding the number of shares sold at each separate price within the range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within $1.00 ranging from $299.19 to $300.115 inclusive. The reporting person undertakes to provide Wabtec, any security holder of Wabtec, or the staff of the Securities and Exchange Commission, upon request, full information regarding the number of shares sold at each separate price within the range set forth in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within $1.00 ranging from $300.30 to $301.02 inclusive. The reporting person undertakes to provide Wabtec, any security holder of Wabtec, or the staff of the Securities and Exchange Commission, upon request, full information regarding the number of shares sold at each separate price within the range set forth in footnote (4)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David L. DeNinno, POA for Eric Gebhardt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8388" TargetMode="External"/><Relationship Id="rId5" Type="http://schemas.openxmlformats.org/officeDocument/2006/relationships/hyperlink" Target="http://www.sec.gov/cgi-bin/browse-edgar?action=getcompany&amp;CIK=00009434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911</Words>
  <Characters>4867</Characters>
  <CharactersWithSpaces>5683</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