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76"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30, 2021</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0" w:lineRule="exact"/>
        <w:rPr>
          <w:sz w:val="24"/>
          <w:szCs w:val="24"/>
          <w:color w:val="auto"/>
        </w:rPr>
      </w:pPr>
    </w:p>
    <w:p>
      <w:pPr>
        <w:ind w:left="46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WESTINGHOUSE AIR BRAKE TECHNOLOGIES</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CORPORATION</w:t>
      </w: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4920" w:type="dxa"/>
            <w:vAlign w:val="bottom"/>
          </w:tcPr>
          <w:p>
            <w:pPr>
              <w:jc w:val="center"/>
              <w:ind w:right="1344"/>
              <w:spacing w:after="0"/>
              <w:rPr>
                <w:sz w:val="20"/>
                <w:szCs w:val="20"/>
                <w:color w:val="auto"/>
              </w:rPr>
            </w:pPr>
            <w:r>
              <w:rPr>
                <w:rFonts w:ascii="Arial" w:cs="Arial" w:eastAsia="Arial" w:hAnsi="Arial"/>
                <w:sz w:val="17"/>
                <w:szCs w:val="17"/>
                <w:b w:val="1"/>
                <w:bCs w:val="1"/>
                <w:color w:val="auto"/>
                <w:w w:val="93"/>
              </w:rPr>
              <w:t>Delaware</w:t>
            </w:r>
          </w:p>
        </w:tc>
        <w:tc>
          <w:tcPr>
            <w:tcW w:w="3480" w:type="dxa"/>
            <w:vAlign w:val="bottom"/>
          </w:tcPr>
          <w:p>
            <w:pPr>
              <w:jc w:val="right"/>
              <w:ind w:right="544"/>
              <w:spacing w:after="0"/>
              <w:rPr>
                <w:sz w:val="20"/>
                <w:szCs w:val="20"/>
                <w:color w:val="auto"/>
              </w:rPr>
            </w:pPr>
            <w:r>
              <w:rPr>
                <w:rFonts w:ascii="Arial" w:cs="Arial" w:eastAsia="Arial" w:hAnsi="Arial"/>
                <w:sz w:val="17"/>
                <w:szCs w:val="17"/>
                <w:b w:val="1"/>
                <w:bCs w:val="1"/>
                <w:color w:val="auto"/>
              </w:rPr>
              <w:t>25-1615902</w:t>
            </w:r>
          </w:p>
        </w:tc>
      </w:tr>
      <w:tr>
        <w:trPr>
          <w:trHeight w:val="179"/>
        </w:trPr>
        <w:tc>
          <w:tcPr>
            <w:tcW w:w="4920" w:type="dxa"/>
            <w:vAlign w:val="bottom"/>
          </w:tcPr>
          <w:p>
            <w:pPr>
              <w:jc w:val="center"/>
              <w:ind w:right="1344"/>
              <w:spacing w:after="0"/>
              <w:rPr>
                <w:sz w:val="20"/>
                <w:szCs w:val="20"/>
                <w:color w:val="auto"/>
              </w:rPr>
            </w:pPr>
            <w:r>
              <w:rPr>
                <w:rFonts w:ascii="Arial" w:cs="Arial" w:eastAsia="Arial" w:hAnsi="Arial"/>
                <w:sz w:val="13"/>
                <w:szCs w:val="13"/>
                <w:b w:val="1"/>
                <w:bCs w:val="1"/>
                <w:color w:val="auto"/>
                <w:w w:val="95"/>
              </w:rPr>
              <w:t>(State or other jurisdiction of incorporation or organization)</w:t>
            </w:r>
          </w:p>
        </w:tc>
        <w:tc>
          <w:tcPr>
            <w:tcW w:w="3480" w:type="dxa"/>
            <w:vAlign w:val="bottom"/>
          </w:tcPr>
          <w:p>
            <w:pPr>
              <w:jc w:val="center"/>
              <w:ind w:left="1344"/>
              <w:spacing w:after="0"/>
              <w:rPr>
                <w:sz w:val="20"/>
                <w:szCs w:val="20"/>
                <w:color w:val="auto"/>
              </w:rPr>
            </w:pPr>
            <w:r>
              <w:rPr>
                <w:rFonts w:ascii="Arial" w:cs="Arial" w:eastAsia="Arial" w:hAnsi="Arial"/>
                <w:sz w:val="13"/>
                <w:szCs w:val="13"/>
                <w:b w:val="1"/>
                <w:bCs w:val="1"/>
                <w:color w:val="auto"/>
                <w:w w:val="96"/>
              </w:rPr>
              <w:t>(I.R.S. Employer Identification No.)</w:t>
            </w:r>
          </w:p>
        </w:tc>
      </w:tr>
      <w:tr>
        <w:trPr>
          <w:trHeight w:val="280"/>
        </w:trPr>
        <w:tc>
          <w:tcPr>
            <w:tcW w:w="4920" w:type="dxa"/>
            <w:vAlign w:val="bottom"/>
          </w:tcPr>
          <w:p>
            <w:pPr>
              <w:jc w:val="center"/>
              <w:ind w:right="1344"/>
              <w:spacing w:after="0"/>
              <w:rPr>
                <w:sz w:val="20"/>
                <w:szCs w:val="20"/>
                <w:color w:val="auto"/>
              </w:rPr>
            </w:pPr>
            <w:r>
              <w:rPr>
                <w:rFonts w:ascii="Arial" w:cs="Arial" w:eastAsia="Arial" w:hAnsi="Arial"/>
                <w:sz w:val="17"/>
                <w:szCs w:val="17"/>
                <w:b w:val="1"/>
                <w:bCs w:val="1"/>
                <w:color w:val="auto"/>
                <w:w w:val="90"/>
              </w:rPr>
              <w:t>30 Isabella Street Pittsburgh, Pennsylvania</w:t>
            </w:r>
          </w:p>
        </w:tc>
        <w:tc>
          <w:tcPr>
            <w:tcW w:w="3480" w:type="dxa"/>
            <w:vAlign w:val="bottom"/>
          </w:tcPr>
          <w:p>
            <w:pPr>
              <w:jc w:val="right"/>
              <w:ind w:right="744"/>
              <w:spacing w:after="0"/>
              <w:rPr>
                <w:sz w:val="20"/>
                <w:szCs w:val="20"/>
                <w:color w:val="auto"/>
              </w:rPr>
            </w:pPr>
            <w:r>
              <w:rPr>
                <w:rFonts w:ascii="Arial" w:cs="Arial" w:eastAsia="Arial" w:hAnsi="Arial"/>
                <w:sz w:val="17"/>
                <w:szCs w:val="17"/>
                <w:b w:val="1"/>
                <w:bCs w:val="1"/>
                <w:color w:val="auto"/>
              </w:rPr>
              <w:t>15212</w:t>
            </w:r>
          </w:p>
        </w:tc>
      </w:tr>
      <w:tr>
        <w:trPr>
          <w:trHeight w:val="179"/>
        </w:trPr>
        <w:tc>
          <w:tcPr>
            <w:tcW w:w="4920" w:type="dxa"/>
            <w:vAlign w:val="bottom"/>
          </w:tcPr>
          <w:p>
            <w:pPr>
              <w:jc w:val="center"/>
              <w:ind w:right="1344"/>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480" w:type="dxa"/>
            <w:vAlign w:val="bottom"/>
          </w:tcPr>
          <w:p>
            <w:pPr>
              <w:jc w:val="center"/>
              <w:ind w:left="1344"/>
              <w:spacing w:after="0"/>
              <w:rPr>
                <w:sz w:val="20"/>
                <w:szCs w:val="20"/>
                <w:color w:val="auto"/>
              </w:rPr>
            </w:pPr>
            <w:r>
              <w:rPr>
                <w:rFonts w:ascii="Arial" w:cs="Arial" w:eastAsia="Arial" w:hAnsi="Arial"/>
                <w:sz w:val="13"/>
                <w:szCs w:val="13"/>
                <w:b w:val="1"/>
                <w:bCs w:val="1"/>
                <w:color w:val="auto"/>
                <w:w w:val="93"/>
              </w:rPr>
              <w:t>(Zip code)</w:t>
            </w: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412-825-1000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10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Class</w:t>
            </w:r>
          </w:p>
        </w:tc>
        <w:tc>
          <w:tcPr>
            <w:tcW w:w="2460" w:type="dxa"/>
            <w:vAlign w:val="bottom"/>
          </w:tcPr>
          <w:p>
            <w:pPr>
              <w:ind w:left="1160"/>
              <w:spacing w:after="0"/>
              <w:rPr>
                <w:sz w:val="20"/>
                <w:szCs w:val="20"/>
                <w:color w:val="auto"/>
              </w:rPr>
            </w:pPr>
            <w:r>
              <w:rPr>
                <w:rFonts w:ascii="Arial" w:cs="Arial" w:eastAsia="Arial" w:hAnsi="Arial"/>
                <w:sz w:val="14"/>
                <w:szCs w:val="14"/>
                <w:b w:val="1"/>
                <w:bCs w:val="1"/>
                <w:color w:val="auto"/>
              </w:rPr>
              <w:t>Trading</w:t>
            </w:r>
          </w:p>
        </w:tc>
        <w:tc>
          <w:tcPr>
            <w:tcW w:w="4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97"/>
        </w:trPr>
        <w:tc>
          <w:tcPr>
            <w:tcW w:w="440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Symbol(s)</w:t>
            </w:r>
          </w:p>
        </w:tc>
        <w:tc>
          <w:tcPr>
            <w:tcW w:w="4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00" w:type="dxa"/>
            <w:vAlign w:val="bottom"/>
          </w:tcPr>
          <w:p>
            <w:pPr>
              <w:ind w:left="1060"/>
              <w:spacing w:after="0"/>
              <w:rPr>
                <w:sz w:val="20"/>
                <w:szCs w:val="20"/>
                <w:color w:val="auto"/>
              </w:rPr>
            </w:pPr>
            <w:r>
              <w:rPr>
                <w:rFonts w:ascii="Arial" w:cs="Arial" w:eastAsia="Arial" w:hAnsi="Arial"/>
                <w:sz w:val="15"/>
                <w:szCs w:val="15"/>
                <w:color w:val="auto"/>
              </w:rPr>
              <w:t>Common Stock, $.01 par value per share</w:t>
            </w:r>
          </w:p>
        </w:tc>
        <w:tc>
          <w:tcPr>
            <w:tcW w:w="2460" w:type="dxa"/>
            <w:vAlign w:val="bottom"/>
          </w:tcPr>
          <w:p>
            <w:pPr>
              <w:ind w:left="900"/>
              <w:spacing w:after="0"/>
              <w:rPr>
                <w:sz w:val="20"/>
                <w:szCs w:val="20"/>
                <w:color w:val="auto"/>
              </w:rPr>
            </w:pPr>
            <w:r>
              <w:rPr>
                <w:rFonts w:ascii="Arial" w:cs="Arial" w:eastAsia="Arial" w:hAnsi="Arial"/>
                <w:sz w:val="15"/>
                <w:szCs w:val="15"/>
                <w:color w:val="auto"/>
              </w:rPr>
              <w:t>WAB</w:t>
            </w:r>
          </w:p>
        </w:tc>
        <w:tc>
          <w:tcPr>
            <w:tcW w:w="4320" w:type="dxa"/>
            <w:vAlign w:val="bottom"/>
          </w:tcPr>
          <w:p>
            <w:pPr>
              <w:jc w:val="center"/>
              <w:spacing w:after="0"/>
              <w:rPr>
                <w:sz w:val="20"/>
                <w:szCs w:val="20"/>
                <w:color w:val="auto"/>
              </w:rPr>
            </w:pPr>
            <w:r>
              <w:rPr>
                <w:rFonts w:ascii="Arial" w:cs="Arial" w:eastAsia="Arial" w:hAnsi="Arial"/>
                <w:sz w:val="15"/>
                <w:szCs w:val="15"/>
                <w:color w:val="auto"/>
                <w:w w:val="93"/>
              </w:rPr>
              <w:t>New York Stock Exchange</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right="80" w:firstLine="486"/>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60" w:firstLine="486"/>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86"/>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4"/>
        </w:trPr>
        <w:tc>
          <w:tcPr>
            <w:tcW w:w="2240" w:type="dxa"/>
            <w:vAlign w:val="bottom"/>
            <w:vMerge w:val="restart"/>
          </w:tcPr>
          <w:p>
            <w:pPr>
              <w:ind w:left="500"/>
              <w:spacing w:after="0"/>
              <w:rPr>
                <w:sz w:val="20"/>
                <w:szCs w:val="20"/>
                <w:color w:val="auto"/>
              </w:rPr>
            </w:pPr>
            <w:r>
              <w:rPr>
                <w:rFonts w:ascii="Arial" w:cs="Arial" w:eastAsia="Arial" w:hAnsi="Arial"/>
                <w:sz w:val="15"/>
                <w:szCs w:val="15"/>
                <w:color w:val="auto"/>
              </w:rPr>
              <w:t>Large accelerated filer</w:t>
            </w:r>
          </w:p>
        </w:tc>
        <w:tc>
          <w:tcPr>
            <w:tcW w:w="780" w:type="dxa"/>
            <w:vAlign w:val="bottom"/>
            <w:vMerge w:val="restart"/>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2280" w:type="dxa"/>
            <w:vAlign w:val="bottom"/>
            <w:vMerge w:val="restart"/>
          </w:tcPr>
          <w:p>
            <w:pPr>
              <w:ind w:left="260"/>
              <w:spacing w:after="0"/>
              <w:rPr>
                <w:sz w:val="20"/>
                <w:szCs w:val="20"/>
                <w:color w:val="auto"/>
              </w:rPr>
            </w:pPr>
            <w:r>
              <w:rPr>
                <w:rFonts w:ascii="Arial" w:cs="Arial" w:eastAsia="Arial" w:hAnsi="Arial"/>
                <w:sz w:val="15"/>
                <w:szCs w:val="15"/>
                <w:color w:val="auto"/>
              </w:rPr>
              <w:t>Accelerated filer</w:t>
            </w:r>
          </w:p>
        </w:tc>
        <w:tc>
          <w:tcPr>
            <w:tcW w:w="900" w:type="dxa"/>
            <w:vAlign w:val="bottom"/>
            <w:vMerge w:val="restart"/>
          </w:tcPr>
          <w:p>
            <w:pPr>
              <w:ind w:left="3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filer</w:t>
            </w:r>
          </w:p>
        </w:tc>
        <w:tc>
          <w:tcPr>
            <w:tcW w:w="1900" w:type="dxa"/>
            <w:vAlign w:val="bottom"/>
          </w:tcPr>
          <w:p>
            <w:pPr>
              <w:ind w:left="120"/>
              <w:spacing w:after="0" w:line="164" w:lineRule="exact"/>
              <w:rPr>
                <w:sz w:val="20"/>
                <w:szCs w:val="20"/>
                <w:color w:val="auto"/>
              </w:rPr>
            </w:pPr>
            <w:r>
              <w:rPr>
                <w:rFonts w:ascii="Arial" w:cs="Arial" w:eastAsia="Arial" w:hAnsi="Arial"/>
                <w:sz w:val="15"/>
                <w:szCs w:val="15"/>
                <w:color w:val="auto"/>
              </w:rPr>
              <w:t>Non-accelerated</w:t>
            </w:r>
          </w:p>
        </w:tc>
        <w:tc>
          <w:tcPr>
            <w:tcW w:w="0" w:type="dxa"/>
            <w:vAlign w:val="bottom"/>
          </w:tcPr>
          <w:p>
            <w:pPr>
              <w:spacing w:after="0"/>
              <w:rPr>
                <w:sz w:val="1"/>
                <w:szCs w:val="1"/>
                <w:color w:val="auto"/>
              </w:rPr>
            </w:pPr>
          </w:p>
        </w:tc>
      </w:tr>
      <w:tr>
        <w:trPr>
          <w:trHeight w:val="203"/>
        </w:trPr>
        <w:tc>
          <w:tcPr>
            <w:tcW w:w="2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48"/>
        </w:trPr>
        <w:tc>
          <w:tcPr>
            <w:tcW w:w="2240" w:type="dxa"/>
            <w:vAlign w:val="bottom"/>
          </w:tcPr>
          <w:p>
            <w:pPr>
              <w:ind w:left="500"/>
              <w:spacing w:after="0" w:line="149" w:lineRule="exact"/>
              <w:rPr>
                <w:sz w:val="20"/>
                <w:szCs w:val="20"/>
                <w:color w:val="auto"/>
              </w:rPr>
            </w:pPr>
            <w:r>
              <w:rPr>
                <w:rFonts w:ascii="Arial" w:cs="Arial" w:eastAsia="Arial" w:hAnsi="Arial"/>
                <w:sz w:val="15"/>
                <w:szCs w:val="15"/>
                <w:color w:val="auto"/>
              </w:rPr>
              <w:t>Emerging growth</w:t>
            </w:r>
          </w:p>
        </w:tc>
        <w:tc>
          <w:tcPr>
            <w:tcW w:w="780" w:type="dxa"/>
            <w:vAlign w:val="bottom"/>
            <w:vMerge w:val="restart"/>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2280" w:type="dxa"/>
            <w:vAlign w:val="bottom"/>
            <w:vMerge w:val="restart"/>
          </w:tcPr>
          <w:p>
            <w:pPr>
              <w:ind w:left="260"/>
              <w:spacing w:after="0"/>
              <w:rPr>
                <w:sz w:val="20"/>
                <w:szCs w:val="20"/>
                <w:color w:val="auto"/>
              </w:rPr>
            </w:pPr>
            <w:r>
              <w:rPr>
                <w:rFonts w:ascii="Arial" w:cs="Arial" w:eastAsia="Arial" w:hAnsi="Arial"/>
                <w:sz w:val="15"/>
                <w:szCs w:val="15"/>
                <w:color w:val="auto"/>
              </w:rPr>
              <w:t>Smaller reporting company</w:t>
            </w:r>
          </w:p>
        </w:tc>
        <w:tc>
          <w:tcPr>
            <w:tcW w:w="900" w:type="dxa"/>
            <w:vAlign w:val="bottom"/>
            <w:vMerge w:val="restart"/>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20"/>
                <w:szCs w:val="20"/>
                <w:color w:val="auto"/>
              </w:rPr>
            </w:pPr>
            <w:r>
              <w:rPr>
                <w:rFonts w:ascii="Arial" w:cs="Arial" w:eastAsia="Arial" w:hAnsi="Arial"/>
                <w:sz w:val="15"/>
                <w:szCs w:val="15"/>
                <w:color w:val="auto"/>
              </w:rPr>
              <w:t>company</w:t>
            </w:r>
          </w:p>
        </w:tc>
        <w:tc>
          <w:tcPr>
            <w:tcW w:w="780" w:type="dxa"/>
            <w:vAlign w:val="bottom"/>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20" w:firstLine="486"/>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40"/>
        <w:spacing w:after="0" w:line="18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July 23, 2021, there were 189,034,202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June 30, 2021</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00" w:type="dxa"/>
            <w:vAlign w:val="bottom"/>
            <w:gridSpan w:val="16"/>
          </w:tcPr>
          <w:p>
            <w:pPr>
              <w:ind w:left="40"/>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18"/>
                <w:szCs w:val="18"/>
                <w:color w:val="auto"/>
              </w:rPr>
            </w:pPr>
          </w:p>
        </w:tc>
      </w:tr>
      <w:tr>
        <w:trPr>
          <w:trHeight w:val="54"/>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Item 1.</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 (Unaudited)</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June </w:t>
              </w:r>
            </w:hyperlink>
            <w:r>
              <w:rPr>
                <w:rFonts w:ascii="Arial" w:cs="Arial" w:eastAsia="Arial" w:hAnsi="Arial"/>
                <w:sz w:val="18"/>
                <w:szCs w:val="18"/>
                <w:color w:val="0000FF"/>
              </w:rPr>
              <w:t xml:space="preserve">30, </w:t>
            </w:r>
            <w:hyperlink w:anchor="page3">
              <w:r>
                <w:rPr>
                  <w:rFonts w:ascii="Arial" w:cs="Arial" w:eastAsia="Arial" w:hAnsi="Arial"/>
                  <w:sz w:val="18"/>
                  <w:szCs w:val="18"/>
                  <w:color w:val="0000FF"/>
                </w:rPr>
                <w:t>2021 and December 31, 2020</w:t>
              </w:r>
            </w:hyperlink>
          </w:p>
        </w:tc>
        <w:tc>
          <w:tcPr>
            <w:tcW w:w="560" w:type="dxa"/>
            <w:vAlign w:val="bottom"/>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for the three and six months ended June </w:t>
              </w:r>
            </w:hyperlink>
            <w:r>
              <w:rPr>
                <w:rFonts w:ascii="Arial" w:cs="Arial" w:eastAsia="Arial" w:hAnsi="Arial"/>
                <w:sz w:val="18"/>
                <w:szCs w:val="18"/>
                <w:color w:val="0000FF"/>
              </w:rPr>
              <w:t xml:space="preserve">30, </w:t>
            </w:r>
            <w:hyperlink w:anchor="page3">
              <w:r>
                <w:rPr>
                  <w:rFonts w:ascii="Arial" w:cs="Arial" w:eastAsia="Arial" w:hAnsi="Arial"/>
                  <w:sz w:val="18"/>
                  <w:szCs w:val="18"/>
                  <w:color w:val="0000FF"/>
                </w:rPr>
                <w:t>2021 and 2020</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w w:val="97"/>
              </w:rPr>
            </w:pPr>
            <w:hyperlink w:anchor="page4">
              <w:r>
                <w:rPr>
                  <w:rFonts w:ascii="Arial" w:cs="Arial" w:eastAsia="Arial" w:hAnsi="Arial"/>
                  <w:sz w:val="18"/>
                  <w:szCs w:val="18"/>
                  <w:color w:val="0000FF"/>
                  <w:w w:val="97"/>
                </w:rPr>
                <w:t>Condensed Consolidated Statements of Comprehensive Income for the three and six months ended June 30, 2021 and 2020</w:t>
              </w:r>
            </w:hyperlink>
          </w:p>
        </w:tc>
        <w:tc>
          <w:tcPr>
            <w:tcW w:w="560" w:type="dxa"/>
            <w:vAlign w:val="bottom"/>
          </w:tcPr>
          <w:p>
            <w:pPr>
              <w:jc w:val="right"/>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six months ended June 30, 2021 and 2020</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Shareholders' Equity for the three and six months ended June 30, 2021 and 2020</w:t>
              </w:r>
            </w:hyperlink>
          </w:p>
        </w:tc>
        <w:tc>
          <w:tcPr>
            <w:tcW w:w="560" w:type="dxa"/>
            <w:vAlign w:val="bottom"/>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5700" w:type="dxa"/>
            <w:vAlign w:val="bottom"/>
            <w:tcBorders>
              <w:bottom w:val="single" w:sz="8" w:color="CCEEFF"/>
            </w:tcBorders>
            <w:gridSpan w:val="9"/>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560" w:type="dxa"/>
            <w:vAlign w:val="bottom"/>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Item 3.</w:t>
            </w:r>
          </w:p>
        </w:tc>
        <w:tc>
          <w:tcPr>
            <w:tcW w:w="14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Quantitative and Qualitative Disclosures about Market Risk</w:t>
              </w:r>
            </w:hyperlink>
          </w:p>
        </w:tc>
        <w:tc>
          <w:tcPr>
            <w:tcW w:w="5380" w:type="dxa"/>
            <w:vAlign w:val="bottom"/>
            <w:tcBorders>
              <w:bottom w:val="single" w:sz="8" w:color="CCEEFF"/>
            </w:tcBorders>
            <w:gridSpan w:val="8"/>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560" w:type="dxa"/>
            <w:vAlign w:val="bottom"/>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840" w:type="dxa"/>
            <w:vAlign w:val="bottom"/>
            <w:gridSpan w:val="17"/>
            <w:shd w:val="clear" w:color="auto" w:fill="CCEEFF"/>
          </w:tcPr>
          <w:p>
            <w:pPr>
              <w:ind w:left="140"/>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shd w:val="clear" w:color="auto" w:fill="CCEEFF"/>
          </w:tcPr>
          <w:p>
            <w:pPr>
              <w:spacing w:after="0"/>
              <w:rPr>
                <w:sz w:val="19"/>
                <w:szCs w:val="19"/>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560" w:type="dxa"/>
            <w:vAlign w:val="bottom"/>
          </w:tcPr>
          <w:p>
            <w:pPr>
              <w:jc w:val="right"/>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Item 1A.</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2.</w:t>
            </w: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560" w:type="dxa"/>
            <w:vAlign w:val="bottom"/>
          </w:tcPr>
          <w:p>
            <w:pPr>
              <w:jc w:val="right"/>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Item 4.</w:t>
            </w: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5"/>
            <w:shd w:val="clear" w:color="auto" w:fill="CCEEFF"/>
          </w:tcPr>
          <w:p>
            <w:pPr>
              <w:spacing w:after="0" w:line="189" w:lineRule="exact"/>
              <w:rPr>
                <w:rFonts w:ascii="Arial" w:cs="Arial" w:eastAsia="Arial" w:hAnsi="Arial"/>
                <w:sz w:val="18"/>
                <w:szCs w:val="18"/>
                <w:color w:val="0000FF"/>
                <w:w w:val="91"/>
              </w:rPr>
            </w:pPr>
            <w:hyperlink w:anchor="page45">
              <w:r>
                <w:rPr>
                  <w:rFonts w:ascii="Arial" w:cs="Arial" w:eastAsia="Arial" w:hAnsi="Arial"/>
                  <w:sz w:val="18"/>
                  <w:szCs w:val="18"/>
                  <w:color w:val="0000FF"/>
                  <w:w w:val="91"/>
                </w:rPr>
                <w:t>Mine Safety Disclosures</w:t>
              </w:r>
            </w:hyperlink>
          </w:p>
        </w:tc>
        <w:tc>
          <w:tcPr>
            <w:tcW w:w="7920" w:type="dxa"/>
            <w:vAlign w:val="bottom"/>
            <w:tcBorders>
              <w:bottom w:val="single" w:sz="8" w:color="CCEEFF"/>
            </w:tcBorders>
            <w:gridSpan w:val="11"/>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6.</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560" w:type="dxa"/>
            <w:vAlign w:val="bottom"/>
          </w:tcPr>
          <w:p>
            <w:pPr>
              <w:jc w:val="right"/>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984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 except par value</w:t>
            </w: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60"/>
              <w:spacing w:after="0" w:line="149" w:lineRule="exact"/>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99"/>
              <w:spacing w:after="0" w:line="149" w:lineRule="exact"/>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6360" w:type="dxa"/>
            <w:vAlign w:val="bottom"/>
            <w:shd w:val="clear" w:color="auto" w:fill="CCEEFF"/>
          </w:tcPr>
          <w:p>
            <w:pPr>
              <w:jc w:val="center"/>
              <w:ind w:right="1628"/>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Unbilled accounts receivable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1,661.2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60" w:type="dxa"/>
            <w:vAlign w:val="bottom"/>
            <w:gridSpan w:val="2"/>
          </w:tcPr>
          <w:p>
            <w:pPr>
              <w:ind w:left="22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3,808.2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8,653.2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8,485.2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3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18,512.4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360" w:type="dxa"/>
            <w:vAlign w:val="bottom"/>
            <w:shd w:val="clear" w:color="auto" w:fill="CCEEFF"/>
          </w:tcPr>
          <w:p>
            <w:pPr>
              <w:jc w:val="center"/>
              <w:ind w:right="1648"/>
              <w:spacing w:after="0" w:line="156" w:lineRule="exact"/>
              <w:rPr>
                <w:sz w:val="20"/>
                <w:szCs w:val="20"/>
                <w:color w:val="auto"/>
              </w:rPr>
            </w:pPr>
            <w:r>
              <w:rPr>
                <w:rFonts w:ascii="Arial" w:cs="Arial" w:eastAsia="Arial" w:hAnsi="Arial"/>
                <w:sz w:val="14"/>
                <w:szCs w:val="14"/>
                <w:b w:val="1"/>
                <w:bCs w:val="1"/>
                <w:color w:val="auto"/>
                <w:w w:val="94"/>
              </w:rPr>
              <w:t>Liabilities and Shareholders’ Equity</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Accrued warranty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4,079.6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postretirement and pension benefits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 term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60" w:type="dxa"/>
            <w:vAlign w:val="bottom"/>
            <w:gridSpan w:val="2"/>
          </w:tcPr>
          <w:p>
            <w:pPr>
              <w:spacing w:after="0" w:line="166" w:lineRule="exact"/>
              <w:rPr>
                <w:sz w:val="20"/>
                <w:szCs w:val="20"/>
                <w:color w:val="auto"/>
              </w:rPr>
            </w:pPr>
            <w:r>
              <w:rPr>
                <w:rFonts w:ascii="Arial" w:cs="Arial" w:eastAsia="Arial" w:hAnsi="Arial"/>
                <w:sz w:val="16"/>
                <w:szCs w:val="16"/>
                <w:color w:val="auto"/>
                <w:w w:val="91"/>
              </w:rPr>
              <w:t>Common stock, $.01 par value; 500.0 shares authorized: 226.9 and 226.9 shares issued and 189.0 and 188.9 outstanding at</w:t>
            </w: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June 30, 2021 and December 31, 2020, respectively</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Treasury stock, at cost, 37.9 and 38.0 shares, at June 30, 2021 and December 31, 2020, respectively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10,327.8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36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18,512.4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6"/>
              </w:rPr>
              <w:t>Unaudited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Pr>
          <w:p>
            <w:pPr>
              <w:spacing w:after="0"/>
              <w:rPr>
                <w:sz w:val="16"/>
                <w:szCs w:val="16"/>
                <w:color w:val="auto"/>
              </w:rPr>
            </w:pPr>
          </w:p>
        </w:tc>
        <w:tc>
          <w:tcPr>
            <w:tcW w:w="22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61"/>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00" w:type="dxa"/>
            <w:vAlign w:val="bottom"/>
          </w:tcPr>
          <w:p>
            <w:pPr>
              <w:spacing w:after="0"/>
              <w:rPr>
                <w:sz w:val="13"/>
                <w:szCs w:val="13"/>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of goods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2,996.9</w:t>
            </w:r>
          </w:p>
        </w:tc>
      </w:tr>
      <w:tr>
        <w:trPr>
          <w:trHeight w:val="230"/>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Sales of services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w:t>
            </w: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r>
      <w:tr>
        <w:trPr>
          <w:trHeight w:val="229"/>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goods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w:t>
            </w: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cost of sales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(2,601.9)</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1,065.4</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(460.2)</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Engineering expenses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expense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376.7</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263.5</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r>
      <w:tr>
        <w:trPr>
          <w:trHeight w:val="230"/>
        </w:trPr>
        <w:tc>
          <w:tcPr>
            <w:tcW w:w="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190.8</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3"/>
          </w:tcPr>
          <w:p>
            <w:pPr>
              <w:jc w:val="center"/>
              <w:ind w:left="652"/>
              <w:spacing w:after="0"/>
              <w:rPr>
                <w:sz w:val="20"/>
                <w:szCs w:val="20"/>
                <w:color w:val="auto"/>
              </w:rPr>
            </w:pPr>
            <w:r>
              <w:rPr>
                <w:rFonts w:ascii="Arial" w:cs="Arial" w:eastAsia="Arial" w:hAnsi="Arial"/>
                <w:sz w:val="16"/>
                <w:szCs w:val="16"/>
                <w:b w:val="1"/>
                <w:bCs w:val="1"/>
                <w:color w:val="auto"/>
                <w:w w:val="94"/>
              </w:rPr>
              <w:t>Unaudited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Unaudited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Three Months Ended June 30,</w:t>
            </w:r>
          </w:p>
        </w:tc>
        <w:tc>
          <w:tcPr>
            <w:tcW w:w="340" w:type="dxa"/>
            <w:vAlign w:val="bottom"/>
          </w:tcPr>
          <w:p>
            <w:pPr>
              <w:spacing w:after="0"/>
              <w:rPr>
                <w:sz w:val="18"/>
                <w:szCs w:val="18"/>
                <w:color w:val="auto"/>
              </w:rPr>
            </w:pPr>
          </w:p>
        </w:tc>
        <w:tc>
          <w:tcPr>
            <w:tcW w:w="280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5"/>
                <w:szCs w:val="15"/>
                <w:color w:val="auto"/>
              </w:rPr>
            </w:pPr>
          </w:p>
        </w:tc>
        <w:tc>
          <w:tcPr>
            <w:tcW w:w="1200" w:type="dxa"/>
            <w:vAlign w:val="bottom"/>
          </w:tcPr>
          <w:p>
            <w:pPr>
              <w:jc w:val="right"/>
              <w:ind w:right="512"/>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511"/>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492"/>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511"/>
              <w:spacing w:after="0" w:line="181"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Unrealized gain (loss) on derivative contracts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Unrealized (loss) gain on pension benefit plans and post-</w:t>
            </w: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benefit plans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Income tax benefit related to components of other comprehensive</w:t>
            </w:r>
          </w:p>
        </w:tc>
        <w:tc>
          <w:tcPr>
            <w:tcW w:w="3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3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Wabtec shareholders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Unaudited</w:t>
            </w:r>
          </w:p>
        </w:tc>
        <w:tc>
          <w:tcPr>
            <w:tcW w:w="10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11"/>
              <w:spacing w:after="0" w:line="17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510"/>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cash provided by (used for)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receivable and unbilled 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Accrued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Accrued liabilities and customer deposits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Other assets and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assets and businesses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2,093.0</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 of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Repurchase of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dividends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financing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Decrease in 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Treasury</w:t>
            </w: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4"/>
                <w:szCs w:val="4"/>
                <w:color w:val="auto"/>
              </w:rPr>
            </w:pPr>
          </w:p>
        </w:tc>
        <w:tc>
          <w:tcPr>
            <w:tcW w:w="6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Paid-in Capital</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 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 share data</w:t>
            </w: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Amount</w:t>
            </w:r>
          </w:p>
        </w:tc>
        <w:tc>
          <w:tcPr>
            <w:tcW w:w="1000" w:type="dxa"/>
            <w:vAlign w:val="bottom"/>
            <w:gridSpan w:val="3"/>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7,880.6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3,588.9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7,883.9</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(1,011.1)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3,678.3</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10,177.1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June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7,875.0</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3,355.6</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9,797.7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Balance, June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7,871.7</w:t>
            </w:r>
          </w:p>
        </w:tc>
        <w:tc>
          <w:tcPr>
            <w:tcW w:w="1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(909.3)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3,419.0</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(537.8)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9,880.6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line="289" w:lineRule="auto"/>
        <w:rPr>
          <w:sz w:val="20"/>
          <w:szCs w:val="20"/>
          <w:color w:val="auto"/>
        </w:rPr>
      </w:pPr>
      <w:r>
        <w:rPr>
          <w:rFonts w:ascii="Arial" w:cs="Arial" w:eastAsia="Arial" w:hAnsi="Arial"/>
          <w:sz w:val="17"/>
          <w:szCs w:val="17"/>
          <w:b w:val="1"/>
          <w:bCs w:val="1"/>
          <w:color w:val="auto"/>
        </w:rPr>
        <w:t>WESTINGHOUSE AIR BRAKE TECHNOLOGIES CORPORATION NOTES TO CONDENSED CONSOLIDATED FINANCIAL STATEMENTS FOR THE QUARTERLY PERIOD ENDED JUNE 30, 2021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Westinghouse Air Brake Technologies Corporation (“Wabtec” or the "Company")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2021, approximately 59% of the Company’s revenues came from customers outside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unaudited condensed consolidated interim financial statements have been prepared in accordance with generally accepted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 particularly in light of the ongoing COVID-19 pandemic that is continuing to impact our sales channels, supply chain, manufacturing operations, workforce, and other key aspects of our operations and the high degree of uncertainty regarding the pandemic's duration and severity, availability and effectiveness of vaccines, impact of variants of the disease, actions to control it, and the potential impact on global economic activity, global supply chain operations and our customers, suppliers, and end-markets.</w:t>
      </w:r>
    </w:p>
    <w:p>
      <w:pPr>
        <w:spacing w:after="0" w:line="58"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September 30 and December 31.</w:t>
      </w:r>
    </w:p>
    <w:p>
      <w:pPr>
        <w:spacing w:after="0" w:line="6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2020. The December 31, 2020 information has been derived from the Company’s Annual Report on Form 10-K for the year ended December 31, 2020.</w:t>
      </w:r>
    </w:p>
    <w:p>
      <w:pPr>
        <w:spacing w:after="0" w:line="76"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3"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A majority of the Company’s revenues are derived from performance obligations that are satisfied at a point in time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passes to the customer. The remaining revenues are earned over time. Generally, for performance obligations satisfied at a point in time control passes at the time of shipment in accordance with agreed upon delivery terms.</w:t>
      </w:r>
    </w:p>
    <w:p>
      <w:pPr>
        <w:spacing w:after="0" w:line="76"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5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ind w:right="200"/>
        <w:spacing w:after="0" w:line="257" w:lineRule="auto"/>
        <w:rPr>
          <w:sz w:val="20"/>
          <w:szCs w:val="20"/>
          <w:color w:val="auto"/>
        </w:rPr>
      </w:pPr>
      <w:r>
        <w:rPr>
          <w:rFonts w:ascii="Arial" w:cs="Arial" w:eastAsia="Arial" w:hAnsi="Arial"/>
          <w:sz w:val="18"/>
          <w:szCs w:val="18"/>
          <w:color w:val="auto"/>
        </w:rPr>
        <w:t>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8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Remaining performance obligations represent the transaction price of firm customer orders subject to standard industry cancellation provisions and substantial scope-of-work adjustments. As of June 30, 2021, the Company's remaining performance obligations were $20.8 billion. The Company expects to recognize revenue of approximately 25% of the remaining performance obligations over the next 12 months, with the remainder recognized thereafter.</w:t>
      </w:r>
    </w:p>
    <w:p>
      <w:pPr>
        <w:spacing w:after="0" w:line="4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SEC regulations require that revenue categories that exceed 10% of total revenue are presented separately on the company's Statement of income. As such, the Company has displayed sales of goods and sales of services, and the related cost, in line with those regulations. Additionally, those regulations also require that goods are to include all sales of tangible products, and services must include all other sales. In Note 16 we refer to sales of both goods, such as spare parts and equipment upgrades, and related services, such as monitoring, maintenance and repairs, as sales in our Services product line.</w:t>
      </w:r>
    </w:p>
    <w:p>
      <w:pPr>
        <w:spacing w:after="0" w:line="49"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b w:val="1"/>
          <w:bCs w:val="1"/>
          <w:i w:val="1"/>
          <w:iCs w:val="1"/>
          <w:color w:val="auto"/>
        </w:rPr>
        <w:t xml:space="preserve">Revolving Receivables Program </w:t>
      </w:r>
      <w:r>
        <w:rPr>
          <w:rFonts w:ascii="Arial" w:cs="Arial" w:eastAsia="Arial" w:hAnsi="Arial"/>
          <w:sz w:val="16"/>
          <w:szCs w:val="16"/>
          <w:color w:val="auto"/>
        </w:rPr>
        <w:t>In May 2020, the Company entered into a revolving agreement to transfer up to $150 million of certain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certain subsidiaries of the Company (the "Originators") through our bankruptcy-remote subsidiary to a financial institution on a recurring basis in exchange for cash equal to the gross receivables transferred. The bankruptcy remote subsidiary is a separate legal entity with its own creditors, and its assets are not available to pay creditors of the Company or any other affiliates of the Company. During the first quarter of 2021, the Company amended its revolving agreement to increase the amount of certain receivables that can be transferred from $150 million to $200 million. As customers pay their balances, we transfer additional receivables into the program, resulting in our gross receivables sold exceeding net cash flow impacts (e.g., collect and reinvest). The sold receivables are fully guaranteed by our bankruptcy-remote subsidiary which held additional receivables of $332.7 million at June 30, 2021 that are pledged as collateral under this agreement. The transfers are recorded at the fair value of the proceeds received and obligations assumed less</w:t>
      </w:r>
    </w:p>
    <w:p>
      <w:pPr>
        <w:spacing w:after="0" w:line="2"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derecognized receivables. No obligation was recorded at June 30, 2021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(except for the bankruptcy-remote consolidated subsidiary referenced above) nor the Originators guarantees the collectability of the receivables under the revolving agreements.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receivables sold: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134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204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June 30, 2021</w:t>
            </w:r>
          </w:p>
        </w:tc>
        <w:tc>
          <w:tcPr>
            <w:tcW w:w="1960" w:type="dxa"/>
            <w:vAlign w:val="bottom"/>
            <w:gridSpan w:val="2"/>
          </w:tcPr>
          <w:p>
            <w:pPr>
              <w:jc w:val="right"/>
              <w:ind w:right="475"/>
              <w:spacing w:after="0" w:line="149" w:lineRule="exact"/>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receivables sold/cash proceeds received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Collections reinvested under revolving agreement</w:t>
            </w: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proceeds received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b w:val="1"/>
          <w:bCs w:val="1"/>
          <w:i w:val="1"/>
          <w:iCs w:val="1"/>
          <w:color w:val="auto"/>
        </w:rPr>
        <w:t xml:space="preserve">Depreciation Expense </w:t>
      </w:r>
      <w:r>
        <w:rPr>
          <w:rFonts w:ascii="Arial" w:cs="Arial" w:eastAsia="Arial" w:hAnsi="Arial"/>
          <w:sz w:val="16"/>
          <w:szCs w:val="16"/>
          <w:color w:val="auto"/>
        </w:rPr>
        <w:t>Depreciation of property, plant and equipment related to the manufacturing of products or services provided is included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goods or Cost of services. Depreciation of other property, plant and equipment that is not attributable to the manufacturing of products or services provided is included in Selling, general and administrative expenses or Engineering expense depending on how the property, plant and equipment is used.</w:t>
      </w:r>
    </w:p>
    <w:p>
      <w:pPr>
        <w:spacing w:after="0" w:line="4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and other intangible assets with indefinite lives are not amortized. Other intangibles (with definite lives)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the carrying value may not be recoverable. Periodically, management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Company assesses whether or not an indicator of impairment is present that would necessitate an impairment analysis to be performed.</w:t>
      </w:r>
    </w:p>
    <w:p>
      <w:pPr>
        <w:spacing w:after="0" w:line="11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b w:val="1"/>
          <w:bCs w:val="1"/>
          <w:i w:val="1"/>
          <w:iCs w:val="1"/>
          <w:color w:val="auto"/>
        </w:rPr>
        <w:t xml:space="preserve">Accounting Standards Recently Adopted </w:t>
      </w:r>
      <w:r>
        <w:rPr>
          <w:rFonts w:ascii="Arial" w:cs="Arial" w:eastAsia="Arial" w:hAnsi="Arial"/>
          <w:sz w:val="18"/>
          <w:szCs w:val="18"/>
          <w:color w:val="auto"/>
        </w:rPr>
        <w:t>In December 2019, the Financial Accounting Standards Board ("FASB") issued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Update ("ASU") 2019-12, “Income Taxes: Simplifying the Accounting for Income Taxes.” The amendments in this update simplify the accounting for certain income tax transactions by removing specific exceptions to the general principles in Accounting Standards Codification ("ASC") 740, "Income Taxes." This guidance is effective for fiscal years beginning after December 15, 2020 with early adoption permitted. The adoption of this standard did not have a material impact on the Company's consolidated financial statements.</w:t>
      </w:r>
    </w:p>
    <w:p>
      <w:pPr>
        <w:spacing w:after="0" w:line="80"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and circumstances from non-owner sources.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June 30, 2021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Foreign currency</w:t>
            </w:r>
          </w:p>
        </w:tc>
        <w:tc>
          <w:tcPr>
            <w:tcW w:w="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rPr>
              <w:t>Pension and post</w:t>
            </w:r>
          </w:p>
        </w:tc>
        <w:tc>
          <w:tcPr>
            <w:tcW w:w="7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18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translation</w:t>
            </w:r>
          </w:p>
        </w:tc>
        <w:tc>
          <w:tcPr>
            <w:tcW w:w="180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contracts</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retirement benefit plans</w:t>
            </w:r>
          </w:p>
        </w:tc>
        <w:tc>
          <w:tcPr>
            <w:tcW w:w="7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46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income (loss) before</w:t>
            </w:r>
          </w:p>
        </w:tc>
        <w:tc>
          <w:tcPr>
            <w:tcW w:w="9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reclassifications</w:t>
            </w:r>
          </w:p>
        </w:tc>
        <w:tc>
          <w:tcPr>
            <w:tcW w:w="9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Amounts reclassified from Accumulated other</w:t>
            </w:r>
          </w:p>
        </w:tc>
        <w:tc>
          <w:tcPr>
            <w:tcW w:w="9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 (loss), net</w:t>
            </w:r>
          </w:p>
        </w:tc>
        <w:tc>
          <w:tcPr>
            <w:tcW w:w="9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June 30, 2020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Foreign currency</w:t>
            </w:r>
          </w:p>
        </w:tc>
        <w:tc>
          <w:tcPr>
            <w:tcW w:w="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rPr>
              <w:t>Pension and post</w:t>
            </w:r>
          </w:p>
        </w:tc>
        <w:tc>
          <w:tcPr>
            <w:tcW w:w="7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18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translation</w:t>
            </w:r>
          </w:p>
        </w:tc>
        <w:tc>
          <w:tcPr>
            <w:tcW w:w="180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contracts</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retirement benefit plans</w:t>
            </w:r>
          </w:p>
        </w:tc>
        <w:tc>
          <w:tcPr>
            <w:tcW w:w="7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46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income (loss) before</w:t>
            </w:r>
          </w:p>
        </w:tc>
        <w:tc>
          <w:tcPr>
            <w:tcW w:w="9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reclassifications</w:t>
            </w:r>
          </w:p>
        </w:tc>
        <w:tc>
          <w:tcPr>
            <w:tcW w:w="9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Amounts reclassified from Accumulated other</w:t>
            </w:r>
          </w:p>
        </w:tc>
        <w:tc>
          <w:tcPr>
            <w:tcW w:w="9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 (loss), net</w:t>
            </w:r>
          </w:p>
        </w:tc>
        <w:tc>
          <w:tcPr>
            <w:tcW w:w="9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six months ended June 30, 2021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Foreign currency</w:t>
            </w:r>
          </w:p>
        </w:tc>
        <w:tc>
          <w:tcPr>
            <w:tcW w:w="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rPr>
              <w:t>Pension and post</w:t>
            </w:r>
          </w:p>
        </w:tc>
        <w:tc>
          <w:tcPr>
            <w:tcW w:w="7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18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translation</w:t>
            </w:r>
          </w:p>
        </w:tc>
        <w:tc>
          <w:tcPr>
            <w:tcW w:w="180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contracts</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retirement benefit plans</w:t>
            </w:r>
          </w:p>
        </w:tc>
        <w:tc>
          <w:tcPr>
            <w:tcW w:w="7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346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loss before</w:t>
            </w:r>
          </w:p>
        </w:tc>
        <w:tc>
          <w:tcPr>
            <w:tcW w:w="9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reclassifications</w:t>
            </w:r>
          </w:p>
        </w:tc>
        <w:tc>
          <w:tcPr>
            <w:tcW w:w="9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Amounts reclassified from Accumulated other</w:t>
            </w:r>
          </w:p>
        </w:tc>
        <w:tc>
          <w:tcPr>
            <w:tcW w:w="9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loss, net</w:t>
            </w:r>
          </w:p>
        </w:tc>
        <w:tc>
          <w:tcPr>
            <w:tcW w:w="9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six months ended June 30, 2020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4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Foreign currency</w:t>
            </w:r>
          </w:p>
        </w:tc>
        <w:tc>
          <w:tcPr>
            <w:tcW w:w="68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Pension and post</w:t>
            </w:r>
          </w:p>
        </w:tc>
        <w:tc>
          <w:tcPr>
            <w:tcW w:w="7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480" w:type="dxa"/>
            <w:vAlign w:val="bottom"/>
            <w:gridSpan w:val="2"/>
            <w:vMerge w:val="continue"/>
          </w:tcPr>
          <w:p>
            <w:pPr>
              <w:spacing w:after="0"/>
              <w:rPr>
                <w:sz w:val="12"/>
                <w:szCs w:val="12"/>
                <w:color w:val="auto"/>
              </w:rPr>
            </w:pPr>
          </w:p>
        </w:tc>
        <w:tc>
          <w:tcPr>
            <w:tcW w:w="184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translation</w:t>
            </w:r>
          </w:p>
        </w:tc>
        <w:tc>
          <w:tcPr>
            <w:tcW w:w="178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contracts</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retirement benefit plans</w:t>
            </w:r>
          </w:p>
        </w:tc>
        <w:tc>
          <w:tcPr>
            <w:tcW w:w="7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348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loss before</w:t>
            </w:r>
          </w:p>
        </w:tc>
        <w:tc>
          <w:tcPr>
            <w:tcW w:w="8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reclassifications</w:t>
            </w:r>
          </w:p>
        </w:tc>
        <w:tc>
          <w:tcPr>
            <w:tcW w:w="8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3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8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loss, net</w:t>
            </w:r>
          </w:p>
        </w:tc>
        <w:tc>
          <w:tcPr>
            <w:tcW w:w="8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8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Reclassifications out of and into Accumulated other comprehensive income (loss) are recognized in "Other income (expense), net" with the tax impact recognized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Nordco</w:t>
      </w:r>
    </w:p>
    <w:p>
      <w:pPr>
        <w:spacing w:after="0" w:line="11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$410 million.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preliminary fair value of the Nordco assets acquired and liabilities assumed:</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Assets acquired</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240" w:type="dxa"/>
            <w:vAlign w:val="bottom"/>
          </w:tcPr>
          <w:p>
            <w:pPr>
              <w:ind w:left="620"/>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9240" w:type="dxa"/>
            <w:vAlign w:val="bottom"/>
          </w:tcPr>
          <w:p>
            <w:pPr>
              <w:ind w:left="620"/>
              <w:spacing w:after="0"/>
              <w:rPr>
                <w:sz w:val="20"/>
                <w:szCs w:val="20"/>
                <w:color w:val="auto"/>
              </w:rPr>
            </w:pPr>
            <w:r>
              <w:rPr>
                <w:rFonts w:ascii="Arial" w:cs="Arial" w:eastAsia="Arial" w:hAnsi="Arial"/>
                <w:sz w:val="18"/>
                <w:szCs w:val="18"/>
                <w:color w:val="auto"/>
              </w:rPr>
              <w:t>Inventory</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current assets</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240" w:type="dxa"/>
            <w:vAlign w:val="bottom"/>
          </w:tcPr>
          <w:p>
            <w:pPr>
              <w:ind w:left="620"/>
              <w:spacing w:after="0"/>
              <w:rPr>
                <w:sz w:val="20"/>
                <w:szCs w:val="20"/>
                <w:color w:val="auto"/>
              </w:rPr>
            </w:pPr>
            <w:r>
              <w:rPr>
                <w:rFonts w:ascii="Arial" w:cs="Arial" w:eastAsia="Arial" w:hAnsi="Arial"/>
                <w:sz w:val="18"/>
                <w:szCs w:val="18"/>
                <w:color w:val="auto"/>
              </w:rPr>
              <w:t>Property, plant and equipment</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29"/>
        </w:trPr>
        <w:tc>
          <w:tcPr>
            <w:tcW w:w="9240" w:type="dxa"/>
            <w:vAlign w:val="bottom"/>
          </w:tcPr>
          <w:p>
            <w:pPr>
              <w:ind w:left="620"/>
              <w:spacing w:after="0"/>
              <w:rPr>
                <w:sz w:val="20"/>
                <w:szCs w:val="20"/>
                <w:color w:val="auto"/>
              </w:rPr>
            </w:pPr>
            <w:r>
              <w:rPr>
                <w:rFonts w:ascii="Arial" w:cs="Arial" w:eastAsia="Arial" w:hAnsi="Arial"/>
                <w:sz w:val="18"/>
                <w:szCs w:val="18"/>
                <w:color w:val="auto"/>
              </w:rPr>
              <w:t>Other intangible assets</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30"/>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noncurrent assets</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9240" w:type="dxa"/>
            <w:vAlign w:val="bottom"/>
          </w:tcPr>
          <w:p>
            <w:pPr>
              <w:ind w:left="720"/>
              <w:spacing w:after="0"/>
              <w:rPr>
                <w:sz w:val="20"/>
                <w:szCs w:val="20"/>
                <w:color w:val="auto"/>
              </w:rPr>
            </w:pPr>
            <w:r>
              <w:rPr>
                <w:rFonts w:ascii="Arial" w:cs="Arial" w:eastAsia="Arial" w:hAnsi="Arial"/>
                <w:sz w:val="18"/>
                <w:szCs w:val="18"/>
                <w:color w:val="auto"/>
              </w:rPr>
              <w:t>Total assets acquired</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475.5</w:t>
            </w:r>
          </w:p>
        </w:tc>
      </w:tr>
      <w:tr>
        <w:trPr>
          <w:trHeight w:val="230"/>
        </w:trPr>
        <w:tc>
          <w:tcPr>
            <w:tcW w:w="9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Liabilities assumed</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9240" w:type="dxa"/>
            <w:vAlign w:val="bottom"/>
          </w:tcPr>
          <w:p>
            <w:pPr>
              <w:ind w:left="620"/>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3"/>
        </w:trPr>
        <w:tc>
          <w:tcPr>
            <w:tcW w:w="92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liabilities assumed</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r>
      <w:tr>
        <w:trPr>
          <w:trHeight w:val="248"/>
        </w:trPr>
        <w:tc>
          <w:tcPr>
            <w:tcW w:w="92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Net assets acquired</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These estimates are preliminary in nature and subject to adjustments, which could be material, as the Company has not completed its valuation of assets acquired and liabilities assumed. Any necessary adjustments will be finalized within one year from the date of acquisition; adjustments to date have not been significant. Substantially all of the accounts receivable acquired are expected to be collectible. Intangible assets acquired include customer relationships and intellectual property that are subject to amortization, and trade names that were assigned an indefinite life and are not subject to amortization. Contingent liabilities assumed as part of the transaction were not material.</w:t>
      </w:r>
    </w:p>
    <w:p>
      <w:pPr>
        <w:spacing w:after="0" w:line="58"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Freight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ind w:right="220"/>
        <w:spacing w:after="0" w:line="277" w:lineRule="auto"/>
        <w:rPr>
          <w:sz w:val="20"/>
          <w:szCs w:val="20"/>
          <w:color w:val="auto"/>
        </w:rPr>
      </w:pPr>
      <w:r>
        <w:rPr>
          <w:rFonts w:ascii="Arial" w:cs="Arial" w:eastAsia="Arial" w:hAnsi="Arial"/>
          <w:sz w:val="18"/>
          <w:szCs w:val="18"/>
          <w:color w:val="auto"/>
        </w:rPr>
        <w:t>and the Services product line. The pro-forma impact on Wabtec’s sales and results of operations, including the pro forma effect of events that are directly attributable to the acquisition, was not significant.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20" w:type="dxa"/>
            <w:vAlign w:val="bottom"/>
          </w:tcPr>
          <w:p>
            <w:pPr>
              <w:spacing w:after="0"/>
              <w:rPr>
                <w:sz w:val="14"/>
                <w:szCs w:val="14"/>
                <w:color w:val="auto"/>
              </w:rPr>
            </w:pPr>
          </w:p>
        </w:tc>
        <w:tc>
          <w:tcPr>
            <w:tcW w:w="13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66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Work-in-progress</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Arial" w:cs="Arial" w:eastAsia="Arial" w:hAnsi="Arial"/>
                <w:sz w:val="18"/>
                <w:szCs w:val="18"/>
                <w:color w:val="auto"/>
              </w:rPr>
              <w:t>Total inventories</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six months ended June 30, 2021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Freight Segment</w:t>
            </w:r>
          </w:p>
        </w:tc>
        <w:tc>
          <w:tcPr>
            <w:tcW w:w="6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Transit Segment</w:t>
            </w:r>
          </w:p>
        </w:tc>
        <w:tc>
          <w:tcPr>
            <w:tcW w:w="840" w:type="dxa"/>
            <w:vAlign w:val="bottom"/>
          </w:tcPr>
          <w:p>
            <w:pPr>
              <w:spacing w:after="0"/>
              <w:rPr>
                <w:sz w:val="14"/>
                <w:szCs w:val="1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8,485.2</w:t>
            </w:r>
          </w:p>
        </w:tc>
      </w:tr>
      <w:tr>
        <w:trPr>
          <w:trHeight w:val="230"/>
        </w:trPr>
        <w:tc>
          <w:tcPr>
            <w:tcW w:w="5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Additions / opening balance sheet adjustments</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29"/>
        </w:trPr>
        <w:tc>
          <w:tcPr>
            <w:tcW w:w="5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3"/>
        </w:trPr>
        <w:tc>
          <w:tcPr>
            <w:tcW w:w="5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Balance at June 30, 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7,089.2</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8,653.2</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As of June 30, 2021 and December 31, 2020, the Company’s trade names had a net carrying amount of $660.6 million and $650.7 million, respectively. The Company believes these intangibles have indefinite lives, with the exception of the right to use the GE Transportation trade name, to which the Company has assigned a useful life of 5 years.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20" w:type="dxa"/>
            <w:vAlign w:val="bottom"/>
          </w:tcPr>
          <w:p>
            <w:pPr>
              <w:spacing w:after="0"/>
              <w:rPr>
                <w:sz w:val="14"/>
                <w:szCs w:val="14"/>
                <w:color w:val="auto"/>
              </w:rPr>
            </w:pPr>
          </w:p>
        </w:tc>
        <w:tc>
          <w:tcPr>
            <w:tcW w:w="13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66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5"/>
                <w:szCs w:val="15"/>
                <w:color w:val="auto"/>
                <w:w w:val="94"/>
              </w:rPr>
              <w:t>Intellectual property, patents, and other intangibles, net of accumulated amortization of $274.9 and $223.7</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Backlog, net of accumulated amortization of $259.2 and $206.9</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Customer relationships, net of accumulated amortization of $306.4 and $276.3</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3,218.5</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The weighted average remaining useful life of backlog, intellectual property, customer relationships and other intangible assets were 12 years, 11 years, 16 years and 8 years, respectively. The backlog intangible asset primarily consists of in-place long-term service agreements acquired by the Company in conjunction with the acquisition of GE Transportation in 2019. Amortization expense for intangible assets was $72.7 million and $142.2 million for the three and six months ended June 30, 2021 and $72.3 million and $141.3 million for the three and six months ended June 30, 2020, respectively.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20" w:type="dxa"/>
            <w:vAlign w:val="bottom"/>
            <w:shd w:val="clear" w:color="auto" w:fill="CCEEFF"/>
          </w:tcPr>
          <w:p>
            <w:pPr>
              <w:jc w:val="right"/>
              <w:ind w:right="3830"/>
              <w:spacing w:after="0"/>
              <w:rPr>
                <w:sz w:val="20"/>
                <w:szCs w:val="20"/>
                <w:color w:val="auto"/>
              </w:rPr>
            </w:pPr>
            <w:r>
              <w:rPr>
                <w:rFonts w:ascii="Arial" w:cs="Arial" w:eastAsia="Arial" w:hAnsi="Arial"/>
                <w:sz w:val="18"/>
                <w:szCs w:val="18"/>
                <w:color w:val="auto"/>
              </w:rPr>
              <w:t>Remainder of 2021</w:t>
            </w:r>
          </w:p>
        </w:tc>
        <w:tc>
          <w:tcPr>
            <w:tcW w:w="4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30"/>
        </w:trPr>
        <w:tc>
          <w:tcPr>
            <w:tcW w:w="5820" w:type="dxa"/>
            <w:vAlign w:val="bottom"/>
          </w:tcPr>
          <w:p>
            <w:pPr>
              <w:jc w:val="right"/>
              <w:ind w:right="4770"/>
              <w:spacing w:after="0"/>
              <w:rPr>
                <w:sz w:val="20"/>
                <w:szCs w:val="20"/>
                <w:color w:val="auto"/>
              </w:rPr>
            </w:pPr>
            <w:r>
              <w:rPr>
                <w:rFonts w:ascii="Arial" w:cs="Arial" w:eastAsia="Arial" w:hAnsi="Arial"/>
                <w:sz w:val="18"/>
                <w:szCs w:val="18"/>
                <w:color w:val="auto"/>
              </w:rPr>
              <w:t>2022</w:t>
            </w:r>
          </w:p>
        </w:tc>
        <w:tc>
          <w:tcPr>
            <w:tcW w:w="4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290.3</w:t>
            </w:r>
          </w:p>
        </w:tc>
      </w:tr>
      <w:tr>
        <w:trPr>
          <w:trHeight w:val="230"/>
        </w:trPr>
        <w:tc>
          <w:tcPr>
            <w:tcW w:w="5820" w:type="dxa"/>
            <w:vAlign w:val="bottom"/>
            <w:shd w:val="clear" w:color="auto" w:fill="CCEEFF"/>
          </w:tcPr>
          <w:p>
            <w:pPr>
              <w:jc w:val="right"/>
              <w:ind w:right="4770"/>
              <w:spacing w:after="0"/>
              <w:rPr>
                <w:sz w:val="20"/>
                <w:szCs w:val="20"/>
                <w:color w:val="auto"/>
              </w:rPr>
            </w:pPr>
            <w:r>
              <w:rPr>
                <w:rFonts w:ascii="Arial" w:cs="Arial" w:eastAsia="Arial" w:hAnsi="Arial"/>
                <w:sz w:val="18"/>
                <w:szCs w:val="18"/>
                <w:color w:val="auto"/>
              </w:rPr>
              <w:t>2023</w:t>
            </w:r>
          </w:p>
        </w:tc>
        <w:tc>
          <w:tcPr>
            <w:tcW w:w="4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r>
      <w:tr>
        <w:trPr>
          <w:trHeight w:val="229"/>
        </w:trPr>
        <w:tc>
          <w:tcPr>
            <w:tcW w:w="5820" w:type="dxa"/>
            <w:vAlign w:val="bottom"/>
          </w:tcPr>
          <w:p>
            <w:pPr>
              <w:jc w:val="right"/>
              <w:ind w:right="4770"/>
              <w:spacing w:after="0"/>
              <w:rPr>
                <w:sz w:val="20"/>
                <w:szCs w:val="20"/>
                <w:color w:val="auto"/>
              </w:rPr>
            </w:pPr>
            <w:r>
              <w:rPr>
                <w:rFonts w:ascii="Arial" w:cs="Arial" w:eastAsia="Arial" w:hAnsi="Arial"/>
                <w:sz w:val="18"/>
                <w:szCs w:val="18"/>
                <w:color w:val="auto"/>
              </w:rPr>
              <w:t>2024</w:t>
            </w:r>
          </w:p>
        </w:tc>
        <w:tc>
          <w:tcPr>
            <w:tcW w:w="4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280.1</w:t>
            </w:r>
          </w:p>
        </w:tc>
      </w:tr>
      <w:tr>
        <w:trPr>
          <w:trHeight w:val="230"/>
        </w:trPr>
        <w:tc>
          <w:tcPr>
            <w:tcW w:w="5820" w:type="dxa"/>
            <w:vAlign w:val="bottom"/>
            <w:shd w:val="clear" w:color="auto" w:fill="CCEEFF"/>
          </w:tcPr>
          <w:p>
            <w:pPr>
              <w:jc w:val="right"/>
              <w:ind w:right="4770"/>
              <w:spacing w:after="0"/>
              <w:rPr>
                <w:sz w:val="20"/>
                <w:szCs w:val="20"/>
                <w:color w:val="auto"/>
              </w:rPr>
            </w:pPr>
            <w:r>
              <w:rPr>
                <w:rFonts w:ascii="Arial" w:cs="Arial" w:eastAsia="Arial" w:hAnsi="Arial"/>
                <w:sz w:val="18"/>
                <w:szCs w:val="18"/>
                <w:color w:val="auto"/>
              </w:rPr>
              <w:t>2025</w:t>
            </w:r>
          </w:p>
        </w:tc>
        <w:tc>
          <w:tcPr>
            <w:tcW w:w="4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$113.5 million at June 30, 2021 and $101.0 million at December 31, 2020, respectively. Included in noncurrent contract assets are certain costs that are specifically related to a contract, however,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69"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$66.1 million at June 30, 2021 and $79.6 million at December 31, 2020.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$122.5 million and $108.9 million at June 30, 2021 and December 31, 2020, respectively. These provisions for estimated losses are classified as current liabilities and included within the caption “Other accrued liabilities” on the consolidated balance sheets.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 in the carrying amount of contract assets and contract liabilities for the six months ended June 30, 2021 and 2020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1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Contract Assets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Recognized in current year</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Reclassified to accounts receivable</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impact</w:t>
            </w:r>
          </w:p>
        </w:tc>
        <w:tc>
          <w:tcPr>
            <w:tcW w:w="2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22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Contract Liabilities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Pr>
          <w:p>
            <w:pPr>
              <w:spacing w:after="0" w:line="20" w:lineRule="exact"/>
              <w:rPr>
                <w:sz w:val="1"/>
                <w:szCs w:val="1"/>
                <w:color w:val="auto"/>
              </w:rPr>
            </w:pPr>
          </w:p>
        </w:tc>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year</w:t>
            </w:r>
          </w:p>
        </w:tc>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50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831.2</w:t>
            </w:r>
          </w:p>
        </w:tc>
        <w:tc>
          <w:tcPr>
            <w:tcW w:w="10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Acquisitions</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Recognized in current year</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Amounts in beginning balance reclassified to revenue</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Current year amounts reclassified to revenue</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impact</w:t>
            </w:r>
          </w:p>
        </w:tc>
        <w:tc>
          <w:tcPr>
            <w:tcW w:w="2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22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vMerge w:val="restart"/>
          </w:tcPr>
          <w:p>
            <w:pPr>
              <w:jc w:val="right"/>
              <w:ind w:right="1410"/>
              <w:spacing w:after="0"/>
              <w:rPr>
                <w:sz w:val="20"/>
                <w:szCs w:val="20"/>
                <w:color w:val="auto"/>
              </w:rPr>
            </w:pPr>
            <w:r>
              <w:rPr>
                <w:rFonts w:ascii="Arial" w:cs="Arial" w:eastAsia="Arial" w:hAnsi="Arial"/>
                <w:sz w:val="18"/>
                <w:szCs w:val="18"/>
                <w:color w:val="auto"/>
              </w:rPr>
              <w:t>13</w:t>
            </w: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contracts.</w:t>
      </w:r>
    </w:p>
    <w:p>
      <w:pPr>
        <w:spacing w:after="0" w:line="79"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The Company has established discount rates by geographic region ranging from 1.0% to 12.3%.</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80" w:type="dxa"/>
            <w:vAlign w:val="bottom"/>
            <w:gridSpan w:val="9"/>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Pr>
          <w:p>
            <w:pPr>
              <w:spacing w:after="0"/>
              <w:rPr>
                <w:sz w:val="16"/>
                <w:szCs w:val="16"/>
                <w:color w:val="auto"/>
              </w:rPr>
            </w:pPr>
          </w:p>
        </w:tc>
        <w:tc>
          <w:tcPr>
            <w:tcW w:w="3100" w:type="dxa"/>
            <w:vAlign w:val="bottom"/>
            <w:gridSpan w:val="6"/>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tcPr>
          <w:p>
            <w:pPr>
              <w:spacing w:after="0"/>
              <w:rPr>
                <w:sz w:val="13"/>
                <w:szCs w:val="13"/>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100" w:type="dxa"/>
            <w:vAlign w:val="bottom"/>
            <w:gridSpan w:val="2"/>
          </w:tcPr>
          <w:p>
            <w:pPr>
              <w:spacing w:after="0" w:line="176" w:lineRule="exact"/>
              <w:rPr>
                <w:sz w:val="20"/>
                <w:szCs w:val="20"/>
                <w:color w:val="auto"/>
              </w:rPr>
            </w:pPr>
            <w:r>
              <w:rPr>
                <w:rFonts w:ascii="Arial" w:cs="Arial" w:eastAsia="Arial" w:hAnsi="Arial"/>
                <w:sz w:val="18"/>
                <w:szCs w:val="18"/>
                <w:color w:val="auto"/>
                <w:w w:val="99"/>
              </w:rPr>
              <w:t>Finance lease expense amortization of</w:t>
            </w:r>
          </w:p>
        </w:tc>
        <w:tc>
          <w:tcPr>
            <w:tcW w:w="88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leased assets</w:t>
            </w:r>
          </w:p>
        </w:tc>
        <w:tc>
          <w:tcPr>
            <w:tcW w:w="8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Short-term and variable lease expense</w:t>
            </w:r>
          </w:p>
        </w:tc>
        <w:tc>
          <w:tcPr>
            <w:tcW w:w="8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Sublease income</w:t>
            </w:r>
          </w:p>
        </w:tc>
        <w:tc>
          <w:tcPr>
            <w:tcW w:w="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500" w:type="dxa"/>
            <w:vAlign w:val="bottom"/>
            <w:gridSpan w:val="4"/>
          </w:tcPr>
          <w:p>
            <w:pPr>
              <w:ind w:left="500"/>
              <w:spacing w:after="0"/>
              <w:rPr>
                <w:sz w:val="20"/>
                <w:szCs w:val="20"/>
                <w:color w:val="auto"/>
              </w:rPr>
            </w:pPr>
            <w:r>
              <w:rPr>
                <w:rFonts w:ascii="Arial" w:cs="Arial" w:eastAsia="Arial" w:hAnsi="Arial"/>
                <w:sz w:val="18"/>
                <w:szCs w:val="18"/>
                <w:color w:val="auto"/>
                <w:w w:val="92"/>
              </w:rPr>
              <w:t>Scheduled payments of lease liabilities are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Operating Leases</w:t>
            </w:r>
          </w:p>
        </w:tc>
        <w:tc>
          <w:tcPr>
            <w:tcW w:w="660" w:type="dxa"/>
            <w:vAlign w:val="bottom"/>
          </w:tcPr>
          <w:p>
            <w:pPr>
              <w:spacing w:after="0"/>
              <w:rPr>
                <w:sz w:val="14"/>
                <w:szCs w:val="14"/>
                <w:color w:val="auto"/>
              </w:rPr>
            </w:pPr>
          </w:p>
        </w:tc>
        <w:tc>
          <w:tcPr>
            <w:tcW w:w="1260" w:type="dxa"/>
            <w:vAlign w:val="bottom"/>
            <w:gridSpan w:val="4"/>
          </w:tcPr>
          <w:p>
            <w:pPr>
              <w:ind w:left="100"/>
              <w:spacing w:after="0"/>
              <w:rPr>
                <w:sz w:val="20"/>
                <w:szCs w:val="20"/>
                <w:color w:val="auto"/>
              </w:rPr>
            </w:pPr>
            <w:r>
              <w:rPr>
                <w:rFonts w:ascii="Arial" w:cs="Arial" w:eastAsia="Arial" w:hAnsi="Arial"/>
                <w:sz w:val="14"/>
                <w:szCs w:val="14"/>
                <w:b w:val="1"/>
                <w:bCs w:val="1"/>
                <w:color w:val="auto"/>
              </w:rPr>
              <w:t>Finance</w:t>
            </w:r>
          </w:p>
        </w:tc>
        <w:tc>
          <w:tcPr>
            <w:tcW w:w="78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1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920" w:type="dxa"/>
            <w:vAlign w:val="bottom"/>
            <w:gridSpan w:val="5"/>
          </w:tcPr>
          <w:p>
            <w:pPr>
              <w:ind w:left="560"/>
              <w:spacing w:after="0" w:line="149" w:lineRule="exact"/>
              <w:rPr>
                <w:sz w:val="20"/>
                <w:szCs w:val="20"/>
                <w:color w:val="auto"/>
              </w:rPr>
            </w:pPr>
            <w:r>
              <w:rPr>
                <w:rFonts w:ascii="Arial" w:cs="Arial" w:eastAsia="Arial" w:hAnsi="Arial"/>
                <w:sz w:val="14"/>
                <w:szCs w:val="14"/>
                <w:b w:val="1"/>
                <w:bCs w:val="1"/>
                <w:color w:val="auto"/>
              </w:rPr>
              <w:t>Leases</w:t>
            </w:r>
          </w:p>
        </w:tc>
        <w:tc>
          <w:tcPr>
            <w:tcW w:w="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1160" w:type="dxa"/>
            <w:vAlign w:val="bottom"/>
            <w:gridSpan w:val="2"/>
          </w:tcPr>
          <w:p>
            <w:pPr>
              <w:ind w:left="520"/>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9"/>
        </w:trPr>
        <w:tc>
          <w:tcPr>
            <w:tcW w:w="1160" w:type="dxa"/>
            <w:vAlign w:val="bottom"/>
            <w:gridSpan w:val="2"/>
          </w:tcPr>
          <w:p>
            <w:pPr>
              <w:ind w:left="520"/>
              <w:spacing w:after="0"/>
              <w:rPr>
                <w:sz w:val="20"/>
                <w:szCs w:val="20"/>
                <w:color w:val="auto"/>
              </w:rPr>
            </w:pPr>
            <w:r>
              <w:rPr>
                <w:rFonts w:ascii="Arial" w:cs="Arial" w:eastAsia="Arial" w:hAnsi="Arial"/>
                <w:sz w:val="18"/>
                <w:szCs w:val="18"/>
                <w:color w:val="auto"/>
              </w:rPr>
              <w:t>2024</w:t>
            </w:r>
          </w:p>
        </w:tc>
        <w:tc>
          <w:tcPr>
            <w:tcW w:w="2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2025</w:t>
            </w:r>
          </w:p>
        </w:tc>
        <w:tc>
          <w:tcPr>
            <w:tcW w:w="2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Less: Present value discount</w:t>
            </w: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8"/>
        </w:trPr>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remaining lease term and discount rate assumptions used to develop the present value of lease liabilities: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7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Weighted-average remaining lease term (years)</w:t>
            </w: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Operating leases</w:t>
            </w:r>
          </w:p>
        </w:tc>
        <w:tc>
          <w:tcPr>
            <w:tcW w:w="1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Finance leases</w:t>
            </w:r>
          </w:p>
        </w:tc>
        <w:tc>
          <w:tcPr>
            <w:tcW w:w="1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020" w:type="dxa"/>
            <w:vAlign w:val="bottom"/>
          </w:tcPr>
          <w:p>
            <w:pPr>
              <w:ind w:left="520"/>
              <w:spacing w:after="0"/>
              <w:rPr>
                <w:sz w:val="20"/>
                <w:szCs w:val="20"/>
                <w:color w:val="auto"/>
              </w:rPr>
            </w:pPr>
            <w:r>
              <w:rPr>
                <w:rFonts w:ascii="Arial" w:cs="Arial" w:eastAsia="Arial" w:hAnsi="Arial"/>
                <w:sz w:val="18"/>
                <w:szCs w:val="18"/>
                <w:color w:val="auto"/>
              </w:rPr>
              <w:t>Weighted-average discount rate</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Operating leases</w:t>
            </w:r>
          </w:p>
        </w:tc>
        <w:tc>
          <w:tcPr>
            <w:tcW w:w="17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Finance leases</w:t>
            </w:r>
          </w:p>
        </w:tc>
        <w:tc>
          <w:tcPr>
            <w:tcW w:w="1740" w:type="dxa"/>
            <w:vAlign w:val="bottom"/>
          </w:tcPr>
          <w:p>
            <w:pPr>
              <w:jc w:val="right"/>
              <w:ind w:right="316"/>
              <w:spacing w:after="0"/>
              <w:rPr>
                <w:sz w:val="20"/>
                <w:szCs w:val="20"/>
                <w:color w:val="auto"/>
              </w:rPr>
            </w:pPr>
            <w:r>
              <w:rPr>
                <w:rFonts w:ascii="Arial" w:cs="Arial" w:eastAsia="Arial" w:hAnsi="Arial"/>
                <w:sz w:val="18"/>
                <w:szCs w:val="18"/>
                <w:color w:val="auto"/>
              </w:rPr>
              <w:t>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80" w:type="dxa"/>
            <w:vAlign w:val="bottom"/>
          </w:tcPr>
          <w:p>
            <w:pPr>
              <w:jc w:val="right"/>
              <w:ind w:right="156"/>
              <w:spacing w:after="0"/>
              <w:rPr>
                <w:sz w:val="20"/>
                <w:szCs w:val="20"/>
                <w:color w:val="auto"/>
              </w:rPr>
            </w:pPr>
            <w:r>
              <w:rPr>
                <w:rFonts w:ascii="Arial" w:cs="Arial" w:eastAsia="Arial" w:hAnsi="Arial"/>
                <w:sz w:val="18"/>
                <w:szCs w:val="18"/>
                <w:color w:val="auto"/>
              </w:rPr>
              <w:t>1.4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Book Value</w:t>
            </w:r>
          </w:p>
        </w:tc>
        <w:tc>
          <w:tcPr>
            <w:tcW w:w="68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1</w:t>
            </w:r>
          </w:p>
        </w:tc>
        <w:tc>
          <w:tcPr>
            <w:tcW w:w="66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Book Value</w:t>
            </w:r>
          </w:p>
        </w:tc>
        <w:tc>
          <w:tcPr>
            <w:tcW w:w="660" w:type="dxa"/>
            <w:vAlign w:val="bottom"/>
          </w:tcPr>
          <w:p>
            <w:pPr>
              <w:spacing w:after="0"/>
              <w:rPr>
                <w:sz w:val="15"/>
                <w:szCs w:val="15"/>
                <w:color w:val="auto"/>
              </w:rPr>
            </w:pP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2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520" w:type="dxa"/>
            <w:vAlign w:val="bottom"/>
            <w:shd w:val="clear" w:color="auto" w:fill="CCEEFF"/>
          </w:tcPr>
          <w:p>
            <w:pPr>
              <w:spacing w:after="0"/>
              <w:rPr>
                <w:sz w:val="10"/>
                <w:szCs w:val="10"/>
                <w:color w:val="auto"/>
              </w:rPr>
            </w:pPr>
          </w:p>
        </w:tc>
        <w:tc>
          <w:tcPr>
            <w:tcW w:w="2040" w:type="dxa"/>
            <w:vAlign w:val="bottom"/>
            <w:gridSpan w:val="2"/>
            <w:shd w:val="clear" w:color="auto" w:fill="CCEEFF"/>
          </w:tcPr>
          <w:p>
            <w:pPr>
              <w:spacing w:after="0" w:line="115" w:lineRule="exact"/>
              <w:rPr>
                <w:sz w:val="20"/>
                <w:szCs w:val="20"/>
                <w:color w:val="auto"/>
              </w:rPr>
            </w:pPr>
            <w:r>
              <w:rPr>
                <w:rFonts w:ascii="Arial" w:cs="Arial" w:eastAsia="Arial" w:hAnsi="Arial"/>
                <w:sz w:val="13"/>
                <w:szCs w:val="13"/>
                <w:color w:val="auto"/>
              </w:rPr>
              <w:t>Senior Credit and 364 Day</w:t>
            </w: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4"/>
                <w:szCs w:val="14"/>
                <w:color w:val="auto"/>
              </w:rPr>
              <w:t>Facility</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40" w:type="dxa"/>
            <w:vAlign w:val="bottom"/>
            <w:gridSpan w:val="2"/>
          </w:tcPr>
          <w:p>
            <w:pPr>
              <w:ind w:left="100"/>
              <w:spacing w:after="0" w:line="135" w:lineRule="exact"/>
              <w:rPr>
                <w:sz w:val="20"/>
                <w:szCs w:val="20"/>
                <w:color w:val="auto"/>
              </w:rPr>
            </w:pPr>
            <w:r>
              <w:rPr>
                <w:rFonts w:ascii="Arial" w:cs="Arial" w:eastAsia="Arial" w:hAnsi="Arial"/>
                <w:sz w:val="14"/>
                <w:szCs w:val="14"/>
                <w:color w:val="auto"/>
              </w:rPr>
              <w:t>U.S. dollar-denominated Term</w:t>
            </w: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3"/>
          </w:tcPr>
          <w:p>
            <w:pPr>
              <w:ind w:left="140"/>
              <w:spacing w:after="0" w:line="135" w:lineRule="exact"/>
              <w:rPr>
                <w:sz w:val="20"/>
                <w:szCs w:val="20"/>
                <w:color w:val="auto"/>
              </w:rPr>
            </w:pPr>
            <w:r>
              <w:rPr>
                <w:rFonts w:ascii="Arial" w:cs="Arial" w:eastAsia="Arial" w:hAnsi="Arial"/>
                <w:sz w:val="12"/>
                <w:szCs w:val="12"/>
                <w:color w:val="auto"/>
              </w:rPr>
              <w:t>Loans</w:t>
            </w:r>
            <w:r>
              <w:rPr>
                <w:rFonts w:ascii="Arial" w:cs="Arial" w:eastAsia="Arial" w:hAnsi="Arial"/>
                <w:sz w:val="15"/>
                <w:szCs w:val="15"/>
                <w:color w:val="auto"/>
                <w:vertAlign w:val="superscript"/>
              </w:rPr>
              <w:t>3</w:t>
            </w:r>
            <w:r>
              <w:rPr>
                <w:rFonts w:ascii="Arial" w:cs="Arial" w:eastAsia="Arial" w:hAnsi="Arial"/>
                <w:sz w:val="12"/>
                <w:szCs w:val="12"/>
                <w:color w:val="auto"/>
              </w:rPr>
              <w:t>, net of unamortized debt issuance</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645.1</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645.1</w:t>
            </w:r>
          </w:p>
        </w:tc>
        <w:tc>
          <w:tcPr>
            <w:tcW w:w="0" w:type="dxa"/>
            <w:vAlign w:val="bottom"/>
          </w:tcPr>
          <w:p>
            <w:pPr>
              <w:spacing w:after="0"/>
              <w:rPr>
                <w:sz w:val="1"/>
                <w:szCs w:val="1"/>
                <w:color w:val="auto"/>
              </w:rPr>
            </w:pPr>
          </w:p>
        </w:tc>
      </w:tr>
      <w:tr>
        <w:trPr>
          <w:trHeight w:val="186"/>
        </w:trPr>
        <w:tc>
          <w:tcPr>
            <w:tcW w:w="2560" w:type="dxa"/>
            <w:vAlign w:val="bottom"/>
            <w:gridSpan w:val="3"/>
          </w:tcPr>
          <w:p>
            <w:pPr>
              <w:ind w:left="140"/>
              <w:spacing w:after="0"/>
              <w:rPr>
                <w:sz w:val="20"/>
                <w:szCs w:val="20"/>
                <w:color w:val="auto"/>
              </w:rPr>
            </w:pPr>
            <w:r>
              <w:rPr>
                <w:rFonts w:ascii="Arial" w:cs="Arial" w:eastAsia="Arial" w:hAnsi="Arial"/>
                <w:sz w:val="14"/>
                <w:szCs w:val="14"/>
                <w:color w:val="auto"/>
              </w:rPr>
              <w:t>costs of $— and $0.9</w:t>
            </w:r>
          </w:p>
        </w:tc>
        <w:tc>
          <w:tcPr>
            <w:tcW w:w="12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rPr>
              <w:t>Multi-Currency Revolving loan</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2"/>
                <w:szCs w:val="12"/>
                <w:color w:val="auto"/>
              </w:rPr>
              <w:t>facility</w:t>
            </w:r>
            <w:r>
              <w:rPr>
                <w:rFonts w:ascii="Arial" w:cs="Arial" w:eastAsia="Arial" w:hAnsi="Arial"/>
                <w:sz w:val="15"/>
                <w:szCs w:val="15"/>
                <w:color w:val="auto"/>
                <w:vertAlign w:val="superscript"/>
              </w:rPr>
              <w:t>4</w:t>
            </w:r>
            <w:r>
              <w:rPr>
                <w:rFonts w:ascii="Arial" w:cs="Arial" w:eastAsia="Arial" w:hAnsi="Arial"/>
                <w:sz w:val="12"/>
                <w:szCs w:val="12"/>
                <w:color w:val="auto"/>
              </w:rPr>
              <w:t>, net of unamortized debt</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1.5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costs of $0.4 and $0.8</w:t>
            </w:r>
          </w:p>
        </w:tc>
        <w:tc>
          <w:tcPr>
            <w:tcW w:w="1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rPr>
              <w:t>Senior Notes:</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w w:val="94"/>
              </w:rPr>
              <w:t>4.375% Senior Notes, due 2023,</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4"/>
                <w:szCs w:val="14"/>
                <w:color w:val="auto"/>
              </w:rPr>
              <w:t>net of unamortized discount and debt</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4.5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249.5</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costs of $0.5 and $0.7</w:t>
            </w:r>
          </w:p>
        </w:tc>
        <w:tc>
          <w:tcPr>
            <w:tcW w:w="1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40" w:type="dxa"/>
            <w:vAlign w:val="bottom"/>
            <w:gridSpan w:val="2"/>
          </w:tcPr>
          <w:p>
            <w:pPr>
              <w:ind w:left="100"/>
              <w:spacing w:after="0" w:line="135" w:lineRule="exact"/>
              <w:rPr>
                <w:sz w:val="20"/>
                <w:szCs w:val="20"/>
                <w:color w:val="auto"/>
              </w:rPr>
            </w:pPr>
            <w:r>
              <w:rPr>
                <w:rFonts w:ascii="Arial" w:cs="Arial" w:eastAsia="Arial" w:hAnsi="Arial"/>
                <w:sz w:val="14"/>
                <w:szCs w:val="14"/>
                <w:color w:val="auto"/>
                <w:w w:val="98"/>
              </w:rPr>
              <w:t>4.15% Senior Notes, due 2024,</w:t>
            </w: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3"/>
          </w:tcPr>
          <w:p>
            <w:pPr>
              <w:ind w:left="140"/>
              <w:spacing w:after="0" w:line="135" w:lineRule="exact"/>
              <w:rPr>
                <w:sz w:val="20"/>
                <w:szCs w:val="20"/>
                <w:color w:val="auto"/>
              </w:rPr>
            </w:pPr>
            <w:r>
              <w:rPr>
                <w:rFonts w:ascii="Arial" w:cs="Arial" w:eastAsia="Arial" w:hAnsi="Arial"/>
                <w:sz w:val="14"/>
                <w:szCs w:val="14"/>
                <w:color w:val="auto"/>
                <w:w w:val="92"/>
              </w:rPr>
              <w:t>net of unamortized debt issuance costs of</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4.6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746.4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813.5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745.7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817.3</w:t>
            </w:r>
          </w:p>
        </w:tc>
        <w:tc>
          <w:tcPr>
            <w:tcW w:w="0" w:type="dxa"/>
            <w:vAlign w:val="bottom"/>
          </w:tcPr>
          <w:p>
            <w:pPr>
              <w:spacing w:after="0"/>
              <w:rPr>
                <w:sz w:val="1"/>
                <w:szCs w:val="1"/>
                <w:color w:val="auto"/>
              </w:rPr>
            </w:pPr>
          </w:p>
        </w:tc>
      </w:tr>
      <w:tr>
        <w:trPr>
          <w:trHeight w:val="186"/>
        </w:trPr>
        <w:tc>
          <w:tcPr>
            <w:tcW w:w="2560" w:type="dxa"/>
            <w:vAlign w:val="bottom"/>
            <w:gridSpan w:val="3"/>
          </w:tcPr>
          <w:p>
            <w:pPr>
              <w:ind w:left="140"/>
              <w:spacing w:after="0"/>
              <w:rPr>
                <w:sz w:val="20"/>
                <w:szCs w:val="20"/>
                <w:color w:val="auto"/>
              </w:rPr>
            </w:pPr>
            <w:r>
              <w:rPr>
                <w:rFonts w:ascii="Arial" w:cs="Arial" w:eastAsia="Arial" w:hAnsi="Arial"/>
                <w:sz w:val="14"/>
                <w:szCs w:val="14"/>
                <w:color w:val="auto"/>
              </w:rPr>
              <w:t>$3.6 and $4.3</w:t>
            </w:r>
          </w:p>
        </w:tc>
        <w:tc>
          <w:tcPr>
            <w:tcW w:w="12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w w:val="98"/>
              </w:rPr>
              <w:t>3.20% Senior Notes, due 2025,</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4"/>
                <w:szCs w:val="14"/>
                <w:color w:val="auto"/>
              </w:rPr>
              <w:t>net of unamortized debt discount and</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3.4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533.6</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debt issuance costs of $3.9 and $4.4</w:t>
            </w:r>
          </w:p>
        </w:tc>
        <w:tc>
          <w:tcPr>
            <w:tcW w:w="1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40" w:type="dxa"/>
            <w:vAlign w:val="bottom"/>
            <w:gridSpan w:val="2"/>
          </w:tcPr>
          <w:p>
            <w:pPr>
              <w:ind w:left="100"/>
              <w:spacing w:after="0" w:line="135" w:lineRule="exact"/>
              <w:rPr>
                <w:sz w:val="20"/>
                <w:szCs w:val="20"/>
                <w:color w:val="auto"/>
              </w:rPr>
            </w:pPr>
            <w:r>
              <w:rPr>
                <w:rFonts w:ascii="Arial" w:cs="Arial" w:eastAsia="Arial" w:hAnsi="Arial"/>
                <w:sz w:val="14"/>
                <w:szCs w:val="14"/>
                <w:color w:val="auto"/>
                <w:w w:val="98"/>
              </w:rPr>
              <w:t>3.45% Senior Notes, due 2026,</w:t>
            </w: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3"/>
          </w:tcPr>
          <w:p>
            <w:pPr>
              <w:ind w:left="140"/>
              <w:spacing w:after="0" w:line="135" w:lineRule="exact"/>
              <w:rPr>
                <w:sz w:val="20"/>
                <w:szCs w:val="20"/>
                <w:color w:val="auto"/>
              </w:rPr>
            </w:pPr>
            <w:r>
              <w:rPr>
                <w:rFonts w:ascii="Arial" w:cs="Arial" w:eastAsia="Arial" w:hAnsi="Arial"/>
                <w:sz w:val="14"/>
                <w:szCs w:val="14"/>
                <w:color w:val="auto"/>
                <w:w w:val="92"/>
              </w:rPr>
              <w:t>net of unamortized debt issuance costs of</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3.5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748.9</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807.4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748.7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86"/>
        </w:trPr>
        <w:tc>
          <w:tcPr>
            <w:tcW w:w="2560" w:type="dxa"/>
            <w:vAlign w:val="bottom"/>
            <w:gridSpan w:val="3"/>
          </w:tcPr>
          <w:p>
            <w:pPr>
              <w:ind w:left="140"/>
              <w:spacing w:after="0"/>
              <w:rPr>
                <w:sz w:val="20"/>
                <w:szCs w:val="20"/>
                <w:color w:val="auto"/>
              </w:rPr>
            </w:pPr>
            <w:r>
              <w:rPr>
                <w:rFonts w:ascii="Arial" w:cs="Arial" w:eastAsia="Arial" w:hAnsi="Arial"/>
                <w:sz w:val="14"/>
                <w:szCs w:val="14"/>
                <w:color w:val="auto"/>
              </w:rPr>
              <w:t>$1.1 and $1.3</w:t>
            </w:r>
          </w:p>
        </w:tc>
        <w:tc>
          <w:tcPr>
            <w:tcW w:w="12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w w:val="96"/>
              </w:rPr>
              <w:t>1.25% Senior Notes (EUR), due</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4"/>
                <w:szCs w:val="14"/>
                <w:color w:val="auto"/>
              </w:rPr>
              <w:t>2027, net of unamortized discount and</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1.3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584.8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debt issuance costs of $8.6 and $—</w:t>
            </w:r>
          </w:p>
        </w:tc>
        <w:tc>
          <w:tcPr>
            <w:tcW w:w="1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40" w:type="dxa"/>
            <w:vAlign w:val="bottom"/>
            <w:gridSpan w:val="2"/>
          </w:tcPr>
          <w:p>
            <w:pPr>
              <w:ind w:left="100"/>
              <w:spacing w:after="0" w:line="135" w:lineRule="exact"/>
              <w:rPr>
                <w:sz w:val="20"/>
                <w:szCs w:val="20"/>
                <w:color w:val="auto"/>
              </w:rPr>
            </w:pPr>
            <w:r>
              <w:rPr>
                <w:rFonts w:ascii="Arial" w:cs="Arial" w:eastAsia="Arial" w:hAnsi="Arial"/>
                <w:sz w:val="14"/>
                <w:szCs w:val="14"/>
                <w:color w:val="auto"/>
                <w:w w:val="98"/>
              </w:rPr>
              <w:t>4.70% Senior Notes, due 2028,</w:t>
            </w: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3"/>
          </w:tcPr>
          <w:p>
            <w:pPr>
              <w:ind w:left="140"/>
              <w:spacing w:after="0" w:line="135" w:lineRule="exact"/>
              <w:rPr>
                <w:sz w:val="20"/>
                <w:szCs w:val="20"/>
                <w:color w:val="auto"/>
              </w:rPr>
            </w:pPr>
            <w:r>
              <w:rPr>
                <w:rFonts w:ascii="Arial" w:cs="Arial" w:eastAsia="Arial" w:hAnsi="Arial"/>
                <w:sz w:val="14"/>
                <w:szCs w:val="14"/>
                <w:color w:val="auto"/>
                <w:w w:val="92"/>
              </w:rPr>
              <w:t>net of unamortized debt issuance costs of</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5.0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1,242.3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1,455.9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1,241.8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1,472.2</w:t>
            </w:r>
          </w:p>
        </w:tc>
        <w:tc>
          <w:tcPr>
            <w:tcW w:w="0" w:type="dxa"/>
            <w:vAlign w:val="bottom"/>
          </w:tcPr>
          <w:p>
            <w:pPr>
              <w:spacing w:after="0"/>
              <w:rPr>
                <w:sz w:val="1"/>
                <w:szCs w:val="1"/>
                <w:color w:val="auto"/>
              </w:rPr>
            </w:pPr>
          </w:p>
        </w:tc>
      </w:tr>
      <w:tr>
        <w:trPr>
          <w:trHeight w:val="186"/>
        </w:trPr>
        <w:tc>
          <w:tcPr>
            <w:tcW w:w="2560" w:type="dxa"/>
            <w:vAlign w:val="bottom"/>
            <w:gridSpan w:val="3"/>
          </w:tcPr>
          <w:p>
            <w:pPr>
              <w:ind w:left="140"/>
              <w:spacing w:after="0"/>
              <w:rPr>
                <w:sz w:val="20"/>
                <w:szCs w:val="20"/>
                <w:color w:val="auto"/>
              </w:rPr>
            </w:pPr>
            <w:r>
              <w:rPr>
                <w:rFonts w:ascii="Arial" w:cs="Arial" w:eastAsia="Arial" w:hAnsi="Arial"/>
                <w:sz w:val="14"/>
                <w:szCs w:val="14"/>
                <w:color w:val="auto"/>
              </w:rPr>
              <w:t>$7.7 and $8.2</w:t>
            </w:r>
          </w:p>
        </w:tc>
        <w:tc>
          <w:tcPr>
            <w:tcW w:w="12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Borrowings</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2040" w:type="dxa"/>
            <w:vAlign w:val="bottom"/>
            <w:gridSpan w:val="2"/>
          </w:tcPr>
          <w:p>
            <w:pPr>
              <w:ind w:left="440"/>
              <w:spacing w:after="0"/>
              <w:rPr>
                <w:sz w:val="20"/>
                <w:szCs w:val="20"/>
                <w:color w:val="auto"/>
              </w:rPr>
            </w:pPr>
            <w:r>
              <w:rPr>
                <w:rFonts w:ascii="Arial" w:cs="Arial" w:eastAsia="Arial" w:hAnsi="Arial"/>
                <w:sz w:val="14"/>
                <w:szCs w:val="14"/>
                <w:color w:val="auto"/>
              </w:rPr>
              <w:t>Total</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4,080.2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4,489.2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4,239.4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4,667.6</w:t>
            </w:r>
          </w:p>
        </w:tc>
        <w:tc>
          <w:tcPr>
            <w:tcW w:w="0" w:type="dxa"/>
            <w:vAlign w:val="bottom"/>
          </w:tcPr>
          <w:p>
            <w:pPr>
              <w:spacing w:after="0"/>
              <w:rPr>
                <w:sz w:val="1"/>
                <w:szCs w:val="1"/>
                <w:color w:val="auto"/>
              </w:rPr>
            </w:pPr>
          </w:p>
        </w:tc>
      </w:tr>
      <w:tr>
        <w:trPr>
          <w:trHeight w:val="189"/>
        </w:trPr>
        <w:tc>
          <w:tcPr>
            <w:tcW w:w="5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Less - current portion</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2040" w:type="dxa"/>
            <w:vAlign w:val="bottom"/>
            <w:gridSpan w:val="2"/>
          </w:tcPr>
          <w:p>
            <w:pPr>
              <w:ind w:left="440"/>
              <w:spacing w:after="0"/>
              <w:rPr>
                <w:sz w:val="20"/>
                <w:szCs w:val="20"/>
                <w:color w:val="auto"/>
              </w:rPr>
            </w:pPr>
            <w:r>
              <w:rPr>
                <w:rFonts w:ascii="Arial" w:cs="Arial" w:eastAsia="Arial" w:hAnsi="Arial"/>
                <w:sz w:val="14"/>
                <w:szCs w:val="14"/>
                <w:color w:val="auto"/>
              </w:rPr>
              <w:t>Long-term portion</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4,079.6</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4,488.6</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3,792.2</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4,220.4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14 for information on the fair value measurement of the Company's long-term debt.</w:t>
      </w:r>
    </w:p>
    <w:p>
      <w:pPr>
        <w:spacing w:after="0" w:line="13" w:lineRule="exact"/>
        <w:rPr>
          <w:rFonts w:ascii="Arial" w:cs="Arial" w:eastAsia="Arial" w:hAnsi="Arial"/>
          <w:sz w:val="14"/>
          <w:szCs w:val="14"/>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the second quarter of 2021, the Company repaid all outstanding term loan borrowings and related interest under the Senior Credit facility and the 364 Day facility.</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U.S. dollar-denominated Term Loans includes the total outstanding balance of term loans denominated in U.S. dollars from the Senior Credit Facility and the 364 Day Facility.</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Multi-Currency Revolving loan facility includes total outstanding amounts drawn against the Senior Credit Facility and the 364 Day Facility.</w:t>
      </w:r>
    </w:p>
    <w:p>
      <w:pPr>
        <w:spacing w:after="0" w:line="101"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June 30, 2021 and December 31, 2020, the Company had total combined unamortized discount and debt issuance costs of $25.8 million and $20.5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$1,200.0 million in multi-currency revolving loans (inclusive of swingline loans of up to $75.0 million and letters of credit of up to $450.0 million (the "Revolving Credit Facility")). The Revolving Credit Facility will mature on June 8, 2023.</w:t>
      </w:r>
    </w:p>
    <w:p>
      <w:pPr>
        <w:spacing w:after="0" w:line="80"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Under the Senior Credit Facility, we can elect to receive advances bearing interest based on either the Alternate Base Rate ("ABR") or the London Interbank Offered Rate ("LIBOR") (each as defined in the Senior Credit Facility) plus applicable margin that is determined based on our credit ratings or the Company's Leverage (as defined in the Senior Credit Facility). The agreement contains affirmative, negative and financial covenants, and events of default customary for facilities of this type. The obligations under the Senior Credit Facility are guaranteed by Wabtec and certain of Wabtec's U.S. subsidiaries, as guarantors.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5" w:name="page16"/>
    <w:bookmarkEnd w:id="15"/>
    <w:p>
      <w:pPr>
        <w:ind w:right="40" w:firstLine="486"/>
        <w:spacing w:after="0" w:line="263" w:lineRule="auto"/>
        <w:rPr>
          <w:sz w:val="20"/>
          <w:szCs w:val="20"/>
          <w:color w:val="auto"/>
        </w:rPr>
      </w:pPr>
      <w:r>
        <w:rPr>
          <w:rFonts w:ascii="Arial" w:cs="Arial" w:eastAsia="Arial" w:hAnsi="Arial"/>
          <w:sz w:val="18"/>
          <w:szCs w:val="18"/>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then ended: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Interest Coverage Ratio </w:t>
            </w:r>
            <w:r>
              <w:rPr>
                <w:rFonts w:ascii="Arial" w:cs="Arial" w:eastAsia="Arial" w:hAnsi="Arial"/>
                <w:sz w:val="21"/>
                <w:szCs w:val="21"/>
                <w:color w:val="auto"/>
                <w:vertAlign w:val="superscript"/>
              </w:rPr>
              <w:t>1</w:t>
            </w:r>
          </w:p>
        </w:tc>
        <w:tc>
          <w:tcPr>
            <w:tcW w:w="4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3.0x</w:t>
            </w:r>
          </w:p>
        </w:tc>
      </w:tr>
      <w:tr>
        <w:trPr>
          <w:trHeight w:val="306"/>
        </w:trPr>
        <w:tc>
          <w:tcPr>
            <w:tcW w:w="6260" w:type="dxa"/>
            <w:vAlign w:val="bottom"/>
          </w:tcPr>
          <w:p>
            <w:pPr>
              <w:ind w:left="20"/>
              <w:spacing w:after="0"/>
              <w:rPr>
                <w:sz w:val="20"/>
                <w:szCs w:val="20"/>
                <w:color w:val="auto"/>
              </w:rPr>
            </w:pPr>
            <w:r>
              <w:rPr>
                <w:rFonts w:ascii="Arial" w:cs="Arial" w:eastAsia="Arial" w:hAnsi="Arial"/>
                <w:sz w:val="16"/>
                <w:szCs w:val="16"/>
                <w:color w:val="auto"/>
              </w:rPr>
              <w:t xml:space="preserve">Leverage Ratio </w:t>
            </w:r>
            <w:r>
              <w:rPr>
                <w:rFonts w:ascii="Arial" w:cs="Arial" w:eastAsia="Arial" w:hAnsi="Arial"/>
                <w:sz w:val="21"/>
                <w:szCs w:val="21"/>
                <w:color w:val="auto"/>
                <w:vertAlign w:val="superscript"/>
              </w:rPr>
              <w:t>2</w:t>
            </w:r>
          </w:p>
        </w:tc>
        <w:tc>
          <w:tcPr>
            <w:tcW w:w="4980" w:type="dxa"/>
            <w:vAlign w:val="bottom"/>
          </w:tcPr>
          <w:p>
            <w:pPr>
              <w:jc w:val="right"/>
              <w:spacing w:after="0"/>
              <w:rPr>
                <w:sz w:val="20"/>
                <w:szCs w:val="20"/>
                <w:color w:val="auto"/>
              </w:rPr>
            </w:pPr>
            <w:r>
              <w:rPr>
                <w:rFonts w:ascii="Arial" w:cs="Arial" w:eastAsia="Arial" w:hAnsi="Arial"/>
                <w:sz w:val="16"/>
                <w:szCs w:val="16"/>
                <w:color w:val="auto"/>
              </w:rPr>
              <w:t>3.25x</w:t>
            </w:r>
          </w:p>
        </w:tc>
      </w:tr>
    </w:tbl>
    <w:p>
      <w:pPr>
        <w:spacing w:after="0" w:line="175" w:lineRule="exact"/>
        <w:rPr>
          <w:sz w:val="20"/>
          <w:szCs w:val="20"/>
          <w:color w:val="auto"/>
        </w:rPr>
      </w:pPr>
    </w:p>
    <w:p>
      <w:pPr>
        <w:ind w:right="220" w:firstLine="8"/>
        <w:spacing w:after="0" w:line="250" w:lineRule="auto"/>
        <w:tabs>
          <w:tab w:leader="none" w:pos="14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interest coverage ratio is defined as EBITDA (earnings before interest, taxes, depreciation, and amortization), as defined in the Senior Credit Facility, to net interest expense for the four quarters then ended.</w:t>
      </w:r>
    </w:p>
    <w:p>
      <w:pPr>
        <w:ind w:left="160" w:hanging="152"/>
        <w:spacing w:after="0"/>
        <w:tabs>
          <w:tab w:leader="none" w:pos="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Senior Credit Facility, for the four quarters then ended.</w:t>
      </w:r>
    </w:p>
    <w:p>
      <w:pPr>
        <w:spacing w:after="0" w:line="88" w:lineRule="exact"/>
        <w:rPr>
          <w:sz w:val="20"/>
          <w:szCs w:val="20"/>
          <w:color w:val="auto"/>
        </w:rPr>
      </w:pPr>
    </w:p>
    <w:p>
      <w:pPr>
        <w:ind w:right="80" w:firstLine="486"/>
        <w:spacing w:after="0" w:line="246" w:lineRule="auto"/>
        <w:rPr>
          <w:sz w:val="20"/>
          <w:szCs w:val="20"/>
          <w:color w:val="auto"/>
        </w:rPr>
      </w:pPr>
      <w:r>
        <w:rPr>
          <w:rFonts w:ascii="Arial" w:cs="Arial" w:eastAsia="Arial" w:hAnsi="Arial"/>
          <w:sz w:val="17"/>
          <w:szCs w:val="17"/>
          <w:color w:val="auto"/>
        </w:rPr>
        <w:t>The Senior Credit Facility was amended in the second quarter of 2021 so the Company may increase the maximum leverage ratio to (x) 3.75 to 1.00 at the end of the fiscal quarter in which the Nordco acquisition was consummated and each of the three fiscal quarters immediately following such fiscal quarter and (y) 3.50 to 1.00 at the end of each of the fourth and fifth full fiscal quarters after the consummation of the Nordco acquisition upon the Company's request. The Company has not requested any increase in the leverage ratio at this time.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covenants in the Senior Credit Facility as of June 30, 2021.</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availability under the Revolving Credit Facility at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Revolving Credit</w:t>
            </w:r>
          </w:p>
        </w:tc>
      </w:tr>
      <w:tr>
        <w:trPr>
          <w:trHeight w:val="213"/>
        </w:trPr>
        <w:tc>
          <w:tcPr>
            <w:tcW w:w="91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Facility</w:t>
            </w:r>
          </w:p>
        </w:tc>
      </w:tr>
      <w:tr>
        <w:trPr>
          <w:trHeight w:val="212"/>
        </w:trPr>
        <w:tc>
          <w:tcPr>
            <w:tcW w:w="9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Maximum Availability</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r>
      <w:tr>
        <w:trPr>
          <w:trHeight w:val="213"/>
        </w:trPr>
        <w:tc>
          <w:tcPr>
            <w:tcW w:w="9240" w:type="dxa"/>
            <w:vAlign w:val="bottom"/>
            <w:gridSpan w:val="2"/>
          </w:tcPr>
          <w:p>
            <w:pPr>
              <w:ind w:left="520"/>
              <w:spacing w:after="0"/>
              <w:rPr>
                <w:sz w:val="20"/>
                <w:szCs w:val="20"/>
                <w:color w:val="auto"/>
              </w:rPr>
            </w:pPr>
            <w:r>
              <w:rPr>
                <w:rFonts w:ascii="Arial" w:cs="Arial" w:eastAsia="Arial" w:hAnsi="Arial"/>
                <w:sz w:val="16"/>
                <w:szCs w:val="16"/>
                <w:color w:val="auto"/>
              </w:rPr>
              <w:t>Outstanding Borrowings</w:t>
            </w:r>
          </w:p>
        </w:tc>
        <w:tc>
          <w:tcPr>
            <w:tcW w:w="6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Letters of Credit Under Credit Agreement</w:t>
            </w: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4"/>
        </w:trPr>
        <w:tc>
          <w:tcPr>
            <w:tcW w:w="9240" w:type="dxa"/>
            <w:vAlign w:val="bottom"/>
            <w:gridSpan w:val="2"/>
          </w:tcPr>
          <w:p>
            <w:pPr>
              <w:ind w:left="520"/>
              <w:spacing w:after="0"/>
              <w:rPr>
                <w:sz w:val="20"/>
                <w:szCs w:val="20"/>
                <w:color w:val="auto"/>
              </w:rPr>
            </w:pPr>
            <w:r>
              <w:rPr>
                <w:rFonts w:ascii="Arial" w:cs="Arial" w:eastAsia="Arial" w:hAnsi="Arial"/>
                <w:sz w:val="16"/>
                <w:szCs w:val="16"/>
                <w:color w:val="auto"/>
              </w:rPr>
              <w:t>Current Availability</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1,196.4</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364 Day Facility</w:t>
      </w:r>
    </w:p>
    <w:p>
      <w:pPr>
        <w:spacing w:after="0" w:line="117"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On April 10, 2020 the Company entered into a $600 million 364 day credit facility ("364 Day Facility") initially scheduled to mature in April 2021 with a group of banks which includes a $144.0 million revolving credit facility ("364 Day Revolver") and a $456.0 million term loan ("364 Term Loan"). The agreement calls for interest at either a LIBOR-based rate, or a rate based on the prime lending rate of the agent bank, at the Company's option. The agreement contains affirmative, negative and financial covenants, and events of default customary for facilities of this type and substantially similar to our existing Senior Credit Facility. The obligations under the 364 Day Facility are guaranteed by certain of the Company's U.S. subsidiaries, as guarantors. On June 12, 2020 the Company amended the 364 Day Facility maturity to July 9, 2021.</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June 3, 2021, the Company repaid all outstanding borrowings and related interest, effectively retiring the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discussed below),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are senior unsecured obligations of the Company and rank pari passu with all existing and future senior debt, and the Company's guarantee of the Euro Notes, and are senior to all existing and future subordinated indebtedness of the Company.</w:t>
      </w:r>
    </w:p>
    <w:p>
      <w:pPr>
        <w:spacing w:after="0" w:line="73"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On June 3, 2021, Wabtec Transportation Netherlands B.V. ("Wabtec Netherlands") issued €500.0 million of 1.25% Senior Notes due in 2027, which are fully and unconditionally guaranteed by the Company. The Euro Notes were issued at 99.267% of face value. Interest on the Euro Notes accrues at a rate of 1.25% per annum and is payable annually beginning December 3, 2021. The Company incurred approximately $4.3 million of deferred financing costs related to the issuance of the Euro Notes for total net proceeds of approximately $598.7 million after consideration of the discount.</w:t>
      </w:r>
    </w:p>
    <w:p>
      <w:pPr>
        <w:spacing w:after="0" w:line="49"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ind w:right="200"/>
        <w:spacing w:after="0" w:line="342" w:lineRule="auto"/>
        <w:rPr>
          <w:sz w:val="20"/>
          <w:szCs w:val="20"/>
          <w:color w:val="auto"/>
        </w:rPr>
      </w:pPr>
      <w:r>
        <w:rPr>
          <w:rFonts w:ascii="Arial" w:cs="Arial" w:eastAsia="Arial" w:hAnsi="Arial"/>
          <w:sz w:val="16"/>
          <w:szCs w:val="16"/>
          <w:color w:val="auto"/>
        </w:rPr>
        <w:t>require the Company to maintain any financial ratios or specified levels of net worth or liquidity. The US Notes are fully and unconditionally guaranteed, jointly and severally, on an unsecured basis by each of the Company's subsidiaries that is a guarantor under the Senior Credit Facility.</w:t>
      </w:r>
    </w:p>
    <w:p>
      <w:pPr>
        <w:spacing w:after="0" w:line="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As of June 30, 2021,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provides a maximum of 9.1 million shares for grants or awards, plus any shares which remain available under the 2000 Plan. The amendment and restatement of the 2011 Plan was approved by stockholders of Wabtec on May 15, 2020. The Company also maintains a 1995 Non-Employee Directors’ Fee and Stock Option Plan as amended and restated (“the Directors Plan”).</w:t>
      </w:r>
    </w:p>
    <w:p>
      <w:pPr>
        <w:spacing w:after="0" w:line="5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Stock-based compensation recognized was $16.0 million of expense and $1.6 million of income for the three months ended June 30, 2021 and 2020, respectively. Stock-based compensation expense was $24.2 million and $5.7 million for the six months ended June 30, 2021 and 2020, respectively. At June 30, 2021, unamortized compensation expense related to stock options, non-vested restricted shares and incentive stock units expected to vest totaled $54.5 million.</w:t>
      </w:r>
    </w:p>
    <w:p>
      <w:pPr>
        <w:spacing w:after="0" w:line="7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at an exercise price equivalent to the stock's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granted prior to 2019 become exercisable over a four-year vesting period, while options granted in 2019 and after become exercisable over a three-year vesting period. Both vesting periods expire 10 years from the date of grant.</w:t>
      </w:r>
    </w:p>
    <w:p>
      <w:pPr>
        <w:spacing w:after="0" w:line="79"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six months ended June 30, 2021:</w:t>
      </w:r>
    </w:p>
    <w:tbl>
      <w:tblPr>
        <w:tblLayout w:type="fixed"/>
        <w:tblInd w:w="0" w:type="dxa"/>
        <w:tblCellMar>
          <w:top w:w="0" w:type="dxa"/>
          <w:left w:w="0" w:type="dxa"/>
          <w:bottom w:w="0" w:type="dxa"/>
          <w:right w:w="0" w:type="dxa"/>
        </w:tblCellMar>
      </w:tblPr>
      <w:tr>
        <w:trPr>
          <w:trHeight w:val="144"/>
        </w:trPr>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3"/>
          </w:tcPr>
          <w:p>
            <w:pPr>
              <w:ind w:left="900"/>
              <w:spacing w:after="0" w:line="145" w:lineRule="exact"/>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ind w:left="680"/>
              <w:spacing w:after="0" w:line="145" w:lineRule="exact"/>
              <w:rPr>
                <w:sz w:val="20"/>
                <w:szCs w:val="20"/>
                <w:color w:val="auto"/>
              </w:rPr>
            </w:pPr>
            <w:r>
              <w:rPr>
                <w:rFonts w:ascii="Arial" w:cs="Arial" w:eastAsia="Arial" w:hAnsi="Arial"/>
                <w:sz w:val="14"/>
                <w:szCs w:val="14"/>
                <w:b w:val="1"/>
                <w:bCs w:val="1"/>
                <w:color w:val="auto"/>
              </w:rPr>
              <w:t>Weighted</w:t>
            </w:r>
          </w:p>
        </w:tc>
        <w:tc>
          <w:tcPr>
            <w:tcW w:w="1560" w:type="dxa"/>
            <w:vAlign w:val="bottom"/>
            <w:vMerge w:val="restart"/>
          </w:tcPr>
          <w:p>
            <w:pPr>
              <w:ind w:left="880"/>
              <w:spacing w:after="0"/>
              <w:rPr>
                <w:sz w:val="20"/>
                <w:szCs w:val="20"/>
                <w:color w:val="auto"/>
              </w:rPr>
            </w:pPr>
            <w:r>
              <w:rPr>
                <w:rFonts w:ascii="Arial" w:cs="Arial" w:eastAsia="Arial" w:hAnsi="Arial"/>
                <w:sz w:val="14"/>
                <w:szCs w:val="14"/>
                <w:b w:val="1"/>
                <w:bCs w:val="1"/>
                <w:color w:val="auto"/>
                <w:w w:val="95"/>
              </w:rPr>
              <w:t>Aggregate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restart"/>
          </w:tcPr>
          <w:p>
            <w:pPr>
              <w:jc w:val="center"/>
              <w:ind w:left="484"/>
              <w:spacing w:after="0" w:line="135"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Average</w:t>
            </w:r>
          </w:p>
        </w:tc>
        <w:tc>
          <w:tcPr>
            <w:tcW w:w="1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460" w:type="dxa"/>
            <w:vAlign w:val="bottom"/>
            <w:vMerge w:val="restart"/>
          </w:tcPr>
          <w:p>
            <w:pPr>
              <w:ind w:left="740"/>
              <w:spacing w:after="0" w:line="135"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560" w:type="dxa"/>
            <w:vAlign w:val="bottom"/>
            <w:vMerge w:val="restart"/>
          </w:tcPr>
          <w:p>
            <w:pPr>
              <w:ind w:left="500"/>
              <w:spacing w:after="0" w:line="135" w:lineRule="exact"/>
              <w:rPr>
                <w:sz w:val="20"/>
                <w:szCs w:val="20"/>
                <w:color w:val="auto"/>
              </w:rPr>
            </w:pPr>
            <w:r>
              <w:rPr>
                <w:rFonts w:ascii="Arial" w:cs="Arial" w:eastAsia="Arial" w:hAnsi="Arial"/>
                <w:sz w:val="14"/>
                <w:szCs w:val="14"/>
                <w:b w:val="1"/>
                <w:bCs w:val="1"/>
                <w:color w:val="auto"/>
              </w:rPr>
              <w:t>Intrinsic value</w:t>
            </w: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restart"/>
          </w:tcPr>
          <w:p>
            <w:pPr>
              <w:jc w:val="center"/>
              <w:ind w:left="504"/>
              <w:spacing w:after="0" w:line="135" w:lineRule="exact"/>
              <w:rPr>
                <w:sz w:val="20"/>
                <w:szCs w:val="20"/>
                <w:color w:val="auto"/>
              </w:rPr>
            </w:pPr>
            <w:r>
              <w:rPr>
                <w:rFonts w:ascii="Arial" w:cs="Arial" w:eastAsia="Arial" w:hAnsi="Arial"/>
                <w:sz w:val="14"/>
                <w:szCs w:val="14"/>
                <w:b w:val="1"/>
                <w:bCs w:val="1"/>
                <w:color w:val="auto"/>
                <w:w w:val="90"/>
              </w:rPr>
              <w:t>Exercise</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5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ind w:left="504"/>
              <w:spacing w:after="0"/>
              <w:rPr>
                <w:sz w:val="20"/>
                <w:szCs w:val="20"/>
                <w:color w:val="auto"/>
              </w:rPr>
            </w:pPr>
            <w:r>
              <w:rPr>
                <w:rFonts w:ascii="Arial" w:cs="Arial" w:eastAsia="Arial" w:hAnsi="Arial"/>
                <w:sz w:val="14"/>
                <w:szCs w:val="14"/>
                <w:b w:val="1"/>
                <w:bCs w:val="1"/>
                <w:color w:val="auto"/>
                <w:w w:val="93"/>
              </w:rPr>
              <w:t>Price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Contractual Life</w:t>
            </w:r>
          </w:p>
        </w:tc>
        <w:tc>
          <w:tcPr>
            <w:tcW w:w="1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Outstanding at December 31, 2020</w:t>
            </w:r>
          </w:p>
        </w:tc>
        <w:tc>
          <w:tcPr>
            <w:tcW w:w="14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8"/>
              </w:rPr>
              <w:t>552,669</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30"/>
        </w:trPr>
        <w:tc>
          <w:tcPr>
            <w:tcW w:w="4160" w:type="dxa"/>
            <w:vAlign w:val="bottom"/>
          </w:tcPr>
          <w:p>
            <w:pPr>
              <w:ind w:left="760"/>
              <w:spacing w:after="0"/>
              <w:rPr>
                <w:sz w:val="20"/>
                <w:szCs w:val="20"/>
                <w:color w:val="auto"/>
              </w:rPr>
            </w:pPr>
            <w:r>
              <w:rPr>
                <w:rFonts w:ascii="Arial" w:cs="Arial" w:eastAsia="Arial" w:hAnsi="Arial"/>
                <w:sz w:val="18"/>
                <w:szCs w:val="18"/>
                <w:color w:val="auto"/>
              </w:rPr>
              <w:t>Granted</w:t>
            </w:r>
          </w:p>
        </w:tc>
        <w:tc>
          <w:tcPr>
            <w:tcW w:w="1460" w:type="dxa"/>
            <w:vAlign w:val="bottom"/>
          </w:tcPr>
          <w:p>
            <w:pPr>
              <w:ind w:left="800"/>
              <w:spacing w:after="0"/>
              <w:rPr>
                <w:sz w:val="20"/>
                <w:szCs w:val="20"/>
                <w:color w:val="auto"/>
              </w:rPr>
            </w:pPr>
            <w:r>
              <w:rPr>
                <w:rFonts w:ascii="Arial" w:cs="Arial" w:eastAsia="Arial" w:hAnsi="Arial"/>
                <w:sz w:val="18"/>
                <w:szCs w:val="18"/>
                <w:color w:val="auto"/>
                <w:w w:val="98"/>
              </w:rPr>
              <w:t>126,794</w:t>
            </w:r>
          </w:p>
        </w:tc>
        <w:tc>
          <w:tcPr>
            <w:tcW w:w="1460" w:type="dxa"/>
            <w:vAlign w:val="bottom"/>
            <w:gridSpan w:val="2"/>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(33,680)</w:t>
            </w:r>
          </w:p>
        </w:tc>
        <w:tc>
          <w:tcPr>
            <w:tcW w:w="1460" w:type="dxa"/>
            <w:vAlign w:val="bottom"/>
            <w:gridSpan w:val="2"/>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Canceled</w:t>
            </w:r>
          </w:p>
        </w:tc>
        <w:tc>
          <w:tcPr>
            <w:tcW w:w="14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2"/>
              </w:rPr>
              <w:t>(21,349)</w:t>
            </w:r>
          </w:p>
        </w:tc>
        <w:tc>
          <w:tcPr>
            <w:tcW w:w="1460" w:type="dxa"/>
            <w:vAlign w:val="bottom"/>
            <w:tcBorders>
              <w:bottom w:val="single" w:sz="8" w:color="CCEEFF"/>
            </w:tcBorders>
            <w:gridSpan w:val="2"/>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75.01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Outstanding at June 30, 2021</w:t>
            </w:r>
          </w:p>
        </w:tc>
        <w:tc>
          <w:tcPr>
            <w:tcW w:w="14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8"/>
              </w:rPr>
              <w:t>624,434</w:t>
            </w:r>
          </w:p>
        </w:tc>
        <w:tc>
          <w:tcPr>
            <w:tcW w:w="1460" w:type="dxa"/>
            <w:vAlign w:val="bottom"/>
            <w:tcBorders>
              <w:bottom w:val="single" w:sz="8" w:color="CCEEFF"/>
            </w:tcBorders>
            <w:gridSpan w:val="2"/>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Exercisable at June 30, 2021</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CCEEFF"/>
            </w:tcBorders>
            <w:gridSpan w:val="2"/>
            <w:vMerge w:val="restart"/>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line="20" w:lineRule="exact"/>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1460" w:type="dxa"/>
            <w:vAlign w:val="bottom"/>
          </w:tcPr>
          <w:p>
            <w:pPr>
              <w:ind w:left="800"/>
              <w:spacing w:after="0" w:line="204" w:lineRule="exact"/>
              <w:rPr>
                <w:sz w:val="20"/>
                <w:szCs w:val="20"/>
                <w:color w:val="auto"/>
              </w:rPr>
            </w:pPr>
            <w:r>
              <w:rPr>
                <w:rFonts w:ascii="Arial" w:cs="Arial" w:eastAsia="Arial" w:hAnsi="Arial"/>
                <w:sz w:val="18"/>
                <w:szCs w:val="18"/>
                <w:color w:val="auto"/>
                <w:w w:val="98"/>
              </w:rPr>
              <w:t>379,897</w:t>
            </w:r>
          </w:p>
        </w:tc>
        <w:tc>
          <w:tcPr>
            <w:tcW w:w="14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20" w:firstLine="486"/>
        <w:spacing w:after="0" w:line="269"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ind w:left="9680"/>
        <w:spacing w:after="0"/>
        <w:rPr>
          <w:sz w:val="20"/>
          <w:szCs w:val="20"/>
          <w:color w:val="auto"/>
        </w:rPr>
      </w:pPr>
      <w:r>
        <w:rPr>
          <w:rFonts w:ascii="Arial" w:cs="Arial" w:eastAsia="Arial" w:hAnsi="Arial"/>
          <w:sz w:val="13"/>
          <w:szCs w:val="13"/>
          <w:b w:val="1"/>
          <w:bCs w:val="1"/>
          <w:color w:val="auto"/>
        </w:rPr>
        <w:t>Six Months Ended June</w:t>
      </w:r>
    </w:p>
    <w:p>
      <w:pPr>
        <w:spacing w:after="0" w:line="2"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1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Dividend yield</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0.60</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tcPr>
          <w:p>
            <w:pPr>
              <w:ind w:left="520"/>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0.81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price volatility</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tcPr>
          <w:p>
            <w:pPr>
              <w:ind w:left="520"/>
              <w:spacing w:after="0"/>
              <w:rPr>
                <w:sz w:val="20"/>
                <w:szCs w:val="20"/>
                <w:color w:val="auto"/>
              </w:rPr>
            </w:pPr>
            <w:r>
              <w:rPr>
                <w:rFonts w:ascii="Arial" w:cs="Arial" w:eastAsia="Arial" w:hAnsi="Arial"/>
                <w:sz w:val="18"/>
                <w:szCs w:val="18"/>
                <w:color w:val="auto"/>
              </w:rPr>
              <w:t>Expected life (years)</w:t>
            </w:r>
          </w:p>
        </w:tc>
        <w:tc>
          <w:tcPr>
            <w:tcW w:w="1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28"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U.S. Treasury bond rates for the expected life of the option.</w:t>
      </w:r>
    </w:p>
    <w:p>
      <w:pPr>
        <w:spacing w:after="0" w:line="7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2011 Plan and 2000 Plan, eligible employees are granted restricted stock that generally vests over three or four years from the date of grant. Under the Directors Plan, restricted stock awards vest one year from the date of grant.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ind w:right="100" w:firstLine="486"/>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June 30, 2021, the Company estimates that it will achieve 33%, 113% and 100% for the incentive stock awards expected to vest based on performance for the three-year periods ending December 31, 2021, 2022, and 2023, respectively, and has recorded incentive compensation expense accordingly. If the estimate of the number of these incentive stock units expected to vest changes in a future accounting period, cumulative compensation expense could increase or decrease resulting in recognition in the current period for the elapsed portion of the vesting period and would change future expense for the remaining vesting period.</w:t>
      </w:r>
    </w:p>
    <w:p>
      <w:pPr>
        <w:spacing w:after="0" w:line="7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restricted stock activity and incentive stock units activity for the six months ended June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Restricted</w:t>
            </w:r>
          </w:p>
        </w:tc>
        <w:tc>
          <w:tcPr>
            <w:tcW w:w="15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Incentive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jc w:val="right"/>
              <w:ind w:right="37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Stock</w:t>
            </w:r>
          </w:p>
        </w:tc>
        <w:tc>
          <w:tcPr>
            <w:tcW w:w="1500" w:type="dxa"/>
            <w:vAlign w:val="bottom"/>
          </w:tcPr>
          <w:p>
            <w:pPr>
              <w:ind w:left="580"/>
              <w:spacing w:after="0" w:line="135"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jc w:val="center"/>
              <w:ind w:right="556"/>
              <w:spacing w:after="0" w:line="135"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88"/>
        </w:trPr>
        <w:tc>
          <w:tcPr>
            <w:tcW w:w="60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and Units</w:t>
            </w:r>
          </w:p>
        </w:tc>
        <w:tc>
          <w:tcPr>
            <w:tcW w:w="1500" w:type="dxa"/>
            <w:vAlign w:val="bottom"/>
          </w:tcPr>
          <w:p>
            <w:pPr>
              <w:ind w:left="6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jc w:val="center"/>
              <w:ind w:right="5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60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656,006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5"/>
              </w:rPr>
              <w:t>270,645</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30"/>
        </w:trPr>
        <w:tc>
          <w:tcPr>
            <w:tcW w:w="6020" w:type="dxa"/>
            <w:vAlign w:val="bottom"/>
          </w:tcPr>
          <w:p>
            <w:pPr>
              <w:ind w:left="7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201,126</w:t>
            </w:r>
          </w:p>
        </w:tc>
        <w:tc>
          <w:tcPr>
            <w:tcW w:w="100" w:type="dxa"/>
            <w:vAlign w:val="bottom"/>
          </w:tcPr>
          <w:p>
            <w:pPr>
              <w:spacing w:after="0"/>
              <w:rPr>
                <w:sz w:val="19"/>
                <w:szCs w:val="19"/>
                <w:color w:val="auto"/>
              </w:rPr>
            </w:pPr>
          </w:p>
        </w:tc>
        <w:tc>
          <w:tcPr>
            <w:tcW w:w="1500" w:type="dxa"/>
            <w:vAlign w:val="bottom"/>
          </w:tcPr>
          <w:p>
            <w:pPr>
              <w:ind w:left="860"/>
              <w:spacing w:after="0"/>
              <w:rPr>
                <w:sz w:val="20"/>
                <w:szCs w:val="20"/>
                <w:color w:val="auto"/>
              </w:rPr>
            </w:pPr>
            <w:r>
              <w:rPr>
                <w:rFonts w:ascii="Arial" w:cs="Arial" w:eastAsia="Arial" w:hAnsi="Arial"/>
                <w:sz w:val="18"/>
                <w:szCs w:val="18"/>
                <w:color w:val="auto"/>
                <w:w w:val="95"/>
              </w:rPr>
              <w:t>241,467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(297,461)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(37,672)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29"/>
        </w:trPr>
        <w:tc>
          <w:tcPr>
            <w:tcW w:w="6020" w:type="dxa"/>
            <w:vAlign w:val="bottom"/>
          </w:tcPr>
          <w:p>
            <w:pPr>
              <w:ind w:left="760"/>
              <w:spacing w:after="0"/>
              <w:rPr>
                <w:sz w:val="20"/>
                <w:szCs w:val="20"/>
                <w:color w:val="auto"/>
              </w:rPr>
            </w:pPr>
            <w:r>
              <w:rPr>
                <w:rFonts w:ascii="Arial" w:cs="Arial" w:eastAsia="Arial" w:hAnsi="Arial"/>
                <w:sz w:val="18"/>
                <w:szCs w:val="18"/>
                <w:color w:val="auto"/>
              </w:rPr>
              <w:t>Adjustment for incentive stock awards expected to vest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ind w:left="860"/>
              <w:spacing w:after="0"/>
              <w:rPr>
                <w:sz w:val="20"/>
                <w:szCs w:val="20"/>
                <w:color w:val="auto"/>
              </w:rPr>
            </w:pPr>
            <w:r>
              <w:rPr>
                <w:rFonts w:ascii="Arial" w:cs="Arial" w:eastAsia="Arial" w:hAnsi="Arial"/>
                <w:sz w:val="18"/>
                <w:szCs w:val="18"/>
                <w:color w:val="auto"/>
                <w:w w:val="95"/>
              </w:rPr>
              <w:t>119,657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2"/>
              </w:rPr>
              <w:t>(23,723)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23"/>
        </w:trPr>
        <w:tc>
          <w:tcPr>
            <w:tcW w:w="6020" w:type="dxa"/>
            <w:vAlign w:val="bottom"/>
          </w:tcPr>
          <w:p>
            <w:pPr>
              <w:ind w:left="520"/>
              <w:spacing w:after="0"/>
              <w:rPr>
                <w:sz w:val="20"/>
                <w:szCs w:val="20"/>
                <w:color w:val="auto"/>
              </w:rPr>
            </w:pPr>
            <w:r>
              <w:rPr>
                <w:rFonts w:ascii="Arial" w:cs="Arial" w:eastAsia="Arial" w:hAnsi="Arial"/>
                <w:sz w:val="18"/>
                <w:szCs w:val="18"/>
                <w:color w:val="auto"/>
              </w:rPr>
              <w:t>Outstanding at June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537,484</w:t>
            </w: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5"/>
              </w:rPr>
              <w:t>570,374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overall effective tax rate was 25.8% and 26.6% for the three and six months ended June 30, 2021, respectively, and 24.9% and 25.2% for the three and six months ended June 30, 2020, respectively.</w:t>
      </w:r>
    </w:p>
    <w:p>
      <w:pPr>
        <w:spacing w:after="0" w:line="19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increase in the effective tax rate is primarily the result of withholding tax expense on intercompany dividends incurred during the six months ended June 30, 2021.</w:t>
      </w:r>
    </w:p>
    <w:p>
      <w:pPr>
        <w:spacing w:after="0" w:line="62"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As of June 30, 2021, the liability for income taxes associated with uncertain tax positions was $15.7 million, of which $14.1 million, if recognized, would favorably affect the Company’s effective income tax rate. As of December 31, 2020, the liability for income taxes associated with unrecognized tax benefits was $16.4 million, of which $14.8 million, if recognized, would favorably affect the Company's effective tax rate.</w:t>
      </w:r>
    </w:p>
    <w:p>
      <w:pPr>
        <w:spacing w:after="0" w:line="5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$7.5 million may change within the next 12 months due to the expiration of statutory review periods and current examinations.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2"/>
              </w:rPr>
              <w:t>Three Months Ended June 30,</w:t>
            </w: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980" w:type="dxa"/>
            <w:vAlign w:val="bottom"/>
          </w:tcPr>
          <w:p>
            <w:pPr>
              <w:spacing w:after="0"/>
              <w:rPr>
                <w:sz w:val="12"/>
                <w:szCs w:val="12"/>
                <w:color w:val="auto"/>
              </w:rPr>
            </w:pPr>
          </w:p>
        </w:tc>
        <w:tc>
          <w:tcPr>
            <w:tcW w:w="900" w:type="dxa"/>
            <w:vAlign w:val="bottom"/>
          </w:tcPr>
          <w:p>
            <w:pPr>
              <w:jc w:val="right"/>
              <w:ind w:right="131"/>
              <w:spacing w:after="0" w:line="149" w:lineRule="exact"/>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jc w:val="right"/>
              <w:ind w:right="351"/>
              <w:spacing w:after="0" w:line="149"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Arial" w:cs="Arial" w:eastAsia="Arial" w:hAnsi="Arial"/>
                <w:sz w:val="18"/>
                <w:szCs w:val="18"/>
                <w:color w:val="auto"/>
                <w:w w:val="95"/>
              </w:rPr>
              <w:t>Numerator for basic and diluted earnings per common share - net income</w:t>
            </w:r>
          </w:p>
        </w:tc>
        <w:tc>
          <w:tcPr>
            <w:tcW w:w="9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124.8</w:t>
            </w:r>
          </w:p>
        </w:tc>
        <w:tc>
          <w:tcPr>
            <w:tcW w:w="1980" w:type="dxa"/>
            <w:vAlign w:val="bottom"/>
            <w:gridSpan w:val="3"/>
            <w:vMerge w:val="restart"/>
          </w:tcPr>
          <w:p>
            <w:pPr>
              <w:jc w:val="right"/>
              <w:ind w:right="53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color w:val="auto"/>
              </w:rPr>
              <w:t>86.8</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attributable to Wabtec shareholders</w:t>
            </w:r>
          </w:p>
        </w:tc>
        <w:tc>
          <w:tcPr>
            <w:tcW w:w="9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980" w:type="dxa"/>
            <w:vAlign w:val="bottom"/>
            <w:gridSpan w:val="3"/>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Less: dividends declared - common shares and non-vested restricted stock</w:t>
            </w:r>
          </w:p>
        </w:tc>
        <w:tc>
          <w:tcPr>
            <w:tcW w:w="9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(22.8)</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64.0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9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99.7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63.8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9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22.8</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Numerator for basic earnings per common share</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86.6</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 common share</w:t>
            </w: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6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86.6</w:t>
            </w:r>
          </w:p>
        </w:tc>
        <w:tc>
          <w:tcPr>
            <w:tcW w:w="4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 w:type="dxa"/>
            <w:vAlign w:val="bottom"/>
            <w:vMerge w:val="continue"/>
          </w:tcPr>
          <w:p>
            <w:pPr>
              <w:spacing w:after="0"/>
              <w:rPr>
                <w:sz w:val="15"/>
                <w:szCs w:val="15"/>
                <w:color w:val="auto"/>
              </w:rPr>
            </w:pPr>
          </w:p>
        </w:tc>
        <w:tc>
          <w:tcPr>
            <w:tcW w:w="56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Denominator for basic earnings per common share - weighted average shares</w:t>
            </w: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conversion of dilutive stock-based compensation plans</w:t>
            </w:r>
          </w:p>
        </w:tc>
        <w:tc>
          <w:tcPr>
            <w:tcW w:w="9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5600" w:type="dxa"/>
            <w:vAlign w:val="bottom"/>
            <w:gridSpan w:val="2"/>
          </w:tcPr>
          <w:p>
            <w:pPr>
              <w:spacing w:after="0" w:line="156" w:lineRule="exact"/>
              <w:rPr>
                <w:sz w:val="20"/>
                <w:szCs w:val="20"/>
                <w:color w:val="auto"/>
              </w:rPr>
            </w:pPr>
            <w:r>
              <w:rPr>
                <w:rFonts w:ascii="Arial" w:cs="Arial" w:eastAsia="Arial" w:hAnsi="Arial"/>
                <w:sz w:val="18"/>
                <w:szCs w:val="18"/>
                <w:color w:val="auto"/>
                <w:w w:val="96"/>
              </w:rPr>
              <w:t>Denominator for diluted earnings per common share - adjusted weighted</w:t>
            </w: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1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average</w:t>
            </w:r>
          </w:p>
        </w:tc>
        <w:tc>
          <w:tcPr>
            <w:tcW w:w="9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188.9</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color w:val="auto"/>
              </w:rPr>
              <w:t>190.2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shares and assumed conversion</w:t>
            </w:r>
          </w:p>
        </w:tc>
        <w:tc>
          <w:tcPr>
            <w:tcW w:w="9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Net income attributable to Wabtec shareholders per common share</w:t>
            </w: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Basic</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0.66</w:t>
            </w:r>
          </w:p>
        </w:tc>
        <w:tc>
          <w:tcPr>
            <w:tcW w:w="1980" w:type="dxa"/>
            <w:vAlign w:val="bottom"/>
            <w:gridSpan w:val="3"/>
          </w:tcPr>
          <w:p>
            <w:pPr>
              <w:jc w:val="right"/>
              <w:ind w:right="5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0.46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980" w:type="dxa"/>
            <w:vAlign w:val="bottom"/>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0.46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Basic weighted-average common shares outstanding</w:t>
            </w: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5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Basic weighted-average common shares outstanding and non-vested</w:t>
            </w:r>
          </w:p>
        </w:tc>
        <w:tc>
          <w:tcPr>
            <w:tcW w:w="9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189.0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color w:val="auto"/>
              </w:rPr>
              <w:t>190.3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20" w:type="dxa"/>
            <w:vAlign w:val="bottom"/>
            <w:gridSpan w:val="3"/>
          </w:tcPr>
          <w:p>
            <w:pPr>
              <w:ind w:left="60"/>
              <w:spacing w:after="0"/>
              <w:rPr>
                <w:sz w:val="20"/>
                <w:szCs w:val="20"/>
                <w:color w:val="auto"/>
              </w:rPr>
            </w:pPr>
            <w:r>
              <w:rPr>
                <w:rFonts w:ascii="Arial" w:cs="Arial" w:eastAsia="Arial" w:hAnsi="Arial"/>
                <w:sz w:val="18"/>
                <w:szCs w:val="18"/>
                <w:color w:val="auto"/>
              </w:rPr>
              <w:t>restricted stock expected to vest</w:t>
            </w:r>
          </w:p>
        </w:tc>
        <w:tc>
          <w:tcPr>
            <w:tcW w:w="9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w:t>
            </w: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99.7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5"/>
        </w:trPr>
        <w:tc>
          <w:tcPr>
            <w:tcW w:w="6120" w:type="dxa"/>
            <w:vAlign w:val="bottom"/>
            <w:gridSpan w:val="3"/>
          </w:tcPr>
          <w:p>
            <w:pPr>
              <w:ind w:left="5540"/>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400" w:type="dxa"/>
            <w:vAlign w:val="bottom"/>
          </w:tcPr>
          <w:p>
            <w:pPr>
              <w:spacing w:after="0"/>
              <w:rPr>
                <w:sz w:val="12"/>
                <w:szCs w:val="12"/>
                <w:color w:val="auto"/>
              </w:rPr>
            </w:pPr>
          </w:p>
        </w:tc>
        <w:tc>
          <w:tcPr>
            <w:tcW w:w="1240" w:type="dxa"/>
            <w:vAlign w:val="bottom"/>
          </w:tcPr>
          <w:p>
            <w:pPr>
              <w:jc w:val="right"/>
              <w:ind w:right="593"/>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20" w:type="dxa"/>
            <w:vAlign w:val="bottom"/>
            <w:gridSpan w:val="2"/>
          </w:tcPr>
          <w:p>
            <w:pPr>
              <w:spacing w:after="0" w:line="176" w:lineRule="exact"/>
              <w:rPr>
                <w:sz w:val="20"/>
                <w:szCs w:val="20"/>
                <w:color w:val="auto"/>
              </w:rPr>
            </w:pPr>
            <w:r>
              <w:rPr>
                <w:rFonts w:ascii="Arial" w:cs="Arial" w:eastAsia="Arial" w:hAnsi="Arial"/>
                <w:sz w:val="18"/>
                <w:szCs w:val="18"/>
                <w:color w:val="auto"/>
              </w:rPr>
              <w:t>Numerator for basic and diluted earnings per common share - net income attributable to Wabtec</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133"/>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32"/>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4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 and non-vested restricted stock</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4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Numerator for basic earnings per common share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 common share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8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earnings per common share - weighted average shares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p>
      <w:pPr>
        <w:ind w:left="20"/>
        <w:spacing w:after="0"/>
        <w:rPr>
          <w:sz w:val="20"/>
          <w:szCs w:val="20"/>
          <w:color w:val="auto"/>
        </w:rPr>
      </w:pPr>
      <w:r>
        <w:rPr>
          <w:rFonts w:ascii="Arial" w:cs="Arial" w:eastAsia="Arial" w:hAnsi="Arial"/>
          <w:sz w:val="18"/>
          <w:szCs w:val="18"/>
          <w:color w:val="auto"/>
        </w:rPr>
        <w:t>Assumed conversion of dilutive stock-based compensation plans</w:t>
      </w:r>
    </w:p>
    <w:p>
      <w:pPr>
        <w:spacing w:after="0" w:line="22" w:lineRule="exact"/>
        <w:rPr>
          <w:sz w:val="20"/>
          <w:szCs w:val="20"/>
          <w:color w:val="auto"/>
        </w:rPr>
      </w:pPr>
    </w:p>
    <w:p>
      <w:pPr>
        <w:ind w:left="20" w:right="2280"/>
        <w:spacing w:after="0" w:line="234" w:lineRule="auto"/>
        <w:rPr>
          <w:sz w:val="20"/>
          <w:szCs w:val="20"/>
          <w:color w:val="auto"/>
        </w:rPr>
      </w:pPr>
      <w:r>
        <w:rPr>
          <w:rFonts w:ascii="Arial" w:cs="Arial" w:eastAsia="Arial" w:hAnsi="Arial"/>
          <w:sz w:val="18"/>
          <w:szCs w:val="18"/>
          <w:color w:val="auto"/>
        </w:rPr>
        <w:t>Denominator for diluted earnings per common share - adjusted weighted average shares and assumed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Net income attributable to Wabtec shareholders per common share</w:t>
      </w:r>
    </w:p>
    <w:p>
      <w:pPr>
        <w:spacing w:after="0" w:line="20" w:lineRule="exact"/>
        <w:rPr>
          <w:sz w:val="20"/>
          <w:szCs w:val="20"/>
          <w:color w:val="auto"/>
        </w:rPr>
      </w:pPr>
      <w:r>
        <w:rPr>
          <w:sz w:val="20"/>
          <w:szCs w:val="20"/>
          <w:color w:val="auto"/>
        </w:rPr>
        <w:br w:type="column"/>
      </w:r>
    </w:p>
    <w:p>
      <w:pPr>
        <w:jc w:val="right"/>
        <w:ind w:right="640"/>
        <w:spacing w:after="0"/>
        <w:rPr>
          <w:sz w:val="20"/>
          <w:szCs w:val="20"/>
          <w:color w:val="auto"/>
        </w:rPr>
      </w:pPr>
      <w:r>
        <w:rPr>
          <w:rFonts w:ascii="Arial" w:cs="Arial" w:eastAsia="Arial" w:hAnsi="Arial"/>
          <w:sz w:val="18"/>
          <w:szCs w:val="18"/>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13970</wp:posOffset>
            </wp:positionV>
            <wp:extent cx="1045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9" w:lineRule="exact"/>
        <w:rPr>
          <w:sz w:val="20"/>
          <w:szCs w:val="20"/>
          <w:color w:val="auto"/>
        </w:rPr>
      </w:pPr>
    </w:p>
    <w:p>
      <w:pPr>
        <w:jc w:val="right"/>
        <w:ind w:right="640"/>
        <w:spacing w:after="0"/>
        <w:rPr>
          <w:sz w:val="20"/>
          <w:szCs w:val="20"/>
          <w:color w:val="auto"/>
        </w:rPr>
      </w:pPr>
      <w:r>
        <w:rPr>
          <w:rFonts w:ascii="Arial" w:cs="Arial" w:eastAsia="Arial" w:hAnsi="Arial"/>
          <w:sz w:val="15"/>
          <w:szCs w:val="15"/>
          <w:color w:val="auto"/>
        </w:rPr>
        <w:t>188.9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36830</wp:posOffset>
            </wp:positionV>
            <wp:extent cx="10458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Arial" w:cs="Arial" w:eastAsia="Arial" w:hAnsi="Arial"/>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13970</wp:posOffset>
            </wp:positionV>
            <wp:extent cx="10458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9"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190.8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36830</wp:posOffset>
            </wp:positionV>
            <wp:extent cx="10458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3">
            <w:col w:w="8140" w:space="720"/>
            <w:col w:w="1040" w:space="720"/>
            <w:col w:w="620"/>
          </w:cols>
          <w:pgMar w:left="320" w:top="1129"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1.25</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1.04</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1.25</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r>
      <w:tr>
        <w:trPr>
          <w:trHeight w:val="270"/>
        </w:trPr>
        <w:tc>
          <w:tcPr>
            <w:tcW w:w="7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Basic weighted-average common shares outstanding</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188.5</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190.3</w:t>
            </w:r>
          </w:p>
        </w:tc>
      </w:tr>
      <w:tr>
        <w:trPr>
          <w:trHeight w:val="230"/>
        </w:trPr>
        <w:tc>
          <w:tcPr>
            <w:tcW w:w="7580" w:type="dxa"/>
            <w:vAlign w:val="bottom"/>
          </w:tcPr>
          <w:p>
            <w:pPr>
              <w:ind w:left="60"/>
              <w:spacing w:after="0"/>
              <w:rPr>
                <w:sz w:val="20"/>
                <w:szCs w:val="20"/>
                <w:color w:val="auto"/>
              </w:rPr>
            </w:pPr>
            <w:r>
              <w:rPr>
                <w:rFonts w:ascii="Arial" w:cs="Arial" w:eastAsia="Arial" w:hAnsi="Arial"/>
                <w:sz w:val="18"/>
                <w:szCs w:val="18"/>
                <w:color w:val="auto"/>
                <w:w w:val="92"/>
              </w:rPr>
              <w:t>Basic weighted-average common shares outstanding and non-vested restricted stock expected to vest</w:t>
            </w:r>
          </w:p>
        </w:tc>
        <w:tc>
          <w:tcPr>
            <w:tcW w:w="8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189.0</w:t>
            </w:r>
          </w:p>
        </w:tc>
        <w:tc>
          <w:tcPr>
            <w:tcW w:w="6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190.8</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allocated to common shareholders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99.7 %</w:t>
            </w:r>
          </w:p>
        </w:tc>
      </w:tr>
    </w:tbl>
    <w:p>
      <w:pPr>
        <w:spacing w:after="0" w:line="310" w:lineRule="exact"/>
        <w:rPr>
          <w:sz w:val="20"/>
          <w:szCs w:val="20"/>
          <w:color w:val="auto"/>
        </w:rPr>
      </w:pPr>
    </w:p>
    <w:p>
      <w:pPr>
        <w:ind w:right="120" w:firstLine="486"/>
        <w:spacing w:after="0" w:line="261" w:lineRule="auto"/>
        <w:rPr>
          <w:sz w:val="20"/>
          <w:szCs w:val="20"/>
          <w:color w:val="auto"/>
        </w:rPr>
      </w:pPr>
      <w:r>
        <w:rPr>
          <w:rFonts w:ascii="Arial" w:cs="Arial" w:eastAsia="Arial" w:hAnsi="Arial"/>
          <w:sz w:val="16"/>
          <w:szCs w:val="16"/>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 Approximately 0.2 million outstanding shares of Common Stock for the three and six month period of 2021 were not included in the computation of quarterly or year-to-date diluted earnings per share because their exercise price exceeded the average market price of the Company's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Pr>
          <w:p>
            <w:pPr>
              <w:spacing w:after="0"/>
              <w:rPr>
                <w:sz w:val="14"/>
                <w:szCs w:val="1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r>
      <w:tr>
        <w:trPr>
          <w:trHeight w:val="230"/>
        </w:trPr>
        <w:tc>
          <w:tcPr>
            <w:tcW w:w="5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5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29"/>
        </w:trPr>
        <w:tc>
          <w:tcPr>
            <w:tcW w:w="5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 and other</w:t>
            </w: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FINANCIAL INSTRUMENTS AND HEDGING</w:t>
      </w:r>
    </w:p>
    <w:p>
      <w:pPr>
        <w:spacing w:after="0" w:line="12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we are exposed to interest rate, commodity price and foreign currency exchange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fluctuations. At times, we mitigate these risk exposures through the use of derivatives such as cross-currency swaps, foreign currency forward contracts, interest rate swaps, commodity forwards and futures. In accordance with our policy, derivatives are only used for hedging purposes. We do not use derivatives for trading or speculative purposes.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Company uses forward contracts to mitigate its foreign currency exchange rate exposure due to forecasted sales of 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These contracts typically mature within two years. For the three and six months ended June 30, 2021 and 2020, the amounts reclassified into income were not material.</w:t>
      </w:r>
    </w:p>
    <w:p>
      <w:pPr>
        <w:spacing w:after="0" w:line="70"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Company has established revenue hedging, balance sheet risk management and net investment hedging programs to protect against volatility of future foreign currency cash flows and changes in fair value caused by volatility in foreign exchange rates. We conduct our business worldwide in U.S. dollars and the functional currencies of our foreign subsidiaries, including euro, Indian rupee, British pound sterling, Australian dollars and several other foreign currencies. Changes in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and net purchases and sales in non-functional currencies. We have certain foreign currency exchange rate risk management programs that use foreign currency forward contracts and cross-currency swaps. These forward contracts and cross-currency swaps are generally used to offset the potential income statement effects from intercompany loans denominated in non-functional currencies. These programs mitigate but do not entirely eliminate foreign currency exchange rate risk.</w:t>
      </w:r>
    </w:p>
    <w:p>
      <w:pPr>
        <w:spacing w:after="0" w:line="73"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(expense), net. The net loss related to these contracts was $1.5 million and $3.1 million for the three and six months ended June 30, 2021, respectively, and a net loss of $1.6 million and $0.4 million for the three and six months ended June 30, 2020, respectively. These contracts typically mature within one year.</w:t>
      </w:r>
    </w:p>
    <w:p>
      <w:pPr>
        <w:spacing w:after="0" w:line="68" w:lineRule="exact"/>
        <w:rPr>
          <w:sz w:val="20"/>
          <w:szCs w:val="20"/>
          <w:color w:val="auto"/>
        </w:rPr>
      </w:pPr>
    </w:p>
    <w:p>
      <w:pPr>
        <w:ind w:right="420" w:firstLine="486"/>
        <w:spacing w:after="0" w:line="274"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June 30, 2021:</w:t>
      </w: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6"/>
                <w:szCs w:val="16"/>
                <w:b w:val="1"/>
                <w:bCs w:val="1"/>
                <w:color w:val="auto"/>
              </w:rPr>
              <w:t>Fair Value</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Gross Notional Amount</w:t>
            </w:r>
          </w:p>
        </w:tc>
      </w:tr>
      <w:tr>
        <w:trPr>
          <w:trHeight w:val="172"/>
        </w:trPr>
        <w:tc>
          <w:tcPr>
            <w:tcW w:w="5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80" w:type="dxa"/>
            <w:vAlign w:val="bottom"/>
          </w:tcPr>
          <w:p>
            <w:pPr>
              <w:spacing w:after="0"/>
              <w:rPr>
                <w:sz w:val="14"/>
                <w:szCs w:val="14"/>
                <w:color w:val="auto"/>
              </w:rPr>
            </w:pPr>
          </w:p>
        </w:tc>
        <w:tc>
          <w:tcPr>
            <w:tcW w:w="1240" w:type="dxa"/>
            <w:vAlign w:val="bottom"/>
            <w:gridSpan w:val="2"/>
          </w:tcPr>
          <w:p>
            <w:pPr>
              <w:ind w:left="100"/>
              <w:spacing w:after="0" w:line="172" w:lineRule="exact"/>
              <w:rPr>
                <w:sz w:val="20"/>
                <w:szCs w:val="20"/>
                <w:color w:val="auto"/>
              </w:rPr>
            </w:pPr>
            <w:r>
              <w:rPr>
                <w:rFonts w:ascii="Arial" w:cs="Arial" w:eastAsia="Arial" w:hAnsi="Arial"/>
                <w:sz w:val="16"/>
                <w:szCs w:val="16"/>
                <w:b w:val="1"/>
                <w:bCs w:val="1"/>
                <w:color w:val="auto"/>
              </w:rPr>
              <w:t>Designated</w:t>
            </w:r>
          </w:p>
        </w:tc>
        <w:tc>
          <w:tcPr>
            <w:tcW w:w="1800" w:type="dxa"/>
            <w:vAlign w:val="bottom"/>
            <w:gridSpan w:val="2"/>
          </w:tcPr>
          <w:p>
            <w:pPr>
              <w:jc w:val="right"/>
              <w:ind w:right="10"/>
              <w:spacing w:after="0" w:line="172" w:lineRule="exact"/>
              <w:rPr>
                <w:sz w:val="20"/>
                <w:szCs w:val="20"/>
                <w:color w:val="auto"/>
              </w:rPr>
            </w:pPr>
            <w:r>
              <w:rPr>
                <w:rFonts w:ascii="Arial" w:cs="Arial" w:eastAsia="Arial" w:hAnsi="Arial"/>
                <w:sz w:val="16"/>
                <w:szCs w:val="16"/>
                <w:b w:val="1"/>
                <w:bCs w:val="1"/>
                <w:color w:val="auto"/>
              </w:rPr>
              <w:t>Non-Designated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Designated</w:t>
            </w:r>
          </w:p>
        </w:tc>
        <w:tc>
          <w:tcPr>
            <w:tcW w:w="600" w:type="dxa"/>
            <w:vAlign w:val="bottom"/>
          </w:tcPr>
          <w:p>
            <w:pPr>
              <w:spacing w:after="0"/>
              <w:rPr>
                <w:sz w:val="14"/>
                <w:szCs w:val="14"/>
                <w:color w:val="auto"/>
              </w:rPr>
            </w:pPr>
          </w:p>
        </w:tc>
        <w:tc>
          <w:tcPr>
            <w:tcW w:w="1260" w:type="dxa"/>
            <w:vAlign w:val="bottom"/>
          </w:tcPr>
          <w:p>
            <w:pPr>
              <w:jc w:val="right"/>
              <w:ind w:right="52"/>
              <w:spacing w:after="0" w:line="172" w:lineRule="exact"/>
              <w:rPr>
                <w:sz w:val="20"/>
                <w:szCs w:val="20"/>
                <w:color w:val="auto"/>
              </w:rPr>
            </w:pPr>
            <w:r>
              <w:rPr>
                <w:rFonts w:ascii="Arial" w:cs="Arial" w:eastAsia="Arial" w:hAnsi="Arial"/>
                <w:sz w:val="16"/>
                <w:szCs w:val="16"/>
                <w:b w:val="1"/>
                <w:bCs w:val="1"/>
                <w:color w:val="auto"/>
                <w:w w:val="89"/>
              </w:rPr>
              <w:t>Non-Designated</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Other current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674"/>
              <w:spacing w:after="0"/>
              <w:rPr>
                <w:sz w:val="20"/>
                <w:szCs w:val="20"/>
                <w:color w:val="auto"/>
              </w:rPr>
            </w:pPr>
            <w:r>
              <w:rPr>
                <w:rFonts w:ascii="Arial" w:cs="Arial" w:eastAsia="Arial" w:hAnsi="Arial"/>
                <w:sz w:val="18"/>
                <w:szCs w:val="18"/>
                <w:color w:val="auto"/>
                <w:w w:val="87"/>
              </w:rPr>
              <w:t>8.0</w:t>
            </w:r>
          </w:p>
        </w:tc>
        <w:tc>
          <w:tcPr>
            <w:tcW w:w="100" w:type="dxa"/>
            <w:vAlign w:val="bottom"/>
          </w:tcPr>
          <w:p>
            <w:pPr>
              <w:spacing w:after="0"/>
              <w:rPr>
                <w:sz w:val="19"/>
                <w:szCs w:val="19"/>
                <w:color w:val="auto"/>
              </w:rPr>
            </w:pPr>
          </w:p>
        </w:tc>
        <w:tc>
          <w:tcPr>
            <w:tcW w:w="104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324.5</w:t>
            </w:r>
          </w:p>
        </w:tc>
      </w:tr>
      <w:tr>
        <w:trPr>
          <w:trHeight w:val="230"/>
        </w:trPr>
        <w:tc>
          <w:tcPr>
            <w:tcW w:w="5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Cross-currency Swaps</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current liabilities</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7"/>
              </w:rPr>
              <w:t>(8.4)</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ind w:left="654"/>
              <w:spacing w:after="0"/>
              <w:rPr>
                <w:sz w:val="20"/>
                <w:szCs w:val="20"/>
                <w:color w:val="auto"/>
              </w:rPr>
            </w:pPr>
            <w:r>
              <w:rPr>
                <w:rFonts w:ascii="Arial" w:cs="Arial" w:eastAsia="Arial" w:hAnsi="Arial"/>
                <w:sz w:val="18"/>
                <w:szCs w:val="18"/>
                <w:color w:val="auto"/>
                <w:w w:val="97"/>
              </w:rPr>
              <w:t>(0.4)</w:t>
            </w: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0" w:firstLine="486"/>
        <w:spacing w:after="0" w:line="274"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 as of December 31, 2020:</w:t>
      </w: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Gross Notional Amount</w:t>
            </w:r>
          </w:p>
        </w:tc>
      </w:tr>
      <w:tr>
        <w:trPr>
          <w:trHeight w:val="172"/>
        </w:trPr>
        <w:tc>
          <w:tcPr>
            <w:tcW w:w="5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80" w:type="dxa"/>
            <w:vAlign w:val="bottom"/>
          </w:tcPr>
          <w:p>
            <w:pPr>
              <w:spacing w:after="0"/>
              <w:rPr>
                <w:sz w:val="14"/>
                <w:szCs w:val="14"/>
                <w:color w:val="auto"/>
              </w:rPr>
            </w:pPr>
          </w:p>
        </w:tc>
        <w:tc>
          <w:tcPr>
            <w:tcW w:w="1260" w:type="dxa"/>
            <w:vAlign w:val="bottom"/>
            <w:gridSpan w:val="2"/>
          </w:tcPr>
          <w:p>
            <w:pPr>
              <w:ind w:left="100"/>
              <w:spacing w:after="0" w:line="172" w:lineRule="exact"/>
              <w:rPr>
                <w:sz w:val="20"/>
                <w:szCs w:val="20"/>
                <w:color w:val="auto"/>
              </w:rPr>
            </w:pPr>
            <w:r>
              <w:rPr>
                <w:rFonts w:ascii="Arial" w:cs="Arial" w:eastAsia="Arial" w:hAnsi="Arial"/>
                <w:sz w:val="16"/>
                <w:szCs w:val="16"/>
                <w:b w:val="1"/>
                <w:bCs w:val="1"/>
                <w:color w:val="auto"/>
              </w:rPr>
              <w:t>Designated</w:t>
            </w:r>
          </w:p>
        </w:tc>
        <w:tc>
          <w:tcPr>
            <w:tcW w:w="580" w:type="dxa"/>
            <w:vAlign w:val="bottom"/>
          </w:tcPr>
          <w:p>
            <w:pPr>
              <w:spacing w:after="0"/>
              <w:rPr>
                <w:sz w:val="14"/>
                <w:szCs w:val="14"/>
                <w:color w:val="auto"/>
              </w:rPr>
            </w:pPr>
          </w:p>
        </w:tc>
        <w:tc>
          <w:tcPr>
            <w:tcW w:w="1220" w:type="dxa"/>
            <w:vAlign w:val="bottom"/>
          </w:tcPr>
          <w:p>
            <w:pPr>
              <w:jc w:val="right"/>
              <w:ind w:right="12"/>
              <w:spacing w:after="0" w:line="172" w:lineRule="exact"/>
              <w:rPr>
                <w:sz w:val="20"/>
                <w:szCs w:val="20"/>
                <w:color w:val="auto"/>
              </w:rPr>
            </w:pPr>
            <w:r>
              <w:rPr>
                <w:rFonts w:ascii="Arial" w:cs="Arial" w:eastAsia="Arial" w:hAnsi="Arial"/>
                <w:sz w:val="16"/>
                <w:szCs w:val="16"/>
                <w:b w:val="1"/>
                <w:bCs w:val="1"/>
                <w:color w:val="auto"/>
                <w:w w:val="89"/>
              </w:rPr>
              <w:t>Non-Designated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Designated</w:t>
            </w:r>
          </w:p>
        </w:tc>
        <w:tc>
          <w:tcPr>
            <w:tcW w:w="600" w:type="dxa"/>
            <w:vAlign w:val="bottom"/>
          </w:tcPr>
          <w:p>
            <w:pPr>
              <w:spacing w:after="0"/>
              <w:rPr>
                <w:sz w:val="14"/>
                <w:szCs w:val="14"/>
                <w:color w:val="auto"/>
              </w:rPr>
            </w:pPr>
          </w:p>
        </w:tc>
        <w:tc>
          <w:tcPr>
            <w:tcW w:w="1260" w:type="dxa"/>
            <w:vAlign w:val="bottom"/>
          </w:tcPr>
          <w:p>
            <w:pPr>
              <w:jc w:val="right"/>
              <w:ind w:right="52"/>
              <w:spacing w:after="0" w:line="172" w:lineRule="exact"/>
              <w:rPr>
                <w:sz w:val="20"/>
                <w:szCs w:val="20"/>
                <w:color w:val="auto"/>
              </w:rPr>
            </w:pPr>
            <w:r>
              <w:rPr>
                <w:rFonts w:ascii="Arial" w:cs="Arial" w:eastAsia="Arial" w:hAnsi="Arial"/>
                <w:sz w:val="16"/>
                <w:szCs w:val="16"/>
                <w:b w:val="1"/>
                <w:bCs w:val="1"/>
                <w:color w:val="auto"/>
                <w:w w:val="89"/>
              </w:rPr>
              <w:t>Non-Designated</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Other current assets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29"/>
        </w:trPr>
        <w:tc>
          <w:tcPr>
            <w:tcW w:w="5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60" w:firstLine="486"/>
        <w:spacing w:after="0" w:line="308" w:lineRule="auto"/>
        <w:rPr>
          <w:sz w:val="20"/>
          <w:szCs w:val="20"/>
          <w:color w:val="auto"/>
        </w:rPr>
      </w:pPr>
      <w:r>
        <w:rPr>
          <w:rFonts w:ascii="Arial" w:cs="Arial" w:eastAsia="Arial" w:hAnsi="Arial"/>
          <w:sz w:val="16"/>
          <w:szCs w:val="16"/>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w:t>
      </w:r>
    </w:p>
    <w:p>
      <w:pPr>
        <w:spacing w:after="0"/>
        <w:rPr>
          <w:sz w:val="20"/>
          <w:szCs w:val="20"/>
          <w:color w:val="auto"/>
        </w:rPr>
      </w:pPr>
      <w:r>
        <w:rPr>
          <w:rFonts w:ascii="Arial" w:cs="Arial" w:eastAsia="Arial" w:hAnsi="Arial"/>
          <w:sz w:val="16"/>
          <w:szCs w:val="16"/>
          <w:color w:val="auto"/>
        </w:rPr>
        <w:t>activities that would put principal capital at risk. For the six months ended June 30, 2021 and 2020 the amounts reclassified into income were not material.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The Company may use commodity forward contracts and futures to mitigate its exposure to commodity price changes and to reduce its overall cost of manufacturing. For the six months ended June 30, 2021 and 2020 the amounts recognized as income or expense were not material.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 AND FAIR VALUE OF FINANCIAL INSTRUMENTS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100" w:firstLine="486"/>
        <w:spacing w:after="0" w:line="274"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240" w:firstLine="486"/>
        <w:spacing w:after="0" w:line="269"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June 30, 2021 which are included in other current assets and liabilities on the consolidated balance sheet:</w:t>
      </w: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Fair Value Measurements at June 30, 2021 Using</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Total Carrying</w:t>
            </w:r>
          </w:p>
        </w:tc>
        <w:tc>
          <w:tcPr>
            <w:tcW w:w="1900" w:type="dxa"/>
            <w:vAlign w:val="bottom"/>
            <w:gridSpan w:val="3"/>
          </w:tcPr>
          <w:p>
            <w:pPr>
              <w:jc w:val="center"/>
              <w:ind w:left="284"/>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60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500" w:type="dxa"/>
            <w:vAlign w:val="bottom"/>
          </w:tcPr>
          <w:p>
            <w:pPr>
              <w:jc w:val="center"/>
              <w:ind w:left="704"/>
              <w:spacing w:after="0" w:line="135" w:lineRule="exact"/>
              <w:rPr>
                <w:sz w:val="20"/>
                <w:szCs w:val="20"/>
                <w:color w:val="auto"/>
              </w:rPr>
            </w:pPr>
            <w:r>
              <w:rPr>
                <w:rFonts w:ascii="Arial" w:cs="Arial" w:eastAsia="Arial" w:hAnsi="Arial"/>
                <w:sz w:val="14"/>
                <w:szCs w:val="14"/>
                <w:b w:val="1"/>
                <w:bCs w:val="1"/>
                <w:color w:val="auto"/>
                <w:w w:val="94"/>
              </w:rPr>
              <w:t>Significant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Value at</w:t>
            </w:r>
          </w:p>
        </w:tc>
        <w:tc>
          <w:tcPr>
            <w:tcW w:w="1500" w:type="dxa"/>
            <w:vAlign w:val="bottom"/>
          </w:tcPr>
          <w:p>
            <w:pPr>
              <w:jc w:val="center"/>
              <w:ind w:left="204"/>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500" w:type="dxa"/>
            <w:vAlign w:val="bottom"/>
          </w:tcPr>
          <w:p>
            <w:pPr>
              <w:jc w:val="center"/>
              <w:ind w:left="224"/>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500" w:type="dxa"/>
            <w:vAlign w:val="bottom"/>
          </w:tcPr>
          <w:p>
            <w:pPr>
              <w:jc w:val="center"/>
              <w:ind w:left="184"/>
              <w:spacing w:after="0"/>
              <w:rPr>
                <w:sz w:val="20"/>
                <w:szCs w:val="20"/>
                <w:color w:val="auto"/>
              </w:rPr>
            </w:pPr>
            <w:r>
              <w:rPr>
                <w:rFonts w:ascii="Arial" w:cs="Arial" w:eastAsia="Arial" w:hAnsi="Arial"/>
                <w:sz w:val="14"/>
                <w:szCs w:val="14"/>
                <w:b w:val="1"/>
                <w:bCs w:val="1"/>
                <w:color w:val="auto"/>
                <w:w w:val="90"/>
              </w:rPr>
              <w:t>Identical Assets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ind w:left="320"/>
              <w:spacing w:after="0"/>
              <w:rPr>
                <w:sz w:val="20"/>
                <w:szCs w:val="20"/>
                <w:color w:val="auto"/>
              </w:rPr>
            </w:pPr>
            <w:r>
              <w:rPr>
                <w:rFonts w:ascii="Arial" w:cs="Arial" w:eastAsia="Arial" w:hAnsi="Arial"/>
                <w:sz w:val="14"/>
                <w:szCs w:val="14"/>
                <w:b w:val="1"/>
                <w:bCs w:val="1"/>
                <w:color w:val="auto"/>
              </w:rPr>
              <w:t>Observable Inputs</w:t>
            </w:r>
          </w:p>
        </w:tc>
        <w:tc>
          <w:tcPr>
            <w:tcW w:w="15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1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3"/>
                <w:szCs w:val="13"/>
                <w:color w:val="auto"/>
              </w:rPr>
            </w:pPr>
          </w:p>
        </w:tc>
        <w:tc>
          <w:tcPr>
            <w:tcW w:w="1180" w:type="dxa"/>
            <w:vAlign w:val="bottom"/>
          </w:tcPr>
          <w:p>
            <w:pPr>
              <w:jc w:val="right"/>
              <w:ind w:right="440"/>
              <w:spacing w:after="0" w:line="158"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500" w:type="dxa"/>
            <w:vAlign w:val="bottom"/>
          </w:tcPr>
          <w:p>
            <w:pPr>
              <w:jc w:val="center"/>
              <w:ind w:left="684"/>
              <w:spacing w:after="0" w:line="158" w:lineRule="exact"/>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(Level 2)</w:t>
            </w:r>
          </w:p>
        </w:tc>
        <w:tc>
          <w:tcPr>
            <w:tcW w:w="1500" w:type="dxa"/>
            <w:vAlign w:val="bottom"/>
          </w:tcPr>
          <w:p>
            <w:pPr>
              <w:jc w:val="center"/>
              <w:ind w:left="684"/>
              <w:spacing w:after="0" w:line="158" w:lineRule="exact"/>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500" w:type="dxa"/>
            <w:vAlign w:val="bottom"/>
          </w:tcPr>
          <w:p>
            <w:pPr>
              <w:jc w:val="right"/>
              <w:ind w:right="844"/>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500" w:type="dxa"/>
            <w:vAlign w:val="bottom"/>
          </w:tcPr>
          <w:p>
            <w:pPr>
              <w:jc w:val="right"/>
              <w:ind w:right="844"/>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Cross-Currency Swap Agreement</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mitigates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79"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June 30, 2021 and December 31, 2020.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and includes $130.0 million classified as "Other accrued liabilities" on the Company's consolidated balance sheet and $219.2 million in long-term liabilities classified as "Contingent consideration" on the Company's consolidated balance sheet. The fair value approximates the carrying value at June 30,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Claims have been filed against the Company and certain of its affiliates in various jurisdictions across the United States by persons alleging bodily injury as a result of exposure to asbestos-containing products. Additionally, from time to time, the Company is involved in litigation related to claims arising out of the Company's operations in the ordinary course of business,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ind w:right="340"/>
        <w:spacing w:after="0" w:line="311" w:lineRule="auto"/>
        <w:rPr>
          <w:sz w:val="20"/>
          <w:szCs w:val="20"/>
          <w:color w:val="auto"/>
        </w:rPr>
      </w:pPr>
      <w:r>
        <w:rPr>
          <w:rFonts w:ascii="Arial" w:cs="Arial" w:eastAsia="Arial" w:hAnsi="Arial"/>
          <w:sz w:val="16"/>
          <w:szCs w:val="16"/>
          <w:color w:val="auto"/>
        </w:rPr>
        <w:t>including claims based on product liability, contracts, intellectual property or other causes of action. Further information and detail on these claims are described in the Company’s Annual Report on Form 10-K for the year ended December 31, 2020. During the first six months of 2021, there were no material changes to the information described in the Form 10-K related to claims arising from asbestos exposure or the Company's ordinary operations.</w:t>
      </w:r>
    </w:p>
    <w:p>
      <w:pPr>
        <w:spacing w:after="0" w:line="4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complaint generally supports Xorail’s position and does not name or implicate Xorail. DTC's claim against RTD proceeded to trial on September 21, 2020; the trial has been completed, included post-trial submission. A decision is expected by the end of 2021.</w:t>
      </w:r>
    </w:p>
    <w:p>
      <w:pPr>
        <w:spacing w:after="0" w:line="72"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As of the date hereof, the Company is involved in no litigation that the Company believes will have a material adverse effect on its financial condition,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72"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builds new locomotives, manufactures and services components for new and existing freight cars and locomotives,</w:t>
      </w:r>
      <w:r>
        <w:rPr>
          <w:rFonts w:ascii="Arial" w:cs="Arial" w:eastAsia="Arial" w:hAnsi="Arial"/>
          <w:sz w:val="18"/>
          <w:szCs w:val="18"/>
          <w:b w:val="1"/>
          <w:bCs w:val="1"/>
          <w:color w:val="auto"/>
        </w:rPr>
        <w:t xml:space="preserve"> </w:t>
      </w:r>
      <w:r>
        <w:rPr>
          <w:rFonts w:ascii="Arial" w:cs="Arial" w:eastAsia="Arial" w:hAnsi="Arial"/>
          <w:sz w:val="18"/>
          <w:szCs w:val="18"/>
          <w:color w:val="auto"/>
        </w:rPr>
        <w:t>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right="18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w:t>
      </w:r>
      <w:r>
        <w:rPr>
          <w:rFonts w:ascii="Arial" w:cs="Arial" w:eastAsia="Arial" w:hAnsi="Arial"/>
          <w:sz w:val="18"/>
          <w:szCs w:val="18"/>
          <w:b w:val="1"/>
          <w:bCs w:val="1"/>
          <w:color w:val="auto"/>
        </w:rPr>
        <w:t xml:space="preserve"> </w:t>
      </w:r>
      <w:r>
        <w:rPr>
          <w:rFonts w:ascii="Arial" w:cs="Arial" w:eastAsia="Arial" w:hAnsi="Arial"/>
          <w:sz w:val="18"/>
          <w:szCs w:val="18"/>
          <w:color w:val="auto"/>
        </w:rPr>
        <w:t>speed trains, subway cars, light-rail vehicles and buses, builds new commuter locomotives, refurbishes subway cars, provides heating, ventilation, and air conditioning equipment and doors for buses and subway cars. Customers include public transit authorities and municipalities, leasing companies and manufacturers of subway cars and buses around the world.</w:t>
      </w:r>
    </w:p>
    <w:p>
      <w:pPr>
        <w:spacing w:after="0" w:line="76"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color w:val="auto"/>
        </w:rPr>
        <w:t>Segment financial information for the three months ended June 30,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Freight</w:t>
            </w:r>
          </w:p>
        </w:tc>
        <w:tc>
          <w:tcPr>
            <w:tcW w:w="600" w:type="dxa"/>
            <w:vAlign w:val="bottom"/>
          </w:tcPr>
          <w:p>
            <w:pPr>
              <w:spacing w:after="0"/>
              <w:rPr>
                <w:sz w:val="16"/>
                <w:szCs w:val="16"/>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Transit</w:t>
            </w:r>
          </w:p>
        </w:tc>
        <w:tc>
          <w:tcPr>
            <w:tcW w:w="7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940" w:type="dxa"/>
            <w:vAlign w:val="bottom"/>
            <w:gridSpan w:val="3"/>
          </w:tcPr>
          <w:p>
            <w:pPr>
              <w:ind w:left="440"/>
              <w:spacing w:after="0" w:line="162" w:lineRule="exact"/>
              <w:rPr>
                <w:sz w:val="20"/>
                <w:szCs w:val="20"/>
                <w:color w:val="auto"/>
              </w:rPr>
            </w:pPr>
            <w:r>
              <w:rPr>
                <w:rFonts w:ascii="Arial" w:cs="Arial" w:eastAsia="Arial" w:hAnsi="Arial"/>
                <w:sz w:val="16"/>
                <w:szCs w:val="16"/>
                <w:b w:val="1"/>
                <w:bCs w:val="1"/>
                <w:color w:val="auto"/>
              </w:rPr>
              <w:t>Activities and</w:t>
            </w:r>
          </w:p>
        </w:tc>
        <w:tc>
          <w:tcPr>
            <w:tcW w:w="80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5"/>
                <w:szCs w:val="15"/>
                <w:color w:val="auto"/>
              </w:rPr>
            </w:pPr>
          </w:p>
        </w:tc>
        <w:tc>
          <w:tcPr>
            <w:tcW w:w="13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Segment</w:t>
            </w:r>
          </w:p>
        </w:tc>
        <w:tc>
          <w:tcPr>
            <w:tcW w:w="600" w:type="dxa"/>
            <w:vAlign w:val="bottom"/>
          </w:tcPr>
          <w:p>
            <w:pPr>
              <w:spacing w:after="0"/>
              <w:rPr>
                <w:sz w:val="15"/>
                <w:szCs w:val="15"/>
                <w:color w:val="auto"/>
              </w:rPr>
            </w:pPr>
          </w:p>
        </w:tc>
        <w:tc>
          <w:tcPr>
            <w:tcW w:w="13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Segment</w:t>
            </w:r>
          </w:p>
        </w:tc>
        <w:tc>
          <w:tcPr>
            <w:tcW w:w="1940" w:type="dxa"/>
            <w:vAlign w:val="bottom"/>
            <w:gridSpan w:val="3"/>
          </w:tcPr>
          <w:p>
            <w:pPr>
              <w:ind w:left="500"/>
              <w:spacing w:after="0" w:line="175" w:lineRule="exact"/>
              <w:rPr>
                <w:sz w:val="20"/>
                <w:szCs w:val="20"/>
                <w:color w:val="auto"/>
              </w:rPr>
            </w:pPr>
            <w:r>
              <w:rPr>
                <w:rFonts w:ascii="Arial" w:cs="Arial" w:eastAsia="Arial" w:hAnsi="Arial"/>
                <w:sz w:val="16"/>
                <w:szCs w:val="16"/>
                <w:b w:val="1"/>
                <w:bCs w:val="1"/>
                <w:color w:val="auto"/>
              </w:rPr>
              <w:t>Elimination</w:t>
            </w:r>
          </w:p>
        </w:tc>
        <w:tc>
          <w:tcPr>
            <w:tcW w:w="8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2,012.3</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sales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2,012.3</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173.2</w:t>
            </w:r>
          </w:p>
        </w:tc>
        <w:tc>
          <w:tcPr>
            <w:tcW w:w="1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45.3</w:t>
            </w:r>
          </w:p>
        </w:tc>
        <w:tc>
          <w:tcPr>
            <w:tcW w:w="100" w:type="dxa"/>
            <w:vAlign w:val="bottom"/>
          </w:tcPr>
          <w:p>
            <w:pPr>
              <w:spacing w:after="0"/>
              <w:rPr>
                <w:sz w:val="17"/>
                <w:szCs w:val="17"/>
                <w:color w:val="auto"/>
              </w:rPr>
            </w:pPr>
          </w:p>
        </w:tc>
        <w:tc>
          <w:tcPr>
            <w:tcW w:w="700" w:type="dxa"/>
            <w:vAlign w:val="bottom"/>
          </w:tcPr>
          <w:p>
            <w:pPr>
              <w:ind w:left="52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c>
          <w:tcPr>
            <w:tcW w:w="8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2940" w:type="dxa"/>
            <w:vAlign w:val="bottom"/>
            <w:gridSpan w:val="2"/>
          </w:tcPr>
          <w:p>
            <w:pPr>
              <w:ind w:left="480"/>
              <w:spacing w:after="0" w:line="156" w:lineRule="exact"/>
              <w:rPr>
                <w:sz w:val="20"/>
                <w:szCs w:val="20"/>
                <w:color w:val="auto"/>
              </w:rPr>
            </w:pPr>
            <w:r>
              <w:rPr>
                <w:rFonts w:ascii="Arial" w:cs="Arial" w:eastAsia="Arial" w:hAnsi="Arial"/>
                <w:sz w:val="18"/>
                <w:szCs w:val="18"/>
                <w:color w:val="auto"/>
              </w:rPr>
              <w:t>Income (loss) before income</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3"/>
                <w:szCs w:val="13"/>
                <w:color w:val="auto"/>
              </w:rPr>
            </w:pPr>
          </w:p>
        </w:tc>
        <w:tc>
          <w:tcPr>
            <w:tcW w:w="70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3"/>
                <w:szCs w:val="13"/>
                <w:color w:val="auto"/>
              </w:rPr>
            </w:pPr>
          </w:p>
        </w:tc>
        <w:tc>
          <w:tcPr>
            <w:tcW w:w="8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7"/>
        </w:trPr>
        <w:tc>
          <w:tcPr>
            <w:tcW w:w="520" w:type="dxa"/>
            <w:vAlign w:val="bottom"/>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rPr>
              <w:t>taxes</w:t>
            </w:r>
          </w:p>
        </w:tc>
        <w:tc>
          <w:tcPr>
            <w:tcW w:w="6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June 30, 2020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Freight</w:t>
            </w:r>
          </w:p>
        </w:tc>
        <w:tc>
          <w:tcPr>
            <w:tcW w:w="600" w:type="dxa"/>
            <w:vAlign w:val="bottom"/>
          </w:tcPr>
          <w:p>
            <w:pPr>
              <w:spacing w:after="0"/>
              <w:rPr>
                <w:sz w:val="16"/>
                <w:szCs w:val="16"/>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Transit</w:t>
            </w:r>
          </w:p>
        </w:tc>
        <w:tc>
          <w:tcPr>
            <w:tcW w:w="7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940" w:type="dxa"/>
            <w:vAlign w:val="bottom"/>
            <w:gridSpan w:val="3"/>
          </w:tcPr>
          <w:p>
            <w:pPr>
              <w:ind w:left="440"/>
              <w:spacing w:after="0" w:line="162" w:lineRule="exact"/>
              <w:rPr>
                <w:sz w:val="20"/>
                <w:szCs w:val="20"/>
                <w:color w:val="auto"/>
              </w:rPr>
            </w:pPr>
            <w:r>
              <w:rPr>
                <w:rFonts w:ascii="Arial" w:cs="Arial" w:eastAsia="Arial" w:hAnsi="Arial"/>
                <w:sz w:val="16"/>
                <w:szCs w:val="16"/>
                <w:b w:val="1"/>
                <w:bCs w:val="1"/>
                <w:color w:val="auto"/>
              </w:rPr>
              <w:t>Activities and</w:t>
            </w:r>
          </w:p>
        </w:tc>
        <w:tc>
          <w:tcPr>
            <w:tcW w:w="80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5"/>
                <w:szCs w:val="15"/>
                <w:color w:val="auto"/>
              </w:rPr>
            </w:pPr>
          </w:p>
        </w:tc>
        <w:tc>
          <w:tcPr>
            <w:tcW w:w="13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Segment</w:t>
            </w:r>
          </w:p>
        </w:tc>
        <w:tc>
          <w:tcPr>
            <w:tcW w:w="600" w:type="dxa"/>
            <w:vAlign w:val="bottom"/>
          </w:tcPr>
          <w:p>
            <w:pPr>
              <w:spacing w:after="0"/>
              <w:rPr>
                <w:sz w:val="15"/>
                <w:szCs w:val="15"/>
                <w:color w:val="auto"/>
              </w:rPr>
            </w:pPr>
          </w:p>
        </w:tc>
        <w:tc>
          <w:tcPr>
            <w:tcW w:w="13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Segment</w:t>
            </w:r>
          </w:p>
        </w:tc>
        <w:tc>
          <w:tcPr>
            <w:tcW w:w="1940" w:type="dxa"/>
            <w:vAlign w:val="bottom"/>
            <w:gridSpan w:val="3"/>
          </w:tcPr>
          <w:p>
            <w:pPr>
              <w:ind w:left="500"/>
              <w:spacing w:after="0" w:line="175" w:lineRule="exact"/>
              <w:rPr>
                <w:sz w:val="20"/>
                <w:szCs w:val="20"/>
                <w:color w:val="auto"/>
              </w:rPr>
            </w:pPr>
            <w:r>
              <w:rPr>
                <w:rFonts w:ascii="Arial" w:cs="Arial" w:eastAsia="Arial" w:hAnsi="Arial"/>
                <w:sz w:val="16"/>
                <w:szCs w:val="16"/>
                <w:b w:val="1"/>
                <w:bCs w:val="1"/>
                <w:color w:val="auto"/>
              </w:rPr>
              <w:t>Elimination</w:t>
            </w:r>
          </w:p>
        </w:tc>
        <w:tc>
          <w:tcPr>
            <w:tcW w:w="8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sales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141.5</w:t>
            </w:r>
          </w:p>
        </w:tc>
        <w:tc>
          <w:tcPr>
            <w:tcW w:w="1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40.2</w:t>
            </w:r>
          </w:p>
        </w:tc>
        <w:tc>
          <w:tcPr>
            <w:tcW w:w="100" w:type="dxa"/>
            <w:vAlign w:val="bottom"/>
          </w:tcPr>
          <w:p>
            <w:pPr>
              <w:spacing w:after="0"/>
              <w:rPr>
                <w:sz w:val="17"/>
                <w:szCs w:val="17"/>
                <w:color w:val="auto"/>
              </w:rPr>
            </w:pPr>
          </w:p>
        </w:tc>
        <w:tc>
          <w:tcPr>
            <w:tcW w:w="700" w:type="dxa"/>
            <w:vAlign w:val="bottom"/>
          </w:tcPr>
          <w:p>
            <w:pPr>
              <w:ind w:left="52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7"/>
                <w:szCs w:val="17"/>
                <w:color w:val="auto"/>
              </w:rPr>
            </w:pPr>
          </w:p>
        </w:tc>
        <w:tc>
          <w:tcPr>
            <w:tcW w:w="8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2940" w:type="dxa"/>
            <w:vAlign w:val="bottom"/>
            <w:gridSpan w:val="2"/>
          </w:tcPr>
          <w:p>
            <w:pPr>
              <w:ind w:left="480"/>
              <w:spacing w:after="0" w:line="156" w:lineRule="exact"/>
              <w:rPr>
                <w:sz w:val="20"/>
                <w:szCs w:val="20"/>
                <w:color w:val="auto"/>
              </w:rPr>
            </w:pPr>
            <w:r>
              <w:rPr>
                <w:rFonts w:ascii="Arial" w:cs="Arial" w:eastAsia="Arial" w:hAnsi="Arial"/>
                <w:sz w:val="18"/>
                <w:szCs w:val="18"/>
                <w:color w:val="auto"/>
              </w:rPr>
              <w:t>Income (loss) before income</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3"/>
                <w:szCs w:val="13"/>
                <w:color w:val="auto"/>
              </w:rPr>
            </w:pPr>
          </w:p>
        </w:tc>
        <w:tc>
          <w:tcPr>
            <w:tcW w:w="70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3"/>
                <w:szCs w:val="13"/>
                <w:color w:val="auto"/>
              </w:rPr>
            </w:pPr>
          </w:p>
        </w:tc>
        <w:tc>
          <w:tcPr>
            <w:tcW w:w="8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rPr>
              <w:t>taxes</w:t>
            </w:r>
          </w:p>
        </w:tc>
        <w:tc>
          <w:tcPr>
            <w:tcW w:w="6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six months ended June 30, 2021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5"/>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3"/>
              </w:rPr>
              <w:t>Transit</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Activities and</w:t>
            </w:r>
          </w:p>
        </w:tc>
        <w:tc>
          <w:tcPr>
            <w:tcW w:w="36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315.0</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115.4</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(35.5)</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six months ended June 30, 2020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5"/>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3"/>
              </w:rPr>
              <w:t>Transit</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Activities and</w:t>
            </w:r>
          </w:p>
        </w:tc>
        <w:tc>
          <w:tcPr>
            <w:tcW w:w="36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303.2</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108.8</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(35.3)</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ind w:left="500"/>
        <w:spacing w:after="0"/>
        <w:rPr>
          <w:sz w:val="20"/>
          <w:szCs w:val="20"/>
          <w:color w:val="auto"/>
        </w:rPr>
      </w:pPr>
      <w:r>
        <w:rPr>
          <w:rFonts w:ascii="Arial" w:cs="Arial" w:eastAsia="Arial" w:hAnsi="Arial"/>
          <w:sz w:val="18"/>
          <w:szCs w:val="18"/>
          <w:color w:val="auto"/>
        </w:rPr>
        <w:t>Sales to external customers by product line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4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 June 30,</w:t>
            </w:r>
          </w:p>
        </w:tc>
        <w:tc>
          <w:tcPr>
            <w:tcW w:w="800" w:type="dxa"/>
            <w:vAlign w:val="bottom"/>
          </w:tcPr>
          <w:p>
            <w:pPr>
              <w:spacing w:after="0"/>
              <w:rPr>
                <w:sz w:val="18"/>
                <w:szCs w:val="18"/>
                <w:color w:val="auto"/>
              </w:rPr>
            </w:pPr>
          </w:p>
        </w:tc>
        <w:tc>
          <w:tcPr>
            <w:tcW w:w="30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52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31"/>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1"/>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Segment</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Equipment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589.6</w:t>
            </w:r>
          </w:p>
        </w:tc>
        <w:tc>
          <w:tcPr>
            <w:tcW w:w="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742.9</w:t>
            </w:r>
          </w:p>
        </w:tc>
      </w:tr>
      <w:tr>
        <w:trPr>
          <w:trHeight w:val="229"/>
        </w:trPr>
        <w:tc>
          <w:tcPr>
            <w:tcW w:w="5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Components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r>
      <w:tr>
        <w:trPr>
          <w:trHeight w:val="230"/>
        </w:trPr>
        <w:tc>
          <w:tcPr>
            <w:tcW w:w="520" w:type="dxa"/>
            <w:vAlign w:val="bottom"/>
          </w:tcPr>
          <w:p>
            <w:pPr>
              <w:spacing w:after="0"/>
              <w:rPr>
                <w:sz w:val="19"/>
                <w:szCs w:val="19"/>
                <w:color w:val="auto"/>
              </w:rPr>
            </w:pP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Digital Electronics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29"/>
        </w:trPr>
        <w:tc>
          <w:tcPr>
            <w:tcW w:w="5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8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1,184.5</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1,007.8</w:t>
            </w:r>
          </w:p>
        </w:tc>
      </w:tr>
      <w:tr>
        <w:trPr>
          <w:trHeight w:val="223"/>
        </w:trPr>
        <w:tc>
          <w:tcPr>
            <w:tcW w:w="52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 Freight Segment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1,335.9</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2,519.2</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2,505.7</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0"/>
        </w:trPr>
        <w:tc>
          <w:tcPr>
            <w:tcW w:w="5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Original Equipment Manufacturer</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r>
      <w:tr>
        <w:trPr>
          <w:trHeight w:val="229"/>
        </w:trPr>
        <w:tc>
          <w:tcPr>
            <w:tcW w:w="52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Aftermarket</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Transit Segment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net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2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800" w:type="dxa"/>
            <w:vAlign w:val="bottom"/>
          </w:tcPr>
          <w:p>
            <w:pPr>
              <w:spacing w:after="0"/>
              <w:rPr>
                <w:sz w:val="18"/>
                <w:szCs w:val="18"/>
                <w:color w:val="auto"/>
              </w:rPr>
            </w:pPr>
          </w:p>
        </w:tc>
        <w:tc>
          <w:tcPr>
            <w:tcW w:w="298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3"/>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2"/>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3"/>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32"/>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gain (loss)</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center"/>
              <w:ind w:left="572"/>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Expected return on pension</w:t>
            </w:r>
          </w:p>
        </w:tc>
        <w:tc>
          <w:tcPr>
            <w:tcW w:w="7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ind w:left="572"/>
              <w:spacing w:after="0"/>
              <w:rPr>
                <w:sz w:val="20"/>
                <w:szCs w:val="20"/>
                <w:color w:val="auto"/>
              </w:rPr>
            </w:pPr>
            <w:r>
              <w:rPr>
                <w:rFonts w:ascii="Arial" w:cs="Arial" w:eastAsia="Arial" w:hAnsi="Arial"/>
                <w:sz w:val="18"/>
                <w:szCs w:val="18"/>
                <w:color w:val="auto"/>
                <w:w w:val="95"/>
              </w:rPr>
              <w:t>2.3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assets/amortization</w:t>
            </w:r>
          </w:p>
        </w:tc>
        <w:tc>
          <w:tcPr>
            <w:tcW w:w="7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Other miscellaneous income (expense)</w:t>
            </w: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5"/>
              </w:rPr>
              <w:t>2.3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w w:val="95"/>
              </w:rPr>
              <w:t>6.3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6" w:lineRule="exact"/>
        <w:rPr>
          <w:sz w:val="20"/>
          <w:szCs w:val="20"/>
          <w:color w:val="auto"/>
        </w:rPr>
      </w:pPr>
    </w:p>
    <w:p>
      <w:pPr>
        <w:ind w:right="20" w:firstLine="486"/>
        <w:spacing w:after="0" w:line="31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2020, filed with the Securities and Exchange Commission on February 19, 2021.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2021, approximately 59% of the Company’s revenues came from customers outside the United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right="160" w:firstLine="486"/>
        <w:spacing w:after="0" w:line="290" w:lineRule="auto"/>
        <w:rPr>
          <w:sz w:val="20"/>
          <w:szCs w:val="20"/>
          <w:color w:val="auto"/>
        </w:rPr>
      </w:pPr>
      <w:r>
        <w:rPr>
          <w:rFonts w:ascii="Arial" w:cs="Arial" w:eastAsia="Arial" w:hAnsi="Arial"/>
          <w:sz w:val="16"/>
          <w:szCs w:val="16"/>
          <w:color w:val="auto"/>
        </w:rPr>
        <w:t>The COVID-19 pandemic has continued to impact our sales channels, supply chain, manufacturing operations, workforce and other key aspects of our operations. The Company continues to monitor the situation and guidance from international and domestic authorities, including federal, state, and local public health authorities; however, there are numerous uncertainties, including the duration and severity of the pandemic, availability and effectiveness of vaccines, impact of variants of the disease, actions that may be taken by governmental authorities and private industry, including preventing or curtailing the operations of our plants, the potential impact on global economic activity, global supply chain operations, our employees, our customers, suppliers and end-markets and other consequences that could negatively impact our business. We also face the possibility that government policies may become more restrictive especially if COVID-19 transmission rates increase in certain areas. As a result of these numerous uncertainties, we are unable to specifically predict the extent and length of time the COVID-19 pandemic will negatively impact our business.</w:t>
      </w:r>
    </w:p>
    <w:p>
      <w:pPr>
        <w:spacing w:after="0" w:line="57"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The U.S. and other international governments have deemed rail transportation as “critical infrastructure” providing essential services during the COVID-19 pandemic. As a supplier and service provider for the global freight rail and passenger transit industries, Wabtec has an obligation to continue operations to support the safe and efficient operation of these industries; however, the COVID-19 pandemic had a materially adverse impact on our operations and business results for the six months ended June 30, 2021 and 2020 which is discussed in the Results of Operations section below. We continue to work with our employees, customers, and suppliers to navigate the impacts of COVID-19. We also continue to assess possible implications to our business, customers, supply chain and end-markets and to take actions in an effort to mitigate adverse consequences.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Wabtec’s long-term financial goals are to drive strong cash flow conversion, maintain a strong credit profile while minimizing our overall cost of capital, increase margins through strict attention to cost controls, drive improved efficiencies across the business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49"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increasing urbanization, a focus on sustainability and decarbonization, an aging equipment fleet and growth in global trade flows are expected to drive continued investment in freight and transit rail.</w:t>
      </w:r>
    </w:p>
    <w:p>
      <w:pPr>
        <w:spacing w:after="0" w:line="84" w:lineRule="exact"/>
        <w:rPr>
          <w:sz w:val="20"/>
          <w:szCs w:val="20"/>
          <w:color w:val="auto"/>
        </w:rPr>
      </w:pPr>
    </w:p>
    <w:p>
      <w:pPr>
        <w:jc w:val="both"/>
        <w:ind w:right="400" w:firstLine="486"/>
        <w:spacing w:after="0" w:line="263"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According to the 2020 bi-annual edition of a market study by UNIFE, the Association of the European Rail Industry, the accessible global market for railway products and services is more than $120 billion and is expected to grow at a compounded annual growth rate of 2.3% through 2025. As the long-term effects of COVID-19 are still uncertain, UNIFE included a second, less likely scenario in which the recovery is more moderate. This alternative scenario shows a compounded annual growth rate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line="287" w:lineRule="auto"/>
        <w:rPr>
          <w:sz w:val="20"/>
          <w:szCs w:val="20"/>
          <w:color w:val="auto"/>
        </w:rPr>
      </w:pPr>
      <w:r>
        <w:rPr>
          <w:rFonts w:ascii="Arial" w:cs="Arial" w:eastAsia="Arial" w:hAnsi="Arial"/>
          <w:sz w:val="16"/>
          <w:szCs w:val="16"/>
          <w:color w:val="auto"/>
        </w:rPr>
        <w:t>of 0.9% through 2025 for the total accessible market. The three largest geographic markets, which represented about 85% of the total accessible market, were Europe, North America and Asia Pacific. UNIFE projected above-average growth rates in Latin America, Eastern Europe, North America and Africa-Middle East, with the more mature markets of Western Europe, North America and Asia Pacific accounting for the largest share of absolute growth. UNIFE said trends such as urbanization, digitalization, legislative action and government support and an increased focus on energy and environmental issues continue to drive investment. The largest product segments of the market were rolling stock, services and infrastructure, which represent almost 90% of the accessible market. UNIFE projected spending growth in all product segments, with turnkey management projects, rolling stock and infrastructure to grow the fastest. UNIFE estimated that the global installed base of diesel and electric locomotives was about 118,200 units, with about 32% in Asia Pacific, about 25% in North America and about 18% in Russia-CIS (Commonwealth of Independent States). Wabtec estimates that about 3,000 new locomotives were delivered worldwide in 2020. UNIFE estimated the global installed base of freight cars was about 5.2 million, with about 35% in North America, about 24% in Russia-CIS and about 24% in Asia Pacific. Wabtec estimates that about 155,000 new freight cars were delivered worldwide in 2020. UNIFE estimated the global installed base of passenger transit vehicles to be about 620,000 units, with about 45% in Asia Pacific, about 31% in Europe and about 10% in Russia-CIS. Wabtec estimates that about 32,000 new passenger transit vehicles were ordered worldwide in 2020.</w:t>
      </w:r>
    </w:p>
    <w:p>
      <w:pPr>
        <w:spacing w:after="0" w:line="60"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In Europe, the majority of the rail system serves the passenger transit market, which is expected to continue growing as energy and environmental policies encourage continued investment in public mass transit and modal shift from car to rail, albeit this growth may be stunted in the near-term as a result of the COVID-19 pandemic. According to UNIFE, Germany, France and the United Kingdom were the largest Western European transit markets, representing about two-thirds of industry spending in the European Union. UNIFE projected the accessible Western European rail market to grow at about 2.0% annually, led by investments in new rolling stock in France and Germany. About 75% of freight traffic in Europe is hauled by truck, while rail accounts for about 19%.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57"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600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 Demand for both our freight and passenger transit products and services in North America has been negatively impacted by the COVID-19 pandemic.</w:t>
      </w:r>
    </w:p>
    <w:p>
      <w:pPr>
        <w:spacing w:after="0" w:line="78"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Growth in the Asia Pacific market has been driven mainly by the continued urbanization of China and India, and by continued investments in freight rail rolling stock and infrastructure in Australia to serve its mining and natural resources markets. India is making significant investments in rolling stock and infrastructure to modernize its rail system; for example, Wabtec is delivering on a 1,000-locomotive contract over 10-years with Indian Railways.</w:t>
      </w:r>
    </w:p>
    <w:p>
      <w:pPr>
        <w:spacing w:after="0" w:line="4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Other key geographic markets include Russia-CIS and Africa-Middle East. With about 1.3 million freight cars and about 21,000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It is currently uncertain as to how the COVID-19 pandemic will impact the expected growth in these emerging markets especially in the near-term. As this growth occurs, Wabtec expects to have additional opportunities to provide products and services in these markets.</w:t>
      </w:r>
    </w:p>
    <w:p>
      <w:pPr>
        <w:spacing w:after="0" w:line="56"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In its study, UNIFE also said it expected increased investment in digitalization, automation, and predictive maintenance through artificial intelligence, all of which would improve efficiency in the global rail industry. UNIFE said these trends will increase the overall attractiveness of the rail sector as these trends will lead to significant cost savings, allowing rail to be more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ind w:right="300"/>
        <w:spacing w:after="0" w:line="277" w:lineRule="auto"/>
        <w:rPr>
          <w:sz w:val="20"/>
          <w:szCs w:val="20"/>
          <w:color w:val="auto"/>
        </w:rPr>
      </w:pPr>
      <w:r>
        <w:rPr>
          <w:rFonts w:ascii="Arial" w:cs="Arial" w:eastAsia="Arial" w:hAnsi="Arial"/>
          <w:sz w:val="18"/>
          <w:szCs w:val="18"/>
          <w:color w:val="auto"/>
        </w:rPr>
        <w:t>competitive in comparison to other modes of transportation. Wabtec offers products and services to help customers make ongoing investments in these initiatives.</w:t>
      </w:r>
    </w:p>
    <w:p>
      <w:pPr>
        <w:spacing w:after="0" w:line="6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2021 and beyond, general global economic and market conditions will have an impact on our sales and operations. The COVID-19 pandemic has increased the uncertainty around global economic and market conditions.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growth strategy including the level of investment that customers are willing to make in new technologies developed by the industry and the Company, and risks inherent in global expansion. When necessary, we will modify our financial and operating strategies to address changes in market conditions and risks.</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3"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COMPARED TO SECOND QUARTER 2020</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50"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Three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0" w:type="dxa"/>
            <w:vAlign w:val="bottom"/>
          </w:tcPr>
          <w:p>
            <w:pPr>
              <w:spacing w:after="0"/>
              <w:rPr>
                <w:sz w:val="12"/>
                <w:szCs w:val="12"/>
                <w:color w:val="auto"/>
              </w:rPr>
            </w:pPr>
          </w:p>
        </w:tc>
        <w:tc>
          <w:tcPr>
            <w:tcW w:w="6660" w:type="dxa"/>
            <w:vAlign w:val="bottom"/>
            <w:gridSpan w:val="2"/>
          </w:tcPr>
          <w:p>
            <w:pPr>
              <w:spacing w:after="0" w:line="148" w:lineRule="exact"/>
              <w:rPr>
                <w:sz w:val="20"/>
                <w:szCs w:val="20"/>
                <w:color w:val="auto"/>
              </w:rPr>
            </w:pPr>
            <w:r>
              <w:rPr>
                <w:rFonts w:ascii="Arial" w:cs="Arial" w:eastAsia="Arial" w:hAnsi="Arial"/>
                <w:sz w:val="13"/>
                <w:szCs w:val="13"/>
                <w:b w:val="1"/>
                <w:bCs w:val="1"/>
                <w:i w:val="1"/>
                <w:iCs w:val="1"/>
                <w:color w:val="auto"/>
              </w:rPr>
              <w:t>In millions</w:t>
            </w:r>
          </w:p>
        </w:tc>
        <w:tc>
          <w:tcPr>
            <w:tcW w:w="8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11"/>
              <w:spacing w:after="0" w:line="148"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11"/>
              <w:spacing w:after="0" w:line="148" w:lineRule="exact"/>
              <w:rPr>
                <w:sz w:val="20"/>
                <w:szCs w:val="20"/>
                <w:color w:val="auto"/>
              </w:rPr>
            </w:pPr>
            <w:r>
              <w:rPr>
                <w:rFonts w:ascii="Arial" w:cs="Arial" w:eastAsia="Arial" w:hAnsi="Arial"/>
                <w:sz w:val="14"/>
                <w:szCs w:val="14"/>
                <w:b w:val="1"/>
                <w:bCs w:val="1"/>
                <w:color w:val="auto"/>
              </w:rPr>
              <w:t>2020</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Sales of goods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1,588.0</w:t>
            </w:r>
          </w:p>
        </w:tc>
        <w:tc>
          <w:tcPr>
            <w:tcW w:w="10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1,406.1</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r>
      <w:tr>
        <w:trPr>
          <w:trHeight w:val="223"/>
        </w:trPr>
        <w:tc>
          <w:tcPr>
            <w:tcW w:w="520" w:type="dxa"/>
            <w:vAlign w:val="bottom"/>
          </w:tcPr>
          <w:p>
            <w:pPr>
              <w:spacing w:after="0"/>
              <w:rPr>
                <w:sz w:val="19"/>
                <w:szCs w:val="19"/>
                <w:color w:val="auto"/>
              </w:rPr>
            </w:pPr>
          </w:p>
        </w:tc>
        <w:tc>
          <w:tcPr>
            <w:tcW w:w="6660" w:type="dxa"/>
            <w:vAlign w:val="bottom"/>
            <w:gridSpan w:val="2"/>
          </w:tcPr>
          <w:p>
            <w:pPr>
              <w:ind w:left="320"/>
              <w:spacing w:after="0"/>
              <w:rPr>
                <w:sz w:val="20"/>
                <w:szCs w:val="20"/>
                <w:color w:val="auto"/>
              </w:rPr>
            </w:pPr>
            <w:r>
              <w:rPr>
                <w:rFonts w:ascii="Arial" w:cs="Arial" w:eastAsia="Arial" w:hAnsi="Arial"/>
                <w:sz w:val="18"/>
                <w:szCs w:val="18"/>
                <w:color w:val="auto"/>
              </w:rPr>
              <w:t>Total net sales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2,012.3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1,737.4</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Cost of goods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(1,185.0)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(1,061.3)</w:t>
            </w:r>
          </w:p>
        </w:tc>
      </w:tr>
      <w:tr>
        <w:trPr>
          <w:trHeight w:val="230"/>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23"/>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cost of sales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(1,250.7)</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r>
      <w:tr>
        <w:trPr>
          <w:trHeight w:val="229"/>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r>
      <w:tr>
        <w:trPr>
          <w:trHeight w:val="229"/>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Engineering expenses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expense</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r>
      <w:tr>
        <w:trPr>
          <w:trHeight w:val="229"/>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income, net</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29"/>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9"/>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Net (income) loss attributable to noncontrolling interest</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firstLine="486"/>
        <w:spacing w:after="0" w:line="269" w:lineRule="auto"/>
        <w:rPr>
          <w:sz w:val="20"/>
          <w:szCs w:val="20"/>
          <w:color w:val="auto"/>
        </w:rPr>
      </w:pPr>
      <w:r>
        <w:rPr>
          <w:rFonts w:ascii="Arial" w:cs="Arial" w:eastAsia="Arial" w:hAnsi="Arial"/>
          <w:sz w:val="18"/>
          <w:szCs w:val="18"/>
          <w:color w:val="auto"/>
        </w:rPr>
        <w:t>The following table shows the major components of the change in sales in the three months ended June 30, 2021 from the three months ended June 30, 2020:</w:t>
      </w:r>
    </w:p>
    <w:tbl>
      <w:tblPr>
        <w:tblLayout w:type="fixed"/>
        <w:tblInd w:w="0" w:type="dxa"/>
        <w:tblCellMar>
          <w:top w:w="0" w:type="dxa"/>
          <w:left w:w="0" w:type="dxa"/>
          <w:bottom w:w="0" w:type="dxa"/>
          <w:right w:w="0" w:type="dxa"/>
        </w:tblCellMar>
      </w:tblPr>
      <w:tr>
        <w:trPr>
          <w:trHeight w:val="158"/>
        </w:trPr>
        <w:tc>
          <w:tcPr>
            <w:tcW w:w="520" w:type="dxa"/>
            <w:vAlign w:val="bottom"/>
          </w:tcPr>
          <w:p>
            <w:pPr>
              <w:spacing w:after="0"/>
              <w:rPr>
                <w:sz w:val="13"/>
                <w:szCs w:val="13"/>
                <w:color w:val="auto"/>
              </w:rPr>
            </w:pPr>
          </w:p>
        </w:tc>
        <w:tc>
          <w:tcPr>
            <w:tcW w:w="472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Pr>
          <w:p>
            <w:pPr>
              <w:spacing w:after="0"/>
              <w:rPr>
                <w:sz w:val="13"/>
                <w:szCs w:val="13"/>
                <w:color w:val="auto"/>
              </w:rPr>
            </w:pPr>
          </w:p>
        </w:tc>
        <w:tc>
          <w:tcPr>
            <w:tcW w:w="14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Freight Segment</w:t>
            </w:r>
          </w:p>
        </w:tc>
        <w:tc>
          <w:tcPr>
            <w:tcW w:w="640" w:type="dxa"/>
            <w:vAlign w:val="bottom"/>
          </w:tcPr>
          <w:p>
            <w:pPr>
              <w:spacing w:after="0"/>
              <w:rPr>
                <w:sz w:val="13"/>
                <w:szCs w:val="13"/>
                <w:color w:val="auto"/>
              </w:rPr>
            </w:pPr>
          </w:p>
        </w:tc>
        <w:tc>
          <w:tcPr>
            <w:tcW w:w="13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Transit Segment</w:t>
            </w:r>
          </w:p>
        </w:tc>
        <w:tc>
          <w:tcPr>
            <w:tcW w:w="820" w:type="dxa"/>
            <w:vAlign w:val="bottom"/>
          </w:tcPr>
          <w:p>
            <w:pPr>
              <w:spacing w:after="0"/>
              <w:rPr>
                <w:sz w:val="13"/>
                <w:szCs w:val="13"/>
                <w:color w:val="auto"/>
              </w:rPr>
            </w:pPr>
          </w:p>
        </w:tc>
        <w:tc>
          <w:tcPr>
            <w:tcW w:w="1120" w:type="dxa"/>
            <w:vAlign w:val="bottom"/>
          </w:tcPr>
          <w:p>
            <w:pPr>
              <w:jc w:val="right"/>
              <w:ind w:right="493"/>
              <w:spacing w:after="0" w:line="158" w:lineRule="exact"/>
              <w:rPr>
                <w:sz w:val="20"/>
                <w:szCs w:val="20"/>
                <w:color w:val="auto"/>
              </w:rPr>
            </w:pPr>
            <w:r>
              <w:rPr>
                <w:rFonts w:ascii="Arial" w:cs="Arial" w:eastAsia="Arial" w:hAnsi="Arial"/>
                <w:sz w:val="14"/>
                <w:szCs w:val="14"/>
                <w:b w:val="1"/>
                <w:bCs w:val="1"/>
                <w:color w:val="auto"/>
              </w:rPr>
              <w:t>Total</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2020 Net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w:t>
            </w:r>
          </w:p>
        </w:tc>
      </w:tr>
      <w:tr>
        <w:trPr>
          <w:trHeight w:val="230"/>
        </w:trPr>
        <w:tc>
          <w:tcPr>
            <w:tcW w:w="520" w:type="dxa"/>
            <w:vAlign w:val="bottom"/>
          </w:tcPr>
          <w:p>
            <w:pPr>
              <w:spacing w:after="0"/>
              <w:rPr>
                <w:sz w:val="19"/>
                <w:szCs w:val="19"/>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5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5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Organic</w:t>
            </w: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 2021 Net Sales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2,012.3</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Net sales for the three months ended June 30, 2021 increased by $275 million, or 15.8%, to $2.0 billion compared to the same period in 2020. The increase is primarily due to an organic increase of $81 million in the Transit Segment, due to higher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ind w:right="540"/>
        <w:spacing w:after="0" w:line="277" w:lineRule="auto"/>
        <w:rPr>
          <w:sz w:val="20"/>
          <w:szCs w:val="20"/>
          <w:color w:val="auto"/>
        </w:rPr>
      </w:pPr>
      <w:r>
        <w:rPr>
          <w:rFonts w:ascii="Arial" w:cs="Arial" w:eastAsia="Arial" w:hAnsi="Arial"/>
          <w:sz w:val="18"/>
          <w:szCs w:val="18"/>
          <w:color w:val="auto"/>
        </w:rPr>
        <w:t>demand for original equipment door, HVAC, and brakes systems. Additionally, organic sales in the Freight Segment increased $73 million due to an increase in Services and Components, partially offset by lower Equipment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Cost of sales for the three months ended June 30, 2021 increased by $182 million, or 14.5%, to $1.4 billion compared to the same period in 2020. The increase is primarily due to the sales increases discussed above. Cost of sales for the three months ended June 30, 2021 includes $21 million of restructuring costs, primarily for footprint rationalization in the UK and as part of the ongoing integration actions related to the GE Transportation acquisition. Cost of sales in the three months ended June 30, 2020 included $17 million of restructuring costs, primarily for the exit of certain product lines, footprint rationalization, and related headcount actions as part of the GE Transportation acquisition integration. Excluding these charges in both years, cost of sales as a percentage of sales was 70.1% in 2021 and 71.0% in 2020, representing a 0.9 percentage point decrease. The decrease can be attributed to improved absorption of overhead costs, product mix in Freight towards higher margin Services sales and by lessening disruption caused by the COVID-19 pandemic in the current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Total operating expenses increased $50 million, or 15.1%, for the three months ended June 30, 2021 to 18.7% of sales. Restructuring and transaction costs included in selling, general, and administrative expense ("SG&amp;A") were $9 million and $13 million for the three months ended June 30, 2021 and 2020, respectively, and were primarily for footprint rationalization and related headcount actions as part of the ongoing integration actions related to the GE Transportation acquisition. Excluding restructuring and transaction costs, SG&amp;A increased $50 million primarily to support the increased sales volumes and higher employee benefit costs and includes $4 million of incremental expense from the acquisition of Nordco. Engineering expense increased $4 million and amortization expense remained flat.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Interest expense, net, decreased $7 million for the three months ended June 30, 2021 compared to the same period in 2020 attributable to lower overall average debt balances and lower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Other income (expense), net, was $10 million of income for the three months ended June 30, 2021 compared to $6 million of income in the same period of 2020. The variance is primarily driven by foreign exchange gains in the current year and an increase in income from equity method investments.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effective income tax rate was 25.8% and 24.9% for the three months ended June 30, 2021 and 2020, respectively. The increase in the effective tax rate is primarily the result of withholding tax expense on intercompany dividends incurred in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840"/>
              <w:spacing w:after="0"/>
              <w:rPr>
                <w:sz w:val="20"/>
                <w:szCs w:val="20"/>
                <w:color w:val="auto"/>
              </w:rPr>
            </w:pPr>
            <w:r>
              <w:rPr>
                <w:rFonts w:ascii="Arial" w:cs="Arial" w:eastAsia="Arial" w:hAnsi="Arial"/>
                <w:sz w:val="16"/>
                <w:szCs w:val="16"/>
                <w:b w:val="1"/>
                <w:bCs w:val="1"/>
                <w:color w:val="auto"/>
                <w:w w:val="92"/>
              </w:rPr>
              <w:t>Three Months Ended June 30,</w:t>
            </w: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r>
      <w:tr>
        <w:trPr>
          <w:trHeight w:val="172"/>
        </w:trPr>
        <w:tc>
          <w:tcPr>
            <w:tcW w:w="5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Pr>
          <w:p>
            <w:pPr>
              <w:spacing w:after="0"/>
              <w:rPr>
                <w:sz w:val="14"/>
                <w:szCs w:val="14"/>
                <w:color w:val="auto"/>
              </w:rPr>
            </w:pPr>
          </w:p>
        </w:tc>
        <w:tc>
          <w:tcPr>
            <w:tcW w:w="940" w:type="dxa"/>
            <w:vAlign w:val="bottom"/>
          </w:tcPr>
          <w:p>
            <w:pPr>
              <w:ind w:left="400"/>
              <w:spacing w:after="0" w:line="172" w:lineRule="exact"/>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ind w:left="80"/>
              <w:spacing w:after="0" w:line="172" w:lineRule="exact"/>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4"/>
                <w:szCs w:val="14"/>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Sales of goods</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917.9</w:t>
            </w:r>
          </w:p>
        </w:tc>
        <w:tc>
          <w:tcPr>
            <w:tcW w:w="440" w:type="dxa"/>
            <w:vAlign w:val="bottom"/>
          </w:tcPr>
          <w:p>
            <w:pPr>
              <w:spacing w:after="0"/>
              <w:rPr>
                <w:sz w:val="19"/>
                <w:szCs w:val="19"/>
                <w:color w:val="auto"/>
              </w:rPr>
            </w:pPr>
          </w:p>
        </w:tc>
        <w:tc>
          <w:tcPr>
            <w:tcW w:w="15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880.7</w:t>
            </w:r>
          </w:p>
        </w:tc>
        <w:tc>
          <w:tcPr>
            <w:tcW w:w="42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services</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4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324.0</w:t>
            </w:r>
          </w:p>
        </w:tc>
        <w:tc>
          <w:tcPr>
            <w:tcW w:w="420" w:type="dxa"/>
            <w:vAlign w:val="bottom"/>
            <w:tcBorders>
              <w:bottom w:val="single" w:sz="8" w:color="auto"/>
            </w:tcBorders>
            <w:shd w:val="clear" w:color="auto" w:fill="CCEEFF"/>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5560" w:type="dxa"/>
            <w:vAlign w:val="bottom"/>
            <w:gridSpan w:val="2"/>
          </w:tcPr>
          <w:p>
            <w:pPr>
              <w:ind w:left="320"/>
              <w:spacing w:after="0"/>
              <w:rPr>
                <w:sz w:val="20"/>
                <w:szCs w:val="20"/>
                <w:color w:val="auto"/>
              </w:rPr>
            </w:pPr>
            <w:r>
              <w:rPr>
                <w:rFonts w:ascii="Arial" w:cs="Arial" w:eastAsia="Arial" w:hAnsi="Arial"/>
                <w:sz w:val="18"/>
                <w:szCs w:val="18"/>
                <w:color w:val="auto"/>
              </w:rPr>
              <w:t>Total net sales</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1,335.9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w w:val="89"/>
              </w:rPr>
              <w:t>1,204.7</w:t>
            </w:r>
          </w:p>
        </w:tc>
        <w:tc>
          <w:tcPr>
            <w:tcW w:w="42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Cost of goods</w:t>
            </w:r>
          </w:p>
        </w:tc>
        <w:tc>
          <w:tcPr>
            <w:tcW w:w="940" w:type="dxa"/>
            <w:vAlign w:val="bottom"/>
          </w:tcPr>
          <w:p>
            <w:pPr>
              <w:spacing w:after="0"/>
              <w:rPr>
                <w:sz w:val="19"/>
                <w:szCs w:val="19"/>
                <w:color w:val="auto"/>
              </w:rPr>
            </w:pPr>
          </w:p>
        </w:tc>
        <w:tc>
          <w:tcPr>
            <w:tcW w:w="940" w:type="dxa"/>
            <w:vAlign w:val="bottom"/>
          </w:tcPr>
          <w:p>
            <w:pPr>
              <w:ind w:left="400"/>
              <w:spacing w:after="0"/>
              <w:rPr>
                <w:sz w:val="20"/>
                <w:szCs w:val="20"/>
                <w:color w:val="auto"/>
              </w:rPr>
            </w:pPr>
            <w:r>
              <w:rPr>
                <w:rFonts w:ascii="Arial" w:cs="Arial" w:eastAsia="Arial" w:hAnsi="Arial"/>
                <w:sz w:val="18"/>
                <w:szCs w:val="18"/>
                <w:color w:val="auto"/>
                <w:w w:val="91"/>
              </w:rPr>
              <w:t>(680.2)</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auto"/>
              </w:rPr>
              <w:t>(668.5)</w:t>
            </w:r>
          </w:p>
        </w:tc>
        <w:tc>
          <w:tcPr>
            <w:tcW w:w="42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1"/>
              </w:rPr>
              <w:t>(242.2)</w:t>
            </w:r>
          </w:p>
        </w:tc>
        <w:tc>
          <w:tcPr>
            <w:tcW w:w="4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(183.5)</w:t>
            </w:r>
          </w:p>
        </w:tc>
        <w:tc>
          <w:tcPr>
            <w:tcW w:w="420" w:type="dxa"/>
            <w:vAlign w:val="bottom"/>
            <w:tcBorders>
              <w:bottom w:val="single" w:sz="8" w:color="auto"/>
            </w:tcBorders>
            <w:shd w:val="clear" w:color="auto" w:fill="CCEEFF"/>
          </w:tcPr>
          <w:p>
            <w:pPr>
              <w:spacing w:after="0"/>
              <w:rPr>
                <w:sz w:val="19"/>
                <w:szCs w:val="19"/>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cost of sales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1"/>
              </w:rPr>
              <w:t>(922.4)</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(852.0)</w:t>
            </w:r>
          </w:p>
        </w:tc>
        <w:tc>
          <w:tcPr>
            <w:tcW w:w="420" w:type="dxa"/>
            <w:vAlign w:val="bottom"/>
            <w:tcBorders>
              <w:bottom w:val="single" w:sz="8" w:color="auto"/>
            </w:tcBorders>
          </w:tcPr>
          <w:p>
            <w:pPr>
              <w:spacing w:after="0"/>
              <w:rPr>
                <w:sz w:val="19"/>
                <w:szCs w:val="19"/>
                <w:color w:val="auto"/>
              </w:rPr>
            </w:pPr>
          </w:p>
        </w:tc>
      </w:tr>
      <w:tr>
        <w:trPr>
          <w:trHeight w:val="88"/>
        </w:trPr>
        <w:tc>
          <w:tcPr>
            <w:tcW w:w="5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9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r>
      <w:tr>
        <w:trPr>
          <w:trHeight w:val="229"/>
        </w:trPr>
        <w:tc>
          <w:tcPr>
            <w:tcW w:w="5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352.7</w:t>
            </w:r>
          </w:p>
        </w:tc>
        <w:tc>
          <w:tcPr>
            <w:tcW w:w="420" w:type="dxa"/>
            <w:vAlign w:val="bottom"/>
          </w:tcPr>
          <w:p>
            <w:pPr>
              <w:spacing w:after="0"/>
              <w:rPr>
                <w:sz w:val="19"/>
                <w:szCs w:val="19"/>
                <w:color w:val="auto"/>
              </w:rPr>
            </w:pPr>
          </w:p>
        </w:tc>
      </w:tr>
      <w:tr>
        <w:trPr>
          <w:trHeight w:val="108"/>
        </w:trPr>
        <w:tc>
          <w:tcPr>
            <w:tcW w:w="5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9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1"/>
              </w:rPr>
              <w:t>(240.3)</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(211.2)</w:t>
            </w:r>
          </w:p>
        </w:tc>
        <w:tc>
          <w:tcPr>
            <w:tcW w:w="420" w:type="dxa"/>
            <w:vAlign w:val="bottom"/>
            <w:tcBorders>
              <w:bottom w:val="single" w:sz="8" w:color="auto"/>
            </w:tcBorders>
          </w:tcPr>
          <w:p>
            <w:pPr>
              <w:spacing w:after="0"/>
              <w:rPr>
                <w:sz w:val="19"/>
                <w:szCs w:val="19"/>
                <w:color w:val="auto"/>
              </w:rPr>
            </w:pPr>
          </w:p>
        </w:tc>
      </w:tr>
      <w:tr>
        <w:trPr>
          <w:trHeight w:val="88"/>
        </w:trPr>
        <w:tc>
          <w:tcPr>
            <w:tcW w:w="5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9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r>
      <w:tr>
        <w:trPr>
          <w:trHeight w:val="229"/>
        </w:trPr>
        <w:tc>
          <w:tcPr>
            <w:tcW w:w="5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173.2</w:t>
            </w:r>
          </w:p>
        </w:tc>
        <w:tc>
          <w:tcPr>
            <w:tcW w:w="15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141.5</w:t>
            </w:r>
          </w:p>
        </w:tc>
        <w:tc>
          <w:tcPr>
            <w:tcW w:w="420" w:type="dxa"/>
            <w:vAlign w:val="bottom"/>
          </w:tcPr>
          <w:p>
            <w:pPr>
              <w:spacing w:after="0"/>
              <w:rPr>
                <w:sz w:val="19"/>
                <w:szCs w:val="19"/>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right="22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second quarter of 2021 from the second quarter of 2020:</w:t>
      </w:r>
    </w:p>
    <w:tbl>
      <w:tblPr>
        <w:tblLayout w:type="fixed"/>
        <w:tblInd w:w="0" w:type="dxa"/>
        <w:tblCellMar>
          <w:top w:w="0" w:type="dxa"/>
          <w:left w:w="0" w:type="dxa"/>
          <w:bottom w:w="0" w:type="dxa"/>
          <w:right w:w="0" w:type="dxa"/>
        </w:tblCellMar>
      </w:tblPr>
      <w:tr>
        <w:trPr>
          <w:trHeight w:val="154"/>
        </w:trPr>
        <w:tc>
          <w:tcPr>
            <w:tcW w:w="520" w:type="dxa"/>
            <w:vAlign w:val="bottom"/>
          </w:tcPr>
          <w:p>
            <w:pPr>
              <w:spacing w:after="0"/>
              <w:rPr>
                <w:sz w:val="13"/>
                <w:szCs w:val="13"/>
                <w:color w:val="auto"/>
              </w:rPr>
            </w:pPr>
          </w:p>
        </w:tc>
        <w:tc>
          <w:tcPr>
            <w:tcW w:w="87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2020 Net Sales</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Changes in Sales by Product Line:</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Components</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Digital Electronics</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20" w:type="dxa"/>
            <w:vAlign w:val="bottom"/>
            <w:tcBorders>
              <w:bottom w:val="single" w:sz="8" w:color="CCEEFF"/>
            </w:tcBorders>
          </w:tcPr>
          <w:p>
            <w:pPr>
              <w:spacing w:after="0"/>
              <w:rPr>
                <w:sz w:val="19"/>
                <w:szCs w:val="19"/>
                <w:color w:val="auto"/>
              </w:rPr>
            </w:pPr>
          </w:p>
        </w:tc>
        <w:tc>
          <w:tcPr>
            <w:tcW w:w="87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Services</w:t>
            </w: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 2021 Net Sales</w:t>
            </w: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Freight Segment sales for the three months ended June 30, 2021 increased by $131 million, or 10.9%, to $1.3 billion, compared to the same period in</w:t>
      </w:r>
    </w:p>
    <w:p>
      <w:pPr>
        <w:spacing w:after="0" w:line="46"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2020. Organic sales increased $72 million primarily in Services due to higher locomotive modernizations and lower locomotive parkings and in Components due to a higher freight car build partially offset by lower equipment sales. Sales from acquisitions contributed $38 million and favorable foreign currency exchange rates increased net sales by $21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Freight Segment cost of sales for the three months ended June 30, 2021 increased by $70 million, or 8.3%, to $922 million, compared to the same period in 2020. The increase is attributable to the organic sales increase discussed above. Cost of sales for the three months ended June 30, 2021 includes a $3 million charge related to purchase price accounting for the step-up of Nordco inventory. The second quarter of 2020 included $13 million of restructuring costs, primarily for the exit of certain product lines, footprint rationalization, and related headcount actions as part of the integration of the GE Transportation acquisition and in response to the COVID-19 pandemic. Excluding these charges, cost of sales as a percentage of sales was 68.8% in 2021 and 69.7% in 2020, representing a 0.9 percentage point decrease. The decrease can be attributed to the mix of sales and improved absorption of fixed costs as the prior year was particularly affected by the COVID-19 pandemic.</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Freight Segment operating expenses increased $29 million, or 13.8%, in 2021 to $240 million, or 18.0% of sales. Restructuring and transaction costs included in SG&amp;A were $2 million and $7 million for the three months ended June 30, 2021 and 2020, respectively, and were primarily for headcount actions as part of the ongoing integration of GE Transportation. Excluding restructuring and transaction costs, SG&amp;A increased $35 million primarily to support the higher sales volumes and higher employee benefit costs. Additionally, engineering and amortization expenses remained consistent year over year.</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ind w:left="820"/>
              <w:spacing w:after="0"/>
              <w:rPr>
                <w:sz w:val="20"/>
                <w:szCs w:val="20"/>
                <w:color w:val="auto"/>
              </w:rPr>
            </w:pPr>
            <w:r>
              <w:rPr>
                <w:rFonts w:ascii="Arial" w:cs="Arial" w:eastAsia="Arial" w:hAnsi="Arial"/>
                <w:sz w:val="16"/>
                <w:szCs w:val="16"/>
                <w:b w:val="1"/>
                <w:bCs w:val="1"/>
                <w:color w:val="auto"/>
                <w:w w:val="93"/>
              </w:rPr>
              <w:t>Three Months Ended June 30,</w:t>
            </w: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tcPr>
          <w:p>
            <w:pPr>
              <w:spacing w:after="0"/>
              <w:rPr>
                <w:sz w:val="14"/>
                <w:szCs w:val="14"/>
                <w:color w:val="auto"/>
              </w:rPr>
            </w:pPr>
          </w:p>
        </w:tc>
        <w:tc>
          <w:tcPr>
            <w:tcW w:w="1160" w:type="dxa"/>
            <w:vAlign w:val="bottom"/>
          </w:tcPr>
          <w:p>
            <w:pPr>
              <w:ind w:left="380"/>
              <w:spacing w:after="0" w:line="172" w:lineRule="exact"/>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jc w:val="right"/>
              <w:ind w:right="351"/>
              <w:spacing w:after="0" w:line="172" w:lineRule="exact"/>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676.4</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532.7</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(509.8)</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8"/>
              </w:rPr>
              <w:t>(398.7)</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166.6</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134.0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(121.3)</w:t>
            </w: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(93.8)</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20" w:type="dxa"/>
            <w:vAlign w:val="bottom"/>
            <w:shd w:val="clear" w:color="auto" w:fill="CCEEFF"/>
          </w:tcPr>
          <w:p>
            <w:pPr>
              <w:spacing w:after="0"/>
              <w:rPr>
                <w:sz w:val="21"/>
                <w:szCs w:val="21"/>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45.3</w:t>
            </w:r>
          </w:p>
        </w:tc>
        <w:tc>
          <w:tcPr>
            <w:tcW w:w="1800" w:type="dxa"/>
            <w:vAlign w:val="bottom"/>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40.2</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from operations (%)</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Pr>
          <w:p>
            <w:pPr>
              <w:spacing w:after="0"/>
              <w:rPr>
                <w:sz w:val="17"/>
                <w:szCs w:val="17"/>
                <w:color w:val="auto"/>
              </w:rPr>
            </w:pPr>
          </w:p>
        </w:tc>
        <w:tc>
          <w:tcPr>
            <w:tcW w:w="556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jc w:val="right"/>
              <w:ind w:right="212"/>
              <w:spacing w:after="0" w:line="204" w:lineRule="exact"/>
              <w:rPr>
                <w:sz w:val="20"/>
                <w:szCs w:val="20"/>
                <w:color w:val="auto"/>
              </w:rPr>
            </w:pPr>
            <w:r>
              <w:rPr>
                <w:rFonts w:ascii="Arial" w:cs="Arial" w:eastAsia="Arial" w:hAnsi="Arial"/>
                <w:sz w:val="18"/>
                <w:szCs w:val="18"/>
                <w:color w:val="auto"/>
              </w:rPr>
              <w:t>6.7</w:t>
            </w:r>
          </w:p>
        </w:tc>
        <w:tc>
          <w:tcPr>
            <w:tcW w:w="4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jc w:val="right"/>
              <w:ind w:right="191"/>
              <w:spacing w:after="0" w:line="204" w:lineRule="exact"/>
              <w:rPr>
                <w:sz w:val="20"/>
                <w:szCs w:val="20"/>
                <w:color w:val="auto"/>
              </w:rPr>
            </w:pPr>
            <w:r>
              <w:rPr>
                <w:rFonts w:ascii="Arial" w:cs="Arial" w:eastAsia="Arial" w:hAnsi="Arial"/>
                <w:sz w:val="18"/>
                <w:szCs w:val="18"/>
                <w:color w:val="auto"/>
              </w:rPr>
              <w:t>7.5</w:t>
            </w:r>
          </w:p>
        </w:tc>
        <w:tc>
          <w:tcPr>
            <w:tcW w:w="42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second quarter of 2021 from the second quarter of 2020:</w:t>
      </w:r>
    </w:p>
    <w:tbl>
      <w:tblPr>
        <w:tblLayout w:type="fixed"/>
        <w:tblInd w:w="0" w:type="dxa"/>
        <w:tblCellMar>
          <w:top w:w="0" w:type="dxa"/>
          <w:left w:w="0" w:type="dxa"/>
          <w:bottom w:w="0" w:type="dxa"/>
          <w:right w:w="0" w:type="dxa"/>
        </w:tblCellMar>
      </w:tblPr>
      <w:tr>
        <w:trPr>
          <w:trHeight w:val="154"/>
        </w:trPr>
        <w:tc>
          <w:tcPr>
            <w:tcW w:w="520" w:type="dxa"/>
            <w:vAlign w:val="bottom"/>
          </w:tcPr>
          <w:p>
            <w:pPr>
              <w:spacing w:after="0"/>
              <w:rPr>
                <w:sz w:val="13"/>
                <w:szCs w:val="13"/>
                <w:color w:val="auto"/>
              </w:rPr>
            </w:pPr>
          </w:p>
        </w:tc>
        <w:tc>
          <w:tcPr>
            <w:tcW w:w="87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2020 Net Sales</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r>
      <w:tr>
        <w:trPr>
          <w:trHeight w:val="229"/>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Foreign Exchange</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Changes in Sales by Product Line:</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Original Equipment Manufacturing</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Aftermarket</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5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Second Quarter 2021 Net Sales</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Transit Segment sales for the three months ended June 30, 2021 increased by $144 million, or 27.0%, to $676 million compared to the same period in 2020. The increase is primarily attributed to higher demand for Original Equipment and Aftermarket products driven by the recovery from the COVID-19 pandemic and increased global infrastructure investment. Favorable foreign currency exchange rate changes increased net sales by $63 million.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Transit Segment cost of sales for the three months ended June 30, 2021 increased by $111 million, or 27.9%, to $510 million compared to the same period in 2020. The increase is primarily attributable to the organic sales increase discussed above and higher warranty expense in the current year. Cost of sales for the three months ended June 30, 2021 and 2020 includes $18 million and $4 million of restructuring costs, respectively, primarily due to footprint rationalization in the UK. Excluding these charges, cost of sales as a percentage of sales was 72.8% in 2021 and 74.0% in 2020, representing a 1.2 percentage point decrease. The decrease can be attributed to lessening disruptions caused by the COVID-19 pandemic in the current year as well as favorable product mix towards more higher margin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Transit Segment operating expenses increased $27.5 million, or 29.3%, in 2021 to $121.3 million or 17.9% of sales. Restructuring and transaction costs included in SG&amp;A were $5 million and $2 million for the three months ended June 30, 2021 and 2020, respectively, and were primarily for footprint rationalization and related headcount actions. Excluding restructuring and transaction costs, SG&amp;A increased $19 million primarily to support the increase in sales volumes and due to increased employee benefit costs. Additionally, engineering expense increased $5 million and amortization expensed remained consistent year over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FIRST SIX MONTHS OF 2021 COMPARED TO FIRST SIX MONTHS OF 2020</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50"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0" w:type="dxa"/>
            <w:vAlign w:val="bottom"/>
          </w:tcPr>
          <w:p>
            <w:pPr>
              <w:spacing w:after="0"/>
              <w:rPr>
                <w:sz w:val="12"/>
                <w:szCs w:val="12"/>
                <w:color w:val="auto"/>
              </w:rPr>
            </w:pPr>
          </w:p>
        </w:tc>
        <w:tc>
          <w:tcPr>
            <w:tcW w:w="4680" w:type="dxa"/>
            <w:vAlign w:val="bottom"/>
            <w:gridSpan w:val="3"/>
          </w:tcPr>
          <w:p>
            <w:pPr>
              <w:spacing w:after="0" w:line="148" w:lineRule="exact"/>
              <w:rPr>
                <w:sz w:val="20"/>
                <w:szCs w:val="20"/>
                <w:color w:val="auto"/>
              </w:rPr>
            </w:pPr>
            <w:r>
              <w:rPr>
                <w:rFonts w:ascii="Arial" w:cs="Arial" w:eastAsia="Arial" w:hAnsi="Arial"/>
                <w:sz w:val="13"/>
                <w:szCs w:val="13"/>
                <w:b w:val="1"/>
                <w:bCs w:val="1"/>
                <w:i w:val="1"/>
                <w:iCs w:val="1"/>
                <w:color w:val="auto"/>
              </w:rPr>
              <w:t>In millions</w:t>
            </w: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511"/>
              <w:spacing w:after="0" w:line="148"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ind w:left="240"/>
              <w:spacing w:after="0" w:line="148" w:lineRule="exact"/>
              <w:rPr>
                <w:sz w:val="20"/>
                <w:szCs w:val="20"/>
                <w:color w:val="auto"/>
              </w:rPr>
            </w:pPr>
            <w:r>
              <w:rPr>
                <w:rFonts w:ascii="Arial" w:cs="Arial" w:eastAsia="Arial" w:hAnsi="Arial"/>
                <w:sz w:val="14"/>
                <w:szCs w:val="14"/>
                <w:b w:val="1"/>
                <w:bCs w:val="1"/>
                <w:color w:val="auto"/>
              </w:rPr>
              <w:t>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4680" w:type="dxa"/>
            <w:vAlign w:val="bottom"/>
            <w:gridSpan w:val="3"/>
          </w:tcPr>
          <w:p>
            <w:pPr>
              <w:ind w:left="200"/>
              <w:spacing w:after="0"/>
              <w:rPr>
                <w:sz w:val="20"/>
                <w:szCs w:val="20"/>
                <w:color w:val="auto"/>
              </w:rPr>
            </w:pPr>
            <w:r>
              <w:rPr>
                <w:rFonts w:ascii="Arial" w:cs="Arial" w:eastAsia="Arial" w:hAnsi="Arial"/>
                <w:sz w:val="18"/>
                <w:szCs w:val="18"/>
                <w:color w:val="auto"/>
              </w:rPr>
              <w:t>Sales of goods</w:t>
            </w: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2,996.9</w:t>
            </w:r>
          </w:p>
        </w:tc>
      </w:tr>
      <w:tr>
        <w:trPr>
          <w:trHeight w:val="229"/>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Sales of services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r>
      <w:tr>
        <w:trPr>
          <w:trHeight w:val="223"/>
        </w:trPr>
        <w:tc>
          <w:tcPr>
            <w:tcW w:w="520" w:type="dxa"/>
            <w:vAlign w:val="bottom"/>
          </w:tcPr>
          <w:p>
            <w:pPr>
              <w:spacing w:after="0"/>
              <w:rPr>
                <w:sz w:val="19"/>
                <w:szCs w:val="19"/>
                <w:color w:val="auto"/>
              </w:rPr>
            </w:pPr>
          </w:p>
        </w:tc>
        <w:tc>
          <w:tcPr>
            <w:tcW w:w="4680" w:type="dxa"/>
            <w:vAlign w:val="bottom"/>
            <w:gridSpan w:val="3"/>
          </w:tcPr>
          <w:p>
            <w:pPr>
              <w:ind w:left="320"/>
              <w:spacing w:after="0"/>
              <w:rPr>
                <w:sz w:val="20"/>
                <w:szCs w:val="20"/>
                <w:color w:val="auto"/>
              </w:rPr>
            </w:pPr>
            <w:r>
              <w:rPr>
                <w:rFonts w:ascii="Arial" w:cs="Arial" w:eastAsia="Arial" w:hAnsi="Arial"/>
                <w:sz w:val="18"/>
                <w:szCs w:val="18"/>
                <w:color w:val="auto"/>
              </w:rPr>
              <w:t>Total net sales</w:t>
            </w: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3,667.3</w:t>
            </w:r>
          </w:p>
        </w:tc>
      </w:tr>
      <w:tr>
        <w:trPr>
          <w:trHeight w:val="229"/>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4680" w:type="dxa"/>
            <w:vAlign w:val="bottom"/>
            <w:gridSpan w:val="3"/>
          </w:tcPr>
          <w:p>
            <w:pPr>
              <w:ind w:left="200"/>
              <w:spacing w:after="0"/>
              <w:rPr>
                <w:sz w:val="20"/>
                <w:szCs w:val="20"/>
                <w:color w:val="auto"/>
              </w:rPr>
            </w:pPr>
            <w:r>
              <w:rPr>
                <w:rFonts w:ascii="Arial" w:cs="Arial" w:eastAsia="Arial" w:hAnsi="Arial"/>
                <w:sz w:val="18"/>
                <w:szCs w:val="18"/>
                <w:color w:val="auto"/>
              </w:rPr>
              <w:t>Cost of goods</w:t>
            </w: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(2,217.2)</w:t>
            </w:r>
          </w:p>
        </w:tc>
      </w:tr>
      <w:tr>
        <w:trPr>
          <w:trHeight w:val="229"/>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r>
      <w:tr>
        <w:trPr>
          <w:trHeight w:val="223"/>
        </w:trPr>
        <w:tc>
          <w:tcPr>
            <w:tcW w:w="5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cost of sales</w:t>
            </w:r>
          </w:p>
        </w:tc>
        <w:tc>
          <w:tcPr>
            <w:tcW w:w="6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(2,601.9)</w:t>
            </w:r>
          </w:p>
        </w:tc>
      </w:tr>
      <w:tr>
        <w:trPr>
          <w:trHeight w:val="223"/>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w:t>
            </w:r>
          </w:p>
        </w:tc>
      </w:tr>
      <w:tr>
        <w:trPr>
          <w:trHeight w:val="230"/>
        </w:trPr>
        <w:tc>
          <w:tcPr>
            <w:tcW w:w="5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r>
      <w:tr>
        <w:trPr>
          <w:trHeight w:val="229"/>
        </w:trPr>
        <w:tc>
          <w:tcPr>
            <w:tcW w:w="520" w:type="dxa"/>
            <w:vAlign w:val="bottom"/>
          </w:tcPr>
          <w:p>
            <w:pPr>
              <w:spacing w:after="0"/>
              <w:rPr>
                <w:sz w:val="19"/>
                <w:szCs w:val="19"/>
                <w:color w:val="auto"/>
              </w:rPr>
            </w:pPr>
          </w:p>
        </w:tc>
        <w:tc>
          <w:tcPr>
            <w:tcW w:w="4680" w:type="dxa"/>
            <w:vAlign w:val="bottom"/>
            <w:gridSpan w:val="3"/>
          </w:tcPr>
          <w:p>
            <w:pPr>
              <w:ind w:left="200"/>
              <w:spacing w:after="0"/>
              <w:rPr>
                <w:sz w:val="20"/>
                <w:szCs w:val="20"/>
                <w:color w:val="auto"/>
              </w:rPr>
            </w:pPr>
            <w:r>
              <w:rPr>
                <w:rFonts w:ascii="Arial" w:cs="Arial" w:eastAsia="Arial" w:hAnsi="Arial"/>
                <w:sz w:val="18"/>
                <w:szCs w:val="18"/>
                <w:color w:val="auto"/>
              </w:rPr>
              <w:t>Engineering expenses</w:t>
            </w: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Amortization expense</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23"/>
        </w:trPr>
        <w:tc>
          <w:tcPr>
            <w:tcW w:w="5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r>
      <w:tr>
        <w:trPr>
          <w:trHeight w:val="223"/>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r>
      <w:tr>
        <w:trPr>
          <w:trHeight w:val="229"/>
        </w:trPr>
        <w:tc>
          <w:tcPr>
            <w:tcW w:w="5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Other income and expenses:</w:t>
            </w: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29"/>
        </w:trPr>
        <w:tc>
          <w:tcPr>
            <w:tcW w:w="5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r>
      <w:tr>
        <w:trPr>
          <w:trHeight w:val="229"/>
        </w:trPr>
        <w:tc>
          <w:tcPr>
            <w:tcW w:w="5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23"/>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30"/>
        </w:trPr>
        <w:tc>
          <w:tcPr>
            <w:tcW w:w="5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w w:val="92"/>
              </w:rPr>
              <w:t>Less: Net (income) loss attributable to noncontrolling interest</w:t>
            </w:r>
          </w:p>
        </w:tc>
        <w:tc>
          <w:tcPr>
            <w:tcW w:w="6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2"/>
        </w:trPr>
        <w:tc>
          <w:tcPr>
            <w:tcW w:w="11240" w:type="dxa"/>
            <w:vAlign w:val="bottom"/>
            <w:gridSpan w:val="15"/>
          </w:tcPr>
          <w:p>
            <w:pPr>
              <w:jc w:val="center"/>
              <w:ind w:left="230"/>
              <w:spacing w:after="0"/>
              <w:rPr>
                <w:sz w:val="20"/>
                <w:szCs w:val="20"/>
                <w:color w:val="auto"/>
              </w:rPr>
            </w:pPr>
            <w:r>
              <w:rPr>
                <w:rFonts w:ascii="Arial" w:cs="Arial" w:eastAsia="Arial" w:hAnsi="Arial"/>
                <w:sz w:val="18"/>
                <w:szCs w:val="18"/>
                <w:color w:val="auto"/>
                <w:w w:val="89"/>
              </w:rPr>
              <w:t>The following table shows the major components of the change in sales in the six months ended June 30, 2021 from the six months ended June 30,</w:t>
            </w:r>
          </w:p>
        </w:tc>
      </w:tr>
      <w:tr>
        <w:trPr>
          <w:trHeight w:val="230"/>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2020:</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75"/>
        </w:trPr>
        <w:tc>
          <w:tcPr>
            <w:tcW w:w="520" w:type="dxa"/>
            <w:vAlign w:val="bottom"/>
          </w:tcPr>
          <w:p>
            <w:pPr>
              <w:spacing w:after="0"/>
              <w:rPr>
                <w:sz w:val="15"/>
                <w:szCs w:val="15"/>
                <w:color w:val="auto"/>
              </w:rPr>
            </w:pPr>
          </w:p>
        </w:tc>
        <w:tc>
          <w:tcPr>
            <w:tcW w:w="46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6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Freight Segment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Transit Segment</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Six Months of 2020 Net Sales</w:t>
            </w:r>
          </w:p>
        </w:tc>
        <w:tc>
          <w:tcPr>
            <w:tcW w:w="6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r>
      <w:tr>
        <w:trPr>
          <w:trHeight w:val="230"/>
        </w:trPr>
        <w:tc>
          <w:tcPr>
            <w:tcW w:w="520" w:type="dxa"/>
            <w:vAlign w:val="bottom"/>
          </w:tcPr>
          <w:p>
            <w:pPr>
              <w:spacing w:after="0"/>
              <w:rPr>
                <w:sz w:val="19"/>
                <w:szCs w:val="19"/>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Acquisitions</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5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30"/>
        </w:trPr>
        <w:tc>
          <w:tcPr>
            <w:tcW w:w="5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Organic</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First Six Months of 2021 Net Sales</w:t>
            </w:r>
          </w:p>
        </w:tc>
        <w:tc>
          <w:tcPr>
            <w:tcW w:w="66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3,842.5</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Net sales for the six months ended June 30, 2021 increased by $175 million, or 4.8%, to $3.8 billion compared to the same period in 2020 with foreign exchange rates being the primary driver of the increase. Transit segment organic sales increased $50 million due to improved demand for original equipment door, HVAC, and brakes systems. This increase is partially offset by an organic decrease in the Freight segment of $43 million due to lower locomotive Equipment sales, particularly in North America partially offset by an increase in Services sales from higher locomotive modernizations and a decrease in locomotive parkings. Sales from acquisitions contributed $38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Cost of sales for the six months ended June 30, 2021 increased by $126 million, or 4.9%, to $2.7 billion compared to the same period in 2020. The increase is primarily due to the sales increases discussed above. Cost of sales for the six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right="120"/>
        <w:spacing w:after="0" w:line="255" w:lineRule="auto"/>
        <w:rPr>
          <w:sz w:val="20"/>
          <w:szCs w:val="20"/>
          <w:color w:val="auto"/>
        </w:rPr>
      </w:pPr>
      <w:r>
        <w:rPr>
          <w:rFonts w:ascii="Arial" w:cs="Arial" w:eastAsia="Arial" w:hAnsi="Arial"/>
          <w:sz w:val="18"/>
          <w:szCs w:val="18"/>
          <w:color w:val="auto"/>
        </w:rPr>
        <w:t>ended June 30, 2021 includes $25 million of restructuring costs, primarily for footprint rationalization and headcount actions in the UK and the ongoing integration actions related to the GE Transportation acquisition. Cost of sales in the first six months of 2020 included $19 million of restructuring costs, primarily for the exit of certain product lines, footprint rationalization and related headcount actions as part of the integration of the GE Transportation acquisition and in response to the COVID-19 pandemic. Excluding these charges in both years, cost of sales as a percentage of sales was 70.3% in 2021 and 70.4% in 2020, representing a 0.1 percentage point decrease. The decrease can be attributed to synergy savings and the structural cost actions taken in the prior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Total operating expenses increased $31 million, or 4.5%, in the first six months of 2021 compared to the same period in 2020. Operating expenses as a percentage of sales was 18.7% and 18.8% for the six months ended June 30, 2021 and 2020, respectively. Restructuring and transaction costs included in selling, general, and administrative expense ("SG&amp;A") were $20 million and $29 million for the six months ended June 30, 2021 and 2020, respectively and were primarily for headcount actions and footprint rationalization in the UK and as part of the integration of GE Transportation. Excluding restructuring and transaction costs, SG&amp;A increased $46 million primarily due to costs incurred to support the higher sales volumes and higher employee benefit costs. Incremental expense from acquisitions in SG&amp;A was $4 million related to the acquisition of Nordco. Engineering expense increased $8 million and amortization expense remained flat.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Interest expense, net, decreased $12 million in the first six months of 2021 compared to the same period in 2020 attributable to lower overall average debt balances and lower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income (expense), net, was $25 million of income in the first six months of 2021 compared to $9 million of expense in the same period of</w:t>
      </w:r>
    </w:p>
    <w:p>
      <w:pPr>
        <w:spacing w:after="0" w:line="46" w:lineRule="exact"/>
        <w:rPr>
          <w:sz w:val="20"/>
          <w:szCs w:val="20"/>
          <w:color w:val="auto"/>
        </w:rPr>
      </w:pPr>
    </w:p>
    <w:p>
      <w:pPr>
        <w:ind w:right="800"/>
        <w:spacing w:after="0" w:line="367" w:lineRule="auto"/>
        <w:rPr>
          <w:sz w:val="20"/>
          <w:szCs w:val="20"/>
          <w:color w:val="auto"/>
        </w:rPr>
      </w:pPr>
      <w:r>
        <w:rPr>
          <w:rFonts w:ascii="Arial" w:cs="Arial" w:eastAsia="Arial" w:hAnsi="Arial"/>
          <w:sz w:val="18"/>
          <w:szCs w:val="18"/>
          <w:color w:val="auto"/>
        </w:rPr>
        <w:t xml:space="preserve">2020. The variance is primarily driven by foreign exchange gains in the current year and an increase in income from equity method investments. </w:t>
      </w:r>
      <w:r>
        <w:rPr>
          <w:rFonts w:ascii="Arial" w:cs="Arial" w:eastAsia="Arial" w:hAnsi="Arial"/>
          <w:sz w:val="18"/>
          <w:szCs w:val="18"/>
          <w:b w:val="1"/>
          <w:bCs w:val="1"/>
          <w:color w:val="auto"/>
        </w:rPr>
        <w:t>Income taxes</w:t>
      </w:r>
    </w:p>
    <w:p>
      <w:pPr>
        <w:spacing w:after="0" w:line="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effective income tax rate was 26.6% and 25.2% for the six months ended June 30, 2021 and 2020, respectively. The increase in the effective tax rate is primarily the result of withholding tax expense on intercompany dividends incurred in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50"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 w:type="dxa"/>
            <w:vAlign w:val="bottom"/>
          </w:tcPr>
          <w:p>
            <w:pPr>
              <w:spacing w:after="0"/>
              <w:rPr>
                <w:sz w:val="15"/>
                <w:szCs w:val="15"/>
                <w:color w:val="auto"/>
              </w:rPr>
            </w:pPr>
          </w:p>
        </w:tc>
        <w:tc>
          <w:tcPr>
            <w:tcW w:w="6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91"/>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Sales of goods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1,762.6</w:t>
            </w:r>
          </w:p>
        </w:tc>
        <w:tc>
          <w:tcPr>
            <w:tcW w:w="1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1,851.3</w:t>
            </w:r>
          </w:p>
        </w:tc>
      </w:tr>
      <w:tr>
        <w:trPr>
          <w:trHeight w:val="229"/>
        </w:trPr>
        <w:tc>
          <w:tcPr>
            <w:tcW w:w="5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756.6</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654.4</w:t>
            </w:r>
          </w:p>
        </w:tc>
      </w:tr>
      <w:tr>
        <w:trPr>
          <w:trHeight w:val="223"/>
        </w:trPr>
        <w:tc>
          <w:tcPr>
            <w:tcW w:w="520" w:type="dxa"/>
            <w:vAlign w:val="bottom"/>
          </w:tcPr>
          <w:p>
            <w:pPr>
              <w:spacing w:after="0"/>
              <w:rPr>
                <w:sz w:val="19"/>
                <w:szCs w:val="19"/>
                <w:color w:val="auto"/>
              </w:rPr>
            </w:pPr>
          </w:p>
        </w:tc>
        <w:tc>
          <w:tcPr>
            <w:tcW w:w="6640" w:type="dxa"/>
            <w:vAlign w:val="bottom"/>
            <w:gridSpan w:val="2"/>
          </w:tcPr>
          <w:p>
            <w:pPr>
              <w:ind w:left="320"/>
              <w:spacing w:after="0"/>
              <w:rPr>
                <w:sz w:val="20"/>
                <w:szCs w:val="20"/>
                <w:color w:val="auto"/>
              </w:rPr>
            </w:pPr>
            <w:r>
              <w:rPr>
                <w:rFonts w:ascii="Arial" w:cs="Arial" w:eastAsia="Arial" w:hAnsi="Arial"/>
                <w:sz w:val="18"/>
                <w:szCs w:val="18"/>
                <w:color w:val="auto"/>
              </w:rPr>
              <w:t>Total net sales</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2,519.2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2,505.7</w:t>
            </w:r>
          </w:p>
        </w:tc>
      </w:tr>
      <w:tr>
        <w:trPr>
          <w:trHeight w:val="229"/>
        </w:trPr>
        <w:tc>
          <w:tcPr>
            <w:tcW w:w="5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Cost of goods</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(1,324.0)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(1,379.4)</w:t>
            </w:r>
          </w:p>
        </w:tc>
      </w:tr>
      <w:tr>
        <w:trPr>
          <w:trHeight w:val="229"/>
        </w:trPr>
        <w:tc>
          <w:tcPr>
            <w:tcW w:w="5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(372.0)</w:t>
            </w:r>
          </w:p>
        </w:tc>
      </w:tr>
      <w:tr>
        <w:trPr>
          <w:trHeight w:val="223"/>
        </w:trPr>
        <w:tc>
          <w:tcPr>
            <w:tcW w:w="5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cost of sales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(1,749.5)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(1,751.4)</w:t>
            </w:r>
          </w:p>
        </w:tc>
      </w:tr>
      <w:tr>
        <w:trPr>
          <w:trHeight w:val="88"/>
        </w:trPr>
        <w:tc>
          <w:tcPr>
            <w:tcW w:w="5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30"/>
        </w:trPr>
        <w:tc>
          <w:tcPr>
            <w:tcW w:w="5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769.7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754.3</w:t>
            </w:r>
          </w:p>
        </w:tc>
      </w:tr>
      <w:tr>
        <w:trPr>
          <w:trHeight w:val="108"/>
        </w:trPr>
        <w:tc>
          <w:tcPr>
            <w:tcW w:w="5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(454.7)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(451.1)</w:t>
            </w:r>
          </w:p>
        </w:tc>
      </w:tr>
      <w:tr>
        <w:trPr>
          <w:trHeight w:val="88"/>
        </w:trPr>
        <w:tc>
          <w:tcPr>
            <w:tcW w:w="5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30"/>
        </w:trPr>
        <w:tc>
          <w:tcPr>
            <w:tcW w:w="5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303.2</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r>
    </w:tbl>
    <w:p>
      <w:pPr>
        <w:spacing w:after="0" w:line="188" w:lineRule="exact"/>
        <w:rPr>
          <w:sz w:val="20"/>
          <w:szCs w:val="20"/>
          <w:color w:val="auto"/>
        </w:rPr>
      </w:pPr>
    </w:p>
    <w:p>
      <w:pPr>
        <w:jc w:val="both"/>
        <w:ind w:right="10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first six months of 2021 from the first six months of 2020:</w:t>
      </w:r>
    </w:p>
    <w:tbl>
      <w:tblPr>
        <w:tblLayout w:type="fixed"/>
        <w:tblInd w:w="0" w:type="dxa"/>
        <w:tblCellMar>
          <w:top w:w="0" w:type="dxa"/>
          <w:left w:w="0" w:type="dxa"/>
          <w:bottom w:w="0" w:type="dxa"/>
          <w:right w:w="0" w:type="dxa"/>
        </w:tblCellMar>
      </w:tblPr>
      <w:tr>
        <w:trPr>
          <w:trHeight w:val="154"/>
        </w:trPr>
        <w:tc>
          <w:tcPr>
            <w:tcW w:w="520" w:type="dxa"/>
            <w:vAlign w:val="bottom"/>
          </w:tcPr>
          <w:p>
            <w:pPr>
              <w:spacing w:after="0"/>
              <w:rPr>
                <w:sz w:val="13"/>
                <w:szCs w:val="13"/>
                <w:color w:val="auto"/>
              </w:rPr>
            </w:pPr>
          </w:p>
        </w:tc>
        <w:tc>
          <w:tcPr>
            <w:tcW w:w="87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Six Months of 2020 Net Sales</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2,505.7</w:t>
            </w:r>
          </w:p>
        </w:tc>
      </w:tr>
      <w:tr>
        <w:trPr>
          <w:trHeight w:val="229"/>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Changes in Sales by Product Line:</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Components</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Digital Electronics</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520" w:type="dxa"/>
            <w:vAlign w:val="bottom"/>
            <w:tcBorders>
              <w:bottom w:val="single" w:sz="8" w:color="CCEEFF"/>
            </w:tcBorders>
          </w:tcPr>
          <w:p>
            <w:pPr>
              <w:spacing w:after="0"/>
              <w:rPr>
                <w:sz w:val="19"/>
                <w:szCs w:val="19"/>
                <w:color w:val="auto"/>
              </w:rPr>
            </w:pPr>
          </w:p>
        </w:tc>
        <w:tc>
          <w:tcPr>
            <w:tcW w:w="87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Services</w:t>
            </w: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Six Months of 2021 Net Sales</w:t>
            </w: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Freight Segment sales for the six months ended June 30, 2021 increased by $14 million, or 0.5%, to $2.5 billion, compared to the same period in 2020. Organic sales decreased by $43 million primarily due to lower locomotive Equipment sales, particularly in North America, partially offset by an increase in Services sales due to higher locomotive modernizations and overhauls and a decrease in parking of locomotives. The organic sales decrease was more than offset by sales from acquisitions of $38 million and the effects of favorable foreign exchange rates of $18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Freight Segment cost of sales for the six months ended June 30, 2021 decreased by $2 million to $1.7 billion, compared to the same period in 2020. Cost of sales for the six months ended June 30, 2021 includes $5 million of restructuring and transaction costs, primarily for a charge related to purchase price accounting for the step-up of Nordco inventory and headcount actions as part of the ongoing integration actions related to the GE Transportation acquisition. Cost of sales in the first six months of 2020 included $14 million of restructuring costs, primarily for the exit of certain product lines, costs for site closures, and related headcount actions as part of the integration of the GE Transportation acquisition and in response to the COVID-19 pandemic. Excluding these charges in both years, cost of sales as a percentage of sales was 69.3% in for both the six months ended June 30, 2021 and 2020,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Freight Segment operating expenses for the six months ended June 30, 2021 decreased $4 million compared to the same period in 2020. Operating expenses as a percentage of sales was 18.0% in both periods. Restructuring and transaction costs included in selling, general, and administrative expense ("SG&amp;A") were $9 million and $21 million for the six months ended June 30, 2021 and 2020, respectively and were primarily for headcount actions and footprint rationalization as part of the integration of GE Transportation. Excluding restructuring and transaction costs, SG&amp;A increased $25 million primarily due to costs incurred to support the higher sales volumes and higher employee benefit costs. Additionally, incremental expense from acquisitions in SG&amp;A was $4 million related to the acquisition of Nordco. Engineering expense decreased $10 million due to cost control measures on research and development projects and amortization expense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92"/>
              </w:rPr>
              <w:t>Six Months Ended June 30,</w:t>
            </w: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40" w:type="dxa"/>
            <w:vAlign w:val="bottom"/>
          </w:tcPr>
          <w:p>
            <w:pPr>
              <w:jc w:val="right"/>
              <w:ind w:right="72"/>
              <w:spacing w:after="0" w:line="172" w:lineRule="exact"/>
              <w:rPr>
                <w:sz w:val="20"/>
                <w:szCs w:val="20"/>
                <w:color w:val="auto"/>
              </w:rPr>
            </w:pPr>
            <w:r>
              <w:rPr>
                <w:rFonts w:ascii="Arial" w:cs="Arial" w:eastAsia="Arial" w:hAnsi="Arial"/>
                <w:sz w:val="16"/>
                <w:szCs w:val="16"/>
                <w:b w:val="1"/>
                <w:bCs w:val="1"/>
                <w:color w:val="auto"/>
              </w:rPr>
              <w:t>2021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jc w:val="right"/>
              <w:ind w:right="95"/>
              <w:spacing w:after="0" w:line="172" w:lineRule="exact"/>
              <w:rPr>
                <w:sz w:val="20"/>
                <w:szCs w:val="20"/>
                <w:color w:val="auto"/>
              </w:rPr>
            </w:pPr>
            <w:r>
              <w:rPr>
                <w:rFonts w:ascii="Arial" w:cs="Arial" w:eastAsia="Arial" w:hAnsi="Arial"/>
                <w:sz w:val="16"/>
                <w:szCs w:val="16"/>
                <w:b w:val="1"/>
                <w:bCs w:val="1"/>
                <w:color w:val="auto"/>
              </w:rPr>
              <w:t>2020</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9"/>
              </w:rPr>
              <w:t>1,323.3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1,161.6</w:t>
            </w:r>
          </w:p>
        </w:tc>
        <w:tc>
          <w:tcPr>
            <w:tcW w:w="0" w:type="dxa"/>
            <w:vAlign w:val="bottom"/>
          </w:tcPr>
          <w:p>
            <w:pPr>
              <w:spacing w:after="0"/>
              <w:rPr>
                <w:sz w:val="1"/>
                <w:szCs w:val="1"/>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1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4"/>
              </w:rPr>
              <w:t>(978.7)</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(850.5)</w:t>
            </w: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4"/>
              </w:rPr>
              <w:t>(229.2)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(202.3)</w:t>
            </w: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184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from operations (%)</w:t>
            </w: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Pr>
          <w:p>
            <w:pPr>
              <w:spacing w:after="0"/>
              <w:rPr>
                <w:sz w:val="17"/>
                <w:szCs w:val="17"/>
                <w:color w:val="auto"/>
              </w:rPr>
            </w:pPr>
          </w:p>
        </w:tc>
        <w:tc>
          <w:tcPr>
            <w:tcW w:w="5540" w:type="dxa"/>
            <w:vAlign w:val="bottom"/>
            <w:gridSpan w:val="2"/>
            <w:vMerge w:val="continue"/>
          </w:tcPr>
          <w:p>
            <w:pPr>
              <w:spacing w:after="0"/>
              <w:rPr>
                <w:sz w:val="17"/>
                <w:szCs w:val="17"/>
                <w:color w:val="auto"/>
              </w:rPr>
            </w:pPr>
          </w:p>
        </w:tc>
        <w:tc>
          <w:tcPr>
            <w:tcW w:w="1840" w:type="dxa"/>
            <w:vAlign w:val="bottom"/>
          </w:tcPr>
          <w:p>
            <w:pPr>
              <w:jc w:val="right"/>
              <w:spacing w:after="0" w:line="204" w:lineRule="exact"/>
              <w:rPr>
                <w:sz w:val="20"/>
                <w:szCs w:val="20"/>
                <w:color w:val="auto"/>
              </w:rPr>
            </w:pPr>
            <w:r>
              <w:rPr>
                <w:rFonts w:ascii="Arial" w:cs="Arial" w:eastAsia="Arial" w:hAnsi="Arial"/>
                <w:sz w:val="18"/>
                <w:szCs w:val="18"/>
                <w:color w:val="auto"/>
              </w:rPr>
              <w:t>8.7</w:t>
            </w:r>
          </w:p>
        </w:tc>
        <w:tc>
          <w:tcPr>
            <w:tcW w:w="7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jc w:val="right"/>
              <w:spacing w:after="0" w:line="204" w:lineRule="exact"/>
              <w:rPr>
                <w:sz w:val="20"/>
                <w:szCs w:val="20"/>
                <w:color w:val="auto"/>
              </w:rPr>
            </w:pPr>
            <w:r>
              <w:rPr>
                <w:rFonts w:ascii="Arial" w:cs="Arial" w:eastAsia="Arial" w:hAnsi="Arial"/>
                <w:sz w:val="18"/>
                <w:szCs w:val="18"/>
                <w:color w:val="auto"/>
              </w:rPr>
              <w:t>9.4</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first six months of 2021 from the first six months of 2020:</w:t>
      </w:r>
    </w:p>
    <w:tbl>
      <w:tblPr>
        <w:tblLayout w:type="fixed"/>
        <w:tblInd w:w="0" w:type="dxa"/>
        <w:tblCellMar>
          <w:top w:w="0" w:type="dxa"/>
          <w:left w:w="0" w:type="dxa"/>
          <w:bottom w:w="0" w:type="dxa"/>
          <w:right w:w="0" w:type="dxa"/>
        </w:tblCellMar>
      </w:tblPr>
      <w:tr>
        <w:trPr>
          <w:trHeight w:val="154"/>
        </w:trPr>
        <w:tc>
          <w:tcPr>
            <w:tcW w:w="520" w:type="dxa"/>
            <w:vAlign w:val="bottom"/>
          </w:tcPr>
          <w:p>
            <w:pPr>
              <w:spacing w:after="0"/>
              <w:rPr>
                <w:sz w:val="13"/>
                <w:szCs w:val="13"/>
                <w:color w:val="auto"/>
              </w:rPr>
            </w:pPr>
          </w:p>
        </w:tc>
        <w:tc>
          <w:tcPr>
            <w:tcW w:w="87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Six Months of 2020 Net Sales</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w:t>
            </w:r>
          </w:p>
        </w:tc>
      </w:tr>
      <w:tr>
        <w:trPr>
          <w:trHeight w:val="229"/>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Foreign Exchange</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Changes in Sales by Product Line:</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Original Equipment Manufacturing</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Aftermarket</w:t>
            </w:r>
          </w:p>
        </w:tc>
        <w:tc>
          <w:tcPr>
            <w:tcW w:w="10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First Six Months of 2021 Net Sales</w:t>
            </w: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1,323.3</w:t>
            </w: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Transit Segment sales for the six months ended June 30, 2021 increased by $162 million, or 13.9%, to $1,323 million compared to the same period in 2020, with foreign exchange rates being the primary driver of the increase. Transit segment organic sales increased $50 million due to improved demand for original equipment door, HVAC, and brakes systems.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Transit Segment cost of sales for the six months ended June 30, 2021 increased by $128 million, or 15.1%, to $979 million compared to the same period in 2020. The increase is in line with the sales increase discussed above. Cost of sales for the six months ended June 30, 2021 and 2020 includes $20 million and $5 million of restructuring and transactions costs, respectively, primarily for footprint rationalization in the UK. Excluding these costs, cost of sales as a percentage of sales was 72.4% in 2021 and 72.8% in 2020, a 0.4 percentage point decrease over the comparable period in 2020, attributable to a higher mix of Aftermarket products and larger impacts that the COVID-19 pandemic had on margins in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Transit Segment operating expenses increased $27 million, or 13.3%, in 2021 to 17.3% of sales. Restructuring and transaction costs included within SG&amp;A were $6 million and $3 million for the six months ended June 30, 2021 and 2020, respectively, and were primarily for headcount actions and footprint rationalization in the UK. Excluding restructuring and transaction costs, SG&amp;A increased $21 million primarily to support the increase in sales volumes and higher employee benefit costs. Engineering expense and amortization expense remained consistent year over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00" w:firstLine="486"/>
        <w:spacing w:after="0" w:line="290" w:lineRule="auto"/>
        <w:rPr>
          <w:sz w:val="20"/>
          <w:szCs w:val="20"/>
          <w:color w:val="auto"/>
        </w:rPr>
      </w:pPr>
      <w:r>
        <w:rPr>
          <w:rFonts w:ascii="Arial" w:cs="Arial" w:eastAsia="Arial" w:hAnsi="Arial"/>
          <w:sz w:val="17"/>
          <w:szCs w:val="17"/>
          <w:color w:val="auto"/>
        </w:rPr>
        <w:t>Liquidity is provided primarily by operating cash flow and borrowings under the Company’s Senior Notes and Senior Credit Facility with a consortium of commercial banks. The following is a summary of selected cash flow information and other relevant data:</w:t>
      </w:r>
    </w:p>
    <w:p>
      <w:pPr>
        <w:spacing w:after="0" w:line="1"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 w:type="dxa"/>
            <w:vAlign w:val="bottom"/>
          </w:tcPr>
          <w:p>
            <w:pPr>
              <w:spacing w:after="0"/>
              <w:rPr>
                <w:sz w:val="15"/>
                <w:szCs w:val="15"/>
                <w:color w:val="auto"/>
              </w:rPr>
            </w:pPr>
          </w:p>
        </w:tc>
        <w:tc>
          <w:tcPr>
            <w:tcW w:w="6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for):</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492"/>
              <w:spacing w:after="0"/>
              <w:rPr>
                <w:sz w:val="20"/>
                <w:szCs w:val="20"/>
                <w:color w:val="auto"/>
              </w:rPr>
            </w:pPr>
            <w:r>
              <w:rPr>
                <w:rFonts w:ascii="Arial" w:cs="Arial" w:eastAsia="Arial" w:hAnsi="Arial"/>
                <w:sz w:val="18"/>
                <w:szCs w:val="18"/>
                <w:color w:val="auto"/>
                <w:w w:val="88"/>
              </w:rPr>
              <w:t>515.4</w:t>
            </w:r>
          </w:p>
        </w:tc>
        <w:tc>
          <w:tcPr>
            <w:tcW w:w="10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228.6</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4"/>
              </w:rPr>
              <w:t>(452.4)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520" w:type="dxa"/>
            <w:vAlign w:val="bottom"/>
          </w:tcPr>
          <w:p>
            <w:pPr>
              <w:spacing w:after="0"/>
              <w:rPr>
                <w:sz w:val="20"/>
                <w:szCs w:val="20"/>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472"/>
              <w:spacing w:after="0"/>
              <w:rPr>
                <w:sz w:val="20"/>
                <w:szCs w:val="20"/>
                <w:color w:val="auto"/>
              </w:rPr>
            </w:pPr>
            <w:r>
              <w:rPr>
                <w:rFonts w:ascii="Arial" w:cs="Arial" w:eastAsia="Arial" w:hAnsi="Arial"/>
                <w:sz w:val="18"/>
                <w:szCs w:val="18"/>
                <w:color w:val="auto"/>
                <w:w w:val="94"/>
              </w:rPr>
              <w:t>(212.5)</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(123.5)</w:t>
            </w:r>
          </w:p>
        </w:tc>
      </w:tr>
    </w:tbl>
    <w:p>
      <w:pPr>
        <w:spacing w:after="0" w:line="241"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In the first six months of 2021, cash provided by operations was $515 million compared to cash provided by operations of $229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first six months of 2020. Significant changes to the sources and (uses) of cash for the six month periods include the following:</w:t>
      </w:r>
    </w:p>
    <w:p>
      <w:pPr>
        <w:spacing w:after="0" w:line="38" w:lineRule="exact"/>
        <w:rPr>
          <w:sz w:val="20"/>
          <w:szCs w:val="20"/>
          <w:color w:val="auto"/>
        </w:rPr>
      </w:pPr>
    </w:p>
    <w:p>
      <w:pPr>
        <w:ind w:left="660" w:right="1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$6 million from net changes in working capital driven by: ($275) million related to changes in receivables due to timing and volume of sales and the net change in the Revolving Receivables Program; $38 million improvement in inventory from higher sales volume; $231 million improvement from accounts payable, primarily due to the timing of payments to suppliers;</w:t>
      </w:r>
    </w:p>
    <w:p>
      <w:pPr>
        <w:spacing w:after="0" w:line="75"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approximately $130 million related to cash payments made during 2020 for costs related to the GE Transportation acquisition and settlement of litigation that did not recur;</w:t>
      </w:r>
    </w:p>
    <w:p>
      <w:pPr>
        <w:spacing w:after="0" w:line="6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remaining change in cash from operating activities is primarily attributable to higher Net income and other changes in the related statement of income and other changes in the consolidated balance sheet.</w:t>
      </w:r>
    </w:p>
    <w:p>
      <w:pPr>
        <w:spacing w:after="0" w:line="62"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 the first six months of 2021 and 2020, cash used for investing activities was $452 million and $98 million,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 components of the cash outflow in 2021 were $56 million in additions to property, plant and equipment for investments in our facilities and manufacturing processes, and $405 million in net cash paid for the acquisition of Nordco. This compares to $68 million in property, plant, and equipment for additions in the first six months of 2020 and $40 million in net cash paid for acquisitions. Additional information with respect to acquisitions is included in Note 3 of the “Notes to Condensed Consolidated Financial Statements” included in Part I, Item 1 of this report.</w:t>
      </w:r>
    </w:p>
    <w:p>
      <w:pPr>
        <w:spacing w:after="0" w:line="5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six months of 2021, cash used for financing activities was $213 million which included $3.0 billion in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$3.2 billion in repayments of debt, $1 million in stock repurchases and $46 million of dividend payments. In the first six months of 2020, cash used for financing activities was $124 million, which included $2.1 billion in proceeds from debt, $2.1 billion in repayments of debt, $105 million in stock repurchases and $46 million of dividend payments.</w:t>
      </w:r>
    </w:p>
    <w:p>
      <w:pPr>
        <w:spacing w:after="0" w:line="7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As of June 30, 2021, the Company held approximately $454 million of cash and cash equivalents. Of this amount, approximately $56 million was held within the United States and approximately $398 million was held outside of the United States, primarily in Europe, India and China. While repatriation of some cash held outside the United States may be restricted by local laws, most of the Company’s foreign cash could be repatriated to the United States.</w:t>
      </w:r>
    </w:p>
    <w:p>
      <w:pPr>
        <w:spacing w:after="0" w:line="7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Additional information with respect to credit facilities and long-term debt is included in Note 8 of the "Notes to Condensed Consolidated Financial Statements" included in Part I, Item 1 of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Receivables Program</w:t>
      </w:r>
    </w:p>
    <w:p>
      <w:pPr>
        <w:spacing w:after="0" w:line="117"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In May 2020, the Company entered into a revolving agreement to transfer up to $150 million of certain receivables of the Originators through our bankruptcy-remote subsidiary to a financial institution on a recurring basis in exchange for cash equal to the gross receivables transferred. During the first quarter of 2021, the Company amended its revolving agreement to increase the amount of certain receivables that can be transferred from $150 million to $200 million. As customers pay their balances, we transfer additional receivables into the program, resulting in our gross receivables sold exceeding net cash flow impacts (e.g., collect and reinvest). The sold receivables are fully guaranteed by our bankruptcy-remote subsidiary which held additional receivables of $332.7 million at June 30, 2021 that are pledged as collateral under this agreement. The transfers are recorded at the fair value of the</w:t>
      </w:r>
    </w:p>
    <w:p>
      <w:pPr>
        <w:spacing w:after="0" w:line="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proceeds received and obligations assumed less derecognized receivables. No obligation was recorded at June 30, 2021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(except for the bankruptcy-remote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ind w:right="1040"/>
        <w:spacing w:after="0" w:line="375" w:lineRule="auto"/>
        <w:rPr>
          <w:sz w:val="20"/>
          <w:szCs w:val="20"/>
          <w:color w:val="auto"/>
        </w:rPr>
      </w:pPr>
      <w:r>
        <w:rPr>
          <w:rFonts w:ascii="Arial" w:cs="Arial" w:eastAsia="Arial" w:hAnsi="Arial"/>
          <w:sz w:val="18"/>
          <w:szCs w:val="18"/>
          <w:color w:val="auto"/>
        </w:rPr>
        <w:t xml:space="preserve">consolidated subsidiary referenced above) nor the Originators guarantees the collectability of the receivables under the revolving agreements. </w:t>
      </w:r>
      <w:r>
        <w:rPr>
          <w:rFonts w:ascii="Arial" w:cs="Arial" w:eastAsia="Arial" w:hAnsi="Arial"/>
          <w:sz w:val="18"/>
          <w:szCs w:val="18"/>
          <w:i w:val="1"/>
          <w:iCs w:val="1"/>
          <w:color w:val="auto"/>
        </w:rPr>
        <w:t>Supply Chain Financing Program</w:t>
      </w:r>
    </w:p>
    <w:p>
      <w:pPr>
        <w:spacing w:after="0" w:line="1" w:lineRule="exact"/>
        <w:rPr>
          <w:sz w:val="20"/>
          <w:szCs w:val="20"/>
          <w:color w:val="auto"/>
        </w:rPr>
      </w:pPr>
    </w:p>
    <w:p>
      <w:pPr>
        <w:ind w:right="380" w:firstLine="486"/>
        <w:spacing w:after="0" w:line="257" w:lineRule="auto"/>
        <w:rPr>
          <w:sz w:val="20"/>
          <w:szCs w:val="20"/>
          <w:color w:val="auto"/>
        </w:rPr>
      </w:pPr>
      <w:r>
        <w:rPr>
          <w:rFonts w:ascii="Arial" w:cs="Arial" w:eastAsia="Arial" w:hAnsi="Arial"/>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and does not receive an economic benefit from the financial institutions. The arrangements do not change the payable terms negotiated by the Company and our vendors and does not result in a change in the classification of amounts due as accounts payable in the consolidated balance sheet.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Summarized Financial Information</w:t>
      </w:r>
    </w:p>
    <w:p>
      <w:pPr>
        <w:spacing w:after="0" w:line="11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obligations under the Company's US Notes, Senior Credit Facility, and 364 Day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7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following tables present summarized financial information of the parent and the guarantor subsidiaries on a combined basis for the Company's US Notes, Senior Credit Facility, and 364 Day Facility.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Unaudited</w:t>
            </w:r>
          </w:p>
        </w:tc>
      </w:tr>
      <w:tr>
        <w:trPr>
          <w:trHeight w:val="147"/>
        </w:trPr>
        <w:tc>
          <w:tcPr>
            <w:tcW w:w="6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20" w:type="dxa"/>
            <w:vAlign w:val="bottom"/>
          </w:tcPr>
          <w:p>
            <w:pPr>
              <w:jc w:val="center"/>
              <w:ind w:left="408"/>
              <w:spacing w:after="0" w:line="147" w:lineRule="exact"/>
              <w:rPr>
                <w:sz w:val="20"/>
                <w:szCs w:val="20"/>
                <w:color w:val="auto"/>
              </w:rPr>
            </w:pPr>
            <w:r>
              <w:rPr>
                <w:rFonts w:ascii="Arial" w:cs="Arial" w:eastAsia="Arial" w:hAnsi="Arial"/>
                <w:sz w:val="14"/>
                <w:szCs w:val="14"/>
                <w:b w:val="1"/>
                <w:bCs w:val="1"/>
                <w:color w:val="auto"/>
                <w:w w:val="92"/>
              </w:rPr>
              <w:t>Westinghouse Air Brake</w:t>
            </w:r>
          </w:p>
        </w:tc>
      </w:tr>
      <w:tr>
        <w:trPr>
          <w:trHeight w:val="135"/>
        </w:trPr>
        <w:tc>
          <w:tcPr>
            <w:tcW w:w="6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Technologies Corp. and Guarantor</w:t>
            </w:r>
          </w:p>
        </w:tc>
      </w:tr>
      <w:tr>
        <w:trPr>
          <w:trHeight w:val="180"/>
        </w:trPr>
        <w:tc>
          <w:tcPr>
            <w:tcW w:w="6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r>
      <w:tr>
        <w:trPr>
          <w:trHeight w:val="158"/>
        </w:trPr>
        <w:tc>
          <w:tcPr>
            <w:tcW w:w="64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9"/>
              </w:rPr>
              <w:t>In millions</w:t>
            </w:r>
          </w:p>
        </w:tc>
        <w:tc>
          <w:tcPr>
            <w:tcW w:w="7460" w:type="dxa"/>
            <w:vAlign w:val="bottom"/>
          </w:tcPr>
          <w:p>
            <w:pPr>
              <w:spacing w:after="0"/>
              <w:rPr>
                <w:sz w:val="13"/>
                <w:szCs w:val="13"/>
                <w:color w:val="auto"/>
              </w:rPr>
            </w:pPr>
          </w:p>
        </w:tc>
        <w:tc>
          <w:tcPr>
            <w:tcW w:w="2620" w:type="dxa"/>
            <w:vAlign w:val="bottom"/>
          </w:tcPr>
          <w:p>
            <w:pPr>
              <w:jc w:val="center"/>
              <w:ind w:left="428"/>
              <w:spacing w:after="0" w:line="158" w:lineRule="exact"/>
              <w:rPr>
                <w:sz w:val="20"/>
                <w:szCs w:val="20"/>
                <w:color w:val="auto"/>
              </w:rPr>
            </w:pPr>
            <w:r>
              <w:rPr>
                <w:rFonts w:ascii="Arial" w:cs="Arial" w:eastAsia="Arial" w:hAnsi="Arial"/>
                <w:sz w:val="14"/>
                <w:szCs w:val="14"/>
                <w:b w:val="1"/>
                <w:bCs w:val="1"/>
                <w:color w:val="auto"/>
                <w:w w:val="92"/>
              </w:rPr>
              <w:t>Six Months Ended June 30, 2021</w:t>
            </w:r>
          </w:p>
        </w:tc>
      </w:tr>
      <w:tr>
        <w:trPr>
          <w:trHeight w:val="20"/>
        </w:trPr>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1,864.8</w:t>
            </w:r>
          </w:p>
        </w:tc>
      </w:tr>
      <w:tr>
        <w:trPr>
          <w:trHeight w:val="230"/>
        </w:trPr>
        <w:tc>
          <w:tcPr>
            <w:tcW w:w="5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29"/>
        </w:trPr>
        <w:tc>
          <w:tcPr>
            <w:tcW w:w="5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473"/>
        </w:trPr>
        <w:tc>
          <w:tcPr>
            <w:tcW w:w="4740" w:type="dxa"/>
            <w:vAlign w:val="bottom"/>
            <w:gridSpan w:val="3"/>
          </w:tcPr>
          <w:p>
            <w:pPr>
              <w:ind w:left="500"/>
              <w:spacing w:after="0"/>
              <w:rPr>
                <w:sz w:val="20"/>
                <w:szCs w:val="20"/>
                <w:color w:val="auto"/>
              </w:rPr>
            </w:pPr>
            <w:r>
              <w:rPr>
                <w:rFonts w:ascii="Arial" w:cs="Arial" w:eastAsia="Arial" w:hAnsi="Arial"/>
                <w:sz w:val="18"/>
                <w:szCs w:val="18"/>
                <w:b w:val="1"/>
                <w:bCs w:val="1"/>
                <w:i w:val="1"/>
                <w:iCs w:val="1"/>
                <w:color w:val="auto"/>
              </w:rPr>
              <w:t>Summarized Balance Sheet</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4"/>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3"/>
              </w:rPr>
              <w:t>Unaudited</w:t>
            </w:r>
          </w:p>
        </w:tc>
        <w:tc>
          <w:tcPr>
            <w:tcW w:w="178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8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2"/>
              </w:rPr>
              <w:t>Westinghouse Air Brake Technologies Corp. and Guarantor Subsidiaries</w:t>
            </w:r>
          </w:p>
        </w:tc>
      </w:tr>
      <w:tr>
        <w:trPr>
          <w:trHeight w:val="160"/>
        </w:trPr>
        <w:tc>
          <w:tcPr>
            <w:tcW w:w="52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80" w:type="dxa"/>
            <w:vAlign w:val="bottom"/>
          </w:tcPr>
          <w:p>
            <w:pPr>
              <w:jc w:val="right"/>
              <w:ind w:right="352"/>
              <w:spacing w:after="0"/>
              <w:rPr>
                <w:sz w:val="20"/>
                <w:szCs w:val="20"/>
                <w:color w:val="auto"/>
              </w:rPr>
            </w:pPr>
            <w:r>
              <w:rPr>
                <w:rFonts w:ascii="Arial" w:cs="Arial" w:eastAsia="Arial" w:hAnsi="Arial"/>
                <w:sz w:val="14"/>
                <w:szCs w:val="14"/>
                <w:b w:val="1"/>
                <w:bCs w:val="1"/>
                <w:color w:val="auto"/>
              </w:rPr>
              <w:t>December 31, 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r>
      <w:tr>
        <w:trPr>
          <w:trHeight w:val="230"/>
        </w:trPr>
        <w:tc>
          <w:tcPr>
            <w:tcW w:w="5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1,933.2</w:t>
            </w:r>
          </w:p>
        </w:tc>
        <w:tc>
          <w:tcPr>
            <w:tcW w:w="9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1,835.7</w:t>
            </w:r>
          </w:p>
        </w:tc>
      </w:tr>
      <w:tr>
        <w:trPr>
          <w:trHeight w:val="229"/>
        </w:trPr>
        <w:tc>
          <w:tcPr>
            <w:tcW w:w="5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9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r>
      <w:tr>
        <w:trPr>
          <w:trHeight w:val="230"/>
        </w:trPr>
        <w:tc>
          <w:tcPr>
            <w:tcW w:w="5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3,480.9</w:t>
            </w:r>
          </w:p>
        </w:tc>
        <w:tc>
          <w:tcPr>
            <w:tcW w:w="9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3,779.6</w:t>
            </w:r>
          </w:p>
        </w:tc>
      </w:tr>
      <w:tr>
        <w:trPr>
          <w:trHeight w:val="230"/>
        </w:trPr>
        <w:tc>
          <w:tcPr>
            <w:tcW w:w="5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9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891"/>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0" w:name="page41"/>
    <w:bookmarkEnd w:id="40"/>
    <w:p>
      <w:pPr>
        <w:ind w:firstLine="486"/>
        <w:spacing w:after="0" w:line="269" w:lineRule="auto"/>
        <w:rPr>
          <w:sz w:val="20"/>
          <w:szCs w:val="20"/>
          <w:color w:val="auto"/>
        </w:rPr>
      </w:pPr>
      <w:r>
        <w:rPr>
          <w:rFonts w:ascii="Arial" w:cs="Arial" w:eastAsia="Arial" w:hAnsi="Arial"/>
          <w:sz w:val="18"/>
          <w:szCs w:val="18"/>
          <w:color w:val="auto"/>
        </w:rPr>
        <w:t>The following is a description of the transactions between the combined Westinghouse Air Brake Technologies Corp. and guarantor subsidiaries with non-guarantor subsidiaries.</w:t>
      </w:r>
    </w:p>
    <w:tbl>
      <w:tblPr>
        <w:tblLayout w:type="fixed"/>
        <w:tblInd w:w="5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Unaudited</w:t>
            </w:r>
          </w:p>
        </w:tc>
      </w:tr>
      <w:tr>
        <w:trPr>
          <w:trHeight w:val="147"/>
        </w:trPr>
        <w:tc>
          <w:tcPr>
            <w:tcW w:w="6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20" w:type="dxa"/>
            <w:vAlign w:val="bottom"/>
          </w:tcPr>
          <w:p>
            <w:pPr>
              <w:jc w:val="center"/>
              <w:ind w:left="408"/>
              <w:spacing w:after="0" w:line="147" w:lineRule="exact"/>
              <w:rPr>
                <w:sz w:val="20"/>
                <w:szCs w:val="20"/>
                <w:color w:val="auto"/>
              </w:rPr>
            </w:pPr>
            <w:r>
              <w:rPr>
                <w:rFonts w:ascii="Arial" w:cs="Arial" w:eastAsia="Arial" w:hAnsi="Arial"/>
                <w:sz w:val="14"/>
                <w:szCs w:val="14"/>
                <w:b w:val="1"/>
                <w:bCs w:val="1"/>
                <w:color w:val="auto"/>
                <w:w w:val="92"/>
              </w:rPr>
              <w:t>Westinghouse Air Brake</w:t>
            </w:r>
          </w:p>
        </w:tc>
      </w:tr>
      <w:tr>
        <w:trPr>
          <w:trHeight w:val="135"/>
        </w:trPr>
        <w:tc>
          <w:tcPr>
            <w:tcW w:w="6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Technologies Corp. and Guarantor</w:t>
            </w:r>
          </w:p>
        </w:tc>
      </w:tr>
      <w:tr>
        <w:trPr>
          <w:trHeight w:val="180"/>
        </w:trPr>
        <w:tc>
          <w:tcPr>
            <w:tcW w:w="6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r>
      <w:tr>
        <w:trPr>
          <w:trHeight w:val="158"/>
        </w:trPr>
        <w:tc>
          <w:tcPr>
            <w:tcW w:w="64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9"/>
              </w:rPr>
              <w:t>In millions</w:t>
            </w:r>
          </w:p>
        </w:tc>
        <w:tc>
          <w:tcPr>
            <w:tcW w:w="7460" w:type="dxa"/>
            <w:vAlign w:val="bottom"/>
          </w:tcPr>
          <w:p>
            <w:pPr>
              <w:spacing w:after="0"/>
              <w:rPr>
                <w:sz w:val="13"/>
                <w:szCs w:val="13"/>
                <w:color w:val="auto"/>
              </w:rPr>
            </w:pPr>
          </w:p>
        </w:tc>
        <w:tc>
          <w:tcPr>
            <w:tcW w:w="2620" w:type="dxa"/>
            <w:vAlign w:val="bottom"/>
          </w:tcPr>
          <w:p>
            <w:pPr>
              <w:jc w:val="center"/>
              <w:ind w:left="428"/>
              <w:spacing w:after="0" w:line="158" w:lineRule="exact"/>
              <w:rPr>
                <w:sz w:val="20"/>
                <w:szCs w:val="20"/>
                <w:color w:val="auto"/>
              </w:rPr>
            </w:pPr>
            <w:r>
              <w:rPr>
                <w:rFonts w:ascii="Arial" w:cs="Arial" w:eastAsia="Arial" w:hAnsi="Arial"/>
                <w:sz w:val="14"/>
                <w:szCs w:val="14"/>
                <w:b w:val="1"/>
                <w:bCs w:val="1"/>
                <w:color w:val="auto"/>
                <w:w w:val="92"/>
              </w:rPr>
              <w:t>Six Months Ended June 30, 2021</w:t>
            </w:r>
          </w:p>
        </w:tc>
      </w:tr>
      <w:tr>
        <w:trPr>
          <w:trHeight w:val="21"/>
        </w:trPr>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349.4</w:t>
            </w:r>
          </w:p>
        </w:tc>
      </w:tr>
      <w:tr>
        <w:trPr>
          <w:trHeight w:val="230"/>
        </w:trPr>
        <w:tc>
          <w:tcPr>
            <w:tcW w:w="52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447"/>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jc w:val="center"/>
              <w:ind w:right="140"/>
              <w:spacing w:after="0"/>
              <w:rPr>
                <w:sz w:val="20"/>
                <w:szCs w:val="20"/>
                <w:color w:val="auto"/>
              </w:rPr>
            </w:pPr>
            <w:r>
              <w:rPr>
                <w:rFonts w:ascii="Arial" w:cs="Arial" w:eastAsia="Arial" w:hAnsi="Arial"/>
                <w:sz w:val="14"/>
                <w:szCs w:val="14"/>
                <w:b w:val="1"/>
                <w:bCs w:val="1"/>
                <w:color w:val="auto"/>
                <w:w w:val="96"/>
              </w:rPr>
              <w:t>Unaudited</w:t>
            </w:r>
          </w:p>
        </w:tc>
      </w:tr>
      <w:tr>
        <w:trPr>
          <w:trHeight w:val="147"/>
        </w:trPr>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Westinghouse Air Brake</w:t>
            </w:r>
          </w:p>
        </w:tc>
      </w:tr>
      <w:tr>
        <w:trPr>
          <w:trHeight w:val="135"/>
        </w:trPr>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62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rPr>
              <w:t>Technologies Corp. and Guarantor</w:t>
            </w:r>
          </w:p>
        </w:tc>
      </w:tr>
      <w:tr>
        <w:trPr>
          <w:trHeight w:val="180"/>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20" w:type="dxa"/>
            <w:vAlign w:val="bottom"/>
          </w:tcPr>
          <w:p>
            <w:pPr>
              <w:jc w:val="right"/>
              <w:ind w:right="860"/>
              <w:spacing w:after="0"/>
              <w:rPr>
                <w:sz w:val="20"/>
                <w:szCs w:val="20"/>
                <w:color w:val="auto"/>
              </w:rPr>
            </w:pPr>
            <w:r>
              <w:rPr>
                <w:rFonts w:ascii="Arial" w:cs="Arial" w:eastAsia="Arial" w:hAnsi="Arial"/>
                <w:sz w:val="14"/>
                <w:szCs w:val="14"/>
                <w:b w:val="1"/>
                <w:bCs w:val="1"/>
                <w:color w:val="auto"/>
              </w:rPr>
              <w:t>Subsidiaries</w:t>
            </w:r>
          </w:p>
        </w:tc>
      </w:tr>
      <w:tr>
        <w:trPr>
          <w:trHeight w:val="158"/>
        </w:trPr>
        <w:tc>
          <w:tcPr>
            <w:tcW w:w="520" w:type="dxa"/>
            <w:vAlign w:val="bottom"/>
          </w:tcPr>
          <w:p>
            <w:pPr>
              <w:spacing w:after="0"/>
              <w:rPr>
                <w:sz w:val="13"/>
                <w:szCs w:val="13"/>
                <w:color w:val="auto"/>
              </w:rPr>
            </w:pPr>
          </w:p>
        </w:tc>
        <w:tc>
          <w:tcPr>
            <w:tcW w:w="81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spacing w:after="0"/>
              <w:rPr>
                <w:sz w:val="13"/>
                <w:szCs w:val="13"/>
                <w:color w:val="auto"/>
              </w:rPr>
            </w:pPr>
          </w:p>
        </w:tc>
        <w:tc>
          <w:tcPr>
            <w:tcW w:w="1920" w:type="dxa"/>
            <w:vAlign w:val="bottom"/>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June 30, 2021</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from/(to) non-guarantor subsidiaries</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Summarized Financial Information—Euro Notes</w:t>
      </w:r>
    </w:p>
    <w:p>
      <w:pPr>
        <w:spacing w:after="0" w:line="104" w:lineRule="exact"/>
        <w:rPr>
          <w:sz w:val="20"/>
          <w:szCs w:val="20"/>
          <w:color w:val="auto"/>
        </w:rPr>
      </w:pPr>
    </w:p>
    <w:p>
      <w:pPr>
        <w:ind w:right="140" w:firstLine="486"/>
        <w:spacing w:after="0" w:line="231" w:lineRule="auto"/>
        <w:rPr>
          <w:sz w:val="20"/>
          <w:szCs w:val="20"/>
          <w:color w:val="auto"/>
        </w:rPr>
      </w:pPr>
      <w:r>
        <w:rPr>
          <w:rFonts w:ascii="Arial" w:cs="Arial" w:eastAsia="Arial" w:hAnsi="Arial"/>
          <w:sz w:val="18"/>
          <w:szCs w:val="18"/>
          <w:color w:val="auto"/>
        </w:rPr>
        <w:t>The obligations under Wabtec Netherlands’ Euro Notes are fully and unconditionally guaranteed by the Company. Wabtec Netherlands is a wholly-owned, indirect subsidiary of the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7" w:lineRule="exact"/>
        <w:rPr>
          <w:sz w:val="20"/>
          <w:szCs w:val="20"/>
          <w:color w:val="auto"/>
        </w:rPr>
      </w:pPr>
    </w:p>
    <w:p>
      <w:pPr>
        <w:ind w:right="100" w:firstLine="486"/>
        <w:spacing w:after="0" w:line="242" w:lineRule="auto"/>
        <w:rPr>
          <w:sz w:val="20"/>
          <w:szCs w:val="20"/>
          <w:color w:val="auto"/>
        </w:rPr>
      </w:pPr>
      <w:r>
        <w:rPr>
          <w:rFonts w:ascii="Arial" w:cs="Arial" w:eastAsia="Arial" w:hAnsi="Arial"/>
          <w:sz w:val="17"/>
          <w:szCs w:val="17"/>
          <w:color w:val="auto"/>
        </w:rPr>
        <w:t>The following tables present summarized financial information of Wabtec Netherlands, as the issuer of the Euro Notes, and the Company, as the parent guarantor, on a combined basis. The combined summarized financial information eliminates all intercompany balances and transactions among Wabtec Netherlands and the Company as well as all equity in earnings from and investments in any subsidiary of the Company, other than Wabtec Netherlands, which we refer to below as the Non-Issuer and Non-Guarantor Subsidiaries. The summarized financial information is provided in accordance with the reporting requirements of Rule 13-01 under SEC Regulation S-X for the issuer and parent guarantor.</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Unaudited</w:t>
            </w:r>
          </w:p>
        </w:tc>
      </w:tr>
      <w:tr>
        <w:trPr>
          <w:trHeight w:val="189"/>
        </w:trPr>
        <w:tc>
          <w:tcPr>
            <w:tcW w:w="6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20" w:type="dxa"/>
            <w:vAlign w:val="bottom"/>
          </w:tcPr>
          <w:p>
            <w:pPr>
              <w:jc w:val="center"/>
              <w:ind w:left="408"/>
              <w:spacing w:after="0"/>
              <w:rPr>
                <w:sz w:val="20"/>
                <w:szCs w:val="20"/>
                <w:color w:val="auto"/>
              </w:rPr>
            </w:pPr>
            <w:r>
              <w:rPr>
                <w:rFonts w:ascii="Arial" w:cs="Arial" w:eastAsia="Arial" w:hAnsi="Arial"/>
                <w:sz w:val="14"/>
                <w:szCs w:val="14"/>
                <w:b w:val="1"/>
                <w:bCs w:val="1"/>
                <w:color w:val="auto"/>
                <w:w w:val="94"/>
              </w:rPr>
              <w:t>Issuer and Guarantor</w:t>
            </w:r>
          </w:p>
        </w:tc>
      </w:tr>
      <w:tr>
        <w:trPr>
          <w:trHeight w:val="160"/>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7460" w:type="dxa"/>
            <w:vAlign w:val="bottom"/>
          </w:tcPr>
          <w:p>
            <w:pPr>
              <w:spacing w:after="0"/>
              <w:rPr>
                <w:sz w:val="13"/>
                <w:szCs w:val="13"/>
                <w:color w:val="auto"/>
              </w:rPr>
            </w:pPr>
          </w:p>
        </w:tc>
        <w:tc>
          <w:tcPr>
            <w:tcW w:w="262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Six Months Ended June 30, 2021</w:t>
            </w:r>
          </w:p>
        </w:tc>
      </w:tr>
      <w:tr>
        <w:trPr>
          <w:trHeight w:val="21"/>
        </w:trPr>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30"/>
        </w:trPr>
        <w:tc>
          <w:tcPr>
            <w:tcW w:w="5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8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459"/>
        </w:trPr>
        <w:tc>
          <w:tcPr>
            <w:tcW w:w="6060" w:type="dxa"/>
            <w:vAlign w:val="bottom"/>
            <w:gridSpan w:val="3"/>
          </w:tcPr>
          <w:p>
            <w:pPr>
              <w:ind w:left="500"/>
              <w:spacing w:after="0"/>
              <w:rPr>
                <w:sz w:val="20"/>
                <w:szCs w:val="20"/>
                <w:color w:val="auto"/>
              </w:rPr>
            </w:pPr>
            <w:r>
              <w:rPr>
                <w:rFonts w:ascii="Arial" w:cs="Arial" w:eastAsia="Arial" w:hAnsi="Arial"/>
                <w:sz w:val="18"/>
                <w:szCs w:val="18"/>
                <w:b w:val="1"/>
                <w:bCs w:val="1"/>
                <w:i w:val="1"/>
                <w:iCs w:val="1"/>
                <w:color w:val="auto"/>
              </w:rPr>
              <w:t>Summarized Balance Sheet</w:t>
            </w: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4"/>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w w:val="93"/>
              </w:rPr>
              <w:t>Unaudited</w:t>
            </w:r>
          </w:p>
        </w:tc>
        <w:tc>
          <w:tcPr>
            <w:tcW w:w="164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Issuer and Guarantor</w:t>
            </w:r>
          </w:p>
        </w:tc>
        <w:tc>
          <w:tcPr>
            <w:tcW w:w="1640" w:type="dxa"/>
            <w:vAlign w:val="bottom"/>
          </w:tcPr>
          <w:p>
            <w:pPr>
              <w:spacing w:after="0"/>
              <w:rPr>
                <w:sz w:val="16"/>
                <w:szCs w:val="16"/>
                <w:color w:val="auto"/>
              </w:rPr>
            </w:pPr>
          </w:p>
        </w:tc>
      </w:tr>
      <w:tr>
        <w:trPr>
          <w:trHeight w:val="160"/>
        </w:trPr>
        <w:tc>
          <w:tcPr>
            <w:tcW w:w="520" w:type="dxa"/>
            <w:vAlign w:val="bottom"/>
          </w:tcPr>
          <w:p>
            <w:pPr>
              <w:spacing w:after="0"/>
              <w:rPr>
                <w:sz w:val="13"/>
                <w:szCs w:val="13"/>
                <w:color w:val="auto"/>
              </w:rPr>
            </w:pPr>
          </w:p>
        </w:tc>
        <w:tc>
          <w:tcPr>
            <w:tcW w:w="5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60" w:type="dxa"/>
            <w:vAlign w:val="bottom"/>
          </w:tcPr>
          <w:p>
            <w:pPr>
              <w:spacing w:after="0"/>
              <w:rPr>
                <w:sz w:val="13"/>
                <w:szCs w:val="13"/>
                <w:color w:val="auto"/>
              </w:rPr>
            </w:pPr>
          </w:p>
        </w:tc>
        <w:tc>
          <w:tcPr>
            <w:tcW w:w="164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tcPr>
          <w:p>
            <w:pPr>
              <w:jc w:val="right"/>
              <w:ind w:right="352"/>
              <w:spacing w:after="0"/>
              <w:rPr>
                <w:sz w:val="20"/>
                <w:szCs w:val="20"/>
                <w:color w:val="auto"/>
              </w:rPr>
            </w:pPr>
            <w:r>
              <w:rPr>
                <w:rFonts w:ascii="Arial" w:cs="Arial" w:eastAsia="Arial" w:hAnsi="Arial"/>
                <w:sz w:val="14"/>
                <w:szCs w:val="14"/>
                <w:b w:val="1"/>
                <w:bCs w:val="1"/>
                <w:color w:val="auto"/>
                <w:w w:val="93"/>
              </w:rPr>
              <w:t>December 31, 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30"/>
        </w:trPr>
        <w:tc>
          <w:tcPr>
            <w:tcW w:w="5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703.6</w:t>
            </w:r>
          </w:p>
        </w:tc>
        <w:tc>
          <w:tcPr>
            <w:tcW w:w="10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709.8</w:t>
            </w:r>
          </w:p>
        </w:tc>
      </w:tr>
      <w:tr>
        <w:trPr>
          <w:trHeight w:val="230"/>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w:t>
            </w:r>
          </w:p>
        </w:tc>
      </w:tr>
      <w:tr>
        <w:trPr>
          <w:trHeight w:val="230"/>
        </w:trPr>
        <w:tc>
          <w:tcPr>
            <w:tcW w:w="5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4,067.5</w:t>
            </w:r>
          </w:p>
        </w:tc>
        <w:tc>
          <w:tcPr>
            <w:tcW w:w="10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3,779.6</w:t>
            </w:r>
          </w:p>
        </w:tc>
      </w:tr>
      <w:tr>
        <w:trPr>
          <w:trHeight w:val="229"/>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r>
    </w:tbl>
    <w:p>
      <w:pPr>
        <w:spacing w:after="0" w:line="175" w:lineRule="exact"/>
        <w:rPr>
          <w:sz w:val="20"/>
          <w:szCs w:val="20"/>
          <w:color w:val="auto"/>
        </w:rPr>
      </w:pPr>
    </w:p>
    <w:p>
      <w:pPr>
        <w:ind w:right="80" w:firstLine="486"/>
        <w:spacing w:after="0" w:line="246" w:lineRule="auto"/>
        <w:rPr>
          <w:sz w:val="20"/>
          <w:szCs w:val="20"/>
          <w:color w:val="auto"/>
        </w:rPr>
      </w:pPr>
      <w:r>
        <w:rPr>
          <w:rFonts w:ascii="Arial" w:cs="Arial" w:eastAsia="Arial" w:hAnsi="Arial"/>
          <w:sz w:val="18"/>
          <w:szCs w:val="18"/>
          <w:color w:val="auto"/>
        </w:rPr>
        <w:t>The following is a description of the transactions between the combined Westinghouse Air Brake Technologies Corp. and Wabtec Netherlands, with the subsidiaries of Westinghouse Air Brake Technologies Corp., other than Wabtec Netherlands,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none of which are guarantors of the Euro Notes.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Unaudited</w:t>
            </w:r>
          </w:p>
        </w:tc>
      </w:tr>
      <w:tr>
        <w:trPr>
          <w:trHeight w:val="189"/>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Wabtec and Wabtec Netherlands</w:t>
            </w:r>
          </w:p>
        </w:tc>
      </w:t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3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Six Months Ended June 30, 2021</w:t>
            </w:r>
          </w:p>
        </w:tc>
      </w:tr>
      <w:tr>
        <w:trPr>
          <w:trHeight w:val="20"/>
        </w:trPr>
        <w:tc>
          <w:tcPr>
            <w:tcW w:w="6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44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jc w:val="center"/>
              <w:ind w:right="297"/>
              <w:spacing w:after="0"/>
              <w:rPr>
                <w:sz w:val="20"/>
                <w:szCs w:val="20"/>
                <w:color w:val="auto"/>
              </w:rPr>
            </w:pPr>
            <w:r>
              <w:rPr>
                <w:rFonts w:ascii="Arial" w:cs="Arial" w:eastAsia="Arial" w:hAnsi="Arial"/>
                <w:sz w:val="14"/>
                <w:szCs w:val="14"/>
                <w:b w:val="1"/>
                <w:bCs w:val="1"/>
                <w:color w:val="auto"/>
                <w:w w:val="96"/>
              </w:rPr>
              <w:t>Unaudited</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Wabtec and Wabtec Netherlands</w:t>
            </w:r>
          </w:p>
        </w:tc>
      </w:tr>
      <w:tr>
        <w:trPr>
          <w:trHeight w:val="161"/>
        </w:trPr>
        <w:tc>
          <w:tcPr>
            <w:tcW w:w="20" w:type="dxa"/>
            <w:vAlign w:val="bottom"/>
          </w:tcPr>
          <w:p>
            <w:pPr>
              <w:spacing w:after="0"/>
              <w:rPr>
                <w:sz w:val="13"/>
                <w:szCs w:val="13"/>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3"/>
                <w:szCs w:val="13"/>
                <w:color w:val="auto"/>
              </w:rPr>
            </w:pPr>
          </w:p>
        </w:tc>
        <w:tc>
          <w:tcPr>
            <w:tcW w:w="1800" w:type="dxa"/>
            <w:vAlign w:val="bottom"/>
          </w:tcPr>
          <w:p>
            <w:pPr>
              <w:jc w:val="center"/>
              <w:ind w:right="317"/>
              <w:spacing w:after="0"/>
              <w:rPr>
                <w:sz w:val="20"/>
                <w:szCs w:val="20"/>
                <w:color w:val="auto"/>
              </w:rPr>
            </w:pPr>
            <w:r>
              <w:rPr>
                <w:rFonts w:ascii="Arial" w:cs="Arial" w:eastAsia="Arial" w:hAnsi="Arial"/>
                <w:sz w:val="14"/>
                <w:szCs w:val="14"/>
                <w:b w:val="1"/>
                <w:bCs w:val="1"/>
                <w:color w:val="auto"/>
                <w:w w:val="92"/>
              </w:rPr>
              <w:t>June 30,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from/(to) non-guarantor subsidiaries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On February 11, 2021, the Board of Directors increased its stock repurchase authorization to increase the amount available for stock repurchases to $500 million of the Company’s outstanding shares. This new stock repurchase authorization supersedes the previous authorization of $500 million of which about $292.2 million remained. No time limit was set for the completion of the program which conforms to the requirements under the Senior Credit Facility, the 364 Day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67" w:lineRule="exact"/>
        <w:rPr>
          <w:sz w:val="20"/>
          <w:szCs w:val="20"/>
          <w:color w:val="auto"/>
        </w:rPr>
      </w:pPr>
    </w:p>
    <w:p>
      <w:pPr>
        <w:ind w:left="620" w:right="4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Africa;</w:t>
      </w:r>
    </w:p>
    <w:p>
      <w:pPr>
        <w:spacing w:after="0" w:line="8"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2" w:name="page43"/>
    <w:bookmarkEnd w:id="42"/>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auto"/>
        </w:rPr>
      </w:pPr>
    </w:p>
    <w:p>
      <w:pPr>
        <w:ind w:left="620" w:hanging="329"/>
        <w:spacing w:after="0" w:line="298" w:lineRule="auto"/>
        <w:tabs>
          <w:tab w:leader="none" w:pos="6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the GE Transportation Business;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law, regulation and policy;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factors</w:t>
      </w:r>
    </w:p>
    <w:p>
      <w:pPr>
        <w:spacing w:after="0" w:line="67" w:lineRule="exact"/>
        <w:rPr>
          <w:sz w:val="20"/>
          <w:szCs w:val="20"/>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severity and duration of the pandemic;</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of general economic conditions;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shutdown of one or more of our operating facilities;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chain and sourcing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of our customers to pay timely for goods and services delivered;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of our employees;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retain and recruit talented employees;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obtaining debt or equity financing.</w:t>
      </w:r>
    </w:p>
    <w:p>
      <w:pPr>
        <w:spacing w:after="0" w:line="11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2020. In particular, judgment is used in areas such as accounts receivable and the allowance for doubtful accounts, inventories, goodwill and indefinite-lived intangibles, business combinations, warranty reserves, stock-based compensation, income taxes and revenue recognition. There have been no significant changes in accounting policies since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June 3, 2021, Wabtec Netherlands completed a public offering and sale of €500.0 million aggregate principal amount of Euro Notes. The Euro Notes will bear interest from June 3, 2021, at a rate equal to 1.250% per year, with payments made annually commencing on December 3, 2021. Additionally, during the second quarter of 2021, all U.S. dollar-denominated Term Loans were repaid. As a result of these collective changes, interest payment obligations related to total debt as of June 30, 2021 are expected to be $161.9 million for 2021, $311.3 million for 2022-2023, $230.9 million for 2024-2025, and $226.3 million thereafter for a combined total of $930.4 million. Further, as of June 30, 2021, contractual obligations related to the repayment of Long-term debt are expected to be $0.6 million for 2021, $250.0 million for 2022-2023, $1,261.6 million for 2024-2025, and $2,593.3 million thereafter for a combined total of $4,105.5 million.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3" w:name="page44"/>
    <w:bookmarkEnd w:id="43"/>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See "Quantitative and Qualitative Disclosures About Market Risk" in Item 7A of Part II of our Annual Report on Form 10-K for the year ended December 31, 2020. Our exposure to market risk has not changed materially since December 31, 2020. Refer to Note 13 - Derivative Financial Instruments and Hedging of "Notes to Condensed Consolidated Financial Statements" included in Part I, Item 1 of this report for additional information regarding interest rate and foreign currency exchange risk.</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June 30, 2021.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222"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June 30, 2021, that has materially affected, or is reasonably likely to materially affect, Wabtec’s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15 of “Notes to Condensed Consolidated Financial Statements” included in Part I, Item 1 of this report.</w:t>
      </w:r>
    </w:p>
    <w:p>
      <w:pPr>
        <w:spacing w:after="0" w:line="3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June 30, 2021: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Common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color w:val="auto"/>
                <w:w w:val="91"/>
              </w:rPr>
              <w:t>Total Number of</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96"/>
              </w:rPr>
              <w:t>Maximum Dollar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 Purchased as</w:t>
            </w:r>
          </w:p>
        </w:tc>
        <w:tc>
          <w:tcPr>
            <w:tcW w:w="16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2"/>
              </w:rPr>
              <w:t>Value of Shares That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Number of</w:t>
            </w:r>
          </w:p>
        </w:tc>
        <w:tc>
          <w:tcPr>
            <w:tcW w:w="12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Average Price</w:t>
            </w: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Part of Publicly</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Announced</w:t>
            </w:r>
          </w:p>
        </w:tc>
        <w:tc>
          <w:tcPr>
            <w:tcW w:w="16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1"/>
              </w:rPr>
              <w:t>Purchased Under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except shares and price per share</w:t>
            </w:r>
          </w:p>
        </w:tc>
        <w:tc>
          <w:tcPr>
            <w:tcW w:w="17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Shares Purchased</w:t>
            </w:r>
          </w:p>
        </w:tc>
        <w:tc>
          <w:tcPr>
            <w:tcW w:w="136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Paid per Share</w:t>
            </w:r>
          </w:p>
        </w:tc>
        <w:tc>
          <w:tcPr>
            <w:tcW w:w="16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Programs (1)</w:t>
            </w:r>
          </w:p>
        </w:tc>
        <w:tc>
          <w:tcPr>
            <w:tcW w:w="160" w:type="dxa"/>
            <w:vAlign w:val="bottom"/>
          </w:tcPr>
          <w:p>
            <w:pPr>
              <w:spacing w:after="0"/>
              <w:rPr>
                <w:sz w:val="16"/>
                <w:szCs w:val="16"/>
                <w:color w:val="auto"/>
              </w:rPr>
            </w:pPr>
          </w:p>
        </w:tc>
        <w:tc>
          <w:tcPr>
            <w:tcW w:w="150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Programs (1)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2021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May 2021</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2021</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Total quarter ended June 30, 2021</w:t>
            </w:r>
          </w:p>
        </w:tc>
        <w:tc>
          <w:tcPr>
            <w:tcW w:w="162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8"/>
        <w:spacing w:after="0" w:line="273" w:lineRule="auto"/>
        <w:tabs>
          <w:tab w:leader="none" w:pos="39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February 11, 2021, the Board of Directors increased its stock repurchase authorization such that the Company has $500 million available for stock repurchases of the Company’s outstanding shares. This new stock repurchase authorization supersedes the previous authorization of $500 million of which about $292.2 million remained. No time limit was set for the completion of the program which conforms to the requirements under the Senior Credit Facility, the 364 Day Facility (which has since been retired)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5" w:name="page46"/>
    <w:bookmarkEnd w:id="45"/>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report:</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7"/>
                <w:szCs w:val="17"/>
                <w:color w:val="auto"/>
              </w:rPr>
            </w:pPr>
          </w:p>
        </w:tc>
        <w:tc>
          <w:tcPr>
            <w:tcW w:w="9340" w:type="dxa"/>
            <w:vAlign w:val="bottom"/>
            <w:gridSpan w:val="15"/>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Base Indenture, dated as of June 3, 2021, among Wabtec Transportation Netherlands B.V, as issuer, Westinghouse Air Brake</w:t>
              </w:r>
            </w:hyperlink>
          </w:p>
        </w:tc>
      </w:tr>
      <w:tr>
        <w:trPr>
          <w:trHeight w:val="20"/>
        </w:trPr>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9820" w:type="dxa"/>
            <w:vAlign w:val="bottom"/>
            <w:gridSpan w:val="16"/>
          </w:tcPr>
          <w:p>
            <w:pPr>
              <w:spacing w:after="0" w:line="15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Technologies Corporation, as guarantor, and U.S. Bank National Association, as trustee. (incorporated by reference to Exhibit 4.1 to the</w:t>
              </w:r>
            </w:hyperlink>
          </w:p>
        </w:tc>
      </w:tr>
      <w:tr>
        <w:trPr>
          <w:trHeight w:val="156"/>
        </w:trPr>
        <w:tc>
          <w:tcPr>
            <w:tcW w:w="9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Current Report on Form 8-K filed on June 3, 2021)</w:t>
              </w:r>
            </w:hyperlink>
          </w:p>
        </w:tc>
        <w:tc>
          <w:tcPr>
            <w:tcW w:w="61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2"/>
                <w:szCs w:val="22"/>
                <w:color w:val="auto"/>
              </w:rPr>
            </w:pPr>
          </w:p>
        </w:tc>
        <w:tc>
          <w:tcPr>
            <w:tcW w:w="9220" w:type="dxa"/>
            <w:vAlign w:val="bottom"/>
            <w:tcBorders>
              <w:bottom w:val="single" w:sz="8" w:color="0000FF"/>
            </w:tcBorders>
            <w:gridSpan w:val="12"/>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First Supplemental Indenture, dated as of June 3, 2021, among Wabtec Transportation Netherlands B.V, as issuer, Westinghouse</w:t>
              </w:r>
            </w:hyperlink>
          </w:p>
        </w:tc>
        <w:tc>
          <w:tcPr>
            <w:tcW w:w="120" w:type="dxa"/>
            <w:vAlign w:val="bottom"/>
            <w:gridSpan w:val="3"/>
          </w:tcPr>
          <w:p>
            <w:pPr>
              <w:spacing w:after="0"/>
              <w:rPr>
                <w:sz w:val="22"/>
                <w:szCs w:val="22"/>
                <w:color w:val="auto"/>
              </w:rPr>
            </w:pPr>
          </w:p>
        </w:tc>
      </w:tr>
      <w:tr>
        <w:trPr>
          <w:trHeight w:val="156"/>
        </w:trPr>
        <w:tc>
          <w:tcPr>
            <w:tcW w:w="920" w:type="dxa"/>
            <w:vAlign w:val="bottom"/>
          </w:tcPr>
          <w:p>
            <w:pPr>
              <w:spacing w:after="0"/>
              <w:rPr>
                <w:sz w:val="13"/>
                <w:szCs w:val="13"/>
                <w:color w:val="auto"/>
              </w:rPr>
            </w:pPr>
          </w:p>
        </w:tc>
        <w:tc>
          <w:tcPr>
            <w:tcW w:w="9700" w:type="dxa"/>
            <w:vAlign w:val="bottom"/>
            <w:tcBorders>
              <w:bottom w:val="single" w:sz="8" w:color="0000FF"/>
            </w:tcBorders>
            <w:gridSpan w:val="13"/>
          </w:tcPr>
          <w:p>
            <w:pPr>
              <w:spacing w:after="0" w:line="15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Air Brake Technologies Corporation, as guarantor, and U.S. Bank National Association, as trustee (incorporated by reference to Exhibit</w:t>
              </w:r>
            </w:hyperlink>
          </w:p>
        </w:tc>
        <w:tc>
          <w:tcPr>
            <w:tcW w:w="8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442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w:t>
              </w:r>
              <w:r>
                <w:rPr>
                  <w:rFonts w:ascii="Arial" w:cs="Arial" w:eastAsia="Arial" w:hAnsi="Arial"/>
                  <w:sz w:val="18"/>
                  <w:szCs w:val="18"/>
                  <w:color w:val="0000FF"/>
                  <w:w w:val="91"/>
                </w:rPr>
                <w:t xml:space="preserve"> to the Current Report on Form 8-K filed on June 3, 2021)</w:t>
              </w:r>
            </w:hyperlink>
          </w:p>
        </w:tc>
        <w:tc>
          <w:tcPr>
            <w:tcW w:w="536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2"/>
                <w:szCs w:val="22"/>
                <w:color w:val="auto"/>
              </w:rPr>
            </w:pPr>
          </w:p>
        </w:tc>
        <w:tc>
          <w:tcPr>
            <w:tcW w:w="9340" w:type="dxa"/>
            <w:vAlign w:val="bottom"/>
            <w:gridSpan w:val="15"/>
          </w:tcPr>
          <w:p>
            <w:pPr>
              <w:spacing w:after="0"/>
              <w:rPr>
                <w:rFonts w:ascii="Arial" w:cs="Arial" w:eastAsia="Arial" w:hAnsi="Arial"/>
                <w:sz w:val="18"/>
                <w:szCs w:val="18"/>
                <w:color w:val="0000FF"/>
              </w:rPr>
            </w:pPr>
            <w:hyperlink r:id="rId73">
              <w:r>
                <w:rPr>
                  <w:rFonts w:ascii="Arial" w:cs="Arial" w:eastAsia="Arial" w:hAnsi="Arial"/>
                  <w:sz w:val="18"/>
                  <w:szCs w:val="18"/>
                  <w:color w:val="0000FF"/>
                </w:rPr>
                <w:t>Form of 1.250% Notes due 2027 (included in Exhibit 4.2 hereof)</w:t>
              </w:r>
            </w:hyperlink>
          </w:p>
        </w:tc>
      </w:tr>
      <w:tr>
        <w:trPr>
          <w:trHeight w:val="20"/>
        </w:trPr>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2"/>
                <w:szCs w:val="22"/>
                <w:color w:val="auto"/>
              </w:rPr>
            </w:pPr>
          </w:p>
        </w:tc>
        <w:tc>
          <w:tcPr>
            <w:tcW w:w="8360" w:type="dxa"/>
            <w:vAlign w:val="bottom"/>
            <w:tcBorders>
              <w:bottom w:val="single" w:sz="8" w:color="0000FF"/>
            </w:tcBorders>
            <w:gridSpan w:val="9"/>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Second Amendment to Credit Agreement, dated as of April 22, 2021, among Westinghouse Air Brake Technologies</w:t>
              </w:r>
            </w:hyperlink>
          </w:p>
        </w:tc>
        <w:tc>
          <w:tcPr>
            <w:tcW w:w="980" w:type="dxa"/>
            <w:vAlign w:val="bottom"/>
            <w:gridSpan w:val="6"/>
          </w:tcPr>
          <w:p>
            <w:pPr>
              <w:spacing w:after="0"/>
              <w:rPr>
                <w:sz w:val="22"/>
                <w:szCs w:val="22"/>
                <w:color w:val="auto"/>
              </w:rPr>
            </w:pPr>
          </w:p>
        </w:tc>
      </w:tr>
      <w:tr>
        <w:trPr>
          <w:trHeight w:val="156"/>
        </w:trPr>
        <w:tc>
          <w:tcPr>
            <w:tcW w:w="920" w:type="dxa"/>
            <w:vAlign w:val="bottom"/>
          </w:tcPr>
          <w:p>
            <w:pPr>
              <w:spacing w:after="0"/>
              <w:rPr>
                <w:sz w:val="13"/>
                <w:szCs w:val="13"/>
                <w:color w:val="auto"/>
              </w:rPr>
            </w:pPr>
          </w:p>
        </w:tc>
        <w:tc>
          <w:tcPr>
            <w:tcW w:w="9820" w:type="dxa"/>
            <w:vAlign w:val="bottom"/>
            <w:gridSpan w:val="16"/>
          </w:tcPr>
          <w:p>
            <w:pPr>
              <w:spacing w:after="0" w:line="15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Corporation, Wabtec Netherlands B.V. and the other borrowing subsidiaries party thereto, the lenders party thereto and PNC Bank,</w:t>
              </w:r>
            </w:hyperlink>
          </w:p>
        </w:tc>
      </w:tr>
      <w:tr>
        <w:trPr>
          <w:trHeight w:val="156"/>
        </w:trPr>
        <w:tc>
          <w:tcPr>
            <w:tcW w:w="920" w:type="dxa"/>
            <w:vAlign w:val="bottom"/>
          </w:tcPr>
          <w:p>
            <w:pPr>
              <w:spacing w:after="0"/>
              <w:rPr>
                <w:sz w:val="13"/>
                <w:szCs w:val="13"/>
                <w:color w:val="auto"/>
              </w:rPr>
            </w:pPr>
          </w:p>
        </w:tc>
        <w:tc>
          <w:tcPr>
            <w:tcW w:w="944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National Association, as Administrative Agent (incorporated by reference to Exhibit 10.1 to the Current Report on Form 8-K filed</w:t>
              </w:r>
            </w:hyperlink>
          </w:p>
        </w:tc>
        <w:tc>
          <w:tcPr>
            <w:tcW w:w="380" w:type="dxa"/>
            <w:vAlign w:val="bottom"/>
            <w:gridSpan w:val="5"/>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on</w:t>
              </w:r>
            </w:hyperlink>
          </w:p>
        </w:tc>
      </w:tr>
      <w:tr>
        <w:trPr>
          <w:trHeight w:val="155"/>
        </w:trPr>
        <w:tc>
          <w:tcPr>
            <w:tcW w:w="92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April 28, 2021)</w:t>
              </w:r>
            </w:hyperlink>
          </w:p>
        </w:tc>
        <w:tc>
          <w:tcPr>
            <w:tcW w:w="8480" w:type="dxa"/>
            <w:vAlign w:val="bottom"/>
            <w:tcBorders>
              <w:top w:val="single" w:sz="8" w:color="0000FF"/>
            </w:tcBorders>
            <w:gridSpan w:val="10"/>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22.1</w:t>
            </w:r>
          </w:p>
        </w:tc>
        <w:tc>
          <w:tcPr>
            <w:tcW w:w="480" w:type="dxa"/>
            <w:vAlign w:val="bottom"/>
          </w:tcPr>
          <w:p>
            <w:pPr>
              <w:spacing w:after="0"/>
              <w:rPr>
                <w:sz w:val="22"/>
                <w:szCs w:val="22"/>
                <w:color w:val="auto"/>
              </w:rPr>
            </w:pPr>
          </w:p>
        </w:tc>
        <w:tc>
          <w:tcPr>
            <w:tcW w:w="934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List of Subsidiary Guarantors</w:t>
              </w:r>
            </w:hyperlink>
          </w:p>
        </w:tc>
      </w:tr>
      <w:tr>
        <w:trPr>
          <w:trHeight w:val="20"/>
        </w:trPr>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2"/>
                <w:szCs w:val="22"/>
                <w:color w:val="auto"/>
              </w:rPr>
            </w:pPr>
          </w:p>
        </w:tc>
        <w:tc>
          <w:tcPr>
            <w:tcW w:w="9340" w:type="dxa"/>
            <w:vAlign w:val="bottom"/>
            <w:gridSpan w:val="15"/>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Rule 13a-14(a) Certification of Chief Executive Officer.</w:t>
              </w:r>
            </w:hyperlink>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2"/>
                <w:szCs w:val="22"/>
                <w:color w:val="auto"/>
              </w:rPr>
            </w:pPr>
          </w:p>
        </w:tc>
        <w:tc>
          <w:tcPr>
            <w:tcW w:w="40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2"/>
                <w:szCs w:val="22"/>
                <w:color w:val="auto"/>
              </w:rPr>
            </w:pPr>
          </w:p>
        </w:tc>
        <w:tc>
          <w:tcPr>
            <w:tcW w:w="5300" w:type="dxa"/>
            <w:vAlign w:val="bottom"/>
            <w:gridSpan w:val="9"/>
          </w:tcPr>
          <w:p>
            <w:pPr>
              <w:spacing w:after="0"/>
              <w:rPr>
                <w:sz w:val="22"/>
                <w:szCs w:val="22"/>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2"/>
                <w:szCs w:val="22"/>
                <w:color w:val="auto"/>
              </w:rPr>
            </w:pPr>
          </w:p>
        </w:tc>
        <w:tc>
          <w:tcPr>
            <w:tcW w:w="594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Section 1350 Certification of Chief Executive Officer and Chief Financial Officer.</w:t>
              </w:r>
            </w:hyperlink>
          </w:p>
        </w:tc>
        <w:tc>
          <w:tcPr>
            <w:tcW w:w="3400" w:type="dxa"/>
            <w:vAlign w:val="bottom"/>
            <w:gridSpan w:val="7"/>
          </w:tcPr>
          <w:p>
            <w:pPr>
              <w:spacing w:after="0"/>
              <w:rPr>
                <w:sz w:val="22"/>
                <w:szCs w:val="22"/>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8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8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8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8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8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8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920" w:hanging="140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6" w:name="page47"/>
    <w:bookmarkEnd w:id="4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9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WESTINGHOUSE AIR BRAKE TECHNOLOGIES</w:t>
      </w:r>
    </w:p>
    <w:p>
      <w:pPr>
        <w:ind w:left="5980"/>
        <w:spacing w:after="0"/>
        <w:rPr>
          <w:sz w:val="20"/>
          <w:szCs w:val="20"/>
          <w:color w:val="auto"/>
        </w:rPr>
      </w:pPr>
      <w:r>
        <w:rPr>
          <w:rFonts w:ascii="Arial" w:cs="Arial" w:eastAsia="Arial" w:hAnsi="Arial"/>
          <w:sz w:val="18"/>
          <w:szCs w:val="18"/>
          <w:color w:val="auto"/>
        </w:rPr>
        <w:t>CORPORATION</w:t>
      </w:r>
    </w:p>
    <w:p>
      <w:pPr>
        <w:spacing w:after="0" w:line="61" w:lineRule="exact"/>
        <w:rPr>
          <w:sz w:val="20"/>
          <w:szCs w:val="20"/>
          <w:color w:val="auto"/>
        </w:rPr>
      </w:pPr>
    </w:p>
    <w:p>
      <w:pPr>
        <w:ind w:left="6460"/>
        <w:spacing w:after="0"/>
        <w:tabs>
          <w:tab w:leader="none" w:pos="836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14605</wp:posOffset>
            </wp:positionV>
            <wp:extent cx="26828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8"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Patrick D. Dugan,</w:t>
      </w:r>
    </w:p>
    <w:p>
      <w:pPr>
        <w:spacing w:after="0" w:line="1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Executive Vice President and</w:t>
      </w:r>
    </w:p>
    <w:p>
      <w:pPr>
        <w:ind w:left="8420"/>
        <w:spacing w:after="0"/>
        <w:rPr>
          <w:sz w:val="20"/>
          <w:szCs w:val="20"/>
          <w:color w:val="auto"/>
        </w:rPr>
      </w:pPr>
      <w:r>
        <w:rPr>
          <w:rFonts w:ascii="Arial" w:cs="Arial" w:eastAsia="Arial" w:hAnsi="Arial"/>
          <w:sz w:val="14"/>
          <w:szCs w:val="14"/>
          <w:b w:val="1"/>
          <w:bCs w:val="1"/>
          <w:color w:val="auto"/>
        </w:rPr>
        <w:t>Chief Financial Officer</w:t>
      </w:r>
    </w:p>
    <w:p>
      <w:pPr>
        <w:spacing w:after="0" w:line="277"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(Duly Authorized Officer and Principal Financial Officer)</w:t>
      </w:r>
    </w:p>
    <w:p>
      <w:pPr>
        <w:spacing w:after="0" w:line="291" w:lineRule="exact"/>
        <w:rPr>
          <w:sz w:val="20"/>
          <w:szCs w:val="20"/>
          <w:color w:val="auto"/>
        </w:rPr>
      </w:pPr>
    </w:p>
    <w:p>
      <w:pPr>
        <w:ind w:left="6460"/>
        <w:spacing w:after="0"/>
        <w:tabs>
          <w:tab w:leader="none" w:pos="7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80"/>
          </w:cols>
          <w:pgMar w:left="320" w:top="931" w:right="799" w:bottom="1440" w:gutter="0" w:footer="0" w:header="0"/>
        </w:sectPr>
      </w:pPr>
    </w:p>
    <w:bookmarkStart w:id="47" w:name="page48"/>
    <w:bookmarkEnd w:id="47"/>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22.1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Guarantor Subsidiaries of Westinghouse Air Brake Technologies</w:t>
      </w:r>
    </w:p>
    <w:p>
      <w:pPr>
        <w:spacing w:after="0" w:line="134"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obligations under the Company's US Notes, Senior Credit Facility, and 364 Day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US Notes and Senior Credit Facility</w:t>
      </w:r>
    </w:p>
    <w:p>
      <w:pPr>
        <w:spacing w:after="0"/>
        <w:tabs>
          <w:tab w:leader="none" w:pos="660" w:val="left"/>
        </w:tabs>
        <w:rPr>
          <w:sz w:val="20"/>
          <w:szCs w:val="20"/>
          <w:color w:val="auto"/>
        </w:rPr>
      </w:pPr>
      <w:r>
        <w:rPr>
          <w:rFonts w:ascii="Arial" w:cs="Arial" w:eastAsia="Arial" w:hAnsi="Arial"/>
          <w:sz w:val="18"/>
          <w:szCs w:val="18"/>
          <w:i w:val="1"/>
          <w:iCs w:val="1"/>
          <w:u w:val="single" w:color="auto"/>
          <w:color w:val="auto"/>
        </w:rPr>
        <w:t>Issuer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Westinghouse Air Brake Technologies Corporation</w:t>
      </w:r>
    </w:p>
    <w:p>
      <w:pPr>
        <w:spacing w:after="0"/>
        <w:tabs>
          <w:tab w:leader="none" w:pos="1060" w:val="left"/>
        </w:tabs>
        <w:rPr>
          <w:sz w:val="20"/>
          <w:szCs w:val="20"/>
          <w:color w:val="auto"/>
        </w:rPr>
      </w:pPr>
      <w:r>
        <w:rPr>
          <w:rFonts w:ascii="Arial" w:cs="Arial" w:eastAsia="Arial" w:hAnsi="Arial"/>
          <w:sz w:val="18"/>
          <w:szCs w:val="18"/>
          <w:i w:val="1"/>
          <w:iCs w:val="1"/>
          <w:u w:val="single" w:color="auto"/>
          <w:color w:val="auto"/>
        </w:rPr>
        <w:t>Guarantors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 Transportation, a Wabtec Company</w:t>
      </w:r>
    </w:p>
    <w:p>
      <w:pPr>
        <w:ind w:left="1300"/>
        <w:spacing w:after="0" w:line="220" w:lineRule="auto"/>
        <w:rPr>
          <w:sz w:val="20"/>
          <w:szCs w:val="20"/>
          <w:color w:val="auto"/>
        </w:rPr>
      </w:pPr>
      <w:r>
        <w:rPr>
          <w:rFonts w:ascii="Arial" w:cs="Arial" w:eastAsia="Arial" w:hAnsi="Arial"/>
          <w:sz w:val="18"/>
          <w:szCs w:val="18"/>
          <w:color w:val="auto"/>
        </w:rPr>
        <w:t>RFPC Holding Corp.</w:t>
      </w:r>
    </w:p>
    <w:p>
      <w:pPr>
        <w:ind w:left="1300"/>
        <w:spacing w:after="0" w:line="219" w:lineRule="auto"/>
        <w:rPr>
          <w:sz w:val="20"/>
          <w:szCs w:val="20"/>
          <w:color w:val="auto"/>
        </w:rPr>
      </w:pPr>
      <w:r>
        <w:rPr>
          <w:rFonts w:ascii="Arial" w:cs="Arial" w:eastAsia="Arial" w:hAnsi="Arial"/>
          <w:sz w:val="18"/>
          <w:szCs w:val="18"/>
          <w:color w:val="auto"/>
        </w:rPr>
        <w:t>Schaefer Equipment, Inc.</w:t>
      </w:r>
    </w:p>
    <w:p>
      <w:pPr>
        <w:ind w:left="1300"/>
        <w:spacing w:after="0" w:line="219" w:lineRule="auto"/>
        <w:rPr>
          <w:sz w:val="20"/>
          <w:szCs w:val="20"/>
          <w:color w:val="auto"/>
        </w:rPr>
      </w:pPr>
      <w:r>
        <w:rPr>
          <w:rFonts w:ascii="Arial" w:cs="Arial" w:eastAsia="Arial" w:hAnsi="Arial"/>
          <w:sz w:val="18"/>
          <w:szCs w:val="18"/>
          <w:color w:val="auto"/>
        </w:rPr>
        <w:t>Standard Car Truck Company</w:t>
      </w:r>
    </w:p>
    <w:p>
      <w:pPr>
        <w:ind w:left="1300"/>
        <w:spacing w:after="0" w:line="219" w:lineRule="auto"/>
        <w:rPr>
          <w:sz w:val="20"/>
          <w:szCs w:val="20"/>
          <w:color w:val="auto"/>
        </w:rPr>
      </w:pPr>
      <w:r>
        <w:rPr>
          <w:rFonts w:ascii="Arial" w:cs="Arial" w:eastAsia="Arial" w:hAnsi="Arial"/>
          <w:sz w:val="18"/>
          <w:szCs w:val="18"/>
          <w:color w:val="auto"/>
        </w:rPr>
        <w:t>Transportation IP Holdings, LLC</w:t>
      </w:r>
    </w:p>
    <w:p>
      <w:pPr>
        <w:ind w:left="1300"/>
        <w:spacing w:after="0" w:line="219" w:lineRule="auto"/>
        <w:rPr>
          <w:sz w:val="20"/>
          <w:szCs w:val="20"/>
          <w:color w:val="auto"/>
        </w:rPr>
      </w:pPr>
      <w:r>
        <w:rPr>
          <w:rFonts w:ascii="Arial" w:cs="Arial" w:eastAsia="Arial" w:hAnsi="Arial"/>
          <w:sz w:val="18"/>
          <w:szCs w:val="18"/>
          <w:color w:val="auto"/>
        </w:rPr>
        <w:t>Transportation Systems Services Operations Inc.</w:t>
      </w:r>
    </w:p>
    <w:p>
      <w:pPr>
        <w:ind w:left="1300"/>
        <w:spacing w:after="0" w:line="219" w:lineRule="auto"/>
        <w:rPr>
          <w:sz w:val="20"/>
          <w:szCs w:val="20"/>
          <w:color w:val="auto"/>
        </w:rPr>
      </w:pPr>
      <w:r>
        <w:rPr>
          <w:rFonts w:ascii="Arial" w:cs="Arial" w:eastAsia="Arial" w:hAnsi="Arial"/>
          <w:sz w:val="18"/>
          <w:szCs w:val="18"/>
          <w:color w:val="auto"/>
        </w:rPr>
        <w:t>Wabtec Holding Corp.</w:t>
      </w:r>
    </w:p>
    <w:p>
      <w:pPr>
        <w:ind w:left="1300"/>
        <w:spacing w:after="0" w:line="219" w:lineRule="auto"/>
        <w:rPr>
          <w:sz w:val="20"/>
          <w:szCs w:val="20"/>
          <w:color w:val="auto"/>
        </w:rPr>
      </w:pPr>
      <w:r>
        <w:rPr>
          <w:rFonts w:ascii="Arial" w:cs="Arial" w:eastAsia="Arial" w:hAnsi="Arial"/>
          <w:sz w:val="18"/>
          <w:szCs w:val="18"/>
          <w:color w:val="auto"/>
        </w:rPr>
        <w:t>Wabtec Railway Electronics Holdings, LLC</w:t>
      </w:r>
    </w:p>
    <w:p>
      <w:pPr>
        <w:ind w:left="1300"/>
        <w:spacing w:after="0" w:line="220" w:lineRule="auto"/>
        <w:rPr>
          <w:sz w:val="20"/>
          <w:szCs w:val="20"/>
          <w:color w:val="auto"/>
        </w:rPr>
      </w:pPr>
      <w:r>
        <w:rPr>
          <w:rFonts w:ascii="Arial" w:cs="Arial" w:eastAsia="Arial" w:hAnsi="Arial"/>
          <w:sz w:val="18"/>
          <w:szCs w:val="18"/>
          <w:color w:val="auto"/>
        </w:rPr>
        <w:t>Wabtec Transportation Systems, LLC</w:t>
      </w:r>
    </w:p>
    <w:p>
      <w:pPr>
        <w:ind w:left="1300"/>
        <w:spacing w:after="0"/>
        <w:rPr>
          <w:sz w:val="20"/>
          <w:szCs w:val="20"/>
          <w:color w:val="auto"/>
        </w:rPr>
      </w:pPr>
      <w:r>
        <w:rPr>
          <w:rFonts w:ascii="Arial" w:cs="Arial" w:eastAsia="Arial" w:hAnsi="Arial"/>
          <w:sz w:val="18"/>
          <w:szCs w:val="18"/>
          <w:color w:val="auto"/>
        </w:rPr>
        <w:t>Workhorse Rail,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Euro Notes</w:t>
      </w:r>
    </w:p>
    <w:p>
      <w:pPr>
        <w:spacing w:after="0"/>
        <w:tabs>
          <w:tab w:leader="none" w:pos="840" w:val="left"/>
        </w:tabs>
        <w:rPr>
          <w:sz w:val="20"/>
          <w:szCs w:val="20"/>
          <w:color w:val="auto"/>
        </w:rPr>
      </w:pPr>
      <w:r>
        <w:rPr>
          <w:rFonts w:ascii="Arial" w:cs="Arial" w:eastAsia="Arial" w:hAnsi="Arial"/>
          <w:sz w:val="18"/>
          <w:szCs w:val="18"/>
          <w:i w:val="1"/>
          <w:iCs w:val="1"/>
          <w:u w:val="single" w:color="auto"/>
          <w:color w:val="auto"/>
        </w:rPr>
        <w:t>Issuer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Wabtec Transportation Netherlands B.V.</w:t>
      </w:r>
    </w:p>
    <w:p>
      <w:pPr>
        <w:spacing w:after="0"/>
        <w:tabs>
          <w:tab w:leader="none" w:pos="980" w:val="left"/>
        </w:tabs>
        <w:rPr>
          <w:sz w:val="20"/>
          <w:szCs w:val="20"/>
          <w:color w:val="auto"/>
        </w:rPr>
      </w:pPr>
      <w:r>
        <w:rPr>
          <w:rFonts w:ascii="Arial" w:cs="Arial" w:eastAsia="Arial" w:hAnsi="Arial"/>
          <w:sz w:val="18"/>
          <w:szCs w:val="18"/>
          <w:i w:val="1"/>
          <w:iCs w:val="1"/>
          <w:u w:val="single" w:color="auto"/>
          <w:color w:val="auto"/>
        </w:rPr>
        <w:t>Guarantor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Westinghouse Air Brake Technologies Corporation</w:t>
      </w:r>
    </w:p>
    <w:p>
      <w:pPr>
        <w:sectPr>
          <w:pgSz w:w="11900" w:h="16838" w:orient="portrait"/>
          <w:cols w:equalWidth="0" w:num="1">
            <w:col w:w="11240"/>
          </w:cols>
          <w:pgMar w:left="320" w:top="144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29, 2021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RAFAEL SANTANA</w:t>
            </w:r>
          </w:p>
        </w:tc>
      </w:tr>
      <w:tr>
        <w:trPr>
          <w:trHeight w:val="225"/>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3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8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29, 2021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34"/>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June 30, 2021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128"/>
        </w:trPr>
        <w:tc>
          <w:tcPr>
            <w:tcW w:w="1440" w:type="dxa"/>
            <w:vAlign w:val="bottom"/>
          </w:tcPr>
          <w:p>
            <w:pPr>
              <w:spacing w:after="0"/>
              <w:rPr>
                <w:sz w:val="11"/>
                <w:szCs w:val="11"/>
                <w:color w:val="auto"/>
              </w:rPr>
            </w:pPr>
          </w:p>
        </w:tc>
        <w:tc>
          <w:tcPr>
            <w:tcW w:w="9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Rafael Santana</w:t>
            </w:r>
          </w:p>
        </w:tc>
      </w:tr>
      <w:tr>
        <w:trPr>
          <w:trHeight w:val="184"/>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July 29, 2021</w:t>
            </w:r>
          </w:p>
        </w:tc>
      </w:tr>
      <w:tr>
        <w:trPr>
          <w:trHeight w:val="473"/>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128"/>
        </w:trPr>
        <w:tc>
          <w:tcPr>
            <w:tcW w:w="1440" w:type="dxa"/>
            <w:vAlign w:val="bottom"/>
          </w:tcPr>
          <w:p>
            <w:pPr>
              <w:spacing w:after="0"/>
              <w:rPr>
                <w:sz w:val="11"/>
                <w:szCs w:val="11"/>
                <w:color w:val="auto"/>
              </w:rPr>
            </w:pPr>
          </w:p>
        </w:tc>
        <w:tc>
          <w:tcPr>
            <w:tcW w:w="9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Patrick D. Dugan,</w:t>
            </w:r>
          </w:p>
        </w:tc>
      </w:tr>
      <w:tr>
        <w:trPr>
          <w:trHeight w:val="184"/>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July 29,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2" Type="http://schemas.openxmlformats.org/officeDocument/2006/relationships/hyperlink" Target="http://www.sec.gov/Archives/edgar/data/943452/000114036121019675/nt10024721x10_ex4-1.htm" TargetMode="External"/><Relationship Id="rId73" Type="http://schemas.openxmlformats.org/officeDocument/2006/relationships/hyperlink" Target="http://www.sec.gov/Archives/edgar/data/943452/000114036121019675/nt10024721x10_ex4-2.htm" TargetMode="External"/><Relationship Id="rId74" Type="http://schemas.openxmlformats.org/officeDocument/2006/relationships/hyperlink" Target="http://www.sec.gov/Archives/edgar/data/943452/000114036121014771/brhc1002371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2021-07-29T10:38:52Z</dcterms:created>
  <dcterms:modified xsi:type="dcterms:W3CDTF">2021-07-29T10:38:52Z</dcterms:modified>
</cp:coreProperties>
</file>