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546735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0" w:lineRule="exact"/>
        <w:rPr>
          <w:sz w:val="24"/>
          <w:szCs w:val="24"/>
          <w:color w:val="auto"/>
        </w:rPr>
      </w:pPr>
    </w:p>
    <w:p>
      <w:pPr>
        <w:ind w:left="460" w:hanging="441"/>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4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 w:lineRule="exact"/>
        <w:rPr>
          <w:sz w:val="24"/>
          <w:szCs w:val="24"/>
          <w:color w:val="auto"/>
        </w:rPr>
      </w:pPr>
    </w:p>
    <w:p>
      <w:pPr>
        <w:ind w:left="460" w:hanging="441"/>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11220"/>
          </w:cols>
          <w:pgMar w:left="300" w:top="918" w:right="379" w:bottom="1440" w:gutter="0" w:footer="0" w:header="0"/>
        </w:sectPr>
      </w:pPr>
    </w:p>
    <w:p>
      <w:pPr>
        <w:spacing w:after="0" w:line="14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51" w:lineRule="exact"/>
        <w:rPr>
          <w:sz w:val="24"/>
          <w:szCs w:val="24"/>
          <w:color w:val="auto"/>
        </w:rPr>
      </w:pPr>
    </w:p>
    <w:p>
      <w:pPr>
        <w:sectPr>
          <w:pgSz w:w="11900" w:h="16838" w:orient="portrait"/>
          <w:cols w:equalWidth="0" w:num="2">
            <w:col w:w="2240" w:space="720"/>
            <w:col w:w="8260"/>
          </w:cols>
          <w:pgMar w:left="300" w:top="918"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033-90866</w:t>
      </w:r>
    </w:p>
    <w:p>
      <w:pPr>
        <w:spacing w:after="0" w:line="5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WESTINGHOUSE AIR BRAKE TECHNOLOGIES</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CORPORATION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ectPr>
          <w:pgSz w:w="11900" w:h="16838" w:orient="portrait"/>
          <w:cols w:equalWidth="0" w:num="1">
            <w:col w:w="11220"/>
          </w:cols>
          <w:pgMar w:left="300" w:top="918" w:right="379" w:bottom="1440" w:gutter="0" w:footer="0" w:header="0"/>
          <w:type w:val="continuous"/>
        </w:sectPr>
      </w:pPr>
    </w:p>
    <w:p>
      <w:pPr>
        <w:spacing w:after="0" w:line="20"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25-1615902</w:t>
      </w:r>
    </w:p>
    <w:p>
      <w:pPr>
        <w:spacing w:after="0" w:line="39" w:lineRule="exact"/>
        <w:rPr>
          <w:sz w:val="24"/>
          <w:szCs w:val="24"/>
          <w:color w:val="auto"/>
        </w:rPr>
      </w:pPr>
    </w:p>
    <w:p>
      <w:pPr>
        <w:sectPr>
          <w:pgSz w:w="11900" w:h="16838" w:orient="portrait"/>
          <w:cols w:equalWidth="0" w:num="2">
            <w:col w:w="7420" w:space="720"/>
            <w:col w:w="3080"/>
          </w:cols>
          <w:pgMar w:left="300" w:top="918" w:right="37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p>
      <w:pPr>
        <w:spacing w:after="0" w:line="68" w:lineRule="exact"/>
        <w:rPr>
          <w:sz w:val="24"/>
          <w:szCs w:val="24"/>
          <w:color w:val="auto"/>
        </w:rPr>
      </w:pPr>
    </w:p>
    <w:p>
      <w:pPr>
        <w:sectPr>
          <w:pgSz w:w="11900" w:h="16838" w:orient="portrait"/>
          <w:cols w:equalWidth="0" w:num="2">
            <w:col w:w="6920" w:space="720"/>
            <w:col w:w="3580"/>
          </w:cols>
          <w:pgMar w:left="300" w:top="918"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3"/>
          <w:szCs w:val="13"/>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15212</w:t>
      </w:r>
    </w:p>
    <w:p>
      <w:pPr>
        <w:spacing w:after="0" w:line="39" w:lineRule="exact"/>
        <w:rPr>
          <w:sz w:val="24"/>
          <w:szCs w:val="24"/>
          <w:color w:val="auto"/>
        </w:rPr>
      </w:pPr>
    </w:p>
    <w:p>
      <w:pPr>
        <w:sectPr>
          <w:pgSz w:w="11900" w:h="16838" w:orient="portrait"/>
          <w:cols w:equalWidth="0" w:num="2">
            <w:col w:w="7560" w:space="720"/>
            <w:col w:w="2940"/>
          </w:cols>
          <w:pgMar w:left="300" w:top="918" w:right="37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83" w:lineRule="exact"/>
        <w:rPr>
          <w:sz w:val="24"/>
          <w:szCs w:val="24"/>
          <w:color w:val="auto"/>
        </w:rPr>
      </w:pPr>
    </w:p>
    <w:p>
      <w:pPr>
        <w:sectPr>
          <w:pgSz w:w="11900" w:h="16838" w:orient="portrait"/>
          <w:cols w:equalWidth="0" w:num="2">
            <w:col w:w="7500" w:space="720"/>
            <w:col w:w="3000"/>
          </w:cols>
          <w:pgMar w:left="300" w:top="918"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412-825-1000</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ectPr>
          <w:pgSz w:w="11900" w:h="16838" w:orient="portrait"/>
          <w:cols w:equalWidth="0" w:num="1">
            <w:col w:w="11220"/>
          </w:cols>
          <w:pgMar w:left="300" w:top="918" w:right="379" w:bottom="1440" w:gutter="0" w:footer="0" w:header="0"/>
          <w:type w:val="continuous"/>
        </w:sectPr>
      </w:pP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8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26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4320" w:type="dxa"/>
            <w:vAlign w:val="bottom"/>
            <w:tcBorders>
              <w:bottom w:val="single" w:sz="8" w:color="auto"/>
            </w:tcBorders>
          </w:tcPr>
          <w:p>
            <w:pPr>
              <w:jc w:val="center"/>
              <w:ind w:right="482"/>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5"/>
        </w:trPr>
        <w:tc>
          <w:tcPr>
            <w:tcW w:w="4220" w:type="dxa"/>
            <w:vAlign w:val="bottom"/>
          </w:tcPr>
          <w:p>
            <w:pPr>
              <w:ind w:left="1360"/>
              <w:spacing w:after="0"/>
              <w:rPr>
                <w:sz w:val="20"/>
                <w:szCs w:val="20"/>
                <w:color w:val="auto"/>
              </w:rPr>
            </w:pPr>
            <w:r>
              <w:rPr>
                <w:rFonts w:ascii="Times New Roman" w:cs="Times New Roman" w:eastAsia="Times New Roman" w:hAnsi="Times New Roman"/>
                <w:sz w:val="12"/>
                <w:szCs w:val="12"/>
                <w:color w:val="auto"/>
              </w:rPr>
              <w:t>Common Stock, $.01 par value per share</w:t>
            </w:r>
          </w:p>
        </w:tc>
        <w:tc>
          <w:tcPr>
            <w:tcW w:w="266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WAB</w:t>
            </w:r>
          </w:p>
        </w:tc>
        <w:tc>
          <w:tcPr>
            <w:tcW w:w="4320" w:type="dxa"/>
            <w:vAlign w:val="bottom"/>
          </w:tcPr>
          <w:p>
            <w:pPr>
              <w:jc w:val="center"/>
              <w:ind w:right="482"/>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72" w:lineRule="exact"/>
        <w:rPr>
          <w:sz w:val="24"/>
          <w:szCs w:val="24"/>
          <w:color w:val="auto"/>
        </w:rPr>
      </w:pPr>
    </w:p>
    <w:p>
      <w:pPr>
        <w:ind w:right="260" w:firstLine="3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60" w:firstLine="382"/>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firstLine="382"/>
        <w:spacing w:after="0" w:line="26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00" w:top="918" w:right="379" w:bottom="1440" w:gutter="0" w:footer="0" w:header="0"/>
          <w:type w:val="continuous"/>
        </w:sectPr>
      </w:pPr>
    </w:p>
    <w:p>
      <w:pPr>
        <w:spacing w:after="0" w:line="21" w:lineRule="exact"/>
        <w:rPr>
          <w:sz w:val="24"/>
          <w:szCs w:val="24"/>
          <w:color w:val="auto"/>
        </w:rPr>
      </w:pPr>
    </w:p>
    <w:p>
      <w:pPr>
        <w:ind w:left="20" w:right="460"/>
        <w:spacing w:after="0" w:line="306" w:lineRule="auto"/>
        <w:rPr>
          <w:sz w:val="20"/>
          <w:szCs w:val="20"/>
          <w:color w:val="auto"/>
        </w:rPr>
      </w:pPr>
      <w:r>
        <w:rPr>
          <w:rFonts w:ascii="Times New Roman" w:cs="Times New Roman" w:eastAsia="Times New Roman" w:hAnsi="Times New Roman"/>
          <w:sz w:val="12"/>
          <w:szCs w:val="12"/>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8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8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308" w:lineRule="exact"/>
        <w:rPr>
          <w:sz w:val="24"/>
          <w:szCs w:val="24"/>
          <w:color w:val="auto"/>
        </w:rPr>
      </w:pPr>
    </w:p>
    <w:p>
      <w:pPr>
        <w:sectPr>
          <w:pgSz w:w="11900" w:h="16838" w:orient="portrait"/>
          <w:cols w:equalWidth="0" w:num="6">
            <w:col w:w="1800" w:space="720"/>
            <w:col w:w="100" w:space="340"/>
            <w:col w:w="1700" w:space="720"/>
            <w:col w:w="100" w:space="340"/>
            <w:col w:w="1200" w:space="720"/>
            <w:col w:w="3480"/>
          </w:cols>
          <w:pgMar w:left="300" w:top="918" w:right="379" w:bottom="1440" w:gutter="0" w:footer="0" w:header="0"/>
          <w:type w:val="continuous"/>
        </w:sectPr>
      </w:pPr>
    </w:p>
    <w:p>
      <w:pPr>
        <w:ind w:right="120" w:firstLine="382"/>
        <w:spacing w:after="0" w:line="15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left="380" w:right="4820"/>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the number of shares outstanding of each of the issuer’s classes of common stock, as of the latest practicable date.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July 29, 2022, there were 181,874,780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638810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918"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TECHNOLOGIES CORPORATION</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9"/>
        </w:trPr>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6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tc>
        <w:tc>
          <w:tcPr>
            <w:tcW w:w="540" w:type="dxa"/>
            <w:vAlign w:val="bottom"/>
          </w:tcPr>
          <w:p>
            <w:pPr>
              <w:spacing w:after="0"/>
              <w:rPr>
                <w:sz w:val="14"/>
                <w:szCs w:val="14"/>
                <w:color w:val="auto"/>
              </w:rPr>
            </w:pPr>
          </w:p>
        </w:tc>
      </w:tr>
      <w:tr>
        <w:trPr>
          <w:trHeight w:val="43"/>
        </w:trPr>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49"/>
        </w:trPr>
        <w:tc>
          <w:tcPr>
            <w:tcW w:w="7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20" w:type="dxa"/>
            <w:vAlign w:val="bottom"/>
            <w:shd w:val="clear" w:color="auto" w:fill="CCEEFF"/>
          </w:tcPr>
          <w:p>
            <w:pPr>
              <w:spacing w:after="0"/>
              <w:rPr>
                <w:sz w:val="12"/>
                <w:szCs w:val="12"/>
                <w:color w:val="auto"/>
              </w:rPr>
            </w:pPr>
          </w:p>
        </w:tc>
        <w:tc>
          <w:tcPr>
            <w:tcW w:w="976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 (Unaudited)</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rPr>
              <w:t>3</w:t>
            </w:r>
          </w:p>
        </w:tc>
      </w:tr>
      <w:tr>
        <w:trPr>
          <w:trHeight w:val="32"/>
        </w:trPr>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76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Balance Sheets as of June 30, 2022 and December 31, 2021</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3</w:t>
            </w:r>
          </w:p>
        </w:tc>
      </w:tr>
      <w:tr>
        <w:trPr>
          <w:trHeight w:val="26"/>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66"/>
        </w:trPr>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60" w:type="dxa"/>
            <w:vAlign w:val="bottom"/>
            <w:tcBorders>
              <w:bottom w:val="single" w:sz="8" w:color="0000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Income for the three and six months ended June 30, 2022 and 2021</w:t>
            </w:r>
          </w:p>
        </w:tc>
        <w:tc>
          <w:tcPr>
            <w:tcW w:w="3700" w:type="dxa"/>
            <w:vAlign w:val="bottom"/>
            <w:tcBorders>
              <w:bottom w:val="single" w:sz="8" w:color="CCEEFF"/>
            </w:tcBorders>
            <w:gridSpan w:val="3"/>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w:t>
            </w:r>
          </w:p>
        </w:tc>
      </w:tr>
      <w:tr>
        <w:trPr>
          <w:trHeight w:val="154"/>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980" w:type="dxa"/>
            <w:vAlign w:val="bottom"/>
            <w:tcBorders>
              <w:bottom w:val="single" w:sz="8" w:color="0000FF"/>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and six months ended June 30, 2022 and 2021</w:t>
            </w:r>
          </w:p>
        </w:tc>
        <w:tc>
          <w:tcPr>
            <w:tcW w:w="27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5</w:t>
            </w:r>
          </w:p>
        </w:tc>
      </w:tr>
      <w:tr>
        <w:trPr>
          <w:trHeight w:val="166"/>
        </w:trPr>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740" w:type="dxa"/>
            <w:vAlign w:val="bottom"/>
            <w:tcBorders>
              <w:bottom w:val="single" w:sz="8" w:color="0000FF"/>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six months ended June 30, 2022 and 2021</w:t>
            </w:r>
          </w:p>
        </w:tc>
        <w:tc>
          <w:tcPr>
            <w:tcW w:w="4020" w:type="dxa"/>
            <w:vAlign w:val="bottom"/>
            <w:tcBorders>
              <w:bottom w:val="single" w:sz="8" w:color="CCEEFF"/>
            </w:tcBorders>
            <w:gridSpan w:val="4"/>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6</w:t>
            </w:r>
          </w:p>
        </w:tc>
      </w:tr>
      <w:tr>
        <w:trPr>
          <w:trHeight w:val="154"/>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6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 for the three and six months ended June 30, 2022 and 2021</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7</w:t>
            </w:r>
          </w:p>
        </w:tc>
      </w:tr>
      <w:tr>
        <w:trPr>
          <w:trHeight w:val="154"/>
        </w:trPr>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0" w:type="dxa"/>
            <w:vAlign w:val="bottom"/>
            <w:tcBorders>
              <w:top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960" w:type="dxa"/>
            <w:vAlign w:val="bottom"/>
            <w:gridSpan w:val="2"/>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8</w:t>
            </w:r>
          </w:p>
        </w:tc>
      </w:tr>
      <w:tr>
        <w:trPr>
          <w:trHeight w:val="32"/>
        </w:trPr>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20" w:type="dxa"/>
            <w:vAlign w:val="bottom"/>
          </w:tcPr>
          <w:p>
            <w:pPr>
              <w:spacing w:after="0"/>
              <w:rPr>
                <w:sz w:val="13"/>
                <w:szCs w:val="13"/>
                <w:color w:val="auto"/>
              </w:rPr>
            </w:pPr>
          </w:p>
        </w:tc>
        <w:tc>
          <w:tcPr>
            <w:tcW w:w="5080" w:type="dxa"/>
            <w:vAlign w:val="bottom"/>
            <w:tcBorders>
              <w:bottom w:val="single" w:sz="8" w:color="0000FF"/>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680" w:type="dxa"/>
            <w:vAlign w:val="bottom"/>
            <w:gridSpan w:val="5"/>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23</w:t>
            </w:r>
          </w:p>
        </w:tc>
      </w:tr>
      <w:tr>
        <w:trPr>
          <w:trHeight w:val="166"/>
        </w:trPr>
        <w:tc>
          <w:tcPr>
            <w:tcW w:w="76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220" w:type="dxa"/>
            <w:vAlign w:val="bottom"/>
            <w:shd w:val="clear" w:color="auto" w:fill="CCEEFF"/>
          </w:tcPr>
          <w:p>
            <w:pPr>
              <w:spacing w:after="0"/>
              <w:rPr>
                <w:sz w:val="14"/>
                <w:szCs w:val="14"/>
                <w:color w:val="auto"/>
              </w:rPr>
            </w:pPr>
          </w:p>
        </w:tc>
        <w:tc>
          <w:tcPr>
            <w:tcW w:w="976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40</w:t>
            </w:r>
          </w:p>
        </w:tc>
      </w:tr>
      <w:tr>
        <w:trPr>
          <w:trHeight w:val="154"/>
        </w:trPr>
        <w:tc>
          <w:tcPr>
            <w:tcW w:w="760" w:type="dxa"/>
            <w:vAlign w:val="bottom"/>
            <w:tcBorders>
              <w:top w:val="single" w:sz="8" w:color="CCEEFF"/>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220" w:type="dxa"/>
            <w:vAlign w:val="bottom"/>
            <w:tcBorders>
              <w:top w:val="single" w:sz="8" w:color="CCEEFF"/>
            </w:tcBorders>
          </w:tcPr>
          <w:p>
            <w:pPr>
              <w:spacing w:after="0"/>
              <w:rPr>
                <w:sz w:val="13"/>
                <w:szCs w:val="13"/>
                <w:color w:val="auto"/>
              </w:rPr>
            </w:pPr>
          </w:p>
        </w:tc>
        <w:tc>
          <w:tcPr>
            <w:tcW w:w="1400" w:type="dxa"/>
            <w:vAlign w:val="bottom"/>
            <w:tcBorders>
              <w:top w:val="single" w:sz="8" w:color="0000FF"/>
              <w:bottom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1980" w:type="dxa"/>
            <w:vAlign w:val="bottom"/>
            <w:tcBorders>
              <w:top w:val="single" w:sz="8" w:color="0000FF"/>
            </w:tcBorders>
            <w:gridSpan w:val="3"/>
          </w:tcPr>
          <w:p>
            <w:pPr>
              <w:spacing w:after="0"/>
              <w:rPr>
                <w:sz w:val="13"/>
                <w:szCs w:val="13"/>
                <w:color w:val="auto"/>
              </w:rPr>
            </w:pPr>
          </w:p>
        </w:tc>
        <w:tc>
          <w:tcPr>
            <w:tcW w:w="6380" w:type="dxa"/>
            <w:vAlign w:val="bottom"/>
            <w:tcBorders>
              <w:top w:val="single" w:sz="8" w:color="CCEEFF"/>
            </w:tcBorders>
            <w:gridSpan w:val="8"/>
          </w:tcPr>
          <w:p>
            <w:pPr>
              <w:spacing w:after="0"/>
              <w:rPr>
                <w:sz w:val="13"/>
                <w:szCs w:val="13"/>
                <w:color w:val="auto"/>
              </w:rPr>
            </w:pPr>
          </w:p>
        </w:tc>
        <w:tc>
          <w:tcPr>
            <w:tcW w:w="5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rPr>
              <w:t>40</w:t>
            </w:r>
          </w:p>
        </w:tc>
      </w:tr>
      <w:tr>
        <w:trPr>
          <w:trHeight w:val="186"/>
        </w:trPr>
        <w:tc>
          <w:tcPr>
            <w:tcW w:w="760" w:type="dxa"/>
            <w:vAlign w:val="bottom"/>
            <w:shd w:val="clear" w:color="auto" w:fill="CCEEFF"/>
          </w:tcPr>
          <w:p>
            <w:pPr>
              <w:spacing w:after="0"/>
              <w:rPr>
                <w:sz w:val="16"/>
                <w:szCs w:val="16"/>
                <w:color w:val="auto"/>
              </w:rPr>
            </w:pPr>
          </w:p>
        </w:tc>
        <w:tc>
          <w:tcPr>
            <w:tcW w:w="9980" w:type="dxa"/>
            <w:vAlign w:val="bottom"/>
            <w:gridSpan w:val="17"/>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PART II—OTHER INFORMATION</w:t>
            </w:r>
          </w:p>
        </w:tc>
        <w:tc>
          <w:tcPr>
            <w:tcW w:w="540" w:type="dxa"/>
            <w:vAlign w:val="bottom"/>
            <w:shd w:val="clear" w:color="auto" w:fill="CCEEFF"/>
          </w:tcPr>
          <w:p>
            <w:pPr>
              <w:spacing w:after="0"/>
              <w:rPr>
                <w:sz w:val="16"/>
                <w:szCs w:val="16"/>
                <w:color w:val="auto"/>
              </w:rPr>
            </w:pP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20" w:type="dxa"/>
            <w:vAlign w:val="bottom"/>
          </w:tcPr>
          <w:p>
            <w:pPr>
              <w:spacing w:after="0"/>
              <w:rPr>
                <w:sz w:val="13"/>
                <w:szCs w:val="13"/>
                <w:color w:val="auto"/>
              </w:rPr>
            </w:pPr>
          </w:p>
        </w:tc>
        <w:tc>
          <w:tcPr>
            <w:tcW w:w="1060" w:type="dxa"/>
            <w:vAlign w:val="bottom"/>
            <w:tcBorders>
              <w:bottom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8700" w:type="dxa"/>
            <w:vAlign w:val="bottom"/>
            <w:gridSpan w:val="12"/>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41</w:t>
            </w:r>
          </w:p>
        </w:tc>
      </w:tr>
      <w:tr>
        <w:trPr>
          <w:trHeight w:val="166"/>
        </w:trPr>
        <w:tc>
          <w:tcPr>
            <w:tcW w:w="76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0000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9040" w:type="dxa"/>
            <w:vAlign w:val="bottom"/>
            <w:tcBorders>
              <w:bottom w:val="single" w:sz="8" w:color="CCEEFF"/>
            </w:tcBorders>
            <w:gridSpan w:val="13"/>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41</w:t>
            </w: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20" w:type="dxa"/>
            <w:vAlign w:val="bottom"/>
          </w:tcPr>
          <w:p>
            <w:pPr>
              <w:spacing w:after="0"/>
              <w:rPr>
                <w:sz w:val="13"/>
                <w:szCs w:val="13"/>
                <w:color w:val="auto"/>
              </w:rPr>
            </w:pPr>
          </w:p>
        </w:tc>
        <w:tc>
          <w:tcPr>
            <w:tcW w:w="976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41</w:t>
            </w:r>
          </w:p>
        </w:tc>
      </w:tr>
      <w:tr>
        <w:trPr>
          <w:trHeight w:val="166"/>
        </w:trPr>
        <w:tc>
          <w:tcPr>
            <w:tcW w:w="760" w:type="dxa"/>
            <w:vAlign w:val="bottom"/>
            <w:tcBorders>
              <w:bottom w:val="single" w:sz="8" w:color="CCEEFF"/>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2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202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6340" w:type="dxa"/>
            <w:vAlign w:val="bottom"/>
            <w:tcBorders>
              <w:bottom w:val="single" w:sz="8" w:color="CCEEFF"/>
            </w:tcBorders>
            <w:gridSpan w:val="7"/>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41</w:t>
            </w:r>
          </w:p>
        </w:tc>
      </w:tr>
      <w:tr>
        <w:trPr>
          <w:trHeight w:val="154"/>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220" w:type="dxa"/>
            <w:vAlign w:val="bottom"/>
          </w:tcPr>
          <w:p>
            <w:pPr>
              <w:spacing w:after="0"/>
              <w:rPr>
                <w:sz w:val="13"/>
                <w:szCs w:val="13"/>
                <w:color w:val="auto"/>
              </w:rPr>
            </w:pPr>
          </w:p>
        </w:tc>
        <w:tc>
          <w:tcPr>
            <w:tcW w:w="4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8"/>
              </w:rPr>
              <w:t>Exhibits</w:t>
            </w:r>
          </w:p>
        </w:tc>
        <w:tc>
          <w:tcPr>
            <w:tcW w:w="9280" w:type="dxa"/>
            <w:vAlign w:val="bottom"/>
            <w:gridSpan w:val="15"/>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0000FF"/>
              </w:rPr>
              <w:t>42</w:t>
            </w:r>
          </w:p>
        </w:tc>
      </w:tr>
      <w:tr>
        <w:trPr>
          <w:trHeight w:val="166"/>
        </w:trPr>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76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Signatures</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43</w:t>
            </w:r>
          </w:p>
        </w:tc>
      </w:tr>
      <w:tr>
        <w:trPr>
          <w:trHeight w:val="901"/>
        </w:trPr>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220" w:type="dxa"/>
            <w:vAlign w:val="bottom"/>
            <w:tcBorders>
              <w:top w:val="single" w:sz="8" w:color="CCEEFF"/>
            </w:tcBorders>
            <w:gridSpan w:val="8"/>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87"/>
        </w:trPr>
        <w:tc>
          <w:tcPr>
            <w:tcW w:w="7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60" w:type="dxa"/>
            <w:vAlign w:val="bottom"/>
            <w:tcBorders>
              <w:bottom w:val="single" w:sz="8" w:color="auto"/>
            </w:tcBorders>
          </w:tcPr>
          <w:p>
            <w:pPr>
              <w:jc w:val="center"/>
              <w:ind w:left="40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par value</w:t>
            </w:r>
          </w:p>
        </w:tc>
        <w:tc>
          <w:tcPr>
            <w:tcW w:w="1060" w:type="dxa"/>
            <w:vAlign w:val="bottom"/>
          </w:tcPr>
          <w:p>
            <w:pPr>
              <w:jc w:val="center"/>
              <w:ind w:left="406"/>
              <w:spacing w:after="0" w:line="108" w:lineRule="exact"/>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right"/>
              <w:ind w:right="377"/>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120" w:type="dxa"/>
            <w:vAlign w:val="bottom"/>
            <w:gridSpan w:val="2"/>
            <w:vMerge w:val="continue"/>
          </w:tcPr>
          <w:p>
            <w:pPr>
              <w:spacing w:after="0"/>
              <w:rPr>
                <w:sz w:val="9"/>
                <w:szCs w:val="9"/>
                <w:color w:val="auto"/>
              </w:rPr>
            </w:pPr>
          </w:p>
        </w:tc>
        <w:tc>
          <w:tcPr>
            <w:tcW w:w="1060" w:type="dxa"/>
            <w:vAlign w:val="bottom"/>
          </w:tcPr>
          <w:p>
            <w:pPr>
              <w:jc w:val="center"/>
              <w:ind w:left="386"/>
              <w:spacing w:after="0" w:line="95" w:lineRule="exact"/>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right"/>
              <w:ind w:right="577"/>
              <w:spacing w:after="0" w:line="95" w:lineRule="exact"/>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800" w:type="dxa"/>
            <w:vAlign w:val="bottom"/>
            <w:shd w:val="clear" w:color="auto" w:fill="CCEEFF"/>
          </w:tcPr>
          <w:p>
            <w:pPr>
              <w:jc w:val="center"/>
              <w:ind w:right="128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6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Unbilled accounts receivable</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Inventories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assets</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current assets</w:t>
            </w: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noncurrent assets</w:t>
            </w:r>
          </w:p>
        </w:tc>
        <w:tc>
          <w:tcPr>
            <w:tcW w:w="10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060" w:type="dxa"/>
            <w:vAlign w:val="bottom"/>
            <w:tcBorders>
              <w:bottom w:val="single" w:sz="8" w:color="auto"/>
            </w:tcBorders>
          </w:tcPr>
          <w:p>
            <w:pPr>
              <w:jc w:val="right"/>
              <w:ind w:right="9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800" w:type="dxa"/>
            <w:vAlign w:val="bottom"/>
            <w:shd w:val="clear" w:color="auto" w:fill="CCEEFF"/>
          </w:tcPr>
          <w:p>
            <w:pPr>
              <w:jc w:val="center"/>
              <w:ind w:right="1283"/>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10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106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Customer deposits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compensation</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warranty</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postretirement and pension benefits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 consideration</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1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Common stock, $.01 par value; 500.0 shares authorized and 226.9 shares issued: 181.9 and 185.8 outstanding at June 30, 2022 and December 31, 2021,</w:t>
            </w:r>
          </w:p>
        </w:tc>
        <w:tc>
          <w:tcPr>
            <w:tcW w:w="10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10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Treasury stock, at cost, 45.0 and 41.1 shares, at June 30, 2022 and December 31, 2021, respectively</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Westinghouse Air Brake Technologies Corporation shareholders’ equity</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10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060" w:type="dxa"/>
            <w:vAlign w:val="bottom"/>
            <w:tcBorders>
              <w:bottom w:val="single" w:sz="8" w:color="auto"/>
            </w:tcBorders>
          </w:tcPr>
          <w:p>
            <w:pPr>
              <w:jc w:val="right"/>
              <w:ind w:right="9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tcPr>
          <w:p>
            <w:pPr>
              <w:jc w:val="center"/>
              <w:ind w:right="352"/>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740" w:type="dxa"/>
            <w:vAlign w:val="bottom"/>
          </w:tcPr>
          <w:p>
            <w:pPr>
              <w:spacing w:after="0"/>
              <w:rPr>
                <w:sz w:val="12"/>
                <w:szCs w:val="12"/>
                <w:color w:val="auto"/>
              </w:rPr>
            </w:pPr>
          </w:p>
        </w:tc>
      </w:tr>
      <w:tr>
        <w:trPr>
          <w:trHeight w:val="127"/>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gridSpan w:val="3"/>
          </w:tcPr>
          <w:p>
            <w:pPr>
              <w:jc w:val="center"/>
              <w:ind w:right="35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7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tcPr>
          <w:p>
            <w:pPr>
              <w:jc w:val="center"/>
              <w:ind w:right="35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40" w:type="dxa"/>
            <w:vAlign w:val="bottom"/>
          </w:tcPr>
          <w:p>
            <w:pPr>
              <w:spacing w:after="0"/>
              <w:rPr>
                <w:sz w:val="12"/>
                <w:szCs w:val="12"/>
                <w:color w:val="auto"/>
              </w:rPr>
            </w:pPr>
          </w:p>
        </w:tc>
      </w:tr>
      <w:tr>
        <w:trPr>
          <w:trHeight w:val="125"/>
        </w:trPr>
        <w:tc>
          <w:tcPr>
            <w:tcW w:w="20" w:type="dxa"/>
            <w:vAlign w:val="bottom"/>
          </w:tcPr>
          <w:p>
            <w:pPr>
              <w:spacing w:after="0"/>
              <w:rPr>
                <w:sz w:val="10"/>
                <w:szCs w:val="10"/>
                <w:color w:val="auto"/>
              </w:rPr>
            </w:pPr>
          </w:p>
        </w:tc>
        <w:tc>
          <w:tcPr>
            <w:tcW w:w="562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 except per share data</w:t>
            </w:r>
          </w:p>
        </w:tc>
        <w:tc>
          <w:tcPr>
            <w:tcW w:w="9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32"/>
              <w:spacing w:after="0" w:line="125" w:lineRule="exact"/>
              <w:rPr>
                <w:sz w:val="20"/>
                <w:szCs w:val="20"/>
                <w:color w:val="auto"/>
              </w:rPr>
            </w:pPr>
            <w:r>
              <w:rPr>
                <w:rFonts w:ascii="Times New Roman" w:cs="Times New Roman" w:eastAsia="Times New Roman" w:hAnsi="Times New Roman"/>
                <w:sz w:val="11"/>
                <w:szCs w:val="11"/>
                <w:b w:val="1"/>
                <w:bCs w:val="1"/>
                <w:color w:val="auto"/>
              </w:rPr>
              <w:t>2021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jc w:val="right"/>
              <w:ind w:right="410"/>
              <w:spacing w:after="0" w:line="125" w:lineRule="exact"/>
              <w:rPr>
                <w:sz w:val="20"/>
                <w:szCs w:val="20"/>
                <w:color w:val="auto"/>
              </w:rPr>
            </w:pPr>
            <w:r>
              <w:rPr>
                <w:rFonts w:ascii="Times New Roman" w:cs="Times New Roman" w:eastAsia="Times New Roman" w:hAnsi="Times New Roman"/>
                <w:sz w:val="11"/>
                <w:szCs w:val="11"/>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Sales of goods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r>
      <w:tr>
        <w:trPr>
          <w:trHeight w:val="180"/>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Sales of services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71"/>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net sales</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r>
      <w:tr>
        <w:trPr>
          <w:trHeight w:val="180"/>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 of goods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(2,231)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r>
      <w:tr>
        <w:trPr>
          <w:trHeight w:val="180"/>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Cost of services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71"/>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cost of sales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(2,735)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171"/>
        </w:trPr>
        <w:tc>
          <w:tcPr>
            <w:tcW w:w="20" w:type="dxa"/>
            <w:vAlign w:val="bottom"/>
          </w:tcPr>
          <w:p>
            <w:pPr>
              <w:spacing w:after="0"/>
              <w:rPr>
                <w:sz w:val="14"/>
                <w:szCs w:val="14"/>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Engineering expenses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2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 expense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71"/>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171"/>
        </w:trPr>
        <w:tc>
          <w:tcPr>
            <w:tcW w:w="20" w:type="dxa"/>
            <w:vAlign w:val="bottom"/>
          </w:tcPr>
          <w:p>
            <w:pPr>
              <w:spacing w:after="0"/>
              <w:rPr>
                <w:sz w:val="14"/>
                <w:szCs w:val="14"/>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net</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20" w:type="dxa"/>
            <w:vAlign w:val="bottom"/>
          </w:tcPr>
          <w:p>
            <w:pPr>
              <w:spacing w:after="0"/>
              <w:rPr>
                <w:sz w:val="14"/>
                <w:szCs w:val="14"/>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20" w:type="dxa"/>
            <w:vAlign w:val="bottom"/>
          </w:tcPr>
          <w:p>
            <w:pPr>
              <w:spacing w:after="0"/>
              <w:rPr>
                <w:sz w:val="14"/>
                <w:szCs w:val="14"/>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0" w:type="dxa"/>
            <w:vAlign w:val="bottom"/>
          </w:tcPr>
          <w:p>
            <w:pPr>
              <w:spacing w:after="0"/>
              <w:rPr>
                <w:sz w:val="14"/>
                <w:szCs w:val="14"/>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94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9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Diluted</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9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r>
      <w:tr>
        <w:trPr>
          <w:trHeight w:val="184"/>
        </w:trPr>
        <w:tc>
          <w:tcPr>
            <w:tcW w:w="20" w:type="dxa"/>
            <w:vAlign w:val="bottom"/>
          </w:tcPr>
          <w:p>
            <w:pPr>
              <w:spacing w:after="0"/>
              <w:rPr>
                <w:sz w:val="16"/>
                <w:szCs w:val="16"/>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r>
    </w:tbl>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3"/>
          </w:tcPr>
          <w:p>
            <w:pPr>
              <w:jc w:val="center"/>
              <w:ind w:right="433"/>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Unaudited</w:t>
            </w:r>
          </w:p>
        </w:tc>
        <w:tc>
          <w:tcPr>
            <w:tcW w:w="980" w:type="dxa"/>
            <w:vAlign w:val="bottom"/>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gridSpan w:val="3"/>
          </w:tcPr>
          <w:p>
            <w:pPr>
              <w:jc w:val="center"/>
              <w:ind w:right="433"/>
              <w:spacing w:after="0" w:line="132"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gridSpan w:val="3"/>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9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3"/>
          </w:tcPr>
          <w:p>
            <w:pPr>
              <w:jc w:val="center"/>
              <w:ind w:right="433"/>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9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488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2022</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13"/>
              <w:spacing w:after="0" w:line="110" w:lineRule="exact"/>
              <w:rPr>
                <w:sz w:val="20"/>
                <w:szCs w:val="20"/>
                <w:color w:val="auto"/>
              </w:rPr>
            </w:pPr>
            <w:r>
              <w:rPr>
                <w:rFonts w:ascii="Times New Roman" w:cs="Times New Roman" w:eastAsia="Times New Roman" w:hAnsi="Times New Roman"/>
                <w:sz w:val="12"/>
                <w:szCs w:val="12"/>
                <w:b w:val="1"/>
                <w:bCs w:val="1"/>
                <w:color w:val="auto"/>
              </w:rPr>
              <w:t>2021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13"/>
              <w:spacing w:after="0" w:line="110" w:lineRule="exact"/>
              <w:rPr>
                <w:sz w:val="20"/>
                <w:szCs w:val="20"/>
                <w:color w:val="auto"/>
              </w:rPr>
            </w:pPr>
            <w:r>
              <w:rPr>
                <w:rFonts w:ascii="Times New Roman" w:cs="Times New Roman" w:eastAsia="Times New Roman" w:hAnsi="Times New Roman"/>
                <w:sz w:val="12"/>
                <w:szCs w:val="12"/>
                <w:b w:val="1"/>
                <w:bCs w:val="1"/>
                <w:color w:val="auto"/>
              </w:rPr>
              <w:t>2022</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jc w:val="right"/>
              <w:ind w:right="571"/>
              <w:spacing w:after="0" w:line="110"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9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71"/>
        </w:trPr>
        <w:tc>
          <w:tcPr>
            <w:tcW w:w="20" w:type="dxa"/>
            <w:vAlign w:val="bottom"/>
            <w:shd w:val="clear" w:color="auto" w:fill="CCEEFF"/>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9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0" w:type="dxa"/>
            <w:vAlign w:val="bottom"/>
            <w:shd w:val="clear" w:color="auto" w:fill="CCEEFF"/>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(loss) on pension benefit plans and post-retirement benefit plans</w:t>
            </w: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20" w:type="dxa"/>
            <w:vAlign w:val="bottom"/>
          </w:tcPr>
          <w:p>
            <w:pPr>
              <w:spacing w:after="0"/>
              <w:rPr>
                <w:sz w:val="14"/>
                <w:szCs w:val="14"/>
                <w:color w:val="auto"/>
              </w:rPr>
            </w:pPr>
          </w:p>
        </w:tc>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38"/>
        </w:trPr>
        <w:tc>
          <w:tcPr>
            <w:tcW w:w="20" w:type="dxa"/>
            <w:vAlign w:val="bottom"/>
            <w:shd w:val="clear" w:color="auto" w:fill="CCEEFF"/>
          </w:tcPr>
          <w:p>
            <w:pPr>
              <w:spacing w:after="0"/>
              <w:rPr>
                <w:sz w:val="11"/>
                <w:szCs w:val="11"/>
                <w:color w:val="auto"/>
              </w:rPr>
            </w:pPr>
          </w:p>
        </w:tc>
        <w:tc>
          <w:tcPr>
            <w:tcW w:w="48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Income tax (expense) benefit related to components of other comprehensive (loss)</w:t>
            </w:r>
          </w:p>
        </w:tc>
        <w:tc>
          <w:tcPr>
            <w:tcW w:w="9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91"/>
        </w:trPr>
        <w:tc>
          <w:tcPr>
            <w:tcW w:w="20" w:type="dxa"/>
            <w:vAlign w:val="bottom"/>
            <w:shd w:val="clear" w:color="auto" w:fill="CCEEFF"/>
          </w:tcPr>
          <w:p>
            <w:pPr>
              <w:spacing w:after="0"/>
              <w:rPr>
                <w:sz w:val="16"/>
                <w:szCs w:val="16"/>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20" w:type="dxa"/>
            <w:vAlign w:val="bottom"/>
            <w:tcBorders>
              <w:bottom w:val="single" w:sz="8" w:color="CCEEFF"/>
            </w:tcBorders>
          </w:tcPr>
          <w:p>
            <w:pPr>
              <w:spacing w:after="0"/>
              <w:rPr>
                <w:sz w:val="14"/>
                <w:szCs w:val="14"/>
                <w:color w:val="auto"/>
              </w:rPr>
            </w:pPr>
          </w:p>
        </w:tc>
        <w:tc>
          <w:tcPr>
            <w:tcW w:w="48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9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(loss) income attributable to Wabtec shareholders</w:t>
            </w: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p>
      <w:pPr>
        <w:ind w:left="350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550"/>
              <w:spacing w:after="0"/>
              <w:rPr>
                <w:sz w:val="20"/>
                <w:szCs w:val="20"/>
                <w:color w:val="auto"/>
              </w:rPr>
            </w:pPr>
            <w:r>
              <w:rPr>
                <w:rFonts w:ascii="Times New Roman" w:cs="Times New Roman" w:eastAsia="Times New Roman" w:hAnsi="Times New Roman"/>
                <w:sz w:val="13"/>
                <w:szCs w:val="13"/>
                <w:b w:val="1"/>
                <w:bCs w:val="1"/>
                <w:color w:val="auto"/>
                <w:w w:val="99"/>
              </w:rPr>
              <w:t>Unaudited</w:t>
            </w:r>
          </w:p>
        </w:tc>
        <w:tc>
          <w:tcPr>
            <w:tcW w:w="980" w:type="dxa"/>
            <w:vAlign w:val="bottom"/>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3"/>
          </w:tcPr>
          <w:p>
            <w:pPr>
              <w:jc w:val="center"/>
              <w:ind w:left="550"/>
              <w:spacing w:after="0" w:line="132" w:lineRule="exact"/>
              <w:rPr>
                <w:sz w:val="20"/>
                <w:szCs w:val="20"/>
                <w:color w:val="auto"/>
              </w:rPr>
            </w:pPr>
            <w:r>
              <w:rPr>
                <w:rFonts w:ascii="Times New Roman" w:cs="Times New Roman" w:eastAsia="Times New Roman" w:hAnsi="Times New Roman"/>
                <w:sz w:val="13"/>
                <w:szCs w:val="13"/>
                <w:b w:val="1"/>
                <w:bCs w:val="1"/>
                <w:color w:val="auto"/>
                <w:w w:val="99"/>
              </w:rPr>
              <w:t>Six Months Ended</w:t>
            </w:r>
          </w:p>
        </w:tc>
        <w:tc>
          <w:tcPr>
            <w:tcW w:w="98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9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1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0"/>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right"/>
              <w:ind w:right="57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Below market intangible amortization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loss on disposal of property, plant and equipment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Accounts receivable and unbilled accounts receivable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income taxes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Accrued liabilities and customer deposits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71"/>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debt, net of issuance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Payments of debt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Repurchase of stock</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Cash dividends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changes in currency exchange rates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1"/>
        </w:trPr>
        <w:tc>
          <w:tcPr>
            <w:tcW w:w="20" w:type="dxa"/>
            <w:vAlign w:val="bottom"/>
          </w:tcPr>
          <w:p>
            <w:pPr>
              <w:spacing w:after="0"/>
              <w:rPr>
                <w:sz w:val="14"/>
                <w:szCs w:val="14"/>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Increase (decrease) in cash</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r>
      <w:tr>
        <w:trPr>
          <w:trHeight w:val="171"/>
        </w:trPr>
        <w:tc>
          <w:tcPr>
            <w:tcW w:w="20" w:type="dxa"/>
            <w:vAlign w:val="bottom"/>
          </w:tcPr>
          <w:p>
            <w:pPr>
              <w:spacing w:after="0"/>
              <w:rPr>
                <w:sz w:val="14"/>
                <w:szCs w:val="14"/>
                <w:color w:val="auto"/>
              </w:rPr>
            </w:pPr>
          </w:p>
        </w:tc>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 w:name="page7"/>
    <w:bookmarkEnd w:id="6"/>
    <w:p>
      <w:pPr>
        <w:ind w:left="3500"/>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0" w:type="dxa"/>
            <w:vAlign w:val="bottom"/>
          </w:tcPr>
          <w:p>
            <w:pPr>
              <w:spacing w:after="0"/>
              <w:rPr>
                <w:sz w:val="10"/>
                <w:szCs w:val="10"/>
                <w:color w:val="auto"/>
              </w:rPr>
            </w:pPr>
          </w:p>
        </w:tc>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20" w:type="dxa"/>
            <w:vAlign w:val="bottom"/>
          </w:tcPr>
          <w:p>
            <w:pPr>
              <w:spacing w:after="0"/>
              <w:rPr>
                <w:sz w:val="10"/>
                <w:szCs w:val="10"/>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Additional Paid-in</w:t>
            </w:r>
          </w:p>
        </w:tc>
        <w:tc>
          <w:tcPr>
            <w:tcW w:w="20" w:type="dxa"/>
            <w:vAlign w:val="bottom"/>
          </w:tcPr>
          <w:p>
            <w:pPr>
              <w:spacing w:after="0"/>
              <w:rPr>
                <w:sz w:val="10"/>
                <w:szCs w:val="10"/>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20" w:type="dxa"/>
            <w:vAlign w:val="bottom"/>
          </w:tcPr>
          <w:p>
            <w:pPr>
              <w:spacing w:after="0"/>
              <w:rPr>
                <w:sz w:val="10"/>
                <w:szCs w:val="10"/>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80" w:type="dxa"/>
            <w:vAlign w:val="bottom"/>
          </w:tcPr>
          <w:p>
            <w:pPr>
              <w:spacing w:after="0"/>
              <w:rPr>
                <w:sz w:val="10"/>
                <w:szCs w:val="10"/>
                <w:color w:val="auto"/>
              </w:rPr>
            </w:pPr>
          </w:p>
        </w:tc>
        <w:tc>
          <w:tcPr>
            <w:tcW w:w="60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In millions</w:t>
            </w:r>
          </w:p>
        </w:tc>
        <w:tc>
          <w:tcPr>
            <w:tcW w:w="40" w:type="dxa"/>
            <w:vAlign w:val="bottom"/>
          </w:tcPr>
          <w:p>
            <w:pPr>
              <w:spacing w:after="0"/>
              <w:rPr>
                <w:sz w:val="7"/>
                <w:szCs w:val="7"/>
                <w:color w:val="auto"/>
              </w:rPr>
            </w:pP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 w:type="dxa"/>
            <w:vAlign w:val="bottom"/>
          </w:tcPr>
          <w:p>
            <w:pPr>
              <w:spacing w:after="0"/>
              <w:rPr>
                <w:sz w:val="7"/>
                <w:szCs w:val="7"/>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 w:type="dxa"/>
            <w:vAlign w:val="bottom"/>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80" w:type="dxa"/>
            <w:vAlign w:val="bottom"/>
          </w:tcPr>
          <w:p>
            <w:pPr>
              <w:spacing w:after="0"/>
              <w:rPr>
                <w:sz w:val="7"/>
                <w:szCs w:val="7"/>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Balance, December 31, 2021</w:t>
            </w:r>
          </w:p>
        </w:tc>
        <w:tc>
          <w:tcPr>
            <w:tcW w:w="9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7,916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4,055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Cash dividends ($0.15 dividend per share)</w:t>
            </w:r>
          </w:p>
        </w:tc>
        <w:tc>
          <w:tcPr>
            <w:tcW w:w="4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4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4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March 31, 2022</w:t>
            </w:r>
          </w:p>
        </w:tc>
        <w:tc>
          <w:tcPr>
            <w:tcW w:w="940" w:type="dxa"/>
            <w:vAlign w:val="bottom"/>
            <w:tcBorders>
              <w:top w:val="single" w:sz="8" w:color="auto"/>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(44.0)</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(1,597)</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4,176</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10,088</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dividends ($0.15 dividend per share)</w:t>
            </w: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40" w:type="dxa"/>
            <w:vAlign w:val="bottom"/>
          </w:tcPr>
          <w:p>
            <w:pPr>
              <w:spacing w:after="0"/>
              <w:rPr>
                <w:sz w:val="12"/>
                <w:szCs w:val="12"/>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1"/>
              <w:spacing w:after="0"/>
              <w:rPr>
                <w:sz w:val="20"/>
                <w:szCs w:val="20"/>
                <w:color w:val="auto"/>
              </w:rPr>
            </w:pPr>
            <w:r>
              <w:rPr>
                <w:rFonts w:ascii="Times New Roman" w:cs="Times New Roman" w:eastAsia="Times New Roman" w:hAnsi="Times New Roman"/>
                <w:sz w:val="10"/>
                <w:szCs w:val="10"/>
                <w:color w:val="auto"/>
              </w:rPr>
              <w:t>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4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4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June 30, 2022</w:t>
            </w:r>
          </w:p>
        </w:tc>
        <w:tc>
          <w:tcPr>
            <w:tcW w:w="94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226.9</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7,926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(45.0)</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4,314</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9,947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December 31, 2020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7,881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Cash dividends ($0.12 dividend per share)</w:t>
            </w:r>
          </w:p>
        </w:tc>
        <w:tc>
          <w:tcPr>
            <w:tcW w:w="4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24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4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loss, net of tax</w:t>
            </w:r>
          </w:p>
        </w:tc>
        <w:tc>
          <w:tcPr>
            <w:tcW w:w="4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repurchase</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March 31, 2021</w:t>
            </w:r>
          </w:p>
        </w:tc>
        <w:tc>
          <w:tcPr>
            <w:tcW w:w="4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226.9</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7,884</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(38.0)</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(1,011)</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10,177</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dividends ($0.12 dividend per share)</w:t>
            </w:r>
          </w:p>
        </w:tc>
        <w:tc>
          <w:tcPr>
            <w:tcW w:w="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Proceeds from treasury stock issued from the exercise of</w:t>
            </w: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 options and other benefit plans, net of tax</w:t>
            </w:r>
          </w:p>
        </w:tc>
        <w:tc>
          <w:tcPr>
            <w:tcW w:w="4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 based compensation</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4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net of tax</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June 30, 2021</w:t>
            </w:r>
          </w:p>
        </w:tc>
        <w:tc>
          <w:tcPr>
            <w:tcW w:w="4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226.9</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7,897</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(37.9)</w:t>
            </w: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(1,009)</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10,327</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WESTINGHOUSE AIR BRAKE TECHNOLOGIES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2022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BUSINESS</w:t>
      </w:r>
    </w:p>
    <w:p>
      <w:pPr>
        <w:spacing w:after="0" w:line="96"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4"/>
          <w:szCs w:val="14"/>
          <w:color w:val="auto"/>
        </w:rPr>
        <w:t>Westinghouse Air Brake Technologies Corporation (“Wabtec” or the "Company")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2022, approximately 55% of the Company’s net sales came from customers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w:t>
      </w:r>
    </w:p>
    <w:p>
      <w:pPr>
        <w:spacing w:after="0" w:line="83" w:lineRule="exact"/>
        <w:rPr>
          <w:sz w:val="20"/>
          <w:szCs w:val="20"/>
          <w:color w:val="auto"/>
        </w:rPr>
      </w:pPr>
    </w:p>
    <w:p>
      <w:pPr>
        <w:ind w:right="20" w:firstLine="382"/>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Basis of Presentation </w:t>
      </w:r>
      <w:r>
        <w:rPr>
          <w:rFonts w:ascii="Times New Roman" w:cs="Times New Roman" w:eastAsia="Times New Roman" w:hAnsi="Times New Roman"/>
          <w:sz w:val="14"/>
          <w:szCs w:val="14"/>
          <w:color w:val="auto"/>
        </w:rPr>
        <w:t>The unaudited condensed consolidated interim financial statements have been prepared in accordance with generally accepted accounting principles ("GAAP")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58" w:lineRule="exact"/>
        <w:rPr>
          <w:sz w:val="20"/>
          <w:szCs w:val="20"/>
          <w:color w:val="auto"/>
        </w:rPr>
      </w:pPr>
    </w:p>
    <w:p>
      <w:pPr>
        <w:ind w:firstLine="382"/>
        <w:spacing w:after="0" w:line="243" w:lineRule="auto"/>
        <w:rPr>
          <w:sz w:val="20"/>
          <w:szCs w:val="20"/>
          <w:color w:val="auto"/>
        </w:rPr>
      </w:pPr>
      <w:r>
        <w:rPr>
          <w:rFonts w:ascii="Times New Roman" w:cs="Times New Roman" w:eastAsia="Times New Roman" w:hAnsi="Times New Roman"/>
          <w:sz w:val="14"/>
          <w:szCs w:val="14"/>
          <w:color w:val="auto"/>
        </w:rPr>
        <w:t>Results for these interim periods are not necessarily indicative of results to be expected for the full year particularly in light of the ongoing COVID-19 pandemic, supply chain disruptions, labor availability, broad-based inflation, and the impacts resulting from Russia's invasion of Ukraine.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59"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2021, Wabtec had earnings of approximately $40 million attributable to customers in Russia, while earnings from customers in Ukraine and Belarus were not significant. As of June 30, 2022, Wabtec had approximately $18 million of assets related to Russian operations, which were primarily cash and inventory. Assets related to Ukraine and Belarus operations are not significant.</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operates on a four-four-five week accounting quarter, and the quarters end on or about March 31, June 30, September 30 and December 31.</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notes included herein should be read in conjunction with the audited consolidated financial statements included in Wabtec’s Annual Report on Form 10-K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 The December 31, 2021 information has been derived from the Company’s Annual Report on Form 10-K for the year ended December 31, 2021.</w:t>
      </w:r>
    </w:p>
    <w:p>
      <w:pPr>
        <w:spacing w:after="0" w:line="77" w:lineRule="exact"/>
        <w:rPr>
          <w:sz w:val="20"/>
          <w:szCs w:val="20"/>
          <w:color w:val="auto"/>
        </w:rPr>
      </w:pPr>
    </w:p>
    <w:p>
      <w:pPr>
        <w:ind w:right="4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GAAP in the United States requires the Company to make estimates and assumptions that affect the reported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49" w:lineRule="exact"/>
        <w:rPr>
          <w:sz w:val="20"/>
          <w:szCs w:val="20"/>
          <w:color w:val="auto"/>
        </w:rPr>
      </w:pPr>
    </w:p>
    <w:p>
      <w:pPr>
        <w:ind w:right="8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A majority of the Company’s revenues are derived from performance obligations that are satisfied at a point in time when control passes to the customer. The remaining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revenues are earned over time. Generally, for performance obligations satisfied at a point in time control passes at the time of shipment in accordance with agreed upon delivery terms.</w:t>
      </w:r>
    </w:p>
    <w:p>
      <w:pPr>
        <w:spacing w:after="0" w:line="37" w:lineRule="exact"/>
        <w:rPr>
          <w:sz w:val="20"/>
          <w:szCs w:val="20"/>
          <w:color w:val="auto"/>
        </w:rPr>
      </w:pPr>
    </w:p>
    <w:p>
      <w:pPr>
        <w:ind w:right="20" w:firstLine="382"/>
        <w:spacing w:after="0" w:line="260" w:lineRule="auto"/>
        <w:rPr>
          <w:sz w:val="20"/>
          <w:szCs w:val="20"/>
          <w:color w:val="auto"/>
        </w:rPr>
      </w:pPr>
      <w:r>
        <w:rPr>
          <w:rFonts w:ascii="Times New Roman" w:cs="Times New Roman" w:eastAsia="Times New Roman" w:hAnsi="Times New Roman"/>
          <w:sz w:val="14"/>
          <w:szCs w:val="14"/>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revenues and cost estimates are reviewed and revised periodically throughout the year and adjustments are reflected in the accounting period as such amounts are determined.</w:t>
      </w:r>
    </w:p>
    <w:p>
      <w:pPr>
        <w:spacing w:after="0" w:line="94"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6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58"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firm customer orders subject to standard industry cancellation provisions and substantial scope-of-work adjustments. As of June 30, 2022, the Company's remaining performance obligations were approximately $22.8 billion. The Company expects to recognize revenue of approximately 25% of the remaining performance obligations over the next 12 months, with the remainder recognized thereafter.</w:t>
      </w:r>
    </w:p>
    <w:p>
      <w:pPr>
        <w:spacing w:after="0" w:line="49" w:lineRule="exact"/>
        <w:rPr>
          <w:sz w:val="20"/>
          <w:szCs w:val="20"/>
          <w:color w:val="auto"/>
        </w:rPr>
      </w:pPr>
    </w:p>
    <w:p>
      <w:pPr>
        <w:ind w:right="80"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Revolving Receivables Program </w:t>
      </w:r>
      <w:r>
        <w:rPr>
          <w:rFonts w:ascii="Times New Roman" w:cs="Times New Roman" w:eastAsia="Times New Roman" w:hAnsi="Times New Roman"/>
          <w:sz w:val="14"/>
          <w:szCs w:val="14"/>
          <w:color w:val="auto"/>
        </w:rPr>
        <w:t>The Company utilizes a revolving agreement to transfer up to $200 million of certain receivables of certain subsidiaries of the Company (the "Originators")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through our bankruptcy-remote subsidiary to a financial institution on a recurring basis in exchange for cash equal to the gross receivables transferred. The bankruptcy remote subsidiary is a separate legal entity with its own creditors, and its assets are not available to pay creditors of the Company or any other affiliates of the Company. As customers pay their balances, we transfer additional receivables into the program, which resulted in our gross receivables sold exceeding collections reinvested for the periods presented. The sold receivables are fully guaranteed by our bankruptcy-remote subsidiary, which holds additional receivables that are pledged as collateral under this agreement.</w:t>
      </w:r>
    </w:p>
    <w:p>
      <w:pPr>
        <w:spacing w:after="0" w:line="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At June 30, 2022 and 2021 the bankruptcy-remote subsidiary held receivables of $410 million and $333 million, respectively. The transfers are recorded at the fair value of the proceeds</w:t>
      </w:r>
    </w:p>
    <w:p>
      <w:pPr>
        <w:spacing w:after="0" w:line="4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received and obligations assumed less derecognized receivables. No obligation was recorded at June 30, 2022 or 2021 as the estimated expected credit losses on receivables sold is insignificant. Our maximum exposure to losses related to these receivables transferred is limited to the amount outstanding.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a summary of receivables sold: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0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200" w:type="dxa"/>
            <w:vAlign w:val="bottom"/>
          </w:tcPr>
          <w:p>
            <w:pPr>
              <w:spacing w:after="0"/>
              <w:rPr>
                <w:sz w:val="11"/>
                <w:szCs w:val="11"/>
                <w:color w:val="auto"/>
              </w:rPr>
            </w:pPr>
          </w:p>
        </w:tc>
        <w:tc>
          <w:tcPr>
            <w:tcW w:w="132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1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center"/>
              <w:ind w:right="280"/>
              <w:spacing w:after="0" w:line="95" w:lineRule="exact"/>
              <w:rPr>
                <w:sz w:val="20"/>
                <w:szCs w:val="20"/>
                <w:color w:val="auto"/>
              </w:rPr>
            </w:pPr>
            <w:r>
              <w:rPr>
                <w:rFonts w:ascii="Times New Roman" w:cs="Times New Roman" w:eastAsia="Times New Roman" w:hAnsi="Times New Roman"/>
                <w:sz w:val="10"/>
                <w:szCs w:val="10"/>
                <w:b w:val="1"/>
                <w:bCs w:val="1"/>
                <w:color w:val="auto"/>
              </w:rPr>
              <w:t>June 30, 2022</w:t>
            </w:r>
          </w:p>
        </w:tc>
        <w:tc>
          <w:tcPr>
            <w:tcW w:w="200" w:type="dxa"/>
            <w:vAlign w:val="bottom"/>
          </w:tcPr>
          <w:p>
            <w:pPr>
              <w:spacing w:after="0"/>
              <w:rPr>
                <w:sz w:val="9"/>
                <w:szCs w:val="9"/>
                <w:color w:val="auto"/>
              </w:rPr>
            </w:pPr>
          </w:p>
        </w:tc>
        <w:tc>
          <w:tcPr>
            <w:tcW w:w="1320" w:type="dxa"/>
            <w:vAlign w:val="bottom"/>
          </w:tcPr>
          <w:p>
            <w:pPr>
              <w:jc w:val="right"/>
              <w:ind w:right="376"/>
              <w:spacing w:after="0" w:line="95" w:lineRule="exact"/>
              <w:rPr>
                <w:sz w:val="20"/>
                <w:szCs w:val="20"/>
                <w:color w:val="auto"/>
              </w:rPr>
            </w:pPr>
            <w:r>
              <w:rPr>
                <w:rFonts w:ascii="Times New Roman" w:cs="Times New Roman" w:eastAsia="Times New Roman" w:hAnsi="Times New Roman"/>
                <w:sz w:val="10"/>
                <w:szCs w:val="10"/>
                <w:b w:val="1"/>
                <w:bCs w:val="1"/>
                <w:color w:val="auto"/>
              </w:rPr>
              <w:t>June 30, 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receivables sold/cash proceeds received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Collections reinvested under revolving agreement</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896"/>
              <w:spacing w:after="0"/>
              <w:rPr>
                <w:sz w:val="20"/>
                <w:szCs w:val="20"/>
                <w:color w:val="auto"/>
              </w:rPr>
            </w:pPr>
            <w:r>
              <w:rPr>
                <w:rFonts w:ascii="Times New Roman" w:cs="Times New Roman" w:eastAsia="Times New Roman" w:hAnsi="Times New Roman"/>
                <w:sz w:val="14"/>
                <w:szCs w:val="14"/>
                <w:color w:val="auto"/>
                <w:w w:val="98"/>
              </w:rPr>
              <w:t>(684)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proceeds received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center"/>
              <w:ind w:left="936"/>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8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Expense </w:t>
      </w:r>
      <w:r>
        <w:rPr>
          <w:rFonts w:ascii="Times New Roman" w:cs="Times New Roman" w:eastAsia="Times New Roman" w:hAnsi="Times New Roman"/>
          <w:sz w:val="14"/>
          <w:szCs w:val="14"/>
          <w:color w:val="auto"/>
        </w:rPr>
        <w:t>Depreciation of property, plant and equipment related to the manufacturing of products or services provided is included in Cost of goods or Cost of services.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Depreciation of other property, plant and equipment that is not attributable to the manufacturing of products or services provided is included in Selling, general and administrative expenses or Engineering expenses depending on how the property, plant and equipment is used.</w:t>
      </w:r>
    </w:p>
    <w:p>
      <w:pPr>
        <w:spacing w:after="0" w:line="49" w:lineRule="exact"/>
        <w:rPr>
          <w:sz w:val="20"/>
          <w:szCs w:val="20"/>
          <w:color w:val="auto"/>
        </w:rPr>
      </w:pPr>
    </w:p>
    <w:p>
      <w:pPr>
        <w:ind w:right="18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Goodwill and Intangible Assets </w:t>
      </w:r>
      <w:r>
        <w:rPr>
          <w:rFonts w:ascii="Times New Roman" w:cs="Times New Roman" w:eastAsia="Times New Roman" w:hAnsi="Times New Roman"/>
          <w:sz w:val="14"/>
          <w:szCs w:val="14"/>
          <w:color w:val="auto"/>
        </w:rPr>
        <w:t>Goodwill and other intangible assets with indefinite lives are not amortized. Other intangibles (with definite lives) are amortized on a straight-line basis over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 w:name="page10"/>
    <w:bookmarkEnd w:id="9"/>
    <w:p>
      <w:pPr>
        <w:ind w:right="20"/>
        <w:spacing w:after="0" w:line="287" w:lineRule="auto"/>
        <w:rPr>
          <w:sz w:val="20"/>
          <w:szCs w:val="20"/>
          <w:color w:val="auto"/>
        </w:rPr>
      </w:pPr>
      <w:r>
        <w:rPr>
          <w:rFonts w:ascii="Times New Roman" w:cs="Times New Roman" w:eastAsia="Times New Roman" w:hAnsi="Times New Roman"/>
          <w:sz w:val="14"/>
          <w:szCs w:val="14"/>
          <w:color w:val="auto"/>
        </w:rPr>
        <w:t>annual impairment test during the fourth quarter after the annual forecasting process is completed, and also tests for impairment whenever events or changes in circumstances indicate the carrying value may not be recoverable. Periodically, management of the Company assesses whether or not an indicator of impairment is present that would necessitate an impairment analysis to be performed.</w:t>
      </w:r>
    </w:p>
    <w:p>
      <w:pPr>
        <w:spacing w:after="0" w:line="37" w:lineRule="exact"/>
        <w:rPr>
          <w:sz w:val="20"/>
          <w:szCs w:val="20"/>
          <w:color w:val="auto"/>
        </w:rPr>
      </w:pPr>
    </w:p>
    <w:p>
      <w:pPr>
        <w:ind w:right="4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Standards Recently Issued </w:t>
      </w:r>
      <w:r>
        <w:rPr>
          <w:rFonts w:ascii="Times New Roman" w:cs="Times New Roman" w:eastAsia="Times New Roman" w:hAnsi="Times New Roman"/>
          <w:sz w:val="14"/>
          <w:szCs w:val="14"/>
          <w:color w:val="auto"/>
        </w:rPr>
        <w:t>In October 2021, the Financial Accounting Standards Board ("FASB") issued Accounting Standards Update ("ASU") 2021-08,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(Topic 805): Accounting for Contract Assets and Contract Liabilities from Contracts with Customers. </w:t>
      </w:r>
      <w:r>
        <w:rPr>
          <w:rFonts w:ascii="Times New Roman" w:cs="Times New Roman" w:eastAsia="Times New Roman" w:hAnsi="Times New Roman"/>
          <w:sz w:val="14"/>
          <w:szCs w:val="14"/>
          <w:color w:val="auto"/>
        </w:rPr>
        <w:t>The amendments in this update provide specific guidance on how to recognize and measure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acquired contract assets and contract liabilities from revenue contracts in a business combination and address how to determine whether a contract liability is recognized by the acquirer in a business combination. The amendments in this update will be effective for Wabtec on January 1, 2023 and will be applied prospectively to business combinations occurring on or after the effective date.</w:t>
      </w:r>
    </w:p>
    <w:p>
      <w:pPr>
        <w:spacing w:after="0" w:line="53" w:lineRule="exact"/>
        <w:rPr>
          <w:sz w:val="20"/>
          <w:szCs w:val="20"/>
          <w:color w:val="auto"/>
        </w:rPr>
      </w:pPr>
    </w:p>
    <w:p>
      <w:pPr>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Accumulated Other Comprehensive Loss </w:t>
      </w:r>
      <w:r>
        <w:rPr>
          <w:rFonts w:ascii="Times New Roman" w:cs="Times New Roman" w:eastAsia="Times New Roman" w:hAnsi="Times New Roman"/>
          <w:sz w:val="14"/>
          <w:szCs w:val="14"/>
          <w:color w:val="auto"/>
        </w:rPr>
        <w:t>Comprehensive income comprises both net income and Other comprehensive (loss) income resulting from the change in equity from transactions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events and circumstances from non-owner sources.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Accumulated other comprehensive loss by component, including any tax impacts, for the three months ended June 30, 2022 and 2021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Foreign currency translation</w:t>
            </w:r>
          </w:p>
        </w:tc>
        <w:tc>
          <w:tcPr>
            <w:tcW w:w="200" w:type="dxa"/>
            <w:vAlign w:val="bottom"/>
          </w:tcPr>
          <w:p>
            <w:pPr>
              <w:spacing w:after="0"/>
              <w:rPr>
                <w:sz w:val="11"/>
                <w:szCs w:val="11"/>
                <w:color w:val="auto"/>
              </w:rPr>
            </w:pPr>
          </w:p>
        </w:tc>
        <w:tc>
          <w:tcPr>
            <w:tcW w:w="1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Derivative contracts</w:t>
            </w:r>
          </w:p>
        </w:tc>
        <w:tc>
          <w:tcPr>
            <w:tcW w:w="120" w:type="dxa"/>
            <w:vAlign w:val="bottom"/>
          </w:tcPr>
          <w:p>
            <w:pPr>
              <w:spacing w:after="0"/>
              <w:rPr>
                <w:sz w:val="11"/>
                <w:szCs w:val="11"/>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Pension and postretirement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benefit plans</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8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33"/>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2"/>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15"/>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2"/>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3"/>
              <w:spacing w:after="0" w:line="116"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2"/>
              <w:spacing w:after="0" w:line="116"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net</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Accumulated other comprehensive loss by component, including any tax impacts, for the six months ended June 30, 2022 and 2021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Foreign currency translation</w:t>
            </w:r>
          </w:p>
        </w:tc>
        <w:tc>
          <w:tcPr>
            <w:tcW w:w="200" w:type="dxa"/>
            <w:vAlign w:val="bottom"/>
          </w:tcPr>
          <w:p>
            <w:pPr>
              <w:spacing w:after="0"/>
              <w:rPr>
                <w:sz w:val="11"/>
                <w:szCs w:val="11"/>
                <w:color w:val="auto"/>
              </w:rPr>
            </w:pPr>
          </w:p>
        </w:tc>
        <w:tc>
          <w:tcPr>
            <w:tcW w:w="15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Derivative contracts</w:t>
            </w:r>
          </w:p>
        </w:tc>
        <w:tc>
          <w:tcPr>
            <w:tcW w:w="120" w:type="dxa"/>
            <w:vAlign w:val="bottom"/>
          </w:tcPr>
          <w:p>
            <w:pPr>
              <w:spacing w:after="0"/>
              <w:rPr>
                <w:sz w:val="11"/>
                <w:szCs w:val="11"/>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Pension and postretirement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benefit plans</w:t>
            </w: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33"/>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3"/>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15"/>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3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3"/>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32"/>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 net</w:t>
            </w: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loss are recognized in "Other income, net" with the tax impact recognized in "Income tax expense."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Nordco</w:t>
      </w:r>
    </w:p>
    <w:p>
      <w:pPr>
        <w:spacing w:after="0" w:line="9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fair value of the Nordco assets acquired and liabilities assumed: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receivable</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Inventory</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intangible assets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assets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20" w:type="dxa"/>
            <w:vAlign w:val="bottom"/>
          </w:tcPr>
          <w:p>
            <w:pPr>
              <w:spacing w:after="0"/>
              <w:rPr>
                <w:sz w:val="14"/>
                <w:szCs w:val="14"/>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assets acquired</w:t>
            </w:r>
          </w:p>
        </w:tc>
        <w:tc>
          <w:tcPr>
            <w:tcW w:w="6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assumed</w:t>
            </w:r>
          </w:p>
        </w:tc>
        <w:tc>
          <w:tcPr>
            <w:tcW w:w="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Noncurrent liabilities</w:t>
            </w:r>
          </w:p>
        </w:tc>
        <w:tc>
          <w:tcPr>
            <w:tcW w:w="6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1"/>
        </w:trPr>
        <w:tc>
          <w:tcPr>
            <w:tcW w:w="20" w:type="dxa"/>
            <w:vAlign w:val="bottom"/>
            <w:tcBorders>
              <w:bottom w:val="single" w:sz="8" w:color="CCEEFF"/>
            </w:tcBorders>
          </w:tcPr>
          <w:p>
            <w:pPr>
              <w:spacing w:after="0"/>
              <w:rPr>
                <w:sz w:val="14"/>
                <w:szCs w:val="14"/>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assets acquired</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82"/>
        <w:spacing w:after="0" w:line="264" w:lineRule="auto"/>
        <w:rPr>
          <w:sz w:val="20"/>
          <w:szCs w:val="20"/>
          <w:color w:val="auto"/>
        </w:rPr>
      </w:pPr>
      <w:r>
        <w:rPr>
          <w:rFonts w:ascii="Times New Roman" w:cs="Times New Roman" w:eastAsia="Times New Roman" w:hAnsi="Times New Roman"/>
          <w:sz w:val="14"/>
          <w:szCs w:val="14"/>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w:t>
      </w:r>
    </w:p>
    <w:p>
      <w:pPr>
        <w:spacing w:after="0" w:line="56" w:lineRule="exact"/>
        <w:rPr>
          <w:sz w:val="20"/>
          <w:szCs w:val="20"/>
          <w:color w:val="auto"/>
        </w:rPr>
      </w:pPr>
    </w:p>
    <w:p>
      <w:pPr>
        <w:ind w:right="320" w:firstLine="382"/>
        <w:spacing w:after="0" w:line="264" w:lineRule="auto"/>
        <w:rPr>
          <w:sz w:val="20"/>
          <w:szCs w:val="20"/>
          <w:color w:val="auto"/>
        </w:rPr>
      </w:pPr>
      <w:r>
        <w:rPr>
          <w:rFonts w:ascii="Times New Roman" w:cs="Times New Roman" w:eastAsia="Times New Roman" w:hAnsi="Times New Roman"/>
          <w:sz w:val="14"/>
          <w:szCs w:val="14"/>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Services product line of the Freight Segment. The pro forma impact on Wabtec’s sales and results of operations, including the pro forma effect of events that are directly attributable to the acquisition, was not significant.</w:t>
      </w:r>
    </w:p>
    <w:p>
      <w:pPr>
        <w:spacing w:after="0" w:line="56" w:lineRule="exact"/>
        <w:rPr>
          <w:sz w:val="20"/>
          <w:szCs w:val="20"/>
          <w:color w:val="auto"/>
        </w:rPr>
      </w:pPr>
    </w:p>
    <w:p>
      <w:pPr>
        <w:ind w:right="520" w:firstLine="382"/>
        <w:spacing w:after="0" w:line="287" w:lineRule="auto"/>
        <w:rPr>
          <w:sz w:val="20"/>
          <w:szCs w:val="20"/>
          <w:color w:val="auto"/>
        </w:rPr>
      </w:pPr>
      <w:r>
        <w:rPr>
          <w:rFonts w:ascii="Times New Roman" w:cs="Times New Roman" w:eastAsia="Times New Roman" w:hAnsi="Times New Roman"/>
          <w:sz w:val="14"/>
          <w:szCs w:val="14"/>
          <w:color w:val="auto"/>
        </w:rPr>
        <w:t>During the second quarter of 2022 the Company made two strategic acquisitions for a combined purchase price of $69 million within the Digital Electronics product line of the Freight Segment which are individually and collectively immaterial. The Company also made acquisitions in prior periods not listed above which are individually and collectively immaterial.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INVENTORIES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inventory, net of reserves, were: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680" w:type="dxa"/>
            <w:vAlign w:val="bottom"/>
          </w:tcPr>
          <w:p>
            <w:pPr>
              <w:spacing w:after="0"/>
              <w:rPr>
                <w:sz w:val="10"/>
                <w:szCs w:val="1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40" w:type="dxa"/>
            <w:vAlign w:val="bottom"/>
            <w:gridSpan w:val="2"/>
            <w:vMerge w:val="continue"/>
          </w:tcPr>
          <w:p>
            <w:pPr>
              <w:spacing w:after="0"/>
              <w:rPr>
                <w:sz w:val="10"/>
                <w:szCs w:val="10"/>
                <w:color w:val="auto"/>
              </w:rPr>
            </w:pPr>
          </w:p>
        </w:tc>
        <w:tc>
          <w:tcPr>
            <w:tcW w:w="5740" w:type="dxa"/>
            <w:vAlign w:val="bottom"/>
            <w:gridSpan w:val="2"/>
          </w:tcPr>
          <w:p>
            <w:pPr>
              <w:jc w:val="right"/>
              <w:ind w:right="134"/>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574"/>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46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Work-in-progress</w:t>
            </w:r>
          </w:p>
        </w:tc>
        <w:tc>
          <w:tcPr>
            <w:tcW w:w="4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46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inventories</w:t>
            </w:r>
          </w:p>
        </w:tc>
        <w:tc>
          <w:tcPr>
            <w:tcW w:w="4680" w:type="dxa"/>
            <w:vAlign w:val="bottom"/>
          </w:tcPr>
          <w:p>
            <w:pPr>
              <w:spacing w:after="0"/>
              <w:rPr>
                <w:sz w:val="14"/>
                <w:szCs w:val="14"/>
                <w:color w:val="auto"/>
              </w:rPr>
            </w:pPr>
          </w:p>
        </w:tc>
        <w:tc>
          <w:tcPr>
            <w:tcW w:w="10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80" w:type="dxa"/>
            <w:vAlign w:val="bottom"/>
            <w:vMerge w:val="restart"/>
          </w:tcPr>
          <w:p>
            <w:pPr>
              <w:jc w:val="right"/>
              <w:ind w:right="2356"/>
              <w:spacing w:after="0"/>
              <w:rPr>
                <w:sz w:val="20"/>
                <w:szCs w:val="20"/>
                <w:color w:val="auto"/>
              </w:rPr>
            </w:pPr>
            <w:r>
              <w:rPr>
                <w:rFonts w:ascii="Times New Roman" w:cs="Times New Roman" w:eastAsia="Times New Roman" w:hAnsi="Times New Roman"/>
                <w:sz w:val="14"/>
                <w:szCs w:val="14"/>
                <w:color w:val="auto"/>
              </w:rPr>
              <w:t>11</w:t>
            </w: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46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the carrying amount of goodwill by segment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1"/>
                <w:szCs w:val="1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Freight Segment</w:t>
            </w:r>
          </w:p>
        </w:tc>
        <w:tc>
          <w:tcPr>
            <w:tcW w:w="220" w:type="dxa"/>
            <w:vAlign w:val="bottom"/>
          </w:tcPr>
          <w:p>
            <w:pPr>
              <w:spacing w:after="0"/>
              <w:rPr>
                <w:sz w:val="11"/>
                <w:szCs w:val="11"/>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Transit Segment</w:t>
            </w:r>
          </w:p>
        </w:tc>
        <w:tc>
          <w:tcPr>
            <w:tcW w:w="360" w:type="dxa"/>
            <w:vAlign w:val="bottom"/>
          </w:tcPr>
          <w:p>
            <w:pPr>
              <w:spacing w:after="0"/>
              <w:rPr>
                <w:sz w:val="11"/>
                <w:szCs w:val="11"/>
                <w:color w:val="auto"/>
              </w:rPr>
            </w:pPr>
          </w:p>
        </w:tc>
        <w:tc>
          <w:tcPr>
            <w:tcW w:w="11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w:t>
            </w:r>
          </w:p>
        </w:tc>
      </w:tr>
      <w:tr>
        <w:trPr>
          <w:trHeight w:val="180"/>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Additions/adjustments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impact</w:t>
            </w: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1"/>
        </w:trPr>
        <w:tc>
          <w:tcPr>
            <w:tcW w:w="20" w:type="dxa"/>
            <w:vAlign w:val="bottom"/>
          </w:tcPr>
          <w:p>
            <w:pPr>
              <w:spacing w:after="0"/>
              <w:rPr>
                <w:sz w:val="14"/>
                <w:szCs w:val="14"/>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As of June 30, 2022 and December 31, 2021, the Company’s trade names had a net carrying amount of $597 million and $635 million, respectively. The Company believes these intangibles have indefinite lives, with the exception of the right to use the GE Transportation trade name, to which the Company has assigned a useful life of 5 years.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Intangible assets of the Company, other than goodwill and trade names,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120" w:type="dxa"/>
            <w:vAlign w:val="bottom"/>
            <w:gridSpan w:val="2"/>
            <w:vMerge w:val="continue"/>
          </w:tcPr>
          <w:p>
            <w:pPr>
              <w:spacing w:after="0"/>
              <w:rPr>
                <w:sz w:val="10"/>
                <w:szCs w:val="10"/>
                <w:color w:val="auto"/>
              </w:rPr>
            </w:pPr>
          </w:p>
        </w:tc>
        <w:tc>
          <w:tcPr>
            <w:tcW w:w="1060" w:type="dxa"/>
            <w:vAlign w:val="bottom"/>
          </w:tcPr>
          <w:p>
            <w:pPr>
              <w:jc w:val="right"/>
              <w:ind w:right="136"/>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574"/>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Backlog, net of accumulated amortization of $366 and $309</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relationships, net of accumulated amortization of $352 and $331</w:t>
            </w: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Acquired technology, net of accumulated amortization of $386 and $334</w:t>
            </w:r>
          </w:p>
        </w:tc>
        <w:tc>
          <w:tcPr>
            <w:tcW w:w="10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40" w:firstLine="382"/>
        <w:spacing w:after="0" w:line="270" w:lineRule="auto"/>
        <w:rPr>
          <w:sz w:val="20"/>
          <w:szCs w:val="20"/>
          <w:color w:val="auto"/>
        </w:rPr>
      </w:pPr>
      <w:r>
        <w:rPr>
          <w:rFonts w:ascii="Times New Roman" w:cs="Times New Roman" w:eastAsia="Times New Roman" w:hAnsi="Times New Roman"/>
          <w:sz w:val="14"/>
          <w:szCs w:val="14"/>
          <w:color w:val="auto"/>
        </w:rPr>
        <w:t>The weighted average remaining useful lives of backlog, customer relationships and acquired technology were 10 years, 16 years and 9 years, respectively. The backlog intangible asset primarily consists of in-place long-term service agreements acquired by the Company in conjunction with the acquisition of GE Transportation in 2019. Amortization expense for intangible assets was $72 million and $145 million for the three and six months ended June 30, 2022, respectively, and $72 million and $142 million for the three and six months ended June 30, 2021, respectively.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Amortization expense for the five succeeding years is estimated to be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9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Remainder of 2022</w:t>
            </w:r>
          </w:p>
        </w:tc>
        <w:tc>
          <w:tcPr>
            <w:tcW w:w="4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2023</w:t>
            </w:r>
          </w:p>
        </w:tc>
        <w:tc>
          <w:tcPr>
            <w:tcW w:w="4900" w:type="dxa"/>
            <w:vAlign w:val="bottom"/>
          </w:tcPr>
          <w:p>
            <w:pPr>
              <w:spacing w:after="0"/>
              <w:rPr>
                <w:sz w:val="15"/>
                <w:szCs w:val="15"/>
                <w:color w:val="auto"/>
              </w:rPr>
            </w:pPr>
          </w:p>
        </w:tc>
        <w:tc>
          <w:tcPr>
            <w:tcW w:w="4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2024</w:t>
            </w:r>
          </w:p>
        </w:tc>
        <w:tc>
          <w:tcPr>
            <w:tcW w:w="4900" w:type="dxa"/>
            <w:vAlign w:val="bottom"/>
            <w:shd w:val="clear" w:color="auto" w:fill="CCEEFF"/>
          </w:tcPr>
          <w:p>
            <w:pPr>
              <w:spacing w:after="0"/>
              <w:rPr>
                <w:sz w:val="15"/>
                <w:szCs w:val="15"/>
                <w:color w:val="auto"/>
              </w:rPr>
            </w:pPr>
          </w:p>
        </w:tc>
        <w:tc>
          <w:tcPr>
            <w:tcW w:w="4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80"/>
        </w:trPr>
        <w:tc>
          <w:tcPr>
            <w:tcW w:w="5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2025</w:t>
            </w:r>
          </w:p>
        </w:tc>
        <w:tc>
          <w:tcPr>
            <w:tcW w:w="4900" w:type="dxa"/>
            <w:vAlign w:val="bottom"/>
          </w:tcPr>
          <w:p>
            <w:pPr>
              <w:spacing w:after="0"/>
              <w:rPr>
                <w:sz w:val="15"/>
                <w:szCs w:val="15"/>
                <w:color w:val="auto"/>
              </w:rPr>
            </w:pPr>
          </w:p>
        </w:tc>
        <w:tc>
          <w:tcPr>
            <w:tcW w:w="49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80"/>
        </w:trPr>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2026</w:t>
            </w:r>
          </w:p>
        </w:tc>
        <w:tc>
          <w:tcPr>
            <w:tcW w:w="4900" w:type="dxa"/>
            <w:vAlign w:val="bottom"/>
            <w:shd w:val="clear" w:color="auto" w:fill="CCEEFF"/>
          </w:tcPr>
          <w:p>
            <w:pPr>
              <w:spacing w:after="0"/>
              <w:rPr>
                <w:sz w:val="15"/>
                <w:szCs w:val="15"/>
                <w:color w:val="auto"/>
              </w:rPr>
            </w:pPr>
          </w:p>
        </w:tc>
        <w:tc>
          <w:tcPr>
            <w:tcW w:w="49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CONTRACT ASSETS AND CONTRACT LIABILITIES</w:t>
      </w:r>
    </w:p>
    <w:p>
      <w:pPr>
        <w:spacing w:after="0" w:line="96" w:lineRule="exact"/>
        <w:rPr>
          <w:sz w:val="20"/>
          <w:szCs w:val="20"/>
          <w:color w:val="auto"/>
        </w:rPr>
      </w:pPr>
    </w:p>
    <w:p>
      <w:pPr>
        <w:ind w:right="100" w:firstLine="382"/>
        <w:spacing w:after="0" w:line="259" w:lineRule="auto"/>
        <w:rPr>
          <w:sz w:val="20"/>
          <w:szCs w:val="20"/>
          <w:color w:val="auto"/>
        </w:rPr>
      </w:pPr>
      <w:r>
        <w:rPr>
          <w:rFonts w:ascii="Times New Roman" w:cs="Times New Roman" w:eastAsia="Times New Roman" w:hAnsi="Times New Roman"/>
          <w:sz w:val="14"/>
          <w:szCs w:val="14"/>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$190 million at June 30, 2022 and $153 million at December 31, 2021.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61" w:lineRule="exact"/>
        <w:rPr>
          <w:sz w:val="20"/>
          <w:szCs w:val="20"/>
          <w:color w:val="auto"/>
        </w:rPr>
      </w:pPr>
    </w:p>
    <w:p>
      <w:pPr>
        <w:ind w:right="140" w:firstLine="382"/>
        <w:spacing w:after="0" w:line="259" w:lineRule="auto"/>
        <w:rPr>
          <w:sz w:val="20"/>
          <w:szCs w:val="20"/>
          <w:color w:val="auto"/>
        </w:rPr>
      </w:pPr>
      <w:r>
        <w:rPr>
          <w:rFonts w:ascii="Times New Roman" w:cs="Times New Roman" w:eastAsia="Times New Roman" w:hAnsi="Times New Roman"/>
          <w:sz w:val="14"/>
          <w:szCs w:val="14"/>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$89 million at June 30, 2022 and $88 million at December 31, 2021.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$110 million and $107 million at June 30, 2022 and December 31, 2021, respectively. These provisions for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estimated losses are classified as current liabilities and included within the caption “Other accrued liabilities” on the consolidated balance sheets.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the carrying amount of contract assets and contract liabilities for the six months ended June 30, 2022 and 2021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Contract Assets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1"/>
                <w:szCs w:val="11"/>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Recognized in current year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Reclassified to accounts receivable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impact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June 30</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Contract Liabilities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7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vMerge w:val="continue"/>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4"/>
                <w:szCs w:val="14"/>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Recognized in current year</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in beginning balance reclassified to revenue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Current year amounts reclassified to revenue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impact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June 30</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9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4"/>
          <w:szCs w:val="14"/>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The right-of-use assets are classified as noncurrent and included within the caption "Other noncurrent assets" on the consolidated balance sheets. The current portion of lease liabilities are classified under the caption "Other accrued liabilities," while the noncurrent portion of lease liabilities are classified under the caption "Other long-term liabilities" on the consolidated balance sheets.</w:t>
      </w:r>
    </w:p>
    <w:p>
      <w:pPr>
        <w:spacing w:after="0" w:line="58" w:lineRule="exact"/>
        <w:rPr>
          <w:sz w:val="20"/>
          <w:szCs w:val="20"/>
          <w:color w:val="auto"/>
        </w:rPr>
      </w:pPr>
    </w:p>
    <w:p>
      <w:pPr>
        <w:ind w:right="200" w:firstLine="382"/>
        <w:spacing w:after="0" w:line="254" w:lineRule="auto"/>
        <w:rPr>
          <w:sz w:val="20"/>
          <w:szCs w:val="20"/>
          <w:color w:val="auto"/>
        </w:rPr>
      </w:pPr>
      <w:r>
        <w:rPr>
          <w:rFonts w:ascii="Times New Roman" w:cs="Times New Roman" w:eastAsia="Times New Roman" w:hAnsi="Times New Roman"/>
          <w:sz w:val="14"/>
          <w:szCs w:val="14"/>
          <w:color w:val="auto"/>
        </w:rPr>
        <w:t>Operating lease expense was $14 million and $29 million for the three and six months ended June 30, 2022, respectively, and $14 million and $28 million for the three and six months ended June 30, 2021, respectively. New operating leases of $22 million and $24 million were added during the three and six months ended June 30, 2022, respectively. Wabtec does not have material financing leases, short-term or variable leases or sublease income.</w:t>
      </w:r>
    </w:p>
    <w:p>
      <w:pPr>
        <w:spacing w:after="0" w:line="62"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As most of the Company's leases do not provide a readily stated discount rate, the Company must estimate the rate to discount lease payments using its incremental borrowing rate. The Company has established discount rates by geographic region ranging from 1% to 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4"/>
          <w:szCs w:val="14"/>
          <w:color w:val="auto"/>
        </w:rPr>
        <w:t>Scheduled payments of lease liabilities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2022</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bottom w:val="single" w:sz="8" w:color="CCEEFF"/>
            </w:tcBorders>
            <w:gridSpan w:val="15"/>
            <w:vMerge w:val="restart"/>
          </w:tcPr>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remaining lease term and discount rate assumptions used to develop the present value of operating lease liabilities:</w:t>
            </w: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8940" w:type="dxa"/>
            <w:vAlign w:val="bottom"/>
            <w:gridSpan w:val="15"/>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gridSpan w:val="3"/>
          </w:tcPr>
          <w:p>
            <w:pPr>
              <w:jc w:val="center"/>
              <w:ind w:left="5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7.9</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80" w:type="dxa"/>
            <w:vAlign w:val="bottom"/>
          </w:tcPr>
          <w:p>
            <w:pPr>
              <w:spacing w:after="0"/>
              <w:rPr>
                <w:sz w:val="16"/>
                <w:szCs w:val="16"/>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8. LONG-TERM DEBT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Long-term debt consisted of the following:</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7"/>
          </w:tcPr>
          <w:p>
            <w:pPr>
              <w:jc w:val="right"/>
              <w:ind w:right="877"/>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Effective Interest</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Face Value</w:t>
            </w:r>
          </w:p>
        </w:tc>
        <w:tc>
          <w:tcPr>
            <w:tcW w:w="240" w:type="dxa"/>
            <w:vAlign w:val="bottom"/>
          </w:tcPr>
          <w:p>
            <w:pPr>
              <w:spacing w:after="0"/>
              <w:rPr>
                <w:sz w:val="11"/>
                <w:szCs w:val="11"/>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Book Value</w:t>
            </w:r>
          </w:p>
        </w:tc>
        <w:tc>
          <w:tcPr>
            <w:tcW w:w="340" w:type="dxa"/>
            <w:vAlign w:val="bottom"/>
          </w:tcPr>
          <w:p>
            <w:pPr>
              <w:spacing w:after="0"/>
              <w:rPr>
                <w:sz w:val="11"/>
                <w:szCs w:val="11"/>
                <w:color w:val="auto"/>
              </w:rPr>
            </w:pPr>
          </w:p>
        </w:tc>
        <w:tc>
          <w:tcPr>
            <w:tcW w:w="98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Book Value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100" w:type="dxa"/>
            <w:vAlign w:val="bottom"/>
            <w:gridSpan w:val="2"/>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Rate</w:t>
            </w: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Senior Credit Facility:</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Multi-Currency Revolving loan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w w:val="94"/>
              </w:rPr>
              <w:t>N/A</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20" w:type="dxa"/>
            <w:vAlign w:val="bottom"/>
            <w:gridSpan w:val="3"/>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Senior Notes:</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4.375% Senior Notes, due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4.15% Senior Notes, due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3.20% Senior Notes, due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3.45% Senior Notes,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1.25% Senior Notes (EUR), due 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4.70% Senior Notes, due 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Borrowings</w:t>
            </w: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1"/>
                <w:szCs w:val="11"/>
                <w:color w:val="auto"/>
              </w:rPr>
              <w:t>Less: current portion</w:t>
            </w: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Long-term portion</w:t>
            </w: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3,808</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4,056</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See Note 13 for information on the fair value measurement of the Company's long-term debt.</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Variances between Face Value and Book Value are the result of unamortized discounts and debt issuance fees.</w:t>
      </w:r>
    </w:p>
    <w:p>
      <w:pPr>
        <w:spacing w:after="0" w:line="94" w:lineRule="exact"/>
        <w:rPr>
          <w:sz w:val="20"/>
          <w:szCs w:val="20"/>
          <w:color w:val="auto"/>
        </w:rPr>
      </w:pPr>
    </w:p>
    <w:p>
      <w:pPr>
        <w:ind w:right="220" w:firstLine="382"/>
        <w:spacing w:after="0" w:line="264" w:lineRule="auto"/>
        <w:rPr>
          <w:sz w:val="20"/>
          <w:szCs w:val="20"/>
          <w:color w:val="auto"/>
        </w:rPr>
      </w:pPr>
      <w:r>
        <w:rPr>
          <w:rFonts w:ascii="Times New Roman" w:cs="Times New Roman" w:eastAsia="Times New Roman" w:hAnsi="Times New Roman"/>
          <w:sz w:val="14"/>
          <w:szCs w:val="14"/>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June 30, 2022 and December 31, 2021, the Company had total combined unamortized discount and debt issuance costs of $20 million and $23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Credit Facility</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 million in multi-currency revolving loans (inclusive of swingline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4" w:name="page15"/>
    <w:bookmarkEnd w:id="14"/>
    <w:p>
      <w:pPr>
        <w:ind w:right="560"/>
        <w:spacing w:after="0" w:line="287" w:lineRule="auto"/>
        <w:rPr>
          <w:sz w:val="20"/>
          <w:szCs w:val="20"/>
          <w:color w:val="auto"/>
        </w:rPr>
      </w:pPr>
      <w:r>
        <w:rPr>
          <w:rFonts w:ascii="Times New Roman" w:cs="Times New Roman" w:eastAsia="Times New Roman" w:hAnsi="Times New Roman"/>
          <w:sz w:val="14"/>
          <w:szCs w:val="14"/>
          <w:color w:val="auto"/>
        </w:rPr>
        <w:t>loans of up to $75 million and letters of credit of up to $450 million (the "Revolving Credit Facility")). The Revolving Credit Facility will mature on June 8, 2023. The Company is currently negotiating an extension of the maturity of the Senior Credit Facility and management expects that this can be accomplished at market rates.</w:t>
      </w:r>
    </w:p>
    <w:p>
      <w:pPr>
        <w:spacing w:after="0" w:line="39"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Under the Senior Credit Facility, we can elect to receive advances bearing interest based on either the Alternate Base Rate ("ABR"), the London Interbank Offered Rate ("LIBOR") or the adjusted risk-free rate (each as defined in the Senior Credit Facility) plus applicable margin that is determined based on our credit ratings or the Company's Leverage (as defined in the Senior Credit Facility).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5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Interest Coverage Ratio </w:t>
            </w:r>
            <w:r>
              <w:rPr>
                <w:rFonts w:ascii="Times New Roman" w:cs="Times New Roman" w:eastAsia="Times New Roman" w:hAnsi="Times New Roman"/>
                <w:sz w:val="16"/>
                <w:szCs w:val="16"/>
                <w:color w:val="auto"/>
                <w:vertAlign w:val="superscript"/>
              </w:rPr>
              <w:t>1</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3.0x</w:t>
            </w:r>
          </w:p>
        </w:tc>
      </w:tr>
      <w:tr>
        <w:trPr>
          <w:trHeight w:val="241"/>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Leverage Ratio </w:t>
            </w:r>
            <w:r>
              <w:rPr>
                <w:rFonts w:ascii="Times New Roman" w:cs="Times New Roman" w:eastAsia="Times New Roman" w:hAnsi="Times New Roman"/>
                <w:sz w:val="16"/>
                <w:szCs w:val="16"/>
                <w:color w:val="auto"/>
                <w:vertAlign w:val="superscript"/>
              </w:rPr>
              <w:t>2</w:t>
            </w:r>
          </w:p>
        </w:tc>
        <w:tc>
          <w:tcPr>
            <w:tcW w:w="5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3.25x</w:t>
            </w:r>
          </w:p>
        </w:tc>
      </w:tr>
    </w:tbl>
    <w:p>
      <w:pPr>
        <w:spacing w:after="0" w:line="135" w:lineRule="exact"/>
        <w:rPr>
          <w:sz w:val="20"/>
          <w:szCs w:val="20"/>
          <w:color w:val="auto"/>
        </w:rPr>
      </w:pPr>
    </w:p>
    <w:p>
      <w:pPr>
        <w:ind w:left="120" w:hanging="115"/>
        <w:spacing w:after="0"/>
        <w:tabs>
          <w:tab w:leader="none" w:pos="1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interest coverage ratio is defined as EBITDA (earnings before interest, taxes, depreciation, and amortization) to net interest expense (each as defined in the Senior Credit Facility) for the four quarters then ended.</w:t>
      </w:r>
    </w:p>
    <w:p>
      <w:pPr>
        <w:spacing w:after="0" w:line="12" w:lineRule="exact"/>
        <w:rPr>
          <w:rFonts w:ascii="Times New Roman" w:cs="Times New Roman" w:eastAsia="Times New Roman" w:hAnsi="Times New Roman"/>
          <w:sz w:val="11"/>
          <w:szCs w:val="11"/>
          <w:color w:val="auto"/>
        </w:rPr>
      </w:pPr>
    </w:p>
    <w:p>
      <w:pPr>
        <w:ind w:left="120" w:hanging="115"/>
        <w:spacing w:after="0"/>
        <w:tabs>
          <w:tab w:leader="none" w:pos="1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leverage ratio is defined as net debt as of the last day of such fiscal quarter to EBITDA, as defined in the Senior Credit Facility, for the four quarters then ended.</w:t>
      </w:r>
    </w:p>
    <w:p>
      <w:pPr>
        <w:spacing w:after="0" w:line="76" w:lineRule="exact"/>
        <w:rPr>
          <w:sz w:val="20"/>
          <w:szCs w:val="20"/>
          <w:color w:val="auto"/>
        </w:rPr>
      </w:pPr>
    </w:p>
    <w:p>
      <w:pPr>
        <w:ind w:right="60" w:firstLine="382"/>
        <w:spacing w:after="0" w:line="246" w:lineRule="auto"/>
        <w:rPr>
          <w:sz w:val="20"/>
          <w:szCs w:val="20"/>
          <w:color w:val="auto"/>
        </w:rPr>
      </w:pPr>
      <w:r>
        <w:rPr>
          <w:rFonts w:ascii="Times New Roman" w:cs="Times New Roman" w:eastAsia="Times New Roman" w:hAnsi="Times New Roman"/>
          <w:sz w:val="14"/>
          <w:szCs w:val="14"/>
          <w:color w:val="auto"/>
        </w:rPr>
        <w:t>The Senior Credit Facility was amended in the second quarter of 2021 so the Company may increase the maximum leverage ratio to (x) 3.75 to 1.00 at the end of the fiscal quarter in which the Nordco acquisition was consummated and each of the three fiscal quarters immediately following such fiscal quarter and (y) 3.50 to 1.00 at the end of each of the fourth and fifth full fiscal quarters after the consummation of the Nordco acquisition upon the Company's request. The Company has not requested any increase in the leverage ratio at this time.</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was in compliance with all covenants in the Senior Credit Facility as of June 30, 2022.</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availability under the Senior Credit Facility at June 30,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20" w:type="dxa"/>
            <w:vAlign w:val="bottom"/>
          </w:tcPr>
          <w:p>
            <w:pPr>
              <w:spacing w:after="0"/>
              <w:rPr>
                <w:sz w:val="14"/>
                <w:szCs w:val="14"/>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9"/>
              </w:rPr>
              <w:t>Senior Credit Facility</w:t>
            </w:r>
          </w:p>
        </w:tc>
      </w:tr>
      <w:tr>
        <w:trPr>
          <w:trHeight w:val="163"/>
        </w:trPr>
        <w:tc>
          <w:tcPr>
            <w:tcW w:w="9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Availability</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r>
      <w:tr>
        <w:trPr>
          <w:trHeight w:val="16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Outstanding Borrowings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2"/>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Letters of Credit Under Credit Agreement</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6"/>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Availability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96"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4"/>
          <w:szCs w:val="14"/>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w:t>
      </w:r>
    </w:p>
    <w:p>
      <w:pPr>
        <w:spacing w:after="0" w:line="94"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4"/>
          <w:szCs w:val="14"/>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Senior Credit Facility. The Euro Notes were issued by Wabtec Transportation Netherlands B.V. and are fully and unconditionally guaranteed by the Company.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5" w:name="page16"/>
    <w:bookmarkEnd w:id="15"/>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STOCK-BASED COMPENSATION</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As of June 30, 2022,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June 30, 2022 the number of shares available for future grants under the 2011 Plan was 6.0 million shares, which includes remaining shares available under the 2000 Plan. The Company also maintains a 1995 Non-Employee Directors’ Fee and Stock Option Plan as amended and restated (“the Directors Plan”).</w:t>
      </w:r>
    </w:p>
    <w:p>
      <w:pPr>
        <w:spacing w:after="0" w:line="56" w:lineRule="exact"/>
        <w:rPr>
          <w:sz w:val="20"/>
          <w:szCs w:val="20"/>
          <w:color w:val="auto"/>
        </w:rPr>
      </w:pPr>
    </w:p>
    <w:p>
      <w:pPr>
        <w:jc w:val="both"/>
        <w:ind w:right="380" w:firstLine="382"/>
        <w:spacing w:after="0" w:line="270" w:lineRule="auto"/>
        <w:rPr>
          <w:sz w:val="20"/>
          <w:szCs w:val="20"/>
          <w:color w:val="auto"/>
        </w:rPr>
      </w:pPr>
      <w:r>
        <w:rPr>
          <w:rFonts w:ascii="Times New Roman" w:cs="Times New Roman" w:eastAsia="Times New Roman" w:hAnsi="Times New Roman"/>
          <w:sz w:val="14"/>
          <w:szCs w:val="14"/>
          <w:color w:val="auto"/>
        </w:rPr>
        <w:t>Stock-based compensation expense was $12 million and $23 million for the three and six months ended June 30, 2022, respectively, and $16 million and $24 million for the three and six months ended June 30, 2021, respectively. At June 30, 2022, unamortized compensation expense related to stock options, non-vested restricted shares and incentive stock units expected to vest totaled $69 million.</w:t>
      </w:r>
    </w:p>
    <w:p>
      <w:pPr>
        <w:spacing w:after="0" w:line="49"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Options </w:t>
      </w:r>
      <w:r>
        <w:rPr>
          <w:rFonts w:ascii="Times New Roman" w:cs="Times New Roman" w:eastAsia="Times New Roman" w:hAnsi="Times New Roman"/>
          <w:sz w:val="14"/>
          <w:szCs w:val="14"/>
          <w:color w:val="auto"/>
        </w:rPr>
        <w:t>Stock options are granted to eligible employees at an exercise price equivalent to the stock's fair market value, which is the average of the high and low Wabtec stock price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date of grant. New options granted become exercisable over a three-year vesting period. Options expire 10 years from the date of grant. No stock options were granted during the six months ended June 30, 2022.</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and related information for the 2011 Plan, the 2000 Plan and the Directors Plan for the six months ended June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40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2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restart"/>
          </w:tcPr>
          <w:p>
            <w:pPr>
              <w:jc w:val="center"/>
              <w:ind w:left="401"/>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restart"/>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540" w:type="dxa"/>
            <w:vAlign w:val="bottom"/>
            <w:vMerge w:val="restart"/>
          </w:tcPr>
          <w:p>
            <w:pPr>
              <w:ind w:left="580"/>
              <w:spacing w:after="0" w:line="115" w:lineRule="exact"/>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vMerge w:val="restart"/>
          </w:tcPr>
          <w:p>
            <w:pPr>
              <w:jc w:val="center"/>
              <w:ind w:right="196"/>
              <w:spacing w:after="0" w:line="115"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restart"/>
          </w:tcPr>
          <w:p>
            <w:pPr>
              <w:jc w:val="center"/>
              <w:ind w:left="401"/>
              <w:spacing w:after="0" w:line="10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vMerge w:val="restart"/>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restart"/>
          </w:tcPr>
          <w:p>
            <w:pPr>
              <w:jc w:val="center"/>
              <w:ind w:left="401"/>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Contractual Life</w:t>
            </w: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48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531,915</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(55,057)</w:t>
            </w:r>
          </w:p>
        </w:tc>
        <w:tc>
          <w:tcPr>
            <w:tcW w:w="1160" w:type="dxa"/>
            <w:vAlign w:val="bottom"/>
            <w:gridSpan w:val="2"/>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74.63</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54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(15,132)</w:t>
            </w:r>
          </w:p>
        </w:tc>
        <w:tc>
          <w:tcPr>
            <w:tcW w:w="1160" w:type="dxa"/>
            <w:vAlign w:val="bottom"/>
            <w:gridSpan w:val="2"/>
            <w:shd w:val="clear" w:color="auto" w:fill="CCEEFF"/>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June 30, 2022</w:t>
            </w:r>
          </w:p>
        </w:tc>
        <w:tc>
          <w:tcPr>
            <w:tcW w:w="15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461,726</w:t>
            </w:r>
          </w:p>
        </w:tc>
        <w:tc>
          <w:tcPr>
            <w:tcW w:w="1160" w:type="dxa"/>
            <w:vAlign w:val="bottom"/>
            <w:gridSpan w:val="2"/>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June 30, 2022</w:t>
            </w:r>
          </w:p>
        </w:tc>
        <w:tc>
          <w:tcPr>
            <w:tcW w:w="15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350,898</w:t>
            </w:r>
          </w:p>
        </w:tc>
        <w:tc>
          <w:tcPr>
            <w:tcW w:w="1160" w:type="dxa"/>
            <w:vAlign w:val="bottom"/>
            <w:gridSpan w:val="2"/>
            <w:shd w:val="clear" w:color="auto" w:fill="CCEEFF"/>
          </w:tcPr>
          <w:p>
            <w:pPr>
              <w:jc w:val="right"/>
              <w:ind w:right="92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ind w:right="6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Restricted Units and Incentive Stock </w:t>
      </w:r>
      <w:r>
        <w:rPr>
          <w:rFonts w:ascii="Times New Roman" w:cs="Times New Roman" w:eastAsia="Times New Roman" w:hAnsi="Times New Roman"/>
          <w:sz w:val="14"/>
          <w:szCs w:val="14"/>
          <w:color w:val="auto"/>
        </w:rPr>
        <w:t>As provided for under the 2011 Plan and 2000 Plan, eligible employees are granted restricted stock that generally vests over three years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the date of grant. Under the Directors Plan, restricted stock awards vest one year from the date of grant.</w:t>
      </w:r>
    </w:p>
    <w:p>
      <w:pPr>
        <w:spacing w:after="0" w:line="37"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June 30, 2022, the Company estimates that it will achieve 132%, 117% and 103% for the incentive stock awards expected to vest based on performance for the three-year periods ending December 31, 2022, 2023, and 2024, respectively, and has recorded incentive compensation expense accordingly. If the estimate of the number of these incentive stock units expected to vest changes in a future accounting period, cumulative compensation expense could increase or decrease resulting in recognition in the current period for the elapsed portion of the vesting period and would change future expense for the remaining vesting period.</w:t>
      </w:r>
    </w:p>
    <w:p>
      <w:pPr>
        <w:spacing w:after="0" w:line="62"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Compensation expense for the non-vested restricted stock and incentive stock units is based on the average of the high and low Wabtec stock price on the date of grant and recognized over the applicable vesting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restricted stock activity and incentive stock units' activity for the six months ended June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0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1520" w:type="dxa"/>
            <w:vAlign w:val="bottom"/>
            <w:vMerge w:val="restart"/>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Incentive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0" w:type="dxa"/>
            <w:vAlign w:val="bottom"/>
          </w:tcPr>
          <w:p>
            <w:pPr>
              <w:spacing w:after="0"/>
              <w:rPr>
                <w:sz w:val="1"/>
                <w:szCs w:val="1"/>
                <w:color w:val="auto"/>
              </w:rPr>
            </w:pPr>
          </w:p>
        </w:tc>
      </w:tr>
      <w:tr>
        <w:trPr>
          <w:trHeight w:val="115"/>
        </w:trPr>
        <w:tc>
          <w:tcPr>
            <w:tcW w:w="65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jc w:val="center"/>
              <w:ind w:right="175"/>
              <w:spacing w:after="0" w:line="115"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16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520" w:type="dxa"/>
            <w:vAlign w:val="bottom"/>
          </w:tcPr>
          <w:p>
            <w:pPr>
              <w:jc w:val="right"/>
              <w:ind w:right="554"/>
              <w:spacing w:after="0" w:line="117"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center"/>
              <w:ind w:right="175"/>
              <w:spacing w:after="0" w:line="117" w:lineRule="exact"/>
              <w:rPr>
                <w:sz w:val="20"/>
                <w:szCs w:val="20"/>
                <w:color w:val="auto"/>
              </w:rPr>
            </w:pPr>
            <w:r>
              <w:rPr>
                <w:rFonts w:ascii="Times New Roman" w:cs="Times New Roman" w:eastAsia="Times New Roman" w:hAnsi="Times New Roman"/>
                <w:sz w:val="11"/>
                <w:szCs w:val="11"/>
                <w:b w:val="1"/>
                <w:bCs w:val="1"/>
                <w:color w:val="auto"/>
              </w:rPr>
              <w:t>Date Fair</w:t>
            </w:r>
          </w:p>
        </w:tc>
        <w:tc>
          <w:tcPr>
            <w:tcW w:w="0" w:type="dxa"/>
            <w:vAlign w:val="bottom"/>
          </w:tcPr>
          <w:p>
            <w:pPr>
              <w:spacing w:after="0"/>
              <w:rPr>
                <w:sz w:val="1"/>
                <w:szCs w:val="1"/>
                <w:color w:val="auto"/>
              </w:rPr>
            </w:pPr>
          </w:p>
        </w:tc>
      </w:tr>
      <w:tr>
        <w:trPr>
          <w:trHeight w:val="154"/>
        </w:trPr>
        <w:tc>
          <w:tcPr>
            <w:tcW w:w="65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and Units</w:t>
            </w:r>
          </w:p>
        </w:tc>
        <w:tc>
          <w:tcPr>
            <w:tcW w:w="152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507,698</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607,101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0" w:type="dxa"/>
            <w:vAlign w:val="bottom"/>
          </w:tcPr>
          <w:p>
            <w:pPr>
              <w:spacing w:after="0"/>
              <w:rPr>
                <w:sz w:val="1"/>
                <w:szCs w:val="1"/>
                <w:color w:val="auto"/>
              </w:rPr>
            </w:pPr>
          </w:p>
        </w:tc>
      </w:tr>
      <w:tr>
        <w:trPr>
          <w:trHeight w:val="180"/>
        </w:trPr>
        <w:tc>
          <w:tcPr>
            <w:tcW w:w="6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439,683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176,657</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91.18</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(43,039)</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w:t>
            </w:r>
          </w:p>
        </w:tc>
        <w:tc>
          <w:tcPr>
            <w:tcW w:w="0" w:type="dxa"/>
            <w:vAlign w:val="bottom"/>
          </w:tcPr>
          <w:p>
            <w:pPr>
              <w:spacing w:after="0"/>
              <w:rPr>
                <w:sz w:val="1"/>
                <w:szCs w:val="1"/>
                <w:color w:val="auto"/>
              </w:rPr>
            </w:pPr>
          </w:p>
        </w:tc>
      </w:tr>
      <w:tr>
        <w:trPr>
          <w:trHeight w:val="180"/>
        </w:trPr>
        <w:tc>
          <w:tcPr>
            <w:tcW w:w="6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 for incentive stock awards expected to vest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10,962</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Canceled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(21,812)</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(25,362)</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0" w:type="dxa"/>
            <w:vAlign w:val="bottom"/>
          </w:tcPr>
          <w:p>
            <w:pPr>
              <w:spacing w:after="0"/>
              <w:rPr>
                <w:sz w:val="1"/>
                <w:szCs w:val="1"/>
                <w:color w:val="auto"/>
              </w:rPr>
            </w:pP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June 30, 2022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717,044</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726,319</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96"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The overall effective tax rate of 25.5% and 25.3% for the three and six months ended June 30, 2022, respectively, differs from the U.S. Federal statutory rate of 21.0% primarily due to the impact of state and foreign taxes.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EARNINGS PER SHARE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computation of basic and diluted earnings per share for Net income attributable to Wabtec shareholders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i w:val="1"/>
                <w:iCs w:val="1"/>
                <w:color w:val="auto"/>
              </w:rPr>
              <w:t>In millions, except per share data</w:t>
            </w:r>
          </w:p>
        </w:tc>
        <w:tc>
          <w:tcPr>
            <w:tcW w:w="320" w:type="dxa"/>
            <w:vAlign w:val="bottom"/>
          </w:tcPr>
          <w:p>
            <w:pPr>
              <w:spacing w:after="0"/>
              <w:rPr>
                <w:sz w:val="10"/>
                <w:szCs w:val="10"/>
                <w:color w:val="auto"/>
              </w:rPr>
            </w:pPr>
          </w:p>
        </w:tc>
        <w:tc>
          <w:tcPr>
            <w:tcW w:w="1060" w:type="dxa"/>
            <w:vAlign w:val="bottom"/>
          </w:tcPr>
          <w:p>
            <w:pPr>
              <w:jc w:val="right"/>
              <w:ind w:right="514"/>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jc w:val="right"/>
              <w:ind w:right="511"/>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ind w:right="514"/>
              <w:spacing w:after="0" w:line="117"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jc w:val="right"/>
              <w:ind w:right="511"/>
              <w:spacing w:after="0" w:line="117"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Assumed conversion of dilutive stock-based compensation plans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Wabtec shareholders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54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200" w:firstLine="382"/>
        <w:spacing w:after="0" w:line="271" w:lineRule="auto"/>
        <w:rPr>
          <w:sz w:val="20"/>
          <w:szCs w:val="20"/>
          <w:color w:val="auto"/>
        </w:rPr>
      </w:pPr>
      <w:r>
        <w:rPr>
          <w:rFonts w:ascii="Times New Roman" w:cs="Times New Roman" w:eastAsia="Times New Roman" w:hAnsi="Times New Roman"/>
          <w:sz w:val="14"/>
          <w:szCs w:val="14"/>
          <w:color w:val="auto"/>
        </w:rPr>
        <w:t>Approximately 0.2 million outstanding shares of stock options for the three and six months ended June 30, 2021 were not included in the computation of quarterly diluted earnings per share because their exercise price exceeded the average market price of the Company's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WARRANTIES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reconciles the changes in the Company’s product warranty reserve for the six months ended June 30, 2022 and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4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44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Warranty expense</w:t>
            </w:r>
          </w:p>
        </w:tc>
        <w:tc>
          <w:tcPr>
            <w:tcW w:w="4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Warranty claim payments</w:t>
            </w:r>
          </w:p>
        </w:tc>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impact/other</w:t>
            </w:r>
          </w:p>
        </w:tc>
        <w:tc>
          <w:tcPr>
            <w:tcW w:w="44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June 30</w:t>
            </w:r>
          </w:p>
        </w:tc>
        <w:tc>
          <w:tcPr>
            <w:tcW w:w="44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80" w:type="dxa"/>
            <w:vAlign w:val="bottom"/>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44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13. FAIR VALUE MEASUREMENT AND DERIVATIVE INSTRUMENTS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49" w:lineRule="exact"/>
        <w:rPr>
          <w:sz w:val="20"/>
          <w:szCs w:val="20"/>
          <w:color w:val="auto"/>
        </w:rPr>
      </w:pPr>
    </w:p>
    <w:p>
      <w:pPr>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Valuation Hierarchy. </w:t>
      </w:r>
      <w:r>
        <w:rPr>
          <w:rFonts w:ascii="Times New Roman" w:cs="Times New Roman" w:eastAsia="Times New Roman" w:hAnsi="Times New Roman"/>
          <w:sz w:val="14"/>
          <w:szCs w:val="14"/>
          <w:color w:val="auto"/>
        </w:rPr>
        <w:t>ASC 820 establishes a valuation hierarchy for disclosure of the inputs to valuation used to measure fair value. This hierarchy prioritizes the inputs into three broad levels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and,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5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4"/>
          <w:szCs w:val="14"/>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June 30, 2022 and December 31, 2021. 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4"/>
          <w:szCs w:val="14"/>
          <w:color w:val="auto"/>
        </w:rPr>
        <w:t>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At June 30, 2022 and December 31, 2021, $110 million was classified as "Other accrued liabilities" on the Company's Consolidated Balance Sheets and $143 million and $141 million, respectively, was included within long-term liabilities classified as "Contingent consideration" on the Company's Consolidated Balance Sheets. The fair value approximates the carrying value at June 30, 2022 and December 31, 2021.</w:t>
      </w:r>
    </w:p>
    <w:p>
      <w:pPr>
        <w:spacing w:after="0" w:line="59" w:lineRule="exact"/>
        <w:rPr>
          <w:sz w:val="20"/>
          <w:szCs w:val="20"/>
          <w:color w:val="auto"/>
        </w:rPr>
      </w:pPr>
    </w:p>
    <w:p>
      <w:pPr>
        <w:ind w:right="12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Hedging Activities </w:t>
      </w:r>
      <w:r>
        <w:rPr>
          <w:rFonts w:ascii="Times New Roman" w:cs="Times New Roman" w:eastAsia="Times New Roman" w:hAnsi="Times New Roman"/>
          <w:sz w:val="14"/>
          <w:szCs w:val="14"/>
          <w:color w:val="auto"/>
        </w:rPr>
        <w:t>In the normal course of business, the Company is exposed to market risk related to interest rates, commodity prices and foreign currency exchange rate fluctuations,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six months ended June 30, 2022 and 2021, the amounts reclassified into income were not material.</w:t>
      </w:r>
    </w:p>
    <w:p>
      <w:pPr>
        <w:spacing w:after="0" w:line="56" w:lineRule="exact"/>
        <w:rPr>
          <w:sz w:val="20"/>
          <w:szCs w:val="20"/>
          <w:color w:val="auto"/>
        </w:rPr>
      </w:pPr>
    </w:p>
    <w:p>
      <w:pPr>
        <w:ind w:right="280" w:firstLine="382"/>
        <w:spacing w:after="0" w:line="259" w:lineRule="auto"/>
        <w:rPr>
          <w:sz w:val="20"/>
          <w:szCs w:val="20"/>
          <w:color w:val="auto"/>
        </w:rPr>
      </w:pPr>
      <w:r>
        <w:rPr>
          <w:rFonts w:ascii="Times New Roman" w:cs="Times New Roman" w:eastAsia="Times New Roman" w:hAnsi="Times New Roman"/>
          <w:sz w:val="14"/>
          <w:szCs w:val="14"/>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61"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loss related to these contracts was $7 million and $8 million for the three and six</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months ended June 30, 2022, respectively, and a net loss of $1 million and $3 million for the three and six months ended June 30, 2021, respectively. These contracts typically mature within one year.</w:t>
      </w:r>
    </w:p>
    <w:p>
      <w:pPr>
        <w:spacing w:after="0" w:line="94" w:lineRule="exact"/>
        <w:rPr>
          <w:sz w:val="20"/>
          <w:szCs w:val="20"/>
          <w:color w:val="auto"/>
        </w:rPr>
      </w:pPr>
    </w:p>
    <w:p>
      <w:pPr>
        <w:ind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summarizes the gross notional amounts and fair values of the designated and non-designated hedges discussed in the above sections as of June 30, 2022, which are included in "Other current assets" and "Other accrued liabilities" on the Consolidated Balance Sheets:</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Gross Notional Amount</w:t>
            </w:r>
          </w:p>
        </w:tc>
      </w:tr>
      <w:tr>
        <w:trPr>
          <w:trHeight w:val="122"/>
        </w:trPr>
        <w:tc>
          <w:tcPr>
            <w:tcW w:w="20" w:type="dxa"/>
            <w:vAlign w:val="bottom"/>
          </w:tcPr>
          <w:p>
            <w:pPr>
              <w:spacing w:after="0"/>
              <w:rPr>
                <w:sz w:val="10"/>
                <w:szCs w:val="10"/>
                <w:color w:val="auto"/>
              </w:rPr>
            </w:pPr>
          </w:p>
        </w:tc>
        <w:tc>
          <w:tcPr>
            <w:tcW w:w="30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62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Level</w:t>
            </w:r>
          </w:p>
        </w:tc>
        <w:tc>
          <w:tcPr>
            <w:tcW w:w="280" w:type="dxa"/>
            <w:vAlign w:val="bottom"/>
          </w:tcPr>
          <w:p>
            <w:pPr>
              <w:spacing w:after="0"/>
              <w:rPr>
                <w:sz w:val="10"/>
                <w:szCs w:val="10"/>
                <w:color w:val="auto"/>
              </w:rPr>
            </w:pPr>
          </w:p>
        </w:tc>
        <w:tc>
          <w:tcPr>
            <w:tcW w:w="134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300" w:type="dxa"/>
            <w:vAlign w:val="bottom"/>
          </w:tcPr>
          <w:p>
            <w:pPr>
              <w:spacing w:after="0"/>
              <w:rPr>
                <w:sz w:val="10"/>
                <w:szCs w:val="10"/>
                <w:color w:val="auto"/>
              </w:rPr>
            </w:pPr>
          </w:p>
        </w:tc>
        <w:tc>
          <w:tcPr>
            <w:tcW w:w="1240" w:type="dxa"/>
            <w:vAlign w:val="bottom"/>
          </w:tcPr>
          <w:p>
            <w:pPr>
              <w:jc w:val="right"/>
              <w:ind w:right="272"/>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20" w:type="dxa"/>
            <w:vAlign w:val="bottom"/>
          </w:tcPr>
          <w:p>
            <w:pPr>
              <w:spacing w:after="0"/>
              <w:rPr>
                <w:sz w:val="10"/>
                <w:szCs w:val="10"/>
                <w:color w:val="auto"/>
              </w:rPr>
            </w:pPr>
          </w:p>
        </w:tc>
        <w:tc>
          <w:tcPr>
            <w:tcW w:w="1320" w:type="dxa"/>
            <w:vAlign w:val="bottom"/>
          </w:tcPr>
          <w:p>
            <w:pPr>
              <w:jc w:val="right"/>
              <w:ind w:right="272"/>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Cross-currency Swaps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summarizes the gross notional amounts and fair values of the designated and non-designated hedges discussed in the above sections as of December 31, 2021, which are included in "Other current assets" and "Other accrued liabilities" on the Consolidated Balance Sheets:</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3"/>
                <w:szCs w:val="13"/>
                <w:b w:val="1"/>
                <w:bCs w:val="1"/>
                <w:color w:val="auto"/>
              </w:rPr>
              <w:t>Gross Notional Amount</w:t>
            </w:r>
          </w:p>
        </w:tc>
      </w:tr>
      <w:tr>
        <w:trPr>
          <w:trHeight w:val="122"/>
        </w:trPr>
        <w:tc>
          <w:tcPr>
            <w:tcW w:w="20" w:type="dxa"/>
            <w:vAlign w:val="bottom"/>
          </w:tcPr>
          <w:p>
            <w:pPr>
              <w:spacing w:after="0"/>
              <w:rPr>
                <w:sz w:val="10"/>
                <w:szCs w:val="10"/>
                <w:color w:val="auto"/>
              </w:rPr>
            </w:pPr>
          </w:p>
        </w:tc>
        <w:tc>
          <w:tcPr>
            <w:tcW w:w="30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60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1"/>
                <w:szCs w:val="11"/>
                <w:b w:val="1"/>
                <w:bCs w:val="1"/>
                <w:color w:val="auto"/>
              </w:rPr>
              <w:t>Level</w:t>
            </w:r>
          </w:p>
        </w:tc>
        <w:tc>
          <w:tcPr>
            <w:tcW w:w="280" w:type="dxa"/>
            <w:vAlign w:val="bottom"/>
          </w:tcPr>
          <w:p>
            <w:pPr>
              <w:spacing w:after="0"/>
              <w:rPr>
                <w:sz w:val="10"/>
                <w:szCs w:val="10"/>
                <w:color w:val="auto"/>
              </w:rPr>
            </w:pPr>
          </w:p>
        </w:tc>
        <w:tc>
          <w:tcPr>
            <w:tcW w:w="1340" w:type="dxa"/>
            <w:vAlign w:val="bottom"/>
            <w:gridSpan w:val="2"/>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80" w:type="dxa"/>
            <w:vAlign w:val="bottom"/>
          </w:tcPr>
          <w:p>
            <w:pPr>
              <w:spacing w:after="0"/>
              <w:rPr>
                <w:sz w:val="10"/>
                <w:szCs w:val="10"/>
                <w:color w:val="auto"/>
              </w:rPr>
            </w:pPr>
          </w:p>
        </w:tc>
        <w:tc>
          <w:tcPr>
            <w:tcW w:w="1240" w:type="dxa"/>
            <w:vAlign w:val="bottom"/>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2"/>
                <w:szCs w:val="12"/>
                <w:b w:val="1"/>
                <w:bCs w:val="1"/>
                <w:color w:val="auto"/>
              </w:rPr>
              <w:t>Designated</w:t>
            </w:r>
          </w:p>
        </w:tc>
        <w:tc>
          <w:tcPr>
            <w:tcW w:w="200" w:type="dxa"/>
            <w:vAlign w:val="bottom"/>
          </w:tcPr>
          <w:p>
            <w:pPr>
              <w:spacing w:after="0"/>
              <w:rPr>
                <w:sz w:val="10"/>
                <w:szCs w:val="10"/>
                <w:color w:val="auto"/>
              </w:rPr>
            </w:pPr>
          </w:p>
        </w:tc>
        <w:tc>
          <w:tcPr>
            <w:tcW w:w="1320" w:type="dxa"/>
            <w:vAlign w:val="bottom"/>
          </w:tcPr>
          <w:p>
            <w:pPr>
              <w:jc w:val="right"/>
              <w:ind w:right="252"/>
              <w:spacing w:after="0" w:line="107" w:lineRule="exact"/>
              <w:rPr>
                <w:sz w:val="20"/>
                <w:szCs w:val="20"/>
                <w:color w:val="auto"/>
              </w:rPr>
            </w:pPr>
            <w:r>
              <w:rPr>
                <w:rFonts w:ascii="Times New Roman" w:cs="Times New Roman" w:eastAsia="Times New Roman" w:hAnsi="Times New Roman"/>
                <w:sz w:val="12"/>
                <w:szCs w:val="12"/>
                <w:b w:val="1"/>
                <w:bCs w:val="1"/>
                <w:color w:val="auto"/>
              </w:rPr>
              <w:t>Non-Designated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Cross-currency Swaps</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may use interest rate swap contracts on certain investing and borrowing transactions to manage its net exposure to interest rate changes and to reduce its overall cost of</w:t>
      </w:r>
    </w:p>
    <w:p>
      <w:pPr>
        <w:spacing w:after="0" w:line="41" w:lineRule="exact"/>
        <w:rPr>
          <w:sz w:val="20"/>
          <w:szCs w:val="20"/>
          <w:color w:val="auto"/>
        </w:rPr>
      </w:pPr>
    </w:p>
    <w:p>
      <w:pPr>
        <w:jc w:val="both"/>
        <w:ind w:right="220"/>
        <w:spacing w:after="0" w:line="303" w:lineRule="auto"/>
        <w:rPr>
          <w:sz w:val="20"/>
          <w:szCs w:val="20"/>
          <w:color w:val="auto"/>
        </w:rPr>
      </w:pPr>
      <w:r>
        <w:rPr>
          <w:rFonts w:ascii="Times New Roman" w:cs="Times New Roman" w:eastAsia="Times New Roman" w:hAnsi="Times New Roman"/>
          <w:sz w:val="14"/>
          <w:szCs w:val="14"/>
          <w:color w:val="auto"/>
        </w:rPr>
        <w:t>borrowing. The Company does not use leveraged swaps and, in general, does not leverage any of its investment activities that would put principal capital at risk. For the six months ended June 30, 2022 and 2021 the amounts reclassified into income were not 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Company may use commodity forward contracts and futures to mitigate its exposure to commodity price changes and to reduce its overall cost of manufacturing. For the six months ended June 30, 2022 and 2021 the amounts recognized as income or expense were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96"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56" w:lineRule="exact"/>
        <w:rPr>
          <w:sz w:val="20"/>
          <w:szCs w:val="20"/>
          <w:color w:val="auto"/>
        </w:rPr>
      </w:pPr>
    </w:p>
    <w:p>
      <w:pPr>
        <w:ind w:right="120" w:firstLine="382"/>
        <w:spacing w:after="0" w:line="259" w:lineRule="auto"/>
        <w:rPr>
          <w:sz w:val="20"/>
          <w:szCs w:val="20"/>
          <w:color w:val="auto"/>
        </w:rPr>
      </w:pPr>
      <w:r>
        <w:rPr>
          <w:rFonts w:ascii="Times New Roman" w:cs="Times New Roman" w:eastAsia="Times New Roman" w:hAnsi="Times New Roman"/>
          <w:sz w:val="14"/>
          <w:szCs w:val="14"/>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9" w:name="page20"/>
    <w:bookmarkEnd w:id="19"/>
    <w:p>
      <w:pPr>
        <w:ind w:right="80" w:firstLine="382"/>
        <w:spacing w:after="0" w:line="256" w:lineRule="auto"/>
        <w:rPr>
          <w:sz w:val="20"/>
          <w:szCs w:val="20"/>
          <w:color w:val="auto"/>
        </w:rPr>
      </w:pPr>
      <w:r>
        <w:rPr>
          <w:rFonts w:ascii="Times New Roman" w:cs="Times New Roman" w:eastAsia="Times New Roman" w:hAnsi="Times New Roman"/>
          <w:sz w:val="14"/>
          <w:szCs w:val="14"/>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w:t>
      </w:r>
    </w:p>
    <w:p>
      <w:pPr>
        <w:spacing w:after="0" w:line="61" w:lineRule="exact"/>
        <w:rPr>
          <w:sz w:val="20"/>
          <w:szCs w:val="20"/>
          <w:color w:val="auto"/>
        </w:rPr>
      </w:pPr>
    </w:p>
    <w:p>
      <w:pPr>
        <w:ind w:right="120" w:firstLine="382"/>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SEGMENT INFORMATION</w:t>
      </w:r>
    </w:p>
    <w:p>
      <w:pPr>
        <w:spacing w:after="0" w:line="96"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w:t>
      </w:r>
    </w:p>
    <w:p>
      <w:pPr>
        <w:spacing w:after="0" w:line="37" w:lineRule="exact"/>
        <w:rPr>
          <w:sz w:val="20"/>
          <w:szCs w:val="20"/>
          <w:color w:val="auto"/>
        </w:rPr>
      </w:pPr>
    </w:p>
    <w:p>
      <w:pPr>
        <w:ind w:right="180"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Freight Segment </w:t>
      </w:r>
      <w:r>
        <w:rPr>
          <w:rFonts w:ascii="Times New Roman" w:cs="Times New Roman" w:eastAsia="Times New Roman" w:hAnsi="Times New Roman"/>
          <w:sz w:val="14"/>
          <w:szCs w:val="14"/>
          <w:color w:val="auto"/>
        </w:rPr>
        <w:t>primarily builds new locomotives, manufactures and services components for new and existing freight cars and locomotives, rebuilds freight locomotives, supplies railway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 We refer to sales of both goods, such as spare parts and equipment upgrades, and related services, such as monitoring, maintenance and repairs, as sales in our Services product line.</w:t>
      </w:r>
    </w:p>
    <w:p>
      <w:pPr>
        <w:spacing w:after="0" w:line="53" w:lineRule="exact"/>
        <w:rPr>
          <w:sz w:val="20"/>
          <w:szCs w:val="20"/>
          <w:color w:val="auto"/>
        </w:rPr>
      </w:pPr>
    </w:p>
    <w:p>
      <w:pPr>
        <w:ind w:right="140"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Transit Segment </w:t>
      </w:r>
      <w:r>
        <w:rPr>
          <w:rFonts w:ascii="Times New Roman" w:cs="Times New Roman" w:eastAsia="Times New Roman" w:hAnsi="Times New Roman"/>
          <w:sz w:val="14"/>
          <w:szCs w:val="14"/>
          <w:color w:val="auto"/>
        </w:rPr>
        <w:t>primarily manufactures and services components for new and existing passenger transit vehicles, typically regional trains, high speed trains, subway cars, light-rail vehicles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51" w:lineRule="exact"/>
        <w:rPr>
          <w:sz w:val="20"/>
          <w:szCs w:val="20"/>
          <w:color w:val="auto"/>
        </w:rPr>
      </w:pPr>
    </w:p>
    <w:p>
      <w:pPr>
        <w:jc w:val="both"/>
        <w:ind w:right="100" w:firstLine="382"/>
        <w:spacing w:after="0" w:line="270" w:lineRule="auto"/>
        <w:rPr>
          <w:sz w:val="20"/>
          <w:szCs w:val="20"/>
          <w:color w:val="auto"/>
        </w:rPr>
      </w:pPr>
      <w:r>
        <w:rPr>
          <w:rFonts w:ascii="Times New Roman" w:cs="Times New Roman" w:eastAsia="Times New Roman" w:hAnsi="Times New Roman"/>
          <w:sz w:val="14"/>
          <w:szCs w:val="14"/>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three months ended June 30,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Transit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360" w:type="dxa"/>
            <w:vAlign w:val="bottom"/>
          </w:tcPr>
          <w:p>
            <w:pPr>
              <w:spacing w:after="0"/>
              <w:rPr>
                <w:sz w:val="11"/>
                <w:szCs w:val="1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jc w:val="right"/>
              <w:ind w:right="9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2"/>
                <w:szCs w:val="12"/>
                <w:color w:val="auto"/>
              </w:rPr>
            </w:pPr>
          </w:p>
        </w:tc>
        <w:tc>
          <w:tcPr>
            <w:tcW w:w="1140" w:type="dxa"/>
            <w:vAlign w:val="bottom"/>
          </w:tcPr>
          <w:p>
            <w:pPr>
              <w:jc w:val="right"/>
              <w:ind w:right="97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center"/>
              <w:ind w:left="952"/>
              <w:spacing w:after="0" w:line="143"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360" w:type="dxa"/>
            <w:vAlign w:val="bottom"/>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three months ended June 30, 2021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Transit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360" w:type="dxa"/>
            <w:vAlign w:val="bottom"/>
          </w:tcPr>
          <w:p>
            <w:pPr>
              <w:spacing w:after="0"/>
              <w:rPr>
                <w:sz w:val="11"/>
                <w:szCs w:val="1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7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jc w:val="right"/>
              <w:ind w:right="9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2"/>
                <w:szCs w:val="12"/>
                <w:color w:val="auto"/>
              </w:rPr>
            </w:pPr>
          </w:p>
        </w:tc>
        <w:tc>
          <w:tcPr>
            <w:tcW w:w="1140" w:type="dxa"/>
            <w:vAlign w:val="bottom"/>
          </w:tcPr>
          <w:p>
            <w:pPr>
              <w:jc w:val="right"/>
              <w:ind w:right="97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center"/>
              <w:ind w:left="952"/>
              <w:spacing w:after="0" w:line="143"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360" w:type="dxa"/>
            <w:vAlign w:val="bottom"/>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952"/>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center"/>
              <w:ind w:left="95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six months ended June 30, 2022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Freight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2"/>
              </w:rPr>
              <w:t>Transit</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360" w:type="dxa"/>
            <w:vAlign w:val="bottom"/>
          </w:tcPr>
          <w:p>
            <w:pPr>
              <w:spacing w:after="0"/>
              <w:rPr>
                <w:sz w:val="11"/>
                <w:szCs w:val="11"/>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080" w:type="dxa"/>
            <w:vAlign w:val="bottom"/>
          </w:tcPr>
          <w:p>
            <w:pPr>
              <w:jc w:val="right"/>
              <w:ind w:right="13"/>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tcPr>
          <w:p>
            <w:pPr>
              <w:jc w:val="center"/>
              <w:ind w:right="420"/>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1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80" w:type="dxa"/>
            <w:vAlign w:val="bottom"/>
          </w:tcPr>
          <w:p>
            <w:pPr>
              <w:jc w:val="right"/>
              <w:ind w:right="913"/>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12"/>
                <w:szCs w:val="12"/>
                <w:color w:val="auto"/>
              </w:rPr>
            </w:pPr>
          </w:p>
        </w:tc>
        <w:tc>
          <w:tcPr>
            <w:tcW w:w="320" w:type="dxa"/>
            <w:vAlign w:val="bottom"/>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220" w:type="dxa"/>
            <w:vAlign w:val="bottom"/>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360" w:type="dxa"/>
            <w:vAlign w:val="bottom"/>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0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Segment financial information for the six months ended June 30, 2021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Freight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Transit</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Activities and</w:t>
            </w:r>
          </w:p>
        </w:tc>
        <w:tc>
          <w:tcPr>
            <w:tcW w:w="540" w:type="dxa"/>
            <w:vAlign w:val="bottom"/>
          </w:tcPr>
          <w:p>
            <w:pPr>
              <w:spacing w:after="0"/>
              <w:rPr>
                <w:sz w:val="11"/>
                <w:szCs w:val="11"/>
                <w:color w:val="auto"/>
              </w:rPr>
            </w:pPr>
          </w:p>
        </w:tc>
        <w:tc>
          <w:tcPr>
            <w:tcW w:w="980" w:type="dxa"/>
            <w:vAlign w:val="bottom"/>
            <w:vMerge w:val="restart"/>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0" w:type="dxa"/>
            <w:vAlign w:val="bottom"/>
          </w:tcPr>
          <w:p>
            <w:pPr>
              <w:spacing w:after="0"/>
              <w:rPr>
                <w:sz w:val="11"/>
                <w:szCs w:val="11"/>
                <w:color w:val="auto"/>
              </w:rPr>
            </w:pPr>
          </w:p>
        </w:tc>
        <w:tc>
          <w:tcPr>
            <w:tcW w:w="1000" w:type="dxa"/>
            <w:vAlign w:val="bottom"/>
          </w:tcPr>
          <w:p>
            <w:pPr>
              <w:jc w:val="center"/>
              <w:ind w:left="436"/>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right"/>
              <w:ind w:right="14"/>
              <w:spacing w:after="0" w:line="107" w:lineRule="exact"/>
              <w:rPr>
                <w:sz w:val="20"/>
                <w:szCs w:val="20"/>
                <w:color w:val="auto"/>
              </w:rPr>
            </w:pPr>
            <w:r>
              <w:rPr>
                <w:rFonts w:ascii="Times New Roman" w:cs="Times New Roman" w:eastAsia="Times New Roman" w:hAnsi="Times New Roman"/>
                <w:sz w:val="12"/>
                <w:szCs w:val="12"/>
                <w:b w:val="1"/>
                <w:bCs w:val="1"/>
                <w:color w:val="auto"/>
              </w:rPr>
              <w:t>Segment</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center"/>
              <w:ind w:right="340"/>
              <w:spacing w:after="0" w:line="107" w:lineRule="exact"/>
              <w:rPr>
                <w:sz w:val="20"/>
                <w:szCs w:val="20"/>
                <w:color w:val="auto"/>
              </w:rPr>
            </w:pPr>
            <w:r>
              <w:rPr>
                <w:rFonts w:ascii="Times New Roman" w:cs="Times New Roman" w:eastAsia="Times New Roman" w:hAnsi="Times New Roman"/>
                <w:sz w:val="12"/>
                <w:szCs w:val="12"/>
                <w:b w:val="1"/>
                <w:bCs w:val="1"/>
                <w:color w:val="auto"/>
              </w:rPr>
              <w:t>Elimination</w:t>
            </w:r>
          </w:p>
        </w:tc>
        <w:tc>
          <w:tcPr>
            <w:tcW w:w="5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to external customers</w:t>
            </w:r>
          </w:p>
        </w:tc>
        <w:tc>
          <w:tcPr>
            <w:tcW w:w="1020" w:type="dxa"/>
            <w:vAlign w:val="bottom"/>
            <w:gridSpan w:val="2"/>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Intersegment sales/(elimination)</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sales</w:t>
            </w:r>
          </w:p>
        </w:tc>
        <w:tc>
          <w:tcPr>
            <w:tcW w:w="1020" w:type="dxa"/>
            <w:vAlign w:val="bottom"/>
            <w:tcBorders>
              <w:bottom w:val="single" w:sz="8" w:color="auto"/>
            </w:tcBorders>
            <w:gridSpan w:val="2"/>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1020" w:type="dxa"/>
            <w:vAlign w:val="bottom"/>
            <w:gridSpan w:val="2"/>
          </w:tcPr>
          <w:p>
            <w:pPr>
              <w:jc w:val="right"/>
              <w:ind w:right="856"/>
              <w:spacing w:after="0" w:line="143"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914"/>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104"/>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1020"/>
              <w:spacing w:after="0" w:line="143"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20" w:type="dxa"/>
            <w:vAlign w:val="bottom"/>
            <w:tcBorders>
              <w:top w:val="single" w:sz="8" w:color="auto"/>
              <w:bottom w:val="single" w:sz="8" w:color="auto"/>
            </w:tcBorders>
            <w:gridSpan w:val="2"/>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top w:val="single" w:sz="8" w:color="auto"/>
              <w:bottom w:val="single" w:sz="8" w:color="auto"/>
            </w:tcBorders>
            <w:gridSpan w:val="2"/>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w w:val="98"/>
              </w:rPr>
              <w:t>(103)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Sales to external customers by product line are as follows:</w:t>
            </w: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gridSpan w:val="5"/>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0" w:type="dxa"/>
            <w:vAlign w:val="bottom"/>
          </w:tcPr>
          <w:p>
            <w:pPr>
              <w:spacing w:after="0"/>
              <w:rPr>
                <w:sz w:val="10"/>
                <w:szCs w:val="10"/>
                <w:color w:val="auto"/>
              </w:rPr>
            </w:pPr>
          </w:p>
        </w:tc>
        <w:tc>
          <w:tcPr>
            <w:tcW w:w="1000" w:type="dxa"/>
            <w:vAlign w:val="bottom"/>
          </w:tcPr>
          <w:p>
            <w:pPr>
              <w:jc w:val="right"/>
              <w:ind w:right="36"/>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right"/>
              <w:ind w:right="94"/>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center"/>
              <w:ind w:right="15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right"/>
              <w:ind w:right="57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 Segment</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Services</w:t>
            </w:r>
          </w:p>
        </w:tc>
        <w:tc>
          <w:tcPr>
            <w:tcW w:w="1020" w:type="dxa"/>
            <w:vAlign w:val="bottom"/>
            <w:gridSpan w:val="2"/>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1,377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Equipment</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655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Components</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463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Digital Electronics</w:t>
            </w:r>
          </w:p>
        </w:tc>
        <w:tc>
          <w:tcPr>
            <w:tcW w:w="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317</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Freight Segment</w:t>
            </w:r>
          </w:p>
        </w:tc>
        <w:tc>
          <w:tcPr>
            <w:tcW w:w="20" w:type="dxa"/>
            <w:vAlign w:val="bottom"/>
          </w:tcPr>
          <w:p>
            <w:pPr>
              <w:spacing w:after="0"/>
              <w:rPr>
                <w:sz w:val="14"/>
                <w:szCs w:val="14"/>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2,812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Transit Segment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Original Equipment Manufacturer</w:t>
            </w:r>
          </w:p>
        </w:tc>
        <w:tc>
          <w:tcPr>
            <w:tcW w:w="1020" w:type="dxa"/>
            <w:vAlign w:val="bottom"/>
            <w:gridSpan w:val="2"/>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551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Aftermarket</w:t>
            </w:r>
          </w:p>
        </w:tc>
        <w:tc>
          <w:tcPr>
            <w:tcW w:w="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612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Transit Segment</w:t>
            </w:r>
          </w:p>
        </w:tc>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1,163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20" w:type="dxa"/>
            <w:vAlign w:val="bottom"/>
            <w:gridSpan w:val="2"/>
          </w:tcPr>
          <w:p>
            <w:pPr>
              <w:jc w:val="center"/>
              <w:ind w:left="449"/>
              <w:spacing w:after="0"/>
              <w:rPr>
                <w:sz w:val="20"/>
                <w:szCs w:val="20"/>
                <w:color w:val="auto"/>
              </w:rPr>
            </w:pPr>
            <w:r>
              <w:rPr>
                <w:rFonts w:ascii="Times New Roman" w:cs="Times New Roman" w:eastAsia="Times New Roman" w:hAnsi="Times New Roman"/>
                <w:sz w:val="14"/>
                <w:szCs w:val="14"/>
                <w:color w:val="auto"/>
                <w:w w:val="99"/>
              </w:rPr>
              <w:t>21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16. OTHER INCOME,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Other income, net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98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9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60" w:type="dxa"/>
            <w:vAlign w:val="bottom"/>
          </w:tcPr>
          <w:p>
            <w:pPr>
              <w:spacing w:after="0"/>
              <w:rPr>
                <w:sz w:val="10"/>
                <w:szCs w:val="10"/>
                <w:color w:val="auto"/>
              </w:rPr>
            </w:pPr>
          </w:p>
        </w:tc>
        <w:tc>
          <w:tcPr>
            <w:tcW w:w="1160" w:type="dxa"/>
            <w:vAlign w:val="bottom"/>
          </w:tcPr>
          <w:p>
            <w:pPr>
              <w:jc w:val="right"/>
              <w:ind w:right="57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jc w:val="right"/>
              <w:ind w:right="571"/>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jc w:val="right"/>
              <w:ind w:right="573"/>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right"/>
              <w:ind w:right="571"/>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(loss) gain</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income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pension assets/amortization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miscellaneous income (expense), net</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Other income, net</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2" w:name="page23"/>
    <w:bookmarkEnd w:id="22"/>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98" w:lineRule="exact"/>
        <w:rPr>
          <w:sz w:val="20"/>
          <w:szCs w:val="20"/>
          <w:color w:val="auto"/>
        </w:rPr>
      </w:pPr>
    </w:p>
    <w:p>
      <w:pPr>
        <w:jc w:val="both"/>
        <w:ind w:right="580" w:firstLine="382"/>
        <w:spacing w:after="0" w:line="261" w:lineRule="auto"/>
        <w:rPr>
          <w:sz w:val="20"/>
          <w:szCs w:val="20"/>
          <w:color w:val="auto"/>
        </w:rPr>
      </w:pPr>
      <w:r>
        <w:rPr>
          <w:rFonts w:ascii="Times New Roman" w:cs="Times New Roman" w:eastAsia="Times New Roman" w:hAnsi="Times New Roman"/>
          <w:sz w:val="13"/>
          <w:szCs w:val="13"/>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2021, filed with the Securities and Exchange Commission on February 17,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2022, approximately 55% of the Company’s net sales came from customers outside the United States.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Update</w:t>
      </w:r>
    </w:p>
    <w:p>
      <w:pPr>
        <w:spacing w:after="0" w:line="96"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The unfavorable global economic conditions driven by the impacts of the COVID-19 pandemic and supply chain disruptions, and further intensified by the Russian invasion of Ukraine, continue to have an adverse impact on our operations and business results. Impacts for the three and six months ended June 30, 2022 and 2021, are discussed in more detail in the Results of Operations section below. Supply chain disruptions and labor availability have caused component, raw material and chip shortages resulting in an adverse effect on the timing of the Company’s revenue generation. Additionally, broad-based inflation, escalation of diesel, metals and other commodity costs, transportation and logistics costs, and labor costs all continue to impact our results.</w:t>
      </w:r>
    </w:p>
    <w:p>
      <w:pPr>
        <w:spacing w:after="0" w:line="56" w:lineRule="exact"/>
        <w:rPr>
          <w:sz w:val="20"/>
          <w:szCs w:val="20"/>
          <w:color w:val="auto"/>
        </w:rPr>
      </w:pPr>
    </w:p>
    <w:p>
      <w:pPr>
        <w:ind w:right="60" w:firstLine="382"/>
        <w:spacing w:after="0" w:line="258" w:lineRule="auto"/>
        <w:rPr>
          <w:sz w:val="20"/>
          <w:szCs w:val="20"/>
          <w:color w:val="auto"/>
        </w:rPr>
      </w:pPr>
      <w:r>
        <w:rPr>
          <w:rFonts w:ascii="Times New Roman" w:cs="Times New Roman" w:eastAsia="Times New Roman" w:hAnsi="Times New Roman"/>
          <w:sz w:val="14"/>
          <w:szCs w:val="14"/>
          <w:color w:val="auto"/>
        </w:rPr>
        <w:t>The Russian invasion of Ukraine and the resultant sanctions related to Russia and Belarus have further impacted our supply and distribution channels and caused significant price inflation which had, and are expected to continue to have, adverse effects on Wabtec’s business results. For the year ended December 31, 2021, Wabtec had earnings of approximately $40 million attributable to customers in Russia, while earnings from customers in Ukraine and Belarus were not significant. As of June 30, 2022, Wabtec had approximately $18 million of assets related to Russian operations, which were primarily cash and inventory. Management has determined, based on information currently available, that these assets are expected to be recoverable and therefore no impairment was recorded during the first six months of 2022. This will continue to be monitored and may result in a future impairment charge based on changes in the situation. Management determined that inventory related to operations in Ukraine were not expected to be recoverable and were written off resulting in an insignificant charge during the first quarter of 2022. Remaining assets related to Ukraine and those in Belarus were not significant.</w:t>
      </w:r>
    </w:p>
    <w:p>
      <w:pPr>
        <w:spacing w:after="0" w:line="62" w:lineRule="exact"/>
        <w:rPr>
          <w:sz w:val="20"/>
          <w:szCs w:val="20"/>
          <w:color w:val="auto"/>
        </w:rPr>
      </w:pPr>
    </w:p>
    <w:p>
      <w:pPr>
        <w:ind w:right="60" w:firstLine="382"/>
        <w:spacing w:after="0" w:line="257" w:lineRule="auto"/>
        <w:rPr>
          <w:sz w:val="20"/>
          <w:szCs w:val="20"/>
          <w:color w:val="auto"/>
        </w:rPr>
      </w:pPr>
      <w:r>
        <w:rPr>
          <w:rFonts w:ascii="Times New Roman" w:cs="Times New Roman" w:eastAsia="Times New Roman" w:hAnsi="Times New Roman"/>
          <w:sz w:val="14"/>
          <w:szCs w:val="14"/>
          <w:color w:val="auto"/>
        </w:rPr>
        <w:t>The Company has implemented various mitigating actions intended to lessen the impact of these unfavorable economic conditions.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where possible. The Company expects to continue to incur increased costs in future quarters. Management will continue to monitor the evolving situations but, as a result of the numerous uncertainties surrounding the COVID-19 pandemic, recent supply chain disruptions and the Russian invasion of Ukraine, we are unable to specifically predict the extent and length of time that our business may be negatively impacted. We also face the possibility that additional actions may be taken by governmental authorities and private industry, or government policies may become more restrictive in response to the COVID-19 pandemic, especially if COVID-19 transmission rates increase in certain areas. Changes in trade regulations and sanctions including retaliatory measures, advancements or changes in the conflict in Ukraine, the impact of variants of COVID-19, actions taken in response to COVID-19 including curtailing operations of our plants, or significant adverse impacts to our customers, suppliers, distribution channels and operating locations, could result in material adverse impacts to the business, including impairment charges from changes in estimates.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 Incident</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which is ongoing. The Company also notified law enforcement and engaged legal counsel and other third-party incident response and cybersecurity professionals.</w:t>
      </w:r>
    </w:p>
    <w:p>
      <w:pPr>
        <w:spacing w:after="0" w:line="51" w:lineRule="exact"/>
        <w:rPr>
          <w:sz w:val="20"/>
          <w:szCs w:val="20"/>
          <w:color w:val="auto"/>
        </w:rPr>
      </w:pPr>
    </w:p>
    <w:p>
      <w:pPr>
        <w:ind w:right="80" w:firstLine="382"/>
        <w:spacing w:after="0" w:line="287" w:lineRule="auto"/>
        <w:rPr>
          <w:sz w:val="20"/>
          <w:szCs w:val="20"/>
          <w:color w:val="auto"/>
        </w:rPr>
      </w:pPr>
      <w:r>
        <w:rPr>
          <w:rFonts w:ascii="Times New Roman" w:cs="Times New Roman" w:eastAsia="Times New Roman" w:hAnsi="Times New Roman"/>
          <w:sz w:val="14"/>
          <w:szCs w:val="14"/>
          <w:color w:val="auto"/>
        </w:rPr>
        <w:t>Based on its preliminary assessment and on the information currently known, the incident has not had a significant financial impact and the Company does not believe the incident will have a material impact on its business, operations or</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financial results. The Company maintains cyber insurance, subject to certain deductibles and policy limitations typical for its size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Integration 2.0</w:t>
      </w:r>
    </w:p>
    <w:p>
      <w:pPr>
        <w:spacing w:after="0" w:line="96"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During the first quarter of 2022, Wabtec announced a three-year strategic review expected to target incremental run rate synergies estimated to be between $75 million and $90 million by 2025. The scope of the review will include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in the future to execute on decisions resulting from the review, currently estimated to be approximately $135 million to $165 million. The estimate could change based on the specific programs approved or changes to the scope of the review. During the second quarter of 2022, no significant programs related to the strategic review were initiated.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 QUARTER 2022 COMPARED TO SECOND QUARTER 2021</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48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right"/>
              <w:ind w:right="591"/>
              <w:spacing w:after="0" w:line="119"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jc w:val="right"/>
              <w:ind w:right="570"/>
              <w:spacing w:after="0" w:line="119" w:lineRule="exact"/>
              <w:rPr>
                <w:sz w:val="20"/>
                <w:szCs w:val="20"/>
                <w:color w:val="auto"/>
              </w:rPr>
            </w:pPr>
            <w:r>
              <w:rPr>
                <w:rFonts w:ascii="Times New Roman" w:cs="Times New Roman" w:eastAsia="Times New Roman" w:hAnsi="Times New Roman"/>
                <w:sz w:val="11"/>
                <w:szCs w:val="11"/>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4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Engineering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expense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9740" w:type="dxa"/>
            <w:vAlign w:val="bottom"/>
            <w:gridSpan w:val="9"/>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sales in the three months ended June 30, 2022 from the three months ended June 30, 2021:</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Freight Segment</w:t>
            </w:r>
          </w:p>
        </w:tc>
        <w:tc>
          <w:tcPr>
            <w:tcW w:w="22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Transit Segment</w:t>
            </w:r>
          </w:p>
        </w:tc>
        <w:tc>
          <w:tcPr>
            <w:tcW w:w="580" w:type="dxa"/>
            <w:vAlign w:val="bottom"/>
          </w:tcPr>
          <w:p>
            <w:pPr>
              <w:spacing w:after="0"/>
              <w:rPr>
                <w:sz w:val="12"/>
                <w:szCs w:val="12"/>
                <w:color w:val="auto"/>
              </w:rPr>
            </w:pPr>
          </w:p>
        </w:tc>
        <w:tc>
          <w:tcPr>
            <w:tcW w:w="94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2021 Net Sales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Organic</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2022 Net Sales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16" w:lineRule="exact"/>
        <w:rPr>
          <w:sz w:val="20"/>
          <w:szCs w:val="20"/>
          <w:color w:val="auto"/>
        </w:rPr>
      </w:pPr>
    </w:p>
    <w:p>
      <w:pPr>
        <w:ind w:right="60" w:firstLine="382"/>
        <w:spacing w:after="0"/>
        <w:rPr>
          <w:sz w:val="20"/>
          <w:szCs w:val="20"/>
          <w:color w:val="auto"/>
        </w:rPr>
      </w:pPr>
      <w:r>
        <w:rPr>
          <w:rFonts w:ascii="Times New Roman" w:cs="Times New Roman" w:eastAsia="Times New Roman" w:hAnsi="Times New Roman"/>
          <w:sz w:val="14"/>
          <w:szCs w:val="14"/>
          <w:color w:val="auto"/>
        </w:rPr>
        <w:t>Net sales for the three months ended June 30, 2022 increased by $36 million, or 1.8%, to $2.05 billion compared to the same period in 2021. Freight Segment organic sales increased $165 million driven primarily by Services sales from higher locomotive modernizations and a decrease in locomotive parkings. In addition, Equipment sales increased due to higher international locomotive deliveries and higher mining equipment sales, and Components sales increased due to a higher railcar build and growth in industrial end-markets. Transit Segment organic sales decreased $59 million primarily due to supply chain issues caused by the COVID-19 pandemic and the prior year exit of low margin businesses and contracts in the United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Kingdom. Sales from acquisitions contributed $6 million and unfavorable exchange rates, primarily in the Transit Segment, decreased sales by $76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140" w:firstLine="382"/>
        <w:spacing w:after="0" w:line="264" w:lineRule="auto"/>
        <w:rPr>
          <w:sz w:val="20"/>
          <w:szCs w:val="20"/>
          <w:color w:val="auto"/>
        </w:rPr>
      </w:pPr>
      <w:r>
        <w:rPr>
          <w:rFonts w:ascii="Times New Roman" w:cs="Times New Roman" w:eastAsia="Times New Roman" w:hAnsi="Times New Roman"/>
          <w:sz w:val="14"/>
          <w:szCs w:val="14"/>
          <w:color w:val="auto"/>
        </w:rPr>
        <w:t>Cost of sales for the three months ended June 30, 2022 decreased by $29 million, or 2.0%, to $1.40 billion compared to the same period in 2021. Cost of sales as a percentage of sales was 68.5% and 71.2% for the three months ended June 30, 2022 and 2021, respectively, representing a 2.7 percentage point decrease. The decrease can be attributed to favorable product mix, increased pricing and strong productivity, partially offset by increased metals, transportation and labor costs. Cost of sales for the three months ended June 30, 2022 and 2021 included $2 million and $21 million, respectively, of restructuring costs, primarily for headcount actions and footprint rationalization.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Total operating expenses increased $4 million, or 1.1%, for the three months ended June 30, 2022 compared to the same period in 2021. Operating expenses as a percentage of sales was 18.6% and 18.7% for the three months ended June 30, 2022 and 2021, respectively. Selling, general and administrative expenses ("SG&amp;A") decreased $4 million due to lower restructuring and transaction costs, partially offset by higher employee compensation and benefit costs. Restructuring and transaction costs included in SG&amp;A were $2 million and $9 million for the three months ended June 30, 2022 and 2021, respectively, and were primarily for headcount actions and footprint rationalization programs. Engineering expenses increased $8 million primarily due to investments in new technology. Amortization expense remained flat year over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net, decreased $1 million for the three months ended June 30, 2022 compared to the same period in 2021 from changes in outstanding balances and effective interest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Other income, net, was $7 million of income for the three months ended June 30, 2022 compared to $11 million of income in the same period of 2021. The variance is primarily driven by foreign exchange losses in the current year compared to gains in the prior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The effective income tax rate was 25.5% and 25.8% for the three months ended June 30, 2022 and 2021, respectively. The decrease in the quarterly effective tax rate is primarily the result of a more favorable earnings mix for the period ended June 30, 2022.</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Freight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Freight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1"/>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918</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418</w:t>
            </w:r>
          </w:p>
        </w:tc>
      </w:tr>
      <w:tr>
        <w:trPr>
          <w:trHeight w:val="171"/>
        </w:trPr>
        <w:tc>
          <w:tcPr>
            <w:tcW w:w="20" w:type="dxa"/>
            <w:vAlign w:val="bottom"/>
          </w:tcPr>
          <w:p>
            <w:pPr>
              <w:spacing w:after="0"/>
              <w:rPr>
                <w:sz w:val="14"/>
                <w:szCs w:val="14"/>
                <w:color w:val="auto"/>
              </w:rPr>
            </w:pPr>
          </w:p>
        </w:tc>
        <w:tc>
          <w:tcPr>
            <w:tcW w:w="7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380" w:type="dxa"/>
            <w:vAlign w:val="bottom"/>
          </w:tcPr>
          <w:p>
            <w:pPr>
              <w:spacing w:after="0"/>
              <w:rPr>
                <w:sz w:val="14"/>
                <w:szCs w:val="14"/>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1,336</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38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(680)</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(242)</w:t>
            </w:r>
          </w:p>
        </w:tc>
      </w:tr>
      <w:tr>
        <w:trPr>
          <w:trHeight w:val="171"/>
        </w:trPr>
        <w:tc>
          <w:tcPr>
            <w:tcW w:w="20" w:type="dxa"/>
            <w:vAlign w:val="bottom"/>
            <w:tcBorders>
              <w:bottom w:val="single" w:sz="8" w:color="CCEEFF"/>
            </w:tcBorders>
          </w:tcPr>
          <w:p>
            <w:pPr>
              <w:spacing w:after="0"/>
              <w:rPr>
                <w:sz w:val="14"/>
                <w:szCs w:val="14"/>
                <w:color w:val="auto"/>
              </w:rPr>
            </w:pPr>
          </w:p>
        </w:tc>
        <w:tc>
          <w:tcPr>
            <w:tcW w:w="79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(922)</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414</w:t>
            </w:r>
          </w:p>
        </w:tc>
      </w:tr>
      <w:tr>
        <w:trPr>
          <w:trHeight w:val="85"/>
        </w:trPr>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(241)</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Freight Segment in the second quarter of 2022 from the second quarter of 2021: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2021 Net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Components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Digital Electronics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3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2022 Net Sales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96"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Freight Segment sales increased by $154 million or 11.5%, to $1.49 billion, compared to the same period in 2021. Services sales increased from higher locomotive modernizations and a decrease in locomotive parkings, Equipment sales increased due to higher international locomotive deliveries and higher mining equipment sales, and Components sales increased due to a higher railcar build and growth in industrial end-markets. Sales from acquisitions contributed $5 million and the effects of unfavorable foreign exchange rates decreased sales by $16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Freight Segment cost of sales for the three months ended June 30, 2022 increased by $75 million, or 8.1%, to $997 million, compared to the same period in 2021. The increase is primarily due to the increase in sales and increased metals, transportation and labor costs. Cost of sales as a percentage of sales was 66.9% and 69.0% for the three months ended June 30, 2022 and 2021, respectively, representing a 2.1 percentage point decrease which benefited from favorable product mix, increased pricing and strong productivity. Cost of sales for the three months ended June 30, 2022 includes $1 million, of restructuring costs, primarily for headcount actions. Cost of sales for the three months ended June 30, 2021 includes $4 million of restructuring and transaction costs, primarily for purchase price accounting for the step-up of Nordco inventory.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Freight Segment operating expenses increased $19 million, or 7.9%, for the three months ended June 30, 2022 compared to the same period in 2021. SG&amp;A increased $11 million due to higher employee compensation and benefit costs and incremental expense from acquisitions, partially offset by a decrease in restructuring and transaction costs. There were no restructuring and transaction costs included in SG&amp;A for the three months ended June 30, 2022 compared to $3 million for the same period in 2021 primarily for headcount actions as part of the integration of GE Transportation. Engineering expenses increased $8 million primarily due to investments in new technology. Amortization expense remained flat year over year.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Transit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Transit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676</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(510)</w:t>
            </w: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166</w:t>
            </w:r>
          </w:p>
        </w:tc>
      </w:tr>
      <w:tr>
        <w:trPr>
          <w:trHeight w:val="85"/>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(121)</w:t>
            </w:r>
          </w:p>
        </w:tc>
      </w:tr>
      <w:tr>
        <w:trPr>
          <w:trHeight w:val="65"/>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6.7 %</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Transit Segment in the second quarter of 2022 from the second quarter of 2021: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2021 Net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Original Equipment Manufacturing</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Aftermarket</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20" w:type="dxa"/>
            <w:vAlign w:val="bottom"/>
          </w:tcPr>
          <w:p>
            <w:pPr>
              <w:spacing w:after="0"/>
              <w:rPr>
                <w:sz w:val="14"/>
                <w:szCs w:val="14"/>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Quarter 2022 Net Sales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5" w:lineRule="exact"/>
        <w:rPr>
          <w:sz w:val="20"/>
          <w:szCs w:val="20"/>
          <w:color w:val="auto"/>
        </w:rPr>
      </w:pPr>
    </w:p>
    <w:p>
      <w:pPr>
        <w:ind w:right="80" w:firstLine="382"/>
        <w:spacing w:after="0" w:line="257" w:lineRule="auto"/>
        <w:rPr>
          <w:sz w:val="20"/>
          <w:szCs w:val="20"/>
          <w:color w:val="auto"/>
        </w:rPr>
      </w:pPr>
      <w:r>
        <w:rPr>
          <w:rFonts w:ascii="Times New Roman" w:cs="Times New Roman" w:eastAsia="Times New Roman" w:hAnsi="Times New Roman"/>
          <w:sz w:val="14"/>
          <w:szCs w:val="14"/>
          <w:color w:val="auto"/>
        </w:rPr>
        <w:t>Transit Segment sales for the three months ended June 30, 2022 decreased by $118 million, or 17.5%, to $558 million compared to the same period in 2021. The effects of unfavorable foreign exchange rates decreased sales by $60 million. Sales of Original Equipment Manufacturing decreased due to supply chain issues caused by the COVID-19 pandemic while Aftermarket sales have decreased due to lower maintenance and overhauls driven by the prior year exit of low margin businesses and contracts in the United Kingdom. Additionally, a late second quarter manufacturing disruption caused by a cyber incident negatively impacted net sales by approximately 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4"/>
          <w:szCs w:val="14"/>
          <w:color w:val="auto"/>
        </w:rPr>
        <w:t>Transit Segment cost of sales for the three months ended June 30, 2022 decreased by $104 million, or 20.3%, to $406 million compared to the same period in 2021. The decrease is primarily due to the decrease in sales discussed above. Cost of sales as a percentage of sales was 72.7% and 75.4% for the three months ended June 30, 2022 and 2021, respectively, representing a 2.7 percentage point decrease. This can be attributed to product mix, improved productivity, higher pricing, the exit of low margin business in the United Kingdom, and prior year structured cost actions taken through restructuring programs, partially offset by increased metals, transportation and labor costs. Cost of sales for the three months ended June 30, 2022 and 2021 includes $1 million and $17 million, respectively, of restructuring costs, primarily for footprint rationalization in the UK and headcount actions.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Transit Segment operating expenses decreased $19 million, or 15.7%, for the three months ended June 30, 2022 compared to the same period in 2021. SG&amp;A decreased $18 million for the three months ended June 30, 2022 compared to the same period in 2021 due to the decrease in sales and the effects of foreign exchange rates. SG&amp;A for the three months ended June 30, 2022 and 2021 includes $2 million and $6 million of restructuring costs, respectively, primarily for footprint rationalization and related headcount actions. Additionally, engineering and amortization expenses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FIRST SIX MONTHS OF 2022 COMPARED TO FIRST SIX MONTHS OF 2021</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98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480" w:type="dxa"/>
            <w:vAlign w:val="bottom"/>
            <w:gridSpan w:val="3"/>
          </w:tcPr>
          <w:p>
            <w:pPr>
              <w:spacing w:after="0" w:line="119"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right"/>
              <w:ind w:right="591"/>
              <w:spacing w:after="0" w:line="119"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right"/>
              <w:ind w:right="570"/>
              <w:spacing w:after="0" w:line="119" w:lineRule="exact"/>
              <w:rPr>
                <w:sz w:val="20"/>
                <w:szCs w:val="20"/>
                <w:color w:val="auto"/>
              </w:rPr>
            </w:pPr>
            <w:r>
              <w:rPr>
                <w:rFonts w:ascii="Times New Roman" w:cs="Times New Roman" w:eastAsia="Times New Roman" w:hAnsi="Times New Roman"/>
                <w:sz w:val="11"/>
                <w:szCs w:val="11"/>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480" w:type="dxa"/>
            <w:vAlign w:val="bottom"/>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71"/>
        </w:trPr>
        <w:tc>
          <w:tcPr>
            <w:tcW w:w="20" w:type="dxa"/>
            <w:vAlign w:val="bottom"/>
          </w:tcPr>
          <w:p>
            <w:pPr>
              <w:spacing w:after="0"/>
              <w:rPr>
                <w:sz w:val="14"/>
                <w:szCs w:val="14"/>
                <w:color w:val="auto"/>
              </w:rPr>
            </w:pPr>
          </w:p>
        </w:tc>
        <w:tc>
          <w:tcPr>
            <w:tcW w:w="64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Engineering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expense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71"/>
        </w:trPr>
        <w:tc>
          <w:tcPr>
            <w:tcW w:w="20" w:type="dxa"/>
            <w:vAlign w:val="bottom"/>
            <w:tcBorders>
              <w:bottom w:val="single" w:sz="8" w:color="CCEEFF"/>
            </w:tcBorders>
          </w:tcPr>
          <w:p>
            <w:pPr>
              <w:spacing w:after="0"/>
              <w:rPr>
                <w:sz w:val="14"/>
                <w:szCs w:val="14"/>
                <w:color w:val="auto"/>
              </w:rPr>
            </w:pPr>
          </w:p>
        </w:tc>
        <w:tc>
          <w:tcPr>
            <w:tcW w:w="648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80"/>
        </w:trPr>
        <w:tc>
          <w:tcPr>
            <w:tcW w:w="20" w:type="dxa"/>
            <w:vAlign w:val="bottom"/>
          </w:tcPr>
          <w:p>
            <w:pPr>
              <w:spacing w:after="0"/>
              <w:rPr>
                <w:sz w:val="15"/>
                <w:szCs w:val="15"/>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9740" w:type="dxa"/>
            <w:vAlign w:val="bottom"/>
            <w:gridSpan w:val="9"/>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sales in the six months ended June 30, 2022 from the six months ended June 30, 2021: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4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Freight Segment</w:t>
            </w:r>
          </w:p>
        </w:tc>
        <w:tc>
          <w:tcPr>
            <w:tcW w:w="22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Transit Segment</w:t>
            </w:r>
          </w:p>
        </w:tc>
        <w:tc>
          <w:tcPr>
            <w:tcW w:w="540" w:type="dxa"/>
            <w:vAlign w:val="bottom"/>
          </w:tcPr>
          <w:p>
            <w:pPr>
              <w:spacing w:after="0"/>
              <w:rPr>
                <w:sz w:val="12"/>
                <w:szCs w:val="12"/>
                <w:color w:val="auto"/>
              </w:rPr>
            </w:pPr>
          </w:p>
        </w:tc>
        <w:tc>
          <w:tcPr>
            <w:tcW w:w="98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Six Months of 2021 Net Sales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r>
      <w:tr>
        <w:trPr>
          <w:trHeight w:val="180"/>
        </w:trPr>
        <w:tc>
          <w:tcPr>
            <w:tcW w:w="20" w:type="dxa"/>
            <w:vAlign w:val="bottom"/>
          </w:tcPr>
          <w:p>
            <w:pPr>
              <w:spacing w:after="0"/>
              <w:rPr>
                <w:sz w:val="15"/>
                <w:szCs w:val="15"/>
                <w:color w:val="auto"/>
              </w:rPr>
            </w:pPr>
          </w:p>
        </w:tc>
        <w:tc>
          <w:tcPr>
            <w:tcW w:w="64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20" w:type="dxa"/>
            <w:vAlign w:val="bottom"/>
            <w:shd w:val="clear" w:color="auto" w:fill="CCEEFF"/>
          </w:tcPr>
          <w:p>
            <w:pPr>
              <w:spacing w:after="0"/>
              <w:rPr>
                <w:sz w:val="15"/>
                <w:szCs w:val="15"/>
                <w:color w:val="auto"/>
              </w:rPr>
            </w:pPr>
          </w:p>
        </w:tc>
        <w:tc>
          <w:tcPr>
            <w:tcW w:w="6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0"/>
        </w:trPr>
        <w:tc>
          <w:tcPr>
            <w:tcW w:w="2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4"/>
                <w:szCs w:val="14"/>
                <w:color w:val="auto"/>
              </w:rPr>
              <w:t>Organic</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Six Months of 2022 Net Sales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16" w:lineRule="exact"/>
        <w:rPr>
          <w:sz w:val="20"/>
          <w:szCs w:val="20"/>
          <w:color w:val="auto"/>
        </w:rPr>
      </w:pPr>
    </w:p>
    <w:p>
      <w:pPr>
        <w:ind w:right="160" w:firstLine="382"/>
        <w:spacing w:after="0"/>
        <w:rPr>
          <w:sz w:val="20"/>
          <w:szCs w:val="20"/>
          <w:color w:val="auto"/>
        </w:rPr>
      </w:pPr>
      <w:r>
        <w:rPr>
          <w:rFonts w:ascii="Times New Roman" w:cs="Times New Roman" w:eastAsia="Times New Roman" w:hAnsi="Times New Roman"/>
          <w:sz w:val="14"/>
          <w:szCs w:val="14"/>
          <w:color w:val="auto"/>
        </w:rPr>
        <w:t>Net sales for the six months ended June 30, 2022 increased by $133 million, or 3.5%, to $3.98 billion compared to the same period in 2021. Freight Segment organic sales increased $269 million driven primarily by Services sales from higher locomotive modernizations and a decrease in locomotive parkings. In addition, Equipment sales increased due to higher volumes for mining equipment and Components sales increased due to a higher railcar build, lower railcar parkings and growth in industrial end-markets. Transit Segment organic sales decreased $69 million primarily due to supply chain issues caused by the COVID-19 pandemic and the prior year exit of low margin businesses and contracts in the United Kingdom. Sales from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30" w:name="page31"/>
    <w:bookmarkEnd w:id="30"/>
    <w:p>
      <w:pPr>
        <w:ind w:right="1640"/>
        <w:spacing w:after="0" w:line="379" w:lineRule="auto"/>
        <w:rPr>
          <w:sz w:val="20"/>
          <w:szCs w:val="20"/>
          <w:color w:val="auto"/>
        </w:rPr>
      </w:pPr>
      <w:r>
        <w:rPr>
          <w:rFonts w:ascii="Times New Roman" w:cs="Times New Roman" w:eastAsia="Times New Roman" w:hAnsi="Times New Roman"/>
          <w:sz w:val="14"/>
          <w:szCs w:val="14"/>
          <w:color w:val="auto"/>
        </w:rPr>
        <w:t xml:space="preserve">acquisitions contributed $46 million, primarily in the Freight Segment and unfavorable exchange rates, primarily in the Transit Segment, decreased sales by $113 million. </w:t>
      </w:r>
      <w:r>
        <w:rPr>
          <w:rFonts w:ascii="Times New Roman" w:cs="Times New Roman" w:eastAsia="Times New Roman" w:hAnsi="Times New Roman"/>
          <w:sz w:val="14"/>
          <w:szCs w:val="14"/>
          <w:b w:val="1"/>
          <w:bCs w:val="1"/>
          <w:color w:val="auto"/>
        </w:rPr>
        <w:t>Cost of sales</w:t>
      </w:r>
    </w:p>
    <w:p>
      <w:pPr>
        <w:spacing w:after="0" w:line="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Cost of sales for the six months ended June 30, 2022 increased by $7 million, or 0.3%, to $2.74 billion compared to the same period in 2021. The increase is primarily due to the increase in sales and increased metals, labor and transportation costs, partially offset due to favorable product mix between operating segments and product lines. Cost of sales as a percentage of sales was 68.8% and 71.0% for the six months ended June 30, 2022 and 2021, respectively, representing a 2.2 percentage point decrease. The decrease as a percentage of sales can be attributed to favorable product mix, higher pricing and strong productivity, partially offset by higher sales and the increase in the costs described above. Cost of sales for the six months ended June 30, 2022 and 2021 included $7 million and $25 million, respectively, of restructuring costs, primarily for headcount actions and footprint rationalization.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Total operating expenses increased $18 million, or 2.5%, for the six months ended June 30, 2022 compared to the same period in 2021. Operating expenses as a percentage of sales was 18.5% and 18.7% for the six months ended June 30, 2022 and 2021, respectively. SG&amp;A remained flat from lower restructuring and transaction costs, offset by higher compensation costs, higher technology costs and incremental expense for acquisitions primarily Nordco. Restructuring and transaction costs included in SG&amp;A were $4 million and $20 million for the six months ended June 30, 2022 and 2021, respectively, and were primarily for headcount actions and footprint rationalization programs. Engineering expenses increased $15 million primarily due to investments in new technology and incremental expense from acquisitions. Amortization expense increased $3 million primarily due to the acquisition of Nordco.</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net, decreased $6 million for the six months ended June 30, 2022 compared to the same period in 2021 primarily attributable to lower effective interest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net</w:t>
      </w:r>
    </w:p>
    <w:p>
      <w:pPr>
        <w:spacing w:after="0" w:line="96" w:lineRule="exact"/>
        <w:rPr>
          <w:sz w:val="20"/>
          <w:szCs w:val="20"/>
          <w:color w:val="auto"/>
        </w:rPr>
      </w:pPr>
    </w:p>
    <w:p>
      <w:pPr>
        <w:ind w:right="500" w:firstLine="382"/>
        <w:spacing w:after="0" w:line="287" w:lineRule="auto"/>
        <w:rPr>
          <w:sz w:val="20"/>
          <w:szCs w:val="20"/>
          <w:color w:val="auto"/>
        </w:rPr>
      </w:pPr>
      <w:r>
        <w:rPr>
          <w:rFonts w:ascii="Times New Roman" w:cs="Times New Roman" w:eastAsia="Times New Roman" w:hAnsi="Times New Roman"/>
          <w:sz w:val="14"/>
          <w:szCs w:val="14"/>
          <w:color w:val="auto"/>
        </w:rPr>
        <w:t>Other income, net, was $11 million of income for the six months ended June 30, 2022 compared to $25 million of income in the same period of 2021 primarily driven by lower foreign exchange gains in the current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380" w:firstLine="382"/>
        <w:spacing w:after="0" w:line="287" w:lineRule="auto"/>
        <w:rPr>
          <w:sz w:val="20"/>
          <w:szCs w:val="20"/>
          <w:color w:val="auto"/>
        </w:rPr>
      </w:pPr>
      <w:r>
        <w:rPr>
          <w:rFonts w:ascii="Times New Roman" w:cs="Times New Roman" w:eastAsia="Times New Roman" w:hAnsi="Times New Roman"/>
          <w:sz w:val="14"/>
          <w:szCs w:val="14"/>
          <w:color w:val="auto"/>
        </w:rPr>
        <w:t>The effective income tax rate was 25.3% and 26.6% for the six months ended June 30, 2022 and 2021, respectively. The decrease in the effective tax rate is primarily the result of a more favorable earnings mix for the six months ended June 30, 2022.</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Freight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Freight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1"/>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Sales of goods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1,763</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Sales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756</w:t>
            </w:r>
          </w:p>
        </w:tc>
      </w:tr>
      <w:tr>
        <w:trPr>
          <w:trHeight w:val="171"/>
        </w:trPr>
        <w:tc>
          <w:tcPr>
            <w:tcW w:w="20" w:type="dxa"/>
            <w:vAlign w:val="bottom"/>
          </w:tcPr>
          <w:p>
            <w:pPr>
              <w:spacing w:after="0"/>
              <w:rPr>
                <w:sz w:val="14"/>
                <w:szCs w:val="14"/>
                <w:color w:val="auto"/>
              </w:rPr>
            </w:pPr>
          </w:p>
        </w:tc>
        <w:tc>
          <w:tcPr>
            <w:tcW w:w="7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net sales</w:t>
            </w:r>
          </w:p>
        </w:tc>
        <w:tc>
          <w:tcPr>
            <w:tcW w:w="380" w:type="dxa"/>
            <w:vAlign w:val="bottom"/>
          </w:tcPr>
          <w:p>
            <w:pPr>
              <w:spacing w:after="0"/>
              <w:rPr>
                <w:sz w:val="14"/>
                <w:szCs w:val="14"/>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2,519</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Cost of goods</w:t>
            </w:r>
          </w:p>
        </w:tc>
        <w:tc>
          <w:tcPr>
            <w:tcW w:w="380" w:type="dxa"/>
            <w:vAlign w:val="bottom"/>
          </w:tcPr>
          <w:p>
            <w:pPr>
              <w:spacing w:after="0"/>
              <w:rPr>
                <w:sz w:val="15"/>
                <w:szCs w:val="15"/>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(1,323)</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services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(426)</w:t>
            </w:r>
          </w:p>
        </w:tc>
      </w:tr>
      <w:tr>
        <w:trPr>
          <w:trHeight w:val="171"/>
        </w:trPr>
        <w:tc>
          <w:tcPr>
            <w:tcW w:w="20" w:type="dxa"/>
            <w:vAlign w:val="bottom"/>
            <w:tcBorders>
              <w:bottom w:val="single" w:sz="8" w:color="CCEEFF"/>
            </w:tcBorders>
          </w:tcPr>
          <w:p>
            <w:pPr>
              <w:spacing w:after="0"/>
              <w:rPr>
                <w:sz w:val="14"/>
                <w:szCs w:val="14"/>
                <w:color w:val="auto"/>
              </w:rPr>
            </w:pPr>
          </w:p>
        </w:tc>
        <w:tc>
          <w:tcPr>
            <w:tcW w:w="79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cost of sales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(1,749)</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770</w:t>
            </w:r>
          </w:p>
        </w:tc>
      </w:tr>
      <w:tr>
        <w:trPr>
          <w:trHeight w:val="85"/>
        </w:trPr>
        <w:tc>
          <w:tcPr>
            <w:tcW w:w="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(455)</w:t>
            </w:r>
          </w:p>
        </w:tc>
      </w:tr>
      <w:tr>
        <w:trPr>
          <w:trHeight w:val="65"/>
        </w:trPr>
        <w:tc>
          <w:tcPr>
            <w:tcW w:w="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r>
        <w:trPr>
          <w:trHeight w:val="180"/>
        </w:trPr>
        <w:tc>
          <w:tcPr>
            <w:tcW w:w="20" w:type="dxa"/>
            <w:vAlign w:val="bottom"/>
          </w:tcPr>
          <w:p>
            <w:pPr>
              <w:spacing w:after="0"/>
              <w:rPr>
                <w:sz w:val="15"/>
                <w:szCs w:val="15"/>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Freight Segment in the first six months of 2022 from the first six months of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Six Months of 2021 Net Sales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Equipment</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20" w:type="dxa"/>
            <w:vAlign w:val="bottom"/>
          </w:tcPr>
          <w:p>
            <w:pPr>
              <w:spacing w:after="0"/>
              <w:rPr>
                <w:sz w:val="15"/>
                <w:szCs w:val="15"/>
                <w:color w:val="auto"/>
              </w:rPr>
            </w:pPr>
          </w:p>
        </w:tc>
        <w:tc>
          <w:tcPr>
            <w:tcW w:w="97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Components</w:t>
            </w: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20" w:type="dxa"/>
            <w:vAlign w:val="bottom"/>
            <w:shd w:val="clear" w:color="auto" w:fill="CCEEFF"/>
          </w:tcPr>
          <w:p>
            <w:pPr>
              <w:spacing w:after="0"/>
              <w:rPr>
                <w:sz w:val="15"/>
                <w:szCs w:val="15"/>
                <w:color w:val="auto"/>
              </w:rPr>
            </w:pPr>
          </w:p>
        </w:tc>
        <w:tc>
          <w:tcPr>
            <w:tcW w:w="9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Digital Electronics</w:t>
            </w: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Borders>
              <w:bottom w:val="single" w:sz="8" w:color="CCEEFF"/>
            </w:tcBorders>
          </w:tcPr>
          <w:p>
            <w:pPr>
              <w:spacing w:after="0"/>
              <w:rPr>
                <w:sz w:val="15"/>
                <w:szCs w:val="15"/>
                <w:color w:val="auto"/>
              </w:rPr>
            </w:pPr>
          </w:p>
        </w:tc>
        <w:tc>
          <w:tcPr>
            <w:tcW w:w="9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Six Months of 2022 Net Sales</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96" w:lineRule="exact"/>
        <w:rPr>
          <w:sz w:val="20"/>
          <w:szCs w:val="20"/>
          <w:color w:val="auto"/>
        </w:rPr>
      </w:pPr>
    </w:p>
    <w:p>
      <w:pPr>
        <w:ind w:right="260" w:firstLine="382"/>
        <w:spacing w:after="0" w:line="270" w:lineRule="auto"/>
        <w:rPr>
          <w:sz w:val="20"/>
          <w:szCs w:val="20"/>
          <w:color w:val="auto"/>
        </w:rPr>
      </w:pPr>
      <w:r>
        <w:rPr>
          <w:rFonts w:ascii="Times New Roman" w:cs="Times New Roman" w:eastAsia="Times New Roman" w:hAnsi="Times New Roman"/>
          <w:sz w:val="14"/>
          <w:szCs w:val="14"/>
          <w:color w:val="auto"/>
        </w:rPr>
        <w:t>Freight Segment sales increased by $293 million or 11.6%, to $2.81 billion, compared to the same period in 2021. Services sales increased from higher locomotive modernizations and a decrease in locomotive parkings, Equipment sales increased due to higher volumes for mining equipment, and Components sales increased due to a higher railcar build and lower railcar parkings. Sales from acquisitions, primarily Nordco, contributed $44 million and the effects of unfavorable foreign exchange rates decreased sales by $20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Freight Segment cost of sales for the six months ended June 30, 2022 increased by $146 million, or 8.3%, to $1.90 billion, compared to the same period in 2021. The increase is primarily due to the increase in sales and increased metals, transportation and labor costs. Cost of sales as a percentage of sales was 67.4% and 69.4% for the six months ended June 30, 2022 and 2021, respectively, representing a 2.0 percentage point decrease which benefited from favorable product mix, increased pricing, improved productivity and synergy savings. Cost of sales for the six months ended June 30, 2022 and 2021 includes $3 million and $5 million, respectively, of restructuring and transaction costs, primarily for headcount actions. The six months ended June 30, 2021 also included amounts related to purchase price accounting for the step-up of Nordco inventory.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Freight Segment operating expenses increased $40 million, or 8.8%, for the six months ended June 30, 2022 compared to the same period in 2021. SG&amp;A increased $21 million primarily due to higher employee compensation and benefit costs, incremental expense from acquisitions and higher technology costs, partially offset by a decrease in restructuring and transaction costs. There were no restructuring and transaction costs included in SG&amp;A for the six months ended June 30, 2022 compared to $9 million for the same period in 2021 primarily for headcount actions as part of the integration of GE Transportation. Engineering expenses increased $16 million primarily due to investments in new technology and incremental expense from acquisitions. Amortization expense increased $3 million due to the acquisitions, primarily Nordco.</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44"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Transit Segment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our Consolidated Statements of Operations for our Transit Segment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9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0"/>
                <w:szCs w:val="10"/>
                <w:color w:val="auto"/>
              </w:rPr>
            </w:pPr>
          </w:p>
        </w:tc>
        <w:tc>
          <w:tcPr>
            <w:tcW w:w="1240" w:type="dxa"/>
            <w:vAlign w:val="bottom"/>
          </w:tcPr>
          <w:p>
            <w:pPr>
              <w:jc w:val="right"/>
              <w:ind w:right="61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jc w:val="right"/>
              <w:ind w:right="610"/>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1,323</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(979)</w:t>
            </w:r>
          </w:p>
        </w:tc>
      </w:tr>
      <w:tr>
        <w:trPr>
          <w:trHeight w:val="171"/>
        </w:trPr>
        <w:tc>
          <w:tcPr>
            <w:tcW w:w="20" w:type="dxa"/>
            <w:vAlign w:val="bottom"/>
            <w:shd w:val="clear" w:color="auto" w:fill="CCEEFF"/>
          </w:tcPr>
          <w:p>
            <w:pPr>
              <w:spacing w:after="0"/>
              <w:rPr>
                <w:sz w:val="14"/>
                <w:szCs w:val="14"/>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344</w:t>
            </w:r>
          </w:p>
        </w:tc>
      </w:tr>
      <w:tr>
        <w:trPr>
          <w:trHeight w:val="85"/>
        </w:trPr>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(229)</w:t>
            </w:r>
          </w:p>
        </w:tc>
      </w:tr>
      <w:tr>
        <w:trPr>
          <w:trHeight w:val="65"/>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2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Income from operations (% of net sales)</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8.7 %</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020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The following table shows the major components of the change in net sales for the Transit Segment in the first six months of 2022 from the first six months of 2021:</w:t>
            </w:r>
          </w:p>
        </w:tc>
        <w:tc>
          <w:tcPr>
            <w:tcW w:w="106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Six Months of 2021 Net Sales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Exchange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20" w:type="dxa"/>
            <w:vAlign w:val="bottom"/>
          </w:tcPr>
          <w:p>
            <w:pPr>
              <w:spacing w:after="0"/>
              <w:rPr>
                <w:sz w:val="15"/>
                <w:szCs w:val="15"/>
                <w:color w:val="auto"/>
              </w:rPr>
            </w:pP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Changes in Sales by Product Line: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7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Original Equipment Manufacturing</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2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Aftermarket</w:t>
            </w:r>
          </w:p>
        </w:tc>
        <w:tc>
          <w:tcPr>
            <w:tcW w:w="3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Six Months of 2022 Net Sales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p>
    <w:p>
      <w:pPr>
        <w:spacing w:after="0" w:line="25"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4"/>
          <w:szCs w:val="14"/>
          <w:color w:val="auto"/>
        </w:rPr>
        <w:t>Transit Segment sales for the six months ended June 30, 2022 decreased by $160 million, or 12.1%, to $1.16 billion compared to the same period in 2021, with foreign exchange rates being the primary driver of the decrease. Sales of Original Equipment Manufacturing decreased due to supply chain issues caused by the COVID-19 pandemic partially offset by higher demand and an increase in government transportation spending. Aftermarket sales decreased from lower maintenance and overhaul driven by the prior year exit of low margin businesses and contracts in the United Kingdom, as well as supply chain issues caused by the COVID-19 pandemic. Additionally, both Original Equipment Manufacturing and Aftermarket sales were impacted by a late second quarter manufacturing disruption caused by a cyber incident.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sales</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Transit Segment cost of sales for the six months ended June 30, 2022 decreased by $139 million, or 14.2%, to $840 million compared to the same period in 2021. The decrease is primarily due to the decrease in sales discussed above and decreased restructuring costs. Cost of sales as a percentage of sales was 72.2% and 74.0% for the six months ended June 30, 2022 and 2021, respectively, representing a 1.8 percentage point decrease. This can be attributed to improved productivity, higher pricing, the exit of low margin business in the United Kingdom, and prior year structured cost actions taken through restructuring programs, partially offset by increased metals, transportation and labor costs. Cost of sales for the six months ended June 30, 2022 and 2021 included $4 million and $20 million, respectively, of restructuring costs, primarily for headcount actions in Europe and footprint rationalization in the UK.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6"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Transit Segment operating expenses decreased $21 million, or 9.2%, for the six months ended June 30, 2022 compared to the same period in 2021. SG&amp;A decreased $18 million due to the decrease in sales, the effects of foreign exchange rates and decreased restructuring cost. SG&amp;A for the six months ended June 30, 2022 and 2021 included $3 million and $7 million, respectively, of restructuring costs, primarily for headcount actions in Europe. Additionally, engineering and amortization expenses remained consistent year over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right="140" w:firstLine="382"/>
        <w:spacing w:after="0" w:line="269" w:lineRule="auto"/>
        <w:rPr>
          <w:sz w:val="20"/>
          <w:szCs w:val="20"/>
          <w:color w:val="auto"/>
        </w:rPr>
      </w:pPr>
      <w:r>
        <w:rPr>
          <w:rFonts w:ascii="Times New Roman" w:cs="Times New Roman" w:eastAsia="Times New Roman" w:hAnsi="Times New Roman"/>
          <w:sz w:val="14"/>
          <w:szCs w:val="14"/>
          <w:color w:val="auto"/>
        </w:rPr>
        <w:t>Liquidity is provided primarily by operating cash flow and borrowings under the Company’s Senior Notes and unsecured credit facility with a consortium of commercial banks. Additionally, the Company utilizes the revolving receivables program and supply chain financing program described below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gridSpan w:val="3"/>
          </w:tcPr>
          <w:p>
            <w:pPr>
              <w:jc w:val="right"/>
              <w:ind w:right="9"/>
              <w:spacing w:after="0" w:line="131"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98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1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980" w:type="dxa"/>
            <w:vAlign w:val="bottom"/>
          </w:tcPr>
          <w:p>
            <w:pPr>
              <w:jc w:val="right"/>
              <w:ind w:right="32"/>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jc w:val="right"/>
              <w:ind w:right="572"/>
              <w:spacing w:after="0" w:line="107"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provided by (used for):</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Operating activities</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w w:val="95"/>
              </w:rPr>
              <w:t>424</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center"/>
              <w:ind w:left="592"/>
              <w:spacing w:after="0"/>
              <w:rPr>
                <w:sz w:val="20"/>
                <w:szCs w:val="20"/>
                <w:color w:val="auto"/>
              </w:rPr>
            </w:pPr>
            <w:r>
              <w:rPr>
                <w:rFonts w:ascii="Times New Roman" w:cs="Times New Roman" w:eastAsia="Times New Roman" w:hAnsi="Times New Roman"/>
                <w:sz w:val="14"/>
                <w:szCs w:val="14"/>
                <w:color w:val="auto"/>
                <w:w w:val="95"/>
              </w:rPr>
              <w:t>515</w:t>
            </w: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Investing activities</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w w:val="98"/>
              </w:rPr>
              <w:t>(117)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4"/>
                <w:szCs w:val="14"/>
                <w:color w:val="auto"/>
                <w:w w:val="98"/>
              </w:rPr>
              <w:t>(452)</w:t>
            </w:r>
          </w:p>
        </w:tc>
      </w:tr>
      <w:tr>
        <w:trPr>
          <w:trHeight w:val="184"/>
        </w:trPr>
        <w:tc>
          <w:tcPr>
            <w:tcW w:w="20" w:type="dxa"/>
            <w:vAlign w:val="bottom"/>
          </w:tcPr>
          <w:p>
            <w:pPr>
              <w:spacing w:after="0"/>
              <w:rPr>
                <w:sz w:val="16"/>
                <w:szCs w:val="16"/>
                <w:color w:val="auto"/>
              </w:rPr>
            </w:pP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Financing activities</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w w:val="98"/>
              </w:rPr>
              <w:t>(256)</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center"/>
              <w:ind w:left="572"/>
              <w:spacing w:after="0"/>
              <w:rPr>
                <w:sz w:val="20"/>
                <w:szCs w:val="20"/>
                <w:color w:val="auto"/>
              </w:rPr>
            </w:pPr>
            <w:r>
              <w:rPr>
                <w:rFonts w:ascii="Times New Roman" w:cs="Times New Roman" w:eastAsia="Times New Roman" w:hAnsi="Times New Roman"/>
                <w:sz w:val="14"/>
                <w:szCs w:val="14"/>
                <w:color w:val="auto"/>
                <w:w w:val="98"/>
              </w:rPr>
              <w:t>(213)</w:t>
            </w:r>
          </w:p>
        </w:tc>
      </w:tr>
    </w:tbl>
    <w:p>
      <w:pPr>
        <w:spacing w:after="0" w:line="181" w:lineRule="exact"/>
        <w:rPr>
          <w:sz w:val="20"/>
          <w:szCs w:val="20"/>
          <w:color w:val="auto"/>
        </w:rPr>
      </w:pPr>
    </w:p>
    <w:p>
      <w:pPr>
        <w:ind w:right="60"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Operating activities </w:t>
      </w:r>
      <w:r>
        <w:rPr>
          <w:rFonts w:ascii="Times New Roman" w:cs="Times New Roman" w:eastAsia="Times New Roman" w:hAnsi="Times New Roman"/>
          <w:sz w:val="14"/>
          <w:szCs w:val="14"/>
          <w:color w:val="auto"/>
        </w:rPr>
        <w:t>In the first six months of 2022, cash provided by operating activities was $424 million compared to $515 million in the first six months of 2021. Significant changes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sources and (uses) of cash for the six month periods include the following:</w:t>
      </w:r>
    </w:p>
    <w:p>
      <w:pPr>
        <w:spacing w:after="0" w:line="37"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 million attributable to higher Net income and other changes in the related statements of income;</w:t>
      </w:r>
    </w:p>
    <w:p>
      <w:pPr>
        <w:spacing w:after="0" w:line="93" w:lineRule="exact"/>
        <w:rPr>
          <w:rFonts w:ascii="Times New Roman" w:cs="Times New Roman" w:eastAsia="Times New Roman" w:hAnsi="Times New Roman"/>
          <w:sz w:val="14"/>
          <w:szCs w:val="14"/>
          <w:color w:val="auto"/>
        </w:rPr>
      </w:pPr>
    </w:p>
    <w:p>
      <w:pPr>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 million from net changes in working capital primarily driven by: $74 million related to changes in receivables due to timing and volume of sales and the net change in the Revolving Receivables Program, $(264) million unfavorable change in inventory primarily from proactive inventory build-ups ahead of expected growth and in response to supply chain challenges, and $103 million in accounts payable, primarily due to the timing of payments to suppliers; and,</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$(84) million from higher employee related benefit payments, inclusive of payments related to severance accruals, and $39 million from changes in the timing of customer deposits.</w:t>
      </w:r>
    </w:p>
    <w:p>
      <w:pPr>
        <w:spacing w:after="0" w:line="92" w:lineRule="exact"/>
        <w:rPr>
          <w:sz w:val="20"/>
          <w:szCs w:val="20"/>
          <w:color w:val="auto"/>
        </w:rPr>
      </w:pPr>
    </w:p>
    <w:p>
      <w:pPr>
        <w:jc w:val="both"/>
        <w:ind w:right="140"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Investing activities </w:t>
      </w:r>
      <w:r>
        <w:rPr>
          <w:rFonts w:ascii="Times New Roman" w:cs="Times New Roman" w:eastAsia="Times New Roman" w:hAnsi="Times New Roman"/>
          <w:sz w:val="14"/>
          <w:szCs w:val="14"/>
          <w:color w:val="auto"/>
        </w:rPr>
        <w:t>In the first six months of 2022 and 2021, cash used for investing activities was $(117) million and $(452) million, respectively. The major components of the cash outflow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2022 were $(50) million in additions to property, plant and equipment for investments in our facilities and manufacturing processes and $(69) million for strategic acquisitions. This compares to $(55) million in additions to property, plant, and equipment and $(405) million in net cash paid for acquisitions in the first six months of 2021. Additional information with respect to acquisitions is included in Note 3 of the “Notes to Condensed Consolidated Financial Statements” included in Part I, Item 1 of this report.</w:t>
      </w:r>
    </w:p>
    <w:p>
      <w:pPr>
        <w:spacing w:after="0" w:line="53" w:lineRule="exact"/>
        <w:rPr>
          <w:sz w:val="20"/>
          <w:szCs w:val="20"/>
          <w:color w:val="auto"/>
        </w:rPr>
      </w:pPr>
    </w:p>
    <w:p>
      <w:pPr>
        <w:jc w:val="both"/>
        <w:ind w:right="6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activities </w:t>
      </w:r>
      <w:r>
        <w:rPr>
          <w:rFonts w:ascii="Times New Roman" w:cs="Times New Roman" w:eastAsia="Times New Roman" w:hAnsi="Times New Roman"/>
          <w:sz w:val="14"/>
          <w:szCs w:val="14"/>
          <w:color w:val="auto"/>
        </w:rPr>
        <w:t>In the first six months of 2022, cash used for financing activities was $(256) million which included $3,416 million in proceeds from debt, $(3,216) million in repayments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debt, $(399) million in stock repurchases, and $(55) million of dividend payments. In the first six months of 2021, cash provided by financing activities was $(213) million, which included $3,008 million in proceeds from debt, $(3,170) million in repayments of debt, $(1) million in stock repurchases and $(46) million of dividend payments.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w:t>
      </w:r>
    </w:p>
    <w:p>
      <w:pPr>
        <w:spacing w:after="0" w:line="94" w:lineRule="exact"/>
        <w:rPr>
          <w:sz w:val="20"/>
          <w:szCs w:val="20"/>
          <w:color w:val="auto"/>
        </w:rPr>
      </w:pPr>
    </w:p>
    <w:p>
      <w:pPr>
        <w:ind w:right="160" w:firstLine="382"/>
        <w:spacing w:after="0" w:line="270" w:lineRule="auto"/>
        <w:rPr>
          <w:sz w:val="20"/>
          <w:szCs w:val="20"/>
          <w:color w:val="auto"/>
        </w:rPr>
      </w:pPr>
      <w:r>
        <w:rPr>
          <w:rFonts w:ascii="Times New Roman" w:cs="Times New Roman" w:eastAsia="Times New Roman" w:hAnsi="Times New Roman"/>
          <w:sz w:val="14"/>
          <w:szCs w:val="14"/>
          <w:color w:val="auto"/>
        </w:rPr>
        <w:t>As of June 30, 2022, the Company held approximately $501 million of cash and cash equivalents. Of the $501 million, approximately $5 million was held within the United States and approximately $496 million was held outside of the United States, primarily in India, Europe, China, and Brazil. While repatriation of some cash held outside the United States may be restricted by local laws, most of the Company’s foreign cash could be repatriated to the United States net of any tax impacts.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Additional information with respect to credit facilities and long-term debt is included in Note 8 of the "Notes to Condensed Consolidated Financial Statements" included in Part I, Item 1 of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report.</w:t>
      </w:r>
    </w:p>
    <w:p>
      <w:pPr>
        <w:spacing w:after="0" w:line="79"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Revolving Receivables Program</w:t>
      </w:r>
    </w:p>
    <w:p>
      <w:pPr>
        <w:spacing w:after="0" w:line="96" w:lineRule="exact"/>
        <w:rPr>
          <w:sz w:val="20"/>
          <w:szCs w:val="20"/>
          <w:color w:val="auto"/>
        </w:rPr>
      </w:pPr>
    </w:p>
    <w:p>
      <w:pPr>
        <w:ind w:right="320" w:firstLine="382"/>
        <w:spacing w:after="0" w:line="287" w:lineRule="auto"/>
        <w:rPr>
          <w:sz w:val="20"/>
          <w:szCs w:val="20"/>
          <w:color w:val="auto"/>
        </w:rPr>
      </w:pPr>
      <w:r>
        <w:rPr>
          <w:rFonts w:ascii="Times New Roman" w:cs="Times New Roman" w:eastAsia="Times New Roman" w:hAnsi="Times New Roman"/>
          <w:sz w:val="14"/>
          <w:szCs w:val="14"/>
          <w:color w:val="auto"/>
        </w:rPr>
        <w:t>The Company utilizes a revolving agreement to transfer up to $200 million of certain receivables to a financial institution on a recurring basis in exchange for cash equal to the gross receivables transferred. As customers pay their balances, we transfer additional receivables into the program, which resulted in our gross receivables sold exceeding collections reinvested for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5" w:name="page36"/>
    <w:bookmarkEnd w:id="35"/>
    <w:p>
      <w:pPr>
        <w:ind w:right="660"/>
        <w:spacing w:after="0" w:line="287" w:lineRule="auto"/>
        <w:rPr>
          <w:sz w:val="20"/>
          <w:szCs w:val="20"/>
          <w:color w:val="auto"/>
        </w:rPr>
      </w:pPr>
      <w:r>
        <w:rPr>
          <w:rFonts w:ascii="Times New Roman" w:cs="Times New Roman" w:eastAsia="Times New Roman" w:hAnsi="Times New Roman"/>
          <w:sz w:val="14"/>
          <w:szCs w:val="14"/>
          <w:color w:val="auto"/>
        </w:rPr>
        <w:t>periods presented. Net cash proceeds from the revolving receivables program were $180 million and $82 million for the six months ended June 30, 2022 and 2021, respectively. Additional information with respect to the Revolving Receivables Program is included in Note 2 of "Notes to Consolidated Financial Statements" included in Part I, Item 1 of this report.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Financing Program</w:t>
      </w:r>
    </w:p>
    <w:p>
      <w:pPr>
        <w:spacing w:after="0" w:line="96" w:lineRule="exact"/>
        <w:rPr>
          <w:sz w:val="20"/>
          <w:szCs w:val="20"/>
          <w:color w:val="auto"/>
        </w:rPr>
      </w:pPr>
    </w:p>
    <w:p>
      <w:pPr>
        <w:ind w:right="40" w:firstLine="382"/>
        <w:spacing w:after="0" w:line="264" w:lineRule="auto"/>
        <w:rPr>
          <w:sz w:val="20"/>
          <w:szCs w:val="20"/>
          <w:color w:val="auto"/>
        </w:rPr>
      </w:pPr>
      <w:r>
        <w:rPr>
          <w:rFonts w:ascii="Times New Roman" w:cs="Times New Roman" w:eastAsia="Times New Roman" w:hAnsi="Times New Roman"/>
          <w:sz w:val="14"/>
          <w:szCs w:val="14"/>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Guarantor Summarized Financial Information</w:t>
      </w:r>
    </w:p>
    <w:p>
      <w:pPr>
        <w:spacing w:after="0" w:line="96" w:lineRule="exact"/>
        <w:rPr>
          <w:sz w:val="20"/>
          <w:szCs w:val="20"/>
          <w:color w:val="auto"/>
        </w:rPr>
      </w:pPr>
    </w:p>
    <w:p>
      <w:pPr>
        <w:ind w:right="300" w:firstLine="382"/>
        <w:spacing w:after="0" w:line="270" w:lineRule="auto"/>
        <w:rPr>
          <w:sz w:val="20"/>
          <w:szCs w:val="20"/>
          <w:color w:val="auto"/>
        </w:rPr>
      </w:pPr>
      <w:r>
        <w:rPr>
          <w:rFonts w:ascii="Times New Roman" w:cs="Times New Roman" w:eastAsia="Times New Roman" w:hAnsi="Times New Roman"/>
          <w:sz w:val="14"/>
          <w:szCs w:val="14"/>
          <w:color w:val="auto"/>
        </w:rPr>
        <w:t>The obligations under the Company's US Notes and Senior Credit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51" w:lineRule="exact"/>
        <w:rPr>
          <w:sz w:val="20"/>
          <w:szCs w:val="20"/>
          <w:color w:val="auto"/>
        </w:rPr>
      </w:pPr>
    </w:p>
    <w:p>
      <w:pPr>
        <w:jc w:val="both"/>
        <w:ind w:right="520" w:firstLine="382"/>
        <w:spacing w:after="0" w:line="270" w:lineRule="auto"/>
        <w:rPr>
          <w:sz w:val="20"/>
          <w:szCs w:val="20"/>
          <w:color w:val="auto"/>
        </w:rPr>
      </w:pPr>
      <w:r>
        <w:rPr>
          <w:rFonts w:ascii="Times New Roman" w:cs="Times New Roman" w:eastAsia="Times New Roman" w:hAnsi="Times New Roman"/>
          <w:sz w:val="14"/>
          <w:szCs w:val="14"/>
          <w:color w:val="auto"/>
        </w:rPr>
        <w:t>On January 1, 2022, the Company completed an internal legal entity reorganization that resulted in changes to the subsidiaries and operating divisions serving as guarantors under the Company's US Notes and Senior Credit Facility. As such, certain prior year amounts have been reclassified, where necessary, to conform to the current year presentation in line with the legal reorganization. Refer to Exhibit 22.1 for the updated list of guarantor subsidiaries.</w:t>
      </w:r>
    </w:p>
    <w:p>
      <w:pPr>
        <w:spacing w:after="0" w:line="51"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the parent and the guarantor subsidiaries on a combined basis for the Company's US Notes and Senior Credit Facility.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Income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27"/>
        </w:trPr>
        <w:tc>
          <w:tcPr>
            <w:tcW w:w="5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w:t>
            </w:r>
          </w:p>
        </w:tc>
      </w:t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Guarantor Subsidiaries</w:t>
            </w:r>
          </w:p>
        </w:tc>
      </w:tr>
      <w:tr>
        <w:trPr>
          <w:trHeight w:val="125"/>
        </w:trPr>
        <w:tc>
          <w:tcPr>
            <w:tcW w:w="52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Six Months Ended June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r>
      <w:tr>
        <w:trPr>
          <w:trHeight w:val="184"/>
        </w:trPr>
        <w:tc>
          <w:tcPr>
            <w:tcW w:w="2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1"/>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371"/>
        </w:trPr>
        <w:tc>
          <w:tcPr>
            <w:tcW w:w="20" w:type="dxa"/>
            <w:vAlign w:val="bottom"/>
          </w:tcPr>
          <w:p>
            <w:pPr>
              <w:spacing w:after="0"/>
              <w:rPr>
                <w:sz w:val="24"/>
                <w:szCs w:val="24"/>
                <w:color w:val="auto"/>
              </w:rPr>
            </w:pPr>
          </w:p>
        </w:tc>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Summarized Balance Sheet</w:t>
            </w: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76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80" w:type="dxa"/>
            <w:vAlign w:val="bottom"/>
            <w:gridSpan w:val="4"/>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 and Guarantor Subsidiaries</w:t>
            </w:r>
          </w:p>
        </w:tc>
      </w:tr>
      <w:tr>
        <w:trPr>
          <w:trHeight w:val="13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440" w:type="dxa"/>
            <w:vAlign w:val="bottom"/>
          </w:tcPr>
          <w:p>
            <w:pPr>
              <w:spacing w:after="0"/>
              <w:rPr>
                <w:sz w:val="11"/>
                <w:szCs w:val="11"/>
                <w:color w:val="auto"/>
              </w:rPr>
            </w:pPr>
          </w:p>
        </w:tc>
        <w:tc>
          <w:tcPr>
            <w:tcW w:w="17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29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9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9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96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70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6" w:name="page37"/>
    <w:bookmarkEnd w:id="36"/>
    <w:p>
      <w:pPr>
        <w:ind w:left="380"/>
        <w:spacing w:after="0"/>
        <w:rPr>
          <w:sz w:val="20"/>
          <w:szCs w:val="20"/>
          <w:color w:val="auto"/>
        </w:rPr>
      </w:pPr>
      <w:r>
        <w:rPr>
          <w:rFonts w:ascii="Times New Roman" w:cs="Times New Roman" w:eastAsia="Times New Roman" w:hAnsi="Times New Roman"/>
          <w:sz w:val="14"/>
          <w:szCs w:val="14"/>
          <w:color w:val="auto"/>
        </w:rPr>
        <w:t>The following is a description of the transactions between the combined Westinghouse Air Brake Technologies Corp. and guarantor subsidiaries with non-guarantor subsidiaries.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27"/>
        </w:trPr>
        <w:tc>
          <w:tcPr>
            <w:tcW w:w="5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w:t>
            </w:r>
          </w:p>
        </w:tc>
      </w:t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Guarantor Subsidiaries</w:t>
            </w:r>
          </w:p>
        </w:tc>
      </w:tr>
      <w:tr>
        <w:trPr>
          <w:trHeight w:val="125"/>
        </w:trPr>
        <w:tc>
          <w:tcPr>
            <w:tcW w:w="52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0"/>
                <w:szCs w:val="10"/>
                <w:color w:val="auto"/>
              </w:rPr>
            </w:pPr>
          </w:p>
        </w:tc>
        <w:tc>
          <w:tcPr>
            <w:tcW w:w="22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Six Months Ended June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 to non-guarantor subsidiaries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r>
        <w:trPr>
          <w:trHeight w:val="184"/>
        </w:trPr>
        <w:tc>
          <w:tcPr>
            <w:tcW w:w="20" w:type="dxa"/>
            <w:vAlign w:val="bottom"/>
          </w:tcPr>
          <w:p>
            <w:pPr>
              <w:spacing w:after="0"/>
              <w:rPr>
                <w:sz w:val="16"/>
                <w:szCs w:val="16"/>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non-guarantor subsidiaries</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2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2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Westinghouse Air Brake Technologies Corp.</w:t>
            </w: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and Guarantor Subsidiaries</w:t>
            </w:r>
          </w:p>
        </w:tc>
      </w:tr>
      <w:tr>
        <w:trPr>
          <w:trHeight w:val="125"/>
        </w:trPr>
        <w:tc>
          <w:tcPr>
            <w:tcW w:w="20" w:type="dxa"/>
            <w:vAlign w:val="bottom"/>
          </w:tcPr>
          <w:p>
            <w:pPr>
              <w:spacing w:after="0"/>
              <w:rPr>
                <w:sz w:val="10"/>
                <w:szCs w:val="10"/>
                <w:color w:val="auto"/>
              </w:rPr>
            </w:pPr>
          </w:p>
        </w:tc>
        <w:tc>
          <w:tcPr>
            <w:tcW w:w="906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60" w:type="dxa"/>
            <w:vAlign w:val="bottom"/>
          </w:tcPr>
          <w:p>
            <w:pPr>
              <w:spacing w:after="0"/>
              <w:rPr>
                <w:sz w:val="10"/>
                <w:szCs w:val="10"/>
                <w:color w:val="auto"/>
              </w:rPr>
            </w:pPr>
          </w:p>
        </w:tc>
        <w:tc>
          <w:tcPr>
            <w:tcW w:w="1940" w:type="dxa"/>
            <w:vAlign w:val="bottom"/>
          </w:tcPr>
          <w:p>
            <w:pPr>
              <w:jc w:val="center"/>
              <w:ind w:right="176"/>
              <w:spacing w:after="0" w:line="125" w:lineRule="exact"/>
              <w:rPr>
                <w:sz w:val="20"/>
                <w:szCs w:val="20"/>
                <w:color w:val="auto"/>
              </w:rPr>
            </w:pPr>
            <w:r>
              <w:rPr>
                <w:rFonts w:ascii="Times New Roman" w:cs="Times New Roman" w:eastAsia="Times New Roman" w:hAnsi="Times New Roman"/>
                <w:sz w:val="11"/>
                <w:szCs w:val="11"/>
                <w:b w:val="1"/>
                <w:bCs w:val="1"/>
                <w:color w:val="auto"/>
              </w:rPr>
              <w:t>June 30,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from/(to) non-guarantor subsidiaries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Summarized Financial Information—Euro Notes</w:t>
      </w:r>
    </w:p>
    <w:p>
      <w:pPr>
        <w:spacing w:after="0" w:line="85" w:lineRule="exact"/>
        <w:rPr>
          <w:sz w:val="20"/>
          <w:szCs w:val="20"/>
          <w:color w:val="auto"/>
        </w:rPr>
      </w:pPr>
    </w:p>
    <w:p>
      <w:pPr>
        <w:jc w:val="both"/>
        <w:ind w:right="80" w:firstLine="382"/>
        <w:spacing w:after="0" w:line="239" w:lineRule="auto"/>
        <w:rPr>
          <w:sz w:val="20"/>
          <w:szCs w:val="20"/>
          <w:color w:val="auto"/>
        </w:rPr>
      </w:pPr>
      <w:r>
        <w:rPr>
          <w:rFonts w:ascii="Times New Roman" w:cs="Times New Roman" w:eastAsia="Times New Roman" w:hAnsi="Times New Roman"/>
          <w:sz w:val="14"/>
          <w:szCs w:val="14"/>
          <w:color w:val="auto"/>
        </w:rPr>
        <w:t>The obligations under Wabtec Netherlands’ Euro Notes are fully and unconditionally guaranteed by the Company. Wabtec Netherlands is a wholly-owned, indirect subsidiary of the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50" w:lineRule="exact"/>
        <w:rPr>
          <w:sz w:val="20"/>
          <w:szCs w:val="20"/>
          <w:color w:val="auto"/>
        </w:rPr>
      </w:pPr>
    </w:p>
    <w:p>
      <w:pPr>
        <w:ind w:right="20" w:firstLine="382"/>
        <w:spacing w:after="0" w:line="271" w:lineRule="auto"/>
        <w:rPr>
          <w:sz w:val="20"/>
          <w:szCs w:val="20"/>
          <w:color w:val="auto"/>
        </w:rPr>
      </w:pPr>
      <w:r>
        <w:rPr>
          <w:rFonts w:ascii="Times New Roman" w:cs="Times New Roman" w:eastAsia="Times New Roman" w:hAnsi="Times New Roman"/>
          <w:sz w:val="14"/>
          <w:szCs w:val="14"/>
          <w:color w:val="auto"/>
        </w:rPr>
        <w:t>On January 1, 2022, the Company completed an internal legal entity reorganization that resulted in changes to the operating divisions serving as the parent guarantor under the Company's Euro Notes. As such, certain prior year amounts have been reclassified, where necessary, to conform to the current year presentation in line with the legal reorganization.</w:t>
      </w:r>
    </w:p>
    <w:p>
      <w:pPr>
        <w:spacing w:after="0" w:line="29" w:lineRule="exact"/>
        <w:rPr>
          <w:sz w:val="20"/>
          <w:szCs w:val="20"/>
          <w:color w:val="auto"/>
        </w:rPr>
      </w:pPr>
    </w:p>
    <w:p>
      <w:pPr>
        <w:ind w:right="140" w:firstLine="382"/>
        <w:spacing w:after="0" w:line="238" w:lineRule="auto"/>
        <w:rPr>
          <w:sz w:val="20"/>
          <w:szCs w:val="20"/>
          <w:color w:val="auto"/>
        </w:rPr>
      </w:pPr>
      <w:r>
        <w:rPr>
          <w:rFonts w:ascii="Times New Roman" w:cs="Times New Roman" w:eastAsia="Times New Roman" w:hAnsi="Times New Roman"/>
          <w:sz w:val="14"/>
          <w:szCs w:val="14"/>
          <w:color w:val="auto"/>
        </w:rPr>
        <w:t>The following tables present summarized financial information of Wabtec Netherlands, as the Issuer of the Euro Notes, and the Company, as the parent Guarantor, on a combined basis. The combined summarized financial information eliminates all intercompany balances and transactions among Wabtec Netherlands and the Company as well as all equity in earnings from and investments in any subsidiary of the Company, other than Wabtec Netherlands, which we refer to below as the Non-Issuer and Non-Guarantor Subsidiaries. The summarized financial information is provided in accordance with the reporting requirements of Rule 13-01 under SEC Regulation S-X for the issuer and parent guarantor.</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Income</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 June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84"/>
        </w:trPr>
        <w:tc>
          <w:tcPr>
            <w:tcW w:w="2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1"/>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371"/>
        </w:trPr>
        <w:tc>
          <w:tcPr>
            <w:tcW w:w="20" w:type="dxa"/>
            <w:vAlign w:val="bottom"/>
          </w:tcPr>
          <w:p>
            <w:pPr>
              <w:spacing w:after="0"/>
              <w:rPr>
                <w:sz w:val="24"/>
                <w:szCs w:val="24"/>
                <w:color w:val="auto"/>
              </w:rPr>
            </w:pPr>
          </w:p>
        </w:tc>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Summarized Balance Sheet</w:t>
            </w: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62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Issuer and Guarantor</w:t>
            </w:r>
          </w:p>
        </w:tc>
        <w:tc>
          <w:tcPr>
            <w:tcW w:w="1620" w:type="dxa"/>
            <w:vAlign w:val="bottom"/>
          </w:tcPr>
          <w:p>
            <w:pPr>
              <w:spacing w:after="0"/>
              <w:rPr>
                <w:sz w:val="13"/>
                <w:szCs w:val="13"/>
                <w:color w:val="auto"/>
              </w:rPr>
            </w:pPr>
          </w:p>
        </w:tc>
      </w:tr>
      <w:tr>
        <w:trPr>
          <w:trHeight w:val="13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2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580" w:type="dxa"/>
            <w:vAlign w:val="bottom"/>
          </w:tcPr>
          <w:p>
            <w:pPr>
              <w:spacing w:after="0"/>
              <w:rPr>
                <w:sz w:val="11"/>
                <w:szCs w:val="11"/>
                <w:color w:val="auto"/>
              </w:rPr>
            </w:pPr>
          </w:p>
        </w:tc>
        <w:tc>
          <w:tcPr>
            <w:tcW w:w="162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6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1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10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1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80" w:type="dxa"/>
            <w:vAlign w:val="bottom"/>
          </w:tcPr>
          <w:p>
            <w:pPr>
              <w:spacing w:after="0"/>
              <w:rPr>
                <w:sz w:val="15"/>
                <w:szCs w:val="15"/>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10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70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37</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7" w:name="page38"/>
    <w:bookmarkEnd w:id="37"/>
    <w:p>
      <w:pPr>
        <w:ind w:right="40" w:firstLine="382"/>
        <w:spacing w:after="0" w:line="255" w:lineRule="auto"/>
        <w:rPr>
          <w:sz w:val="20"/>
          <w:szCs w:val="20"/>
          <w:color w:val="auto"/>
        </w:rPr>
      </w:pPr>
      <w:r>
        <w:rPr>
          <w:rFonts w:ascii="Times New Roman" w:cs="Times New Roman" w:eastAsia="Times New Roman" w:hAnsi="Times New Roman"/>
          <w:sz w:val="14"/>
          <w:szCs w:val="14"/>
          <w:color w:val="auto"/>
        </w:rPr>
        <w:t>The following is a description of the transactions between the combined Westinghouse Air Brake Technologies Corp. and Wabtec Netherlands, with the subsidiaries of Westinghouse Air Brake Technologies Corp., other than Wabtec Netherlands, none of which are guarantors of the Euro Notes.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8540" w:type="dxa"/>
            <w:vAlign w:val="bottom"/>
          </w:tcPr>
          <w:p>
            <w:pPr>
              <w:spacing w:after="0"/>
              <w:rPr>
                <w:sz w:val="11"/>
                <w:szCs w:val="11"/>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 June 30, 2022</w:t>
            </w:r>
          </w:p>
        </w:tc>
      </w:tr>
      <w:tr>
        <w:trPr>
          <w:trHeight w:val="22"/>
        </w:trPr>
        <w:tc>
          <w:tcPr>
            <w:tcW w:w="5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21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 to non-guarantor subsidiaries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4"/>
        </w:trPr>
        <w:tc>
          <w:tcPr>
            <w:tcW w:w="20" w:type="dxa"/>
            <w:vAlign w:val="bottom"/>
          </w:tcPr>
          <w:p>
            <w:pPr>
              <w:spacing w:after="0"/>
              <w:rPr>
                <w:sz w:val="16"/>
                <w:szCs w:val="16"/>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from non-guarantor subsidiaries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Unaudited</w:t>
            </w:r>
          </w:p>
        </w:tc>
      </w:tr>
      <w:tr>
        <w:trPr>
          <w:trHeight w:val="15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Issuer and Guarantor</w:t>
            </w:r>
          </w:p>
        </w:tc>
      </w:tr>
      <w:tr>
        <w:trPr>
          <w:trHeight w:val="136"/>
        </w:trPr>
        <w:tc>
          <w:tcPr>
            <w:tcW w:w="20" w:type="dxa"/>
            <w:vAlign w:val="bottom"/>
          </w:tcPr>
          <w:p>
            <w:pPr>
              <w:spacing w:after="0"/>
              <w:rPr>
                <w:sz w:val="11"/>
                <w:szCs w:val="11"/>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Pr>
          <w:p>
            <w:pPr>
              <w:spacing w:after="0"/>
              <w:rPr>
                <w:sz w:val="11"/>
                <w:szCs w:val="11"/>
                <w:color w:val="auto"/>
              </w:rPr>
            </w:pPr>
          </w:p>
        </w:tc>
        <w:tc>
          <w:tcPr>
            <w:tcW w:w="1860" w:type="dxa"/>
            <w:vAlign w:val="bottom"/>
          </w:tcPr>
          <w:p>
            <w:pPr>
              <w:jc w:val="center"/>
              <w:ind w:right="256"/>
              <w:spacing w:after="0"/>
              <w:rPr>
                <w:sz w:val="20"/>
                <w:szCs w:val="20"/>
                <w:color w:val="auto"/>
              </w:rPr>
            </w:pPr>
            <w:r>
              <w:rPr>
                <w:rFonts w:ascii="Times New Roman" w:cs="Times New Roman" w:eastAsia="Times New Roman" w:hAnsi="Times New Roman"/>
                <w:sz w:val="11"/>
                <w:szCs w:val="11"/>
                <w:b w:val="1"/>
                <w:bCs w:val="1"/>
                <w:color w:val="auto"/>
              </w:rPr>
              <w:t>June 30,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8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 due from/(to) non-guarantor subsidiaries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(8,344)</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Stock Repurchase Plan</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On February 10, 2022, the Board of Directors increased its stock repurchase authorization to increase the amount available for stock repurchases to $750 million of the Company’s outstanding shares. This new stock repurchase authorization superseded the previous authorization of $500 million of which approximately $155 million remained.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96" w:lineRule="exact"/>
        <w:rPr>
          <w:sz w:val="20"/>
          <w:szCs w:val="20"/>
          <w:color w:val="auto"/>
        </w:rPr>
      </w:pPr>
    </w:p>
    <w:p>
      <w:pPr>
        <w:ind w:right="60" w:firstLine="382"/>
        <w:spacing w:after="0" w:line="270" w:lineRule="auto"/>
        <w:rPr>
          <w:sz w:val="20"/>
          <w:szCs w:val="20"/>
          <w:color w:val="auto"/>
        </w:rPr>
      </w:pPr>
      <w:r>
        <w:rPr>
          <w:rFonts w:ascii="Times New Roman" w:cs="Times New Roman" w:eastAsia="Times New Roman" w:hAnsi="Times New Roman"/>
          <w:sz w:val="14"/>
          <w:szCs w:val="14"/>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These forward-looking statements are subject to various risks, uncertainties and assumptions about us, including, among other things: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and industry conditions</w:t>
      </w:r>
    </w:p>
    <w:p>
      <w:pPr>
        <w:spacing w:after="0" w:line="53" w:lineRule="exact"/>
        <w:rPr>
          <w:sz w:val="20"/>
          <w:szCs w:val="20"/>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prolonged unfavorable economic and industry conditions in the markets served by us, including North America, South America, Europe, Australia, Asia and Africa;</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in demand for freight cars, locomotives, passenger transit cars, buses and related products and services;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major original equipment manufacturer customers;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equipment manufacturers’ program delays;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services in the freight and passenger rail industry;</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our products and services;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either being delayed, canceled, not returning to historical levels, or reduced or any combination of the foregoing;</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consolidations in the rail industry;</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outsourcing by our customers;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demand for faster and more efficient braking equipment;</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rates and foreign currency exchange rates;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credit; or</w:t>
      </w:r>
    </w:p>
    <w:p>
      <w:pPr>
        <w:spacing w:after="0" w:line="51" w:lineRule="exact"/>
        <w:rPr>
          <w:rFonts w:ascii="Times New Roman" w:cs="Times New Roman" w:eastAsia="Times New Roman" w:hAnsi="Times New Roman"/>
          <w:sz w:val="14"/>
          <w:szCs w:val="14"/>
          <w:color w:val="auto"/>
        </w:rPr>
      </w:pPr>
    </w:p>
    <w:p>
      <w:pPr>
        <w:ind w:left="480" w:right="300" w:hanging="252"/>
        <w:spacing w:after="0" w:line="283" w:lineRule="auto"/>
        <w:tabs>
          <w:tab w:leader="none" w:pos="4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rPr>
          <w:sz w:val="20"/>
          <w:szCs w:val="20"/>
          <w:color w:val="auto"/>
        </w:rPr>
      </w:pPr>
      <w:r>
        <w:rPr>
          <w:rFonts w:ascii="Times New Roman" w:cs="Times New Roman" w:eastAsia="Times New Roman" w:hAnsi="Times New Roman"/>
          <w:sz w:val="14"/>
          <w:szCs w:val="14"/>
          <w:b w:val="1"/>
          <w:bCs w:val="1"/>
          <w:color w:val="auto"/>
        </w:rPr>
        <w:t>Operating factors</w:t>
      </w:r>
    </w:p>
    <w:p>
      <w:pPr>
        <w:spacing w:after="0" w:line="53" w:lineRule="exact"/>
        <w:rPr>
          <w:sz w:val="20"/>
          <w:szCs w:val="20"/>
          <w:color w:val="auto"/>
        </w:rPr>
      </w:pPr>
    </w:p>
    <w:p>
      <w:pPr>
        <w:ind w:left="480" w:hanging="25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disruptions;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38" w:name="page39"/>
    <w:bookmarkEnd w:id="38"/>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difficulties;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conditions and costs;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raw material costs;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introduction of new products;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under material long-term contracts;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availability and relations;</w:t>
      </w:r>
    </w:p>
    <w:p>
      <w:pPr>
        <w:spacing w:after="0" w:line="51" w:lineRule="exact"/>
        <w:rPr>
          <w:rFonts w:ascii="Times New Roman" w:cs="Times New Roman" w:eastAsia="Times New Roman" w:hAnsi="Times New Roman"/>
          <w:sz w:val="14"/>
          <w:szCs w:val="14"/>
          <w:color w:val="auto"/>
        </w:rPr>
      </w:pPr>
    </w:p>
    <w:p>
      <w:pPr>
        <w:ind w:left="480" w:right="180" w:hanging="252"/>
        <w:spacing w:after="0" w:line="284" w:lineRule="auto"/>
        <w:tabs>
          <w:tab w:leader="none" w:pos="4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and integration of acquisitions;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use of new technology;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and data protection risks;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factors</w:t>
      </w:r>
    </w:p>
    <w:p>
      <w:pPr>
        <w:spacing w:after="0" w:line="53" w:lineRule="exact"/>
        <w:rPr>
          <w:sz w:val="20"/>
          <w:szCs w:val="20"/>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actions of competitors;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negotiations with partners, suppliers, customers or others;</w:t>
      </w:r>
    </w:p>
    <w:p>
      <w:pPr>
        <w:spacing w:after="0" w:line="4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Political/governmental factors</w:t>
      </w:r>
    </w:p>
    <w:p>
      <w:pPr>
        <w:spacing w:after="0" w:line="53"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stability in relevant areas of the world, including the impacts of war and conflicts;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regulation/deregulation of our customers and/or the rail industry;</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governmental funding on transit projects, including for some of our customers;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developments and laws and regulations, including those related to Positive Train Control;</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income tax legislation;</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imposed on countries and persons;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negotiations with governments;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COVID-19 factors</w:t>
      </w:r>
    </w:p>
    <w:p>
      <w:pPr>
        <w:spacing w:after="0" w:line="53" w:lineRule="exact"/>
        <w:rPr>
          <w:sz w:val="20"/>
          <w:szCs w:val="20"/>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and duration of the pandemic;</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of general economic conditions;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shutdown of one or more of our operating facilities;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and sourcing disruptions;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of our customers to pay timely for goods and services delivered;</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of our employees;</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retain and recruit talented employees; or</w:t>
      </w:r>
    </w:p>
    <w:p>
      <w:pPr>
        <w:spacing w:after="0" w:line="51" w:lineRule="exact"/>
        <w:rPr>
          <w:rFonts w:ascii="Times New Roman" w:cs="Times New Roman" w:eastAsia="Times New Roman" w:hAnsi="Times New Roman"/>
          <w:sz w:val="14"/>
          <w:szCs w:val="14"/>
          <w:color w:val="auto"/>
        </w:rPr>
      </w:pPr>
    </w:p>
    <w:p>
      <w:pPr>
        <w:ind w:left="480" w:hanging="25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obtaining debt or equity financing;</w:t>
      </w:r>
    </w:p>
    <w:p>
      <w:pPr>
        <w:spacing w:after="0" w:line="94" w:lineRule="exact"/>
        <w:rPr>
          <w:sz w:val="20"/>
          <w:szCs w:val="20"/>
          <w:color w:val="auto"/>
        </w:rPr>
      </w:pPr>
    </w:p>
    <w:p>
      <w:pPr>
        <w:ind w:firstLine="382"/>
        <w:spacing w:after="0" w:line="270" w:lineRule="auto"/>
        <w:rPr>
          <w:sz w:val="20"/>
          <w:szCs w:val="20"/>
          <w:color w:val="auto"/>
        </w:rPr>
      </w:pPr>
      <w:r>
        <w:rPr>
          <w:rFonts w:ascii="Times New Roman" w:cs="Times New Roman" w:eastAsia="Times New Roman" w:hAnsi="Times New Roman"/>
          <w:sz w:val="14"/>
          <w:szCs w:val="14"/>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2021 and the risk factor added in Part II, Item 1A of this report on Form 10-Q.</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A summary of critical accounting estimates is included in the Company’s Annual Report on Form 10-K for the year ended December 31, 2021. In particular, judgment is used in areas such as accounts receivable and the allowance for doubtful accounts, inventories, goodwill and indefinite-lived intangibles, business combinations, warranty reserves, stock-based compensation, income taxes, and revenue recognition. There have been no significant changes in the related accounting policies since December 31, 2021.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96"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During the second quarter of 2022, the Company redeemed $25 million of principal from the 2024 Notes plus a premium and the related accrued interest. As a result, as of June 30, 2022, contractual obligations related to the repayment of Long-term debt for 2023-2024 were reduced from $1,012 million to $987 million.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9" w:name="page40"/>
    <w:bookmarkEnd w:id="39"/>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96" w:lineRule="exact"/>
        <w:rPr>
          <w:sz w:val="20"/>
          <w:szCs w:val="20"/>
          <w:color w:val="auto"/>
        </w:rPr>
      </w:pPr>
    </w:p>
    <w:p>
      <w:pPr>
        <w:ind w:right="180" w:firstLine="382"/>
        <w:spacing w:after="0" w:line="270" w:lineRule="auto"/>
        <w:rPr>
          <w:sz w:val="20"/>
          <w:szCs w:val="20"/>
          <w:color w:val="auto"/>
        </w:rPr>
      </w:pPr>
      <w:r>
        <w:rPr>
          <w:rFonts w:ascii="Times New Roman" w:cs="Times New Roman" w:eastAsia="Times New Roman" w:hAnsi="Times New Roman"/>
          <w:sz w:val="14"/>
          <w:szCs w:val="14"/>
          <w:color w:val="auto"/>
        </w:rPr>
        <w:t>See "Quantitative and Qualitative Disclosures About Market Risk" in Item 7A of Part II of our Annual Report on Form 10-K for the year ended December 31, 2021. Our exposure to market risk has not changed materially since December 31, 2021. Refer to Note 13 - Fair Value Measurement and Derivative Instruments of "Notes to Condensed Consolidated Financial Statements" included in Part I, Item 1 of this report for additional information regarding interest rate and foreign currency exchange risk.</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9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4"/>
          <w:szCs w:val="14"/>
          <w:color w:val="auto"/>
        </w:rPr>
        <w:t>Wabtec’s principal executive officer and its principal financial officer have evaluated the effectiveness of Wabtec’s “disclosure controls and procedures,” (as defined in Exchange Act Rule 13a-15(e)) as of June 30, 2022.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64"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There was no change in Wabtec’s “internal control over financial reporting” (as defined in Rule 13a-15(f) under the Exchange Act) that occurred during the quarter ended June 30, 2022, that has materially affected, or is reasonably likely to materially affect, Wabtec’s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Additional information with respect to legal proceedings is included in Note 14 of “Notes to Condensed Consolidated Financial Statements” included in Part I, Item 1 of this report.</w:t>
      </w:r>
    </w:p>
    <w:p>
      <w:pPr>
        <w:spacing w:after="0" w:line="28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96"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In response to the Russian invasion of Ukraine and the impact of the conflict on the Company and the global markets, the Company is providing the below additional risk factor. Other than the below, there have been no material changes in our risk factors from those disclosed in our Annual Report on Form 10-K for the year ended December 31, 2021.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ongoing conflict between Russia and Ukraine may adversely affect our business and results of operations.</w:t>
      </w:r>
    </w:p>
    <w:p>
      <w:pPr>
        <w:spacing w:after="0" w:line="96" w:lineRule="exact"/>
        <w:rPr>
          <w:sz w:val="20"/>
          <w:szCs w:val="20"/>
          <w:color w:val="auto"/>
        </w:rPr>
      </w:pPr>
    </w:p>
    <w:p>
      <w:pPr>
        <w:ind w:right="20" w:firstLine="382"/>
        <w:spacing w:after="0" w:line="249" w:lineRule="auto"/>
        <w:rPr>
          <w:sz w:val="20"/>
          <w:szCs w:val="20"/>
          <w:color w:val="auto"/>
        </w:rPr>
      </w:pPr>
      <w:r>
        <w:rPr>
          <w:rFonts w:ascii="Times New Roman" w:cs="Times New Roman" w:eastAsia="Times New Roman" w:hAnsi="Times New Roman"/>
          <w:sz w:val="14"/>
          <w:szCs w:val="14"/>
          <w:color w:val="auto"/>
        </w:rPr>
        <w:t>Given the nature of our business and our global operations, political, economic, and other conditions in foreign countries and regions, including geopolitical risks such as those arising from the current conflict between Russia and Ukraine, may adversely affect our business and results of operations. The broader consequences of this conflict, which may include further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67" w:lineRule="exact"/>
        <w:rPr>
          <w:sz w:val="20"/>
          <w:szCs w:val="20"/>
          <w:color w:val="auto"/>
        </w:rPr>
      </w:pPr>
    </w:p>
    <w:p>
      <w:pPr>
        <w:ind w:right="140" w:firstLine="382"/>
        <w:spacing w:after="0" w:line="254" w:lineRule="auto"/>
        <w:rPr>
          <w:sz w:val="20"/>
          <w:szCs w:val="20"/>
          <w:color w:val="auto"/>
        </w:rPr>
      </w:pPr>
      <w:r>
        <w:rPr>
          <w:rFonts w:ascii="Times New Roman" w:cs="Times New Roman" w:eastAsia="Times New Roman" w:hAnsi="Times New Roman"/>
          <w:sz w:val="14"/>
          <w:szCs w:val="14"/>
          <w:color w:val="auto"/>
        </w:rPr>
        <w:t>Additionally, Wabtec has operations and a strategic joint venture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62" w:lineRule="exact"/>
        <w:rPr>
          <w:sz w:val="20"/>
          <w:szCs w:val="20"/>
          <w:color w:val="auto"/>
        </w:rPr>
      </w:pPr>
    </w:p>
    <w:p>
      <w:pPr>
        <w:ind w:firstLine="382"/>
        <w:spacing w:after="0" w:line="249" w:lineRule="auto"/>
        <w:rPr>
          <w:sz w:val="20"/>
          <w:szCs w:val="20"/>
          <w:color w:val="auto"/>
        </w:rPr>
      </w:pPr>
      <w:r>
        <w:rPr>
          <w:rFonts w:ascii="Times New Roman" w:cs="Times New Roman" w:eastAsia="Times New Roman" w:hAnsi="Times New Roman"/>
          <w:sz w:val="14"/>
          <w:szCs w:val="14"/>
          <w:color w:val="auto"/>
        </w:rPr>
        <w:t>To the extent the current conflict between Russia and Ukraine adversely affects our business, particularly in Russia and Kazakhstan, it may also have the effect of heightening many other risks disclosed in our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16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stock repurchase activity for the three months ended June 30, 2022:</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Common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0" w:type="dxa"/>
            <w:vAlign w:val="bottom"/>
            <w:tcBorders>
              <w:top w:val="single" w:sz="8" w:color="auto"/>
            </w:tcBorders>
          </w:tcPr>
          <w:p>
            <w:pPr>
              <w:spacing w:after="0"/>
              <w:rPr>
                <w:sz w:val="8"/>
                <w:szCs w:val="8"/>
                <w:color w:val="auto"/>
              </w:rPr>
            </w:pPr>
          </w:p>
        </w:tc>
        <w:tc>
          <w:tcPr>
            <w:tcW w:w="2120" w:type="dxa"/>
            <w:vAlign w:val="bottom"/>
            <w:tcBorders>
              <w:top w:val="single" w:sz="8" w:color="auto"/>
            </w:tcBorders>
          </w:tcPr>
          <w:p>
            <w:pPr>
              <w:spacing w:after="0"/>
              <w:rPr>
                <w:sz w:val="8"/>
                <w:szCs w:val="8"/>
                <w:color w:val="auto"/>
              </w:rPr>
            </w:pPr>
          </w:p>
        </w:tc>
        <w:tc>
          <w:tcPr>
            <w:tcW w:w="2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rPr>
              <w:t>Average Price Paid per</w:t>
            </w:r>
          </w:p>
        </w:tc>
        <w:tc>
          <w:tcPr>
            <w:tcW w:w="1680" w:type="dxa"/>
            <w:vAlign w:val="bottom"/>
            <w:tcBorders>
              <w:top w:val="single" w:sz="8" w:color="auto"/>
            </w:tcBorders>
            <w:gridSpan w:val="2"/>
          </w:tcPr>
          <w:p>
            <w:pPr>
              <w:jc w:val="center"/>
              <w:ind w:right="100"/>
              <w:spacing w:after="0" w:line="101" w:lineRule="exact"/>
              <w:rPr>
                <w:sz w:val="20"/>
                <w:szCs w:val="20"/>
                <w:color w:val="auto"/>
              </w:rPr>
            </w:pPr>
            <w:r>
              <w:rPr>
                <w:rFonts w:ascii="Times New Roman" w:cs="Times New Roman" w:eastAsia="Times New Roman" w:hAnsi="Times New Roman"/>
                <w:sz w:val="11"/>
                <w:szCs w:val="11"/>
                <w:color w:val="auto"/>
              </w:rPr>
              <w:t>Total Number of Shares</w:t>
            </w:r>
          </w:p>
        </w:tc>
        <w:tc>
          <w:tcPr>
            <w:tcW w:w="16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color w:val="auto"/>
              </w:rPr>
              <w:t>Maximum Dollar Value of Shares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shares and price per share</w:t>
            </w: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Total Number of Shares Purchased</w:t>
            </w: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6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color w:val="auto"/>
              </w:rPr>
              <w:t>Purchased as Part of Publicly</w:t>
            </w:r>
          </w:p>
        </w:tc>
        <w:tc>
          <w:tcPr>
            <w:tcW w:w="166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color w:val="auto"/>
              </w:rPr>
              <w:t>That May Yet Be Purchased Under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20" w:type="dxa"/>
            <w:vAlign w:val="bottom"/>
            <w:gridSpan w:val="3"/>
            <w:vMerge w:val="continue"/>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color w:val="auto"/>
              </w:rPr>
              <w:t>Share</w:t>
            </w:r>
          </w:p>
        </w:tc>
        <w:tc>
          <w:tcPr>
            <w:tcW w:w="168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10"/>
                <w:szCs w:val="10"/>
                <w:color w:val="auto"/>
              </w:rPr>
              <w:t>Announced Programs (1)</w:t>
            </w:r>
          </w:p>
        </w:tc>
        <w:tc>
          <w:tcPr>
            <w:tcW w:w="260" w:type="dxa"/>
            <w:vAlign w:val="bottom"/>
          </w:tcPr>
          <w:p>
            <w:pPr>
              <w:spacing w:after="0"/>
              <w:rPr>
                <w:sz w:val="9"/>
                <w:szCs w:val="9"/>
                <w:color w:val="auto"/>
              </w:rPr>
            </w:pPr>
          </w:p>
        </w:tc>
        <w:tc>
          <w:tcPr>
            <w:tcW w:w="1400" w:type="dxa"/>
            <w:vAlign w:val="bottom"/>
          </w:tcPr>
          <w:p>
            <w:pPr>
              <w:jc w:val="center"/>
              <w:ind w:right="213"/>
              <w:spacing w:after="0" w:line="93" w:lineRule="exact"/>
              <w:rPr>
                <w:sz w:val="20"/>
                <w:szCs w:val="20"/>
                <w:color w:val="auto"/>
              </w:rPr>
            </w:pPr>
            <w:r>
              <w:rPr>
                <w:rFonts w:ascii="Times New Roman" w:cs="Times New Roman" w:eastAsia="Times New Roman" w:hAnsi="Times New Roman"/>
                <w:sz w:val="10"/>
                <w:szCs w:val="10"/>
                <w:color w:val="auto"/>
              </w:rPr>
              <w:t>the Programs (1)</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2022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91.44</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May 2022</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391,100</w:t>
            </w:r>
          </w:p>
        </w:tc>
        <w:tc>
          <w:tcPr>
            <w:tcW w:w="10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377,600</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89.18</w:t>
            </w:r>
          </w:p>
        </w:tc>
        <w:tc>
          <w:tcPr>
            <w:tcW w:w="10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377,600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quarter ended June 30,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1,148,867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89.69</w:t>
            </w: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1,148,867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120" w:firstLine="5"/>
        <w:spacing w:after="0" w:line="261" w:lineRule="auto"/>
        <w:tabs>
          <w:tab w:leader="none" w:pos="30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the Board of Directors increased its stock repurchase authorization to increase the amount available for stock repurchases to $750 million of the Company’s outstanding shares. This new stock repurchase authorization superseded the previous authorization of $500 million, of which approximately $155 million remained at the reauthorization date.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80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55"/>
        </w:trPr>
        <w:tc>
          <w:tcPr>
            <w:tcW w:w="8640" w:type="dxa"/>
            <w:vAlign w:val="bottom"/>
            <w:gridSpan w:val="7"/>
          </w:tcPr>
          <w:p>
            <w:pPr>
              <w:ind w:left="380"/>
              <w:spacing w:after="0"/>
              <w:rPr>
                <w:sz w:val="20"/>
                <w:szCs w:val="20"/>
                <w:color w:val="auto"/>
              </w:rPr>
            </w:pPr>
            <w:r>
              <w:rPr>
                <w:rFonts w:ascii="Times New Roman" w:cs="Times New Roman" w:eastAsia="Times New Roman" w:hAnsi="Times New Roman"/>
                <w:sz w:val="14"/>
                <w:szCs w:val="14"/>
                <w:color w:val="auto"/>
              </w:rPr>
              <w:t>The following exhibits are being filed with this report:</w:t>
            </w:r>
          </w:p>
        </w:tc>
      </w:tr>
      <w:tr>
        <w:trPr>
          <w:trHeight w:val="255"/>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900" w:type="dxa"/>
            <w:vAlign w:val="bottom"/>
          </w:tcPr>
          <w:p>
            <w:pPr>
              <w:spacing w:after="0"/>
              <w:rPr>
                <w:sz w:val="22"/>
                <w:szCs w:val="22"/>
                <w:color w:val="auto"/>
              </w:rPr>
            </w:pPr>
          </w:p>
        </w:tc>
        <w:tc>
          <w:tcPr>
            <w:tcW w:w="7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Westinghouse Air Brake Technologies Corporation 2011 Stock Incentive Plan as amended and restated, as of March 31, 2022*</w:t>
            </w:r>
          </w:p>
        </w:tc>
      </w:tr>
      <w:tr>
        <w:trPr>
          <w:trHeight w:val="20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22.1</w:t>
            </w:r>
          </w:p>
        </w:tc>
        <w:tc>
          <w:tcPr>
            <w:tcW w:w="90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List of Subsidiary Guarantors</w:t>
            </w:r>
          </w:p>
        </w:tc>
      </w:tr>
      <w:tr>
        <w:trPr>
          <w:trHeight w:val="20"/>
        </w:trPr>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90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Rule 13a-14(a) Certification of Chief Executive Officer.</w:t>
            </w:r>
          </w:p>
        </w:tc>
      </w:tr>
      <w:tr>
        <w:trPr>
          <w:trHeight w:val="20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900" w:type="dxa"/>
            <w:vAlign w:val="bottom"/>
          </w:tcPr>
          <w:p>
            <w:pPr>
              <w:spacing w:after="0"/>
              <w:rPr>
                <w:sz w:val="17"/>
                <w:szCs w:val="17"/>
                <w:color w:val="auto"/>
              </w:rPr>
            </w:pPr>
          </w:p>
        </w:tc>
        <w:tc>
          <w:tcPr>
            <w:tcW w:w="3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Rule 13a-14(a) Certification of Chief Financial Officer.</w:t>
            </w:r>
          </w:p>
        </w:tc>
        <w:tc>
          <w:tcPr>
            <w:tcW w:w="4020" w:type="dxa"/>
            <w:vAlign w:val="bottom"/>
            <w:gridSpan w:val="2"/>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90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Section 1350 Certification of Chief Executive Officer and Chief Financial Officer.</w:t>
            </w:r>
          </w:p>
        </w:tc>
      </w:tr>
      <w:tr>
        <w:trPr>
          <w:trHeight w:val="234"/>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900" w:type="dxa"/>
            <w:vAlign w:val="bottom"/>
          </w:tcPr>
          <w:p>
            <w:pPr>
              <w:spacing w:after="0"/>
              <w:rPr>
                <w:sz w:val="20"/>
                <w:szCs w:val="20"/>
                <w:color w:val="auto"/>
              </w:rPr>
            </w:pPr>
          </w:p>
        </w:tc>
        <w:tc>
          <w:tcPr>
            <w:tcW w:w="46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540" w:type="dxa"/>
            <w:vAlign w:val="bottom"/>
          </w:tcPr>
          <w:p>
            <w:pPr>
              <w:spacing w:after="0"/>
              <w:rPr>
                <w:sz w:val="20"/>
                <w:szCs w:val="20"/>
                <w:color w:val="auto"/>
              </w:rPr>
            </w:pPr>
          </w:p>
        </w:tc>
      </w:t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900" w:type="dxa"/>
            <w:vAlign w:val="bottom"/>
          </w:tcPr>
          <w:p>
            <w:pPr>
              <w:spacing w:after="0"/>
              <w:rPr>
                <w:sz w:val="19"/>
                <w:szCs w:val="19"/>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101.CAL</w:t>
            </w:r>
          </w:p>
        </w:tc>
        <w:tc>
          <w:tcPr>
            <w:tcW w:w="900" w:type="dxa"/>
            <w:vAlign w:val="bottom"/>
          </w:tcPr>
          <w:p>
            <w:pPr>
              <w:spacing w:after="0"/>
              <w:rPr>
                <w:sz w:val="19"/>
                <w:szCs w:val="19"/>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900" w:type="dxa"/>
            <w:vAlign w:val="bottom"/>
          </w:tcPr>
          <w:p>
            <w:pPr>
              <w:spacing w:after="0"/>
              <w:rPr>
                <w:sz w:val="19"/>
                <w:szCs w:val="19"/>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101.LAB</w:t>
            </w:r>
          </w:p>
        </w:tc>
        <w:tc>
          <w:tcPr>
            <w:tcW w:w="900" w:type="dxa"/>
            <w:vAlign w:val="bottom"/>
          </w:tcPr>
          <w:p>
            <w:pPr>
              <w:spacing w:after="0"/>
              <w:rPr>
                <w:sz w:val="19"/>
                <w:szCs w:val="19"/>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23"/>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900" w:type="dxa"/>
            <w:vAlign w:val="bottom"/>
          </w:tcPr>
          <w:p>
            <w:pPr>
              <w:spacing w:after="0"/>
              <w:rPr>
                <w:sz w:val="19"/>
                <w:szCs w:val="19"/>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bl>
    <w:p>
      <w:pPr>
        <w:spacing w:after="0" w:line="39" w:lineRule="exact"/>
        <w:rPr>
          <w:sz w:val="20"/>
          <w:szCs w:val="20"/>
          <w:color w:val="auto"/>
        </w:rPr>
      </w:pPr>
    </w:p>
    <w:p>
      <w:pPr>
        <w:ind w:left="1460" w:hanging="1441"/>
        <w:spacing w:after="0"/>
        <w:tabs>
          <w:tab w:leader="none" w:pos="14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7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Compensatory plan</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50" w:right="1440" w:bottom="1440" w:gutter="0" w:footer="0" w:header="0"/>
        </w:sectPr>
      </w:pPr>
    </w:p>
    <w:bookmarkStart w:id="42" w:name="page43"/>
    <w:bookmarkEnd w:id="42"/>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thereunto duly authorized.</w:t>
      </w: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WESTINGHOUSE AIR BRAKE TECHNOLOGIES CORPORATION</w:t>
      </w:r>
    </w:p>
    <w:p>
      <w:pPr>
        <w:spacing w:after="0" w:line="62" w:lineRule="exact"/>
        <w:rPr>
          <w:sz w:val="20"/>
          <w:szCs w:val="20"/>
          <w:color w:val="auto"/>
        </w:rPr>
      </w:pPr>
    </w:p>
    <w:tbl>
      <w:tblPr>
        <w:tblLayout w:type="fixed"/>
        <w:tblInd w:w="56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JOHN A. OLIN</w:t>
            </w:r>
          </w:p>
        </w:tc>
      </w:tr>
      <w:tr>
        <w:trPr>
          <w:trHeight w:val="140"/>
        </w:trPr>
        <w:tc>
          <w:tcPr>
            <w:tcW w:w="76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18"/>
        </w:trPr>
        <w:tc>
          <w:tcPr>
            <w:tcW w:w="760" w:type="dxa"/>
            <w:vAlign w:val="bottom"/>
          </w:tcPr>
          <w:p>
            <w:pPr>
              <w:spacing w:after="0"/>
              <w:rPr>
                <w:sz w:val="10"/>
                <w:szCs w:val="10"/>
                <w:color w:val="auto"/>
              </w:rPr>
            </w:pPr>
          </w:p>
        </w:tc>
        <w:tc>
          <w:tcPr>
            <w:tcW w:w="45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Executive Vice President and</w:t>
            </w:r>
          </w:p>
        </w:tc>
      </w:tr>
      <w:tr>
        <w:trPr>
          <w:trHeight w:val="149"/>
        </w:trPr>
        <w:tc>
          <w:tcPr>
            <w:tcW w:w="760" w:type="dxa"/>
            <w:vAlign w:val="bottom"/>
          </w:tcPr>
          <w:p>
            <w:pPr>
              <w:spacing w:after="0"/>
              <w:rPr>
                <w:sz w:val="12"/>
                <w:szCs w:val="12"/>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Financial Officer</w:t>
            </w:r>
          </w:p>
        </w:tc>
      </w:tr>
      <w:tr>
        <w:trPr>
          <w:trHeight w:val="3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(Duly Authorized Officer and Principal Financial Officer)</w:t>
            </w:r>
          </w:p>
        </w:tc>
      </w:tr>
      <w:tr>
        <w:trPr>
          <w:trHeight w:val="38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August 5, 2022</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900"/>
          </w:cols>
          <w:pgMar w:left="680" w:top="759" w:right="319" w:bottom="144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6"/>
          <w:szCs w:val="16"/>
          <w:color w:val="auto"/>
        </w:rPr>
        <w:t>Exhibit 22.1</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Guarantor Subsidiaries of Westinghouse Air Brake Technologies</w:t>
      </w:r>
    </w:p>
    <w:p>
      <w:pPr>
        <w:spacing w:after="0" w:line="10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4"/>
          <w:szCs w:val="14"/>
          <w:color w:val="auto"/>
        </w:rPr>
        <w:t>The obligations under the Company's US Notes and the Senior Credit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US Notes and Senior Credit Facility</w:t>
      </w:r>
    </w:p>
    <w:p>
      <w:pPr>
        <w:spacing w:after="0" w:line="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i w:val="1"/>
          <w:iCs w:val="1"/>
          <w:u w:val="single" w:color="auto"/>
          <w:color w:val="auto"/>
        </w:rPr>
        <w:t>Issuer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Westinghouse Air Brake Technologies Corporation</w:t>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i w:val="1"/>
          <w:iCs w:val="1"/>
          <w:u w:val="single" w:color="auto"/>
          <w:color w:val="auto"/>
        </w:rPr>
        <w:t>Guarantors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GE Transportation, a Wabtec Company</w:t>
      </w:r>
    </w:p>
    <w:p>
      <w:pPr>
        <w:ind w:left="1020"/>
        <w:spacing w:after="0" w:line="237" w:lineRule="auto"/>
        <w:rPr>
          <w:sz w:val="20"/>
          <w:szCs w:val="20"/>
          <w:color w:val="auto"/>
        </w:rPr>
      </w:pPr>
      <w:r>
        <w:rPr>
          <w:rFonts w:ascii="Times New Roman" w:cs="Times New Roman" w:eastAsia="Times New Roman" w:hAnsi="Times New Roman"/>
          <w:sz w:val="14"/>
          <w:szCs w:val="14"/>
          <w:color w:val="auto"/>
        </w:rPr>
        <w:t>RFPC Holding Corp.</w:t>
      </w:r>
    </w:p>
    <w:p>
      <w:pPr>
        <w:ind w:left="1020"/>
        <w:spacing w:after="0" w:line="237" w:lineRule="auto"/>
        <w:rPr>
          <w:sz w:val="20"/>
          <w:szCs w:val="20"/>
          <w:color w:val="auto"/>
        </w:rPr>
      </w:pPr>
      <w:r>
        <w:rPr>
          <w:rFonts w:ascii="Times New Roman" w:cs="Times New Roman" w:eastAsia="Times New Roman" w:hAnsi="Times New Roman"/>
          <w:sz w:val="14"/>
          <w:szCs w:val="14"/>
          <w:color w:val="auto"/>
        </w:rPr>
        <w:t>Transportation IP Holdings,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Transportation Systems Services Operations Inc.</w:t>
      </w:r>
    </w:p>
    <w:p>
      <w:pPr>
        <w:ind w:left="1020"/>
        <w:spacing w:after="0" w:line="237" w:lineRule="auto"/>
        <w:rPr>
          <w:sz w:val="20"/>
          <w:szCs w:val="20"/>
          <w:color w:val="auto"/>
        </w:rPr>
      </w:pPr>
      <w:r>
        <w:rPr>
          <w:rFonts w:ascii="Times New Roman" w:cs="Times New Roman" w:eastAsia="Times New Roman" w:hAnsi="Times New Roman"/>
          <w:sz w:val="14"/>
          <w:szCs w:val="14"/>
          <w:color w:val="auto"/>
        </w:rPr>
        <w:t>Wabtec Components, LLC</w:t>
      </w:r>
    </w:p>
    <w:p>
      <w:pPr>
        <w:ind w:left="1020"/>
        <w:spacing w:after="0" w:line="238" w:lineRule="auto"/>
        <w:rPr>
          <w:sz w:val="20"/>
          <w:szCs w:val="20"/>
          <w:color w:val="auto"/>
        </w:rPr>
      </w:pPr>
      <w:r>
        <w:rPr>
          <w:rFonts w:ascii="Times New Roman" w:cs="Times New Roman" w:eastAsia="Times New Roman" w:hAnsi="Times New Roman"/>
          <w:sz w:val="14"/>
          <w:szCs w:val="14"/>
          <w:color w:val="auto"/>
        </w:rPr>
        <w:t>Wabtec Holding, LLC</w:t>
      </w:r>
    </w:p>
    <w:p>
      <w:pPr>
        <w:ind w:left="1020"/>
        <w:spacing w:after="0" w:line="237" w:lineRule="auto"/>
        <w:rPr>
          <w:sz w:val="20"/>
          <w:szCs w:val="20"/>
          <w:color w:val="auto"/>
        </w:rPr>
      </w:pPr>
      <w:r>
        <w:rPr>
          <w:rFonts w:ascii="Times New Roman" w:cs="Times New Roman" w:eastAsia="Times New Roman" w:hAnsi="Times New Roman"/>
          <w:sz w:val="14"/>
          <w:szCs w:val="14"/>
          <w:color w:val="auto"/>
        </w:rPr>
        <w:t>Wabtec Railway Electronics Holdings, LLC</w:t>
      </w:r>
    </w:p>
    <w:p>
      <w:pPr>
        <w:ind w:left="1020"/>
        <w:spacing w:after="0"/>
        <w:rPr>
          <w:sz w:val="20"/>
          <w:szCs w:val="20"/>
          <w:color w:val="auto"/>
        </w:rPr>
      </w:pPr>
      <w:r>
        <w:rPr>
          <w:rFonts w:ascii="Times New Roman" w:cs="Times New Roman" w:eastAsia="Times New Roman" w:hAnsi="Times New Roman"/>
          <w:sz w:val="14"/>
          <w:szCs w:val="14"/>
          <w:color w:val="auto"/>
        </w:rPr>
        <w:t>Wabtec Transportation Systems,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The Euro Notes</w:t>
      </w:r>
    </w:p>
    <w:p>
      <w:pPr>
        <w:spacing w:after="0" w:line="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i w:val="1"/>
          <w:iCs w:val="1"/>
          <w:u w:val="single" w:color="auto"/>
          <w:color w:val="auto"/>
        </w:rPr>
        <w:t>Issuer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Wabtec Transportation Netherlands B.V.</w:t>
      </w:r>
    </w:p>
    <w:p>
      <w:pPr>
        <w:spacing w:after="0"/>
        <w:tabs>
          <w:tab w:leader="none" w:pos="760" w:val="left"/>
        </w:tabs>
        <w:rPr>
          <w:sz w:val="20"/>
          <w:szCs w:val="20"/>
          <w:color w:val="auto"/>
        </w:rPr>
      </w:pPr>
      <w:r>
        <w:rPr>
          <w:rFonts w:ascii="Times New Roman" w:cs="Times New Roman" w:eastAsia="Times New Roman" w:hAnsi="Times New Roman"/>
          <w:sz w:val="14"/>
          <w:szCs w:val="14"/>
          <w:i w:val="1"/>
          <w:iCs w:val="1"/>
          <w:u w:val="single" w:color="auto"/>
          <w:color w:val="auto"/>
        </w:rPr>
        <w:t>Guarantor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Westinghouse Air Brake Technologies Corporation</w:t>
      </w:r>
    </w:p>
    <w:p>
      <w:pPr>
        <w:sectPr>
          <w:pgSz w:w="11900" w:h="16838" w:orient="portrait"/>
          <w:cols w:equalWidth="0" w:num="1">
            <w:col w:w="11280"/>
          </w:cols>
          <w:pgMar w:left="300" w:top="1150"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Rafael Santana, certify that:</w:t>
      </w:r>
    </w:p>
    <w:p>
      <w:pPr>
        <w:spacing w:after="0" w:line="94" w:lineRule="exact"/>
        <w:rPr>
          <w:sz w:val="20"/>
          <w:szCs w:val="20"/>
          <w:color w:val="auto"/>
        </w:rPr>
      </w:pPr>
    </w:p>
    <w:p>
      <w:pPr>
        <w:ind w:left="520" w:hanging="133"/>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Westinghouse Air Brake Technologies Corporation.</w:t>
      </w:r>
    </w:p>
    <w:p>
      <w:pPr>
        <w:spacing w:after="0" w:line="93" w:lineRule="exact"/>
        <w:rPr>
          <w:rFonts w:ascii="Times New Roman" w:cs="Times New Roman" w:eastAsia="Times New Roman" w:hAnsi="Times New Roman"/>
          <w:sz w:val="14"/>
          <w:szCs w:val="14"/>
          <w:color w:val="auto"/>
        </w:rPr>
      </w:pPr>
    </w:p>
    <w:p>
      <w:pPr>
        <w:ind w:right="16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39" w:lineRule="exact"/>
        <w:rPr>
          <w:rFonts w:ascii="Times New Roman" w:cs="Times New Roman" w:eastAsia="Times New Roman" w:hAnsi="Times New Roman"/>
          <w:sz w:val="14"/>
          <w:szCs w:val="14"/>
          <w:color w:val="auto"/>
        </w:rPr>
      </w:pPr>
    </w:p>
    <w:p>
      <w:pPr>
        <w:ind w:right="26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9" w:lineRule="exact"/>
        <w:rPr>
          <w:rFonts w:ascii="Times New Roman" w:cs="Times New Roman" w:eastAsia="Times New Roman" w:hAnsi="Times New Roman"/>
          <w:sz w:val="14"/>
          <w:szCs w:val="14"/>
          <w:color w:val="auto"/>
        </w:rPr>
      </w:pPr>
    </w:p>
    <w:p>
      <w:pPr>
        <w:ind w:right="2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9" w:lineRule="exact"/>
        <w:rPr>
          <w:rFonts w:ascii="Times New Roman" w:cs="Times New Roman" w:eastAsia="Times New Roman" w:hAnsi="Times New Roman"/>
          <w:sz w:val="14"/>
          <w:szCs w:val="14"/>
          <w:color w:val="auto"/>
        </w:rPr>
      </w:pPr>
    </w:p>
    <w:p>
      <w:pPr>
        <w:ind w:right="260" w:firstLine="801"/>
        <w:spacing w:after="0" w:line="287" w:lineRule="auto"/>
        <w:tabs>
          <w:tab w:leader="none" w:pos="98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39" w:lineRule="exact"/>
        <w:rPr>
          <w:rFonts w:ascii="Times New Roman" w:cs="Times New Roman" w:eastAsia="Times New Roman" w:hAnsi="Times New Roman"/>
          <w:sz w:val="14"/>
          <w:szCs w:val="14"/>
          <w:color w:val="auto"/>
        </w:rPr>
      </w:pPr>
    </w:p>
    <w:p>
      <w:pPr>
        <w:ind w:firstLine="801"/>
        <w:spacing w:after="0" w:line="287" w:lineRule="auto"/>
        <w:tabs>
          <w:tab w:leader="none" w:pos="99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80" w:firstLine="801"/>
        <w:spacing w:after="0" w:line="287" w:lineRule="auto"/>
        <w:tabs>
          <w:tab w:leader="none" w:pos="98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9" w:lineRule="exact"/>
        <w:rPr>
          <w:rFonts w:ascii="Times New Roman" w:cs="Times New Roman" w:eastAsia="Times New Roman" w:hAnsi="Times New Roman"/>
          <w:sz w:val="14"/>
          <w:szCs w:val="14"/>
          <w:color w:val="auto"/>
        </w:rPr>
      </w:pPr>
    </w:p>
    <w:p>
      <w:pPr>
        <w:ind w:right="460" w:firstLine="801"/>
        <w:spacing w:after="0" w:line="287" w:lineRule="auto"/>
        <w:tabs>
          <w:tab w:leader="none" w:pos="99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right="460" w:firstLine="387"/>
        <w:spacing w:after="0" w:line="287" w:lineRule="auto"/>
        <w:tabs>
          <w:tab w:leader="none" w:pos="52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540" w:firstLine="801"/>
        <w:spacing w:after="0" w:line="287" w:lineRule="auto"/>
        <w:tabs>
          <w:tab w:leader="none" w:pos="98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00" w:hanging="199"/>
        <w:spacing w:after="0"/>
        <w:tabs>
          <w:tab w:leader="none" w:pos="10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August 5, 2022</w:t>
            </w:r>
          </w:p>
        </w:tc>
        <w:tc>
          <w:tcPr>
            <w:tcW w:w="9920" w:type="dxa"/>
            <w:vAlign w:val="bottom"/>
          </w:tcPr>
          <w:p>
            <w:pPr>
              <w:spacing w:after="0"/>
              <w:rPr>
                <w:sz w:val="16"/>
                <w:szCs w:val="16"/>
                <w:color w:val="auto"/>
              </w:rPr>
            </w:pPr>
          </w:p>
        </w:tc>
      </w:tr>
      <w:tr>
        <w:trPr>
          <w:trHeight w:val="430"/>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9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/s/  RAFAEL SANTANA</w:t>
            </w:r>
          </w:p>
        </w:tc>
      </w:tr>
      <w:tr>
        <w:trPr>
          <w:trHeight w:val="170"/>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9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Rafael Santana</w:t>
            </w:r>
          </w:p>
        </w:tc>
      </w:tr>
      <w:tr>
        <w:trPr>
          <w:trHeight w:val="186"/>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99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tc>
      </w:tr>
    </w:tbl>
    <w:p>
      <w:pPr>
        <w:sectPr>
          <w:pgSz w:w="11900" w:h="16838" w:orient="portrait"/>
          <w:cols w:equalWidth="0" w:num="1">
            <w:col w:w="11280"/>
          </w:cols>
          <w:pgMar w:left="300" w:top="728"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A. Olin, certify that:</w:t>
      </w:r>
    </w:p>
    <w:p>
      <w:pPr>
        <w:spacing w:after="0" w:line="94" w:lineRule="exact"/>
        <w:rPr>
          <w:sz w:val="20"/>
          <w:szCs w:val="20"/>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Westinghouse Air Brake Technologies Corporation.</w:t>
      </w:r>
    </w:p>
    <w:p>
      <w:pPr>
        <w:spacing w:after="0" w:line="93" w:lineRule="exact"/>
        <w:rPr>
          <w:rFonts w:ascii="Times New Roman" w:cs="Times New Roman" w:eastAsia="Times New Roman" w:hAnsi="Times New Roman"/>
          <w:sz w:val="14"/>
          <w:szCs w:val="14"/>
          <w:color w:val="auto"/>
        </w:rPr>
      </w:pPr>
    </w:p>
    <w:p>
      <w:pPr>
        <w:ind w:right="160" w:firstLine="387"/>
        <w:spacing w:after="0" w:line="287" w:lineRule="auto"/>
        <w:tabs>
          <w:tab w:leader="none" w:pos="5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39" w:lineRule="exact"/>
        <w:rPr>
          <w:rFonts w:ascii="Times New Roman" w:cs="Times New Roman" w:eastAsia="Times New Roman" w:hAnsi="Times New Roman"/>
          <w:sz w:val="14"/>
          <w:szCs w:val="14"/>
          <w:color w:val="auto"/>
        </w:rPr>
      </w:pPr>
    </w:p>
    <w:p>
      <w:pPr>
        <w:ind w:right="260" w:firstLine="387"/>
        <w:spacing w:after="0" w:line="287" w:lineRule="auto"/>
        <w:tabs>
          <w:tab w:leader="none" w:pos="5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9" w:lineRule="exact"/>
        <w:rPr>
          <w:rFonts w:ascii="Times New Roman" w:cs="Times New Roman" w:eastAsia="Times New Roman" w:hAnsi="Times New Roman"/>
          <w:sz w:val="14"/>
          <w:szCs w:val="14"/>
          <w:color w:val="auto"/>
        </w:rPr>
      </w:pPr>
    </w:p>
    <w:p>
      <w:pPr>
        <w:ind w:right="20" w:firstLine="387"/>
        <w:spacing w:after="0" w:line="287" w:lineRule="auto"/>
        <w:tabs>
          <w:tab w:leader="none" w:pos="5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39" w:lineRule="exact"/>
        <w:rPr>
          <w:rFonts w:ascii="Times New Roman" w:cs="Times New Roman" w:eastAsia="Times New Roman" w:hAnsi="Times New Roman"/>
          <w:sz w:val="14"/>
          <w:szCs w:val="14"/>
          <w:color w:val="auto"/>
        </w:rPr>
      </w:pPr>
    </w:p>
    <w:p>
      <w:pPr>
        <w:ind w:right="260" w:firstLine="801"/>
        <w:spacing w:after="0" w:line="287" w:lineRule="auto"/>
        <w:tabs>
          <w:tab w:leader="none" w:pos="98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39" w:lineRule="exact"/>
        <w:rPr>
          <w:rFonts w:ascii="Times New Roman" w:cs="Times New Roman" w:eastAsia="Times New Roman" w:hAnsi="Times New Roman"/>
          <w:sz w:val="14"/>
          <w:szCs w:val="14"/>
          <w:color w:val="auto"/>
        </w:rPr>
      </w:pPr>
    </w:p>
    <w:p>
      <w:pPr>
        <w:ind w:firstLine="801"/>
        <w:spacing w:after="0" w:line="287" w:lineRule="auto"/>
        <w:tabs>
          <w:tab w:leader="none" w:pos="996"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80" w:firstLine="801"/>
        <w:spacing w:after="0" w:line="287" w:lineRule="auto"/>
        <w:tabs>
          <w:tab w:leader="none" w:pos="98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9" w:lineRule="exact"/>
        <w:rPr>
          <w:rFonts w:ascii="Times New Roman" w:cs="Times New Roman" w:eastAsia="Times New Roman" w:hAnsi="Times New Roman"/>
          <w:sz w:val="14"/>
          <w:szCs w:val="14"/>
          <w:color w:val="auto"/>
        </w:rPr>
      </w:pPr>
    </w:p>
    <w:p>
      <w:pPr>
        <w:ind w:right="460" w:firstLine="801"/>
        <w:spacing w:after="0" w:line="287" w:lineRule="auto"/>
        <w:tabs>
          <w:tab w:leader="none" w:pos="996"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right="460" w:firstLine="387"/>
        <w:spacing w:after="0" w:line="287" w:lineRule="auto"/>
        <w:tabs>
          <w:tab w:leader="none" w:pos="52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540" w:firstLine="801"/>
        <w:spacing w:after="0" w:line="287" w:lineRule="auto"/>
        <w:tabs>
          <w:tab w:leader="none" w:pos="98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00" w:hanging="199"/>
        <w:spacing w:after="0"/>
        <w:tabs>
          <w:tab w:leader="none" w:pos="10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4"/>
                <w:szCs w:val="14"/>
                <w:color w:val="auto"/>
              </w:rPr>
              <w:t>August 5, 2022</w:t>
            </w:r>
          </w:p>
        </w:tc>
        <w:tc>
          <w:tcPr>
            <w:tcW w:w="990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9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JOHN A. OLIN</w:t>
            </w:r>
          </w:p>
        </w:tc>
      </w:tr>
      <w:tr>
        <w:trPr>
          <w:trHeight w:val="170"/>
        </w:trPr>
        <w:tc>
          <w:tcPr>
            <w:tcW w:w="4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9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86"/>
        </w:trPr>
        <w:tc>
          <w:tcPr>
            <w:tcW w:w="4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99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tc>
      </w:tr>
    </w:tbl>
    <w:p>
      <w:pPr>
        <w:sectPr>
          <w:pgSz w:w="11900" w:h="16838" w:orient="portrait"/>
          <w:cols w:equalWidth="0" w:num="1">
            <w:col w:w="11280"/>
          </w:cols>
          <w:pgMar w:left="300" w:top="728" w:right="3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9" w:lineRule="exact"/>
        <w:rPr>
          <w:sz w:val="20"/>
          <w:szCs w:val="20"/>
          <w:color w:val="auto"/>
        </w:rPr>
      </w:pPr>
    </w:p>
    <w:p>
      <w:pPr>
        <w:jc w:val="both"/>
        <w:ind w:right="540" w:firstLine="382"/>
        <w:spacing w:after="0" w:line="271" w:lineRule="auto"/>
        <w:rPr>
          <w:sz w:val="20"/>
          <w:szCs w:val="20"/>
          <w:color w:val="auto"/>
        </w:rPr>
      </w:pPr>
      <w:r>
        <w:rPr>
          <w:rFonts w:ascii="Times New Roman" w:cs="Times New Roman" w:eastAsia="Times New Roman" w:hAnsi="Times New Roman"/>
          <w:sz w:val="14"/>
          <w:szCs w:val="14"/>
          <w:color w:val="auto"/>
        </w:rPr>
        <w:t>Pursuant to 18 U.S.C. § 1350, the undersigned officers of Westinghouse Air Brake Technologies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hereby certify, to the best of their knowledge, that the Company’s Quarterly Report on Form 10-Q for the quarter ended June 30, 2022 (the “</w:t>
      </w:r>
      <w:r>
        <w:rPr>
          <w:rFonts w:ascii="Times New Roman" w:cs="Times New Roman" w:eastAsia="Times New Roman" w:hAnsi="Times New Roman"/>
          <w:sz w:val="14"/>
          <w:szCs w:val="14"/>
          <w:i w:val="1"/>
          <w:iCs w:val="1"/>
          <w:color w:val="auto"/>
        </w:rPr>
        <w:t>Report</w:t>
      </w:r>
      <w:r>
        <w:rPr>
          <w:rFonts w:ascii="Times New Roman" w:cs="Times New Roman" w:eastAsia="Times New Roman" w:hAnsi="Times New Roman"/>
          <w:sz w:val="14"/>
          <w:szCs w:val="14"/>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w:t>
            </w:r>
            <w:r>
              <w:rPr>
                <w:rFonts w:ascii="Times New Roman" w:cs="Times New Roman" w:eastAsia="Times New Roman" w:hAnsi="Times New Roman"/>
                <w:sz w:val="11"/>
                <w:szCs w:val="11"/>
                <w:color w:val="auto"/>
              </w:rPr>
              <w:t>AFAEL SANTANA</w:t>
            </w:r>
          </w:p>
        </w:tc>
      </w:tr>
      <w:tr>
        <w:trPr>
          <w:trHeight w:val="104"/>
        </w:trPr>
        <w:tc>
          <w:tcPr>
            <w:tcW w:w="1420" w:type="dxa"/>
            <w:vAlign w:val="bottom"/>
          </w:tcPr>
          <w:p>
            <w:pPr>
              <w:spacing w:after="0"/>
              <w:rPr>
                <w:sz w:val="9"/>
                <w:szCs w:val="9"/>
                <w:color w:val="auto"/>
              </w:rPr>
            </w:pPr>
          </w:p>
        </w:tc>
        <w:tc>
          <w:tcPr>
            <w:tcW w:w="982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Rafael Santana</w:t>
            </w:r>
          </w:p>
        </w:tc>
      </w:tr>
      <w:tr>
        <w:trPr>
          <w:trHeight w:val="149"/>
        </w:trPr>
        <w:tc>
          <w:tcPr>
            <w:tcW w:w="1420" w:type="dxa"/>
            <w:vAlign w:val="bottom"/>
          </w:tcPr>
          <w:p>
            <w:pPr>
              <w:spacing w:after="0"/>
              <w:rPr>
                <w:sz w:val="12"/>
                <w:szCs w:val="12"/>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tc>
      </w:tr>
      <w:tr>
        <w:trPr>
          <w:trHeight w:val="188"/>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5, 2022</w:t>
            </w:r>
          </w:p>
        </w:tc>
      </w:tr>
      <w:tr>
        <w:trPr>
          <w:trHeight w:val="387"/>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9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JOHN A. OLIN</w:t>
            </w:r>
          </w:p>
        </w:tc>
      </w:tr>
      <w:tr>
        <w:trPr>
          <w:trHeight w:val="104"/>
        </w:trPr>
        <w:tc>
          <w:tcPr>
            <w:tcW w:w="1420" w:type="dxa"/>
            <w:vAlign w:val="bottom"/>
          </w:tcPr>
          <w:p>
            <w:pPr>
              <w:spacing w:after="0"/>
              <w:rPr>
                <w:sz w:val="9"/>
                <w:szCs w:val="9"/>
                <w:color w:val="auto"/>
              </w:rPr>
            </w:pPr>
          </w:p>
        </w:tc>
        <w:tc>
          <w:tcPr>
            <w:tcW w:w="982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John A. Olin,</w:t>
            </w:r>
          </w:p>
        </w:tc>
      </w:tr>
      <w:tr>
        <w:trPr>
          <w:trHeight w:val="149"/>
        </w:trPr>
        <w:tc>
          <w:tcPr>
            <w:tcW w:w="1420" w:type="dxa"/>
            <w:vAlign w:val="bottom"/>
          </w:tcPr>
          <w:p>
            <w:pPr>
              <w:spacing w:after="0"/>
              <w:rPr>
                <w:sz w:val="12"/>
                <w:szCs w:val="12"/>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Vice President and Chief Financial Officer</w:t>
            </w:r>
          </w:p>
        </w:tc>
      </w:tr>
      <w:tr>
        <w:trPr>
          <w:trHeight w:val="188"/>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5, 2022</w:t>
            </w: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lvl w:ilvl="1">
      <w:lvlJc w:val="left"/>
      <w:lvlText w:val="%2"/>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2022-08-05T09:24:40Z</dcterms:created>
  <dcterms:modified xsi:type="dcterms:W3CDTF">2022-08-05T09:24:40Z</dcterms:modified>
</cp:coreProperties>
</file>