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100330</wp:posOffset>
            </wp:positionV>
            <wp:extent cx="61214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1400" cy="171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168275</wp:posOffset>
            </wp:positionV>
            <wp:extent cx="6121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140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ind w:right="-320"/>
        <w:spacing w:after="0"/>
        <w:rPr>
          <w:sz w:val="20"/>
          <w:szCs w:val="20"/>
          <w:color w:val="auto"/>
        </w:rPr>
      </w:pPr>
      <w:r>
        <w:rPr>
          <w:rFonts w:ascii="Arial" w:cs="Arial" w:eastAsia="Arial" w:hAnsi="Arial"/>
          <w:sz w:val="25"/>
          <w:szCs w:val="25"/>
          <w:b w:val="1"/>
          <w:bCs w:val="1"/>
          <w:color w:val="auto"/>
        </w:rPr>
        <w:t>UNITED STATES</w:t>
      </w:r>
    </w:p>
    <w:p>
      <w:pPr>
        <w:spacing w:after="0" w:line="32" w:lineRule="exact"/>
        <w:rPr>
          <w:sz w:val="24"/>
          <w:szCs w:val="24"/>
          <w:color w:val="auto"/>
        </w:rPr>
      </w:pPr>
    </w:p>
    <w:p>
      <w:pPr>
        <w:jc w:val="center"/>
        <w:ind w:right="-320"/>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320"/>
        <w:spacing w:after="0"/>
        <w:rPr>
          <w:sz w:val="20"/>
          <w:szCs w:val="20"/>
          <w:color w:val="auto"/>
        </w:rPr>
      </w:pPr>
      <w:r>
        <w:rPr>
          <w:rFonts w:ascii="Arial" w:cs="Arial" w:eastAsia="Arial" w:hAnsi="Arial"/>
          <w:sz w:val="21"/>
          <w:szCs w:val="21"/>
          <w:b w:val="1"/>
          <w:bCs w:val="1"/>
          <w:color w:val="auto"/>
        </w:rPr>
        <w:t>Washington, D.C. 20549</w:t>
      </w:r>
    </w:p>
    <w:p>
      <w:pPr>
        <w:spacing w:after="0" w:line="196" w:lineRule="exact"/>
        <w:rPr>
          <w:sz w:val="24"/>
          <w:szCs w:val="24"/>
          <w:color w:val="auto"/>
        </w:rPr>
      </w:pPr>
    </w:p>
    <w:p>
      <w:pPr>
        <w:jc w:val="center"/>
        <w:ind w:right="-320"/>
        <w:spacing w:after="0"/>
        <w:rPr>
          <w:sz w:val="20"/>
          <w:szCs w:val="20"/>
          <w:color w:val="auto"/>
        </w:rPr>
      </w:pPr>
      <w:r>
        <w:rPr>
          <w:rFonts w:ascii="Arial" w:cs="Arial" w:eastAsia="Arial" w:hAnsi="Arial"/>
          <w:sz w:val="25"/>
          <w:szCs w:val="25"/>
          <w:b w:val="1"/>
          <w:bCs w:val="1"/>
          <w:color w:val="auto"/>
        </w:rPr>
        <w:t>SCHEDULE 14A</w:t>
      </w:r>
    </w:p>
    <w:p>
      <w:pPr>
        <w:spacing w:after="0" w:line="25" w:lineRule="exact"/>
        <w:rPr>
          <w:sz w:val="24"/>
          <w:szCs w:val="24"/>
          <w:color w:val="auto"/>
        </w:rPr>
      </w:pPr>
    </w:p>
    <w:p>
      <w:pPr>
        <w:ind w:left="4100"/>
        <w:spacing w:after="0"/>
        <w:rPr>
          <w:sz w:val="20"/>
          <w:szCs w:val="20"/>
          <w:color w:val="auto"/>
        </w:rPr>
      </w:pPr>
      <w:r>
        <w:rPr>
          <w:rFonts w:ascii="Arial" w:cs="Arial" w:eastAsia="Arial" w:hAnsi="Arial"/>
          <w:sz w:val="21"/>
          <w:szCs w:val="21"/>
          <w:b w:val="1"/>
          <w:bCs w:val="1"/>
          <w:color w:val="auto"/>
        </w:rPr>
        <w:t>(Rule 14a-101)</w:t>
      </w:r>
    </w:p>
    <w:p>
      <w:pPr>
        <w:spacing w:after="0" w:line="205" w:lineRule="exact"/>
        <w:rPr>
          <w:sz w:val="24"/>
          <w:szCs w:val="24"/>
          <w:color w:val="auto"/>
        </w:rPr>
      </w:pPr>
    </w:p>
    <w:p>
      <w:pPr>
        <w:ind w:left="3240"/>
        <w:spacing w:after="0"/>
        <w:rPr>
          <w:sz w:val="20"/>
          <w:szCs w:val="20"/>
          <w:color w:val="auto"/>
        </w:rPr>
      </w:pPr>
      <w:r>
        <w:rPr>
          <w:rFonts w:ascii="Arial" w:cs="Arial" w:eastAsia="Arial" w:hAnsi="Arial"/>
          <w:sz w:val="21"/>
          <w:szCs w:val="21"/>
          <w:b w:val="1"/>
          <w:bCs w:val="1"/>
          <w:color w:val="auto"/>
        </w:rPr>
        <w:t>SCHEDULE 14A INFORMATION</w:t>
      </w:r>
    </w:p>
    <w:p>
      <w:pPr>
        <w:spacing w:after="0" w:line="21" w:lineRule="exact"/>
        <w:rPr>
          <w:sz w:val="24"/>
          <w:szCs w:val="24"/>
          <w:color w:val="auto"/>
        </w:rPr>
      </w:pPr>
    </w:p>
    <w:p>
      <w:pPr>
        <w:jc w:val="center"/>
        <w:ind w:right="-320"/>
        <w:spacing w:after="0"/>
        <w:rPr>
          <w:sz w:val="20"/>
          <w:szCs w:val="20"/>
          <w:color w:val="auto"/>
        </w:rPr>
      </w:pPr>
      <w:r>
        <w:rPr>
          <w:rFonts w:ascii="Arial" w:cs="Arial" w:eastAsia="Arial" w:hAnsi="Arial"/>
          <w:sz w:val="21"/>
          <w:szCs w:val="21"/>
          <w:b w:val="1"/>
          <w:bCs w:val="1"/>
          <w:color w:val="auto"/>
        </w:rPr>
        <w:t>PROXY STATEMENT PURSUANT TO SECTION 14(a) OF THE SECURITIES</w:t>
      </w:r>
    </w:p>
    <w:p>
      <w:pPr>
        <w:jc w:val="center"/>
        <w:ind w:right="-320"/>
        <w:spacing w:after="0"/>
        <w:rPr>
          <w:sz w:val="20"/>
          <w:szCs w:val="20"/>
          <w:color w:val="auto"/>
        </w:rPr>
      </w:pPr>
      <w:r>
        <w:rPr>
          <w:rFonts w:ascii="Arial" w:cs="Arial" w:eastAsia="Arial" w:hAnsi="Arial"/>
          <w:sz w:val="21"/>
          <w:szCs w:val="21"/>
          <w:b w:val="1"/>
          <w:bCs w:val="1"/>
          <w:color w:val="auto"/>
        </w:rPr>
        <w:t>EXCHANGE ACT OF 1934</w:t>
      </w:r>
    </w:p>
    <w:p>
      <w:pPr>
        <w:spacing w:after="0" w:line="22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4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41" w:lineRule="exact"/>
        <w:rPr>
          <w:sz w:val="24"/>
          <w:szCs w:val="24"/>
          <w:color w:val="auto"/>
        </w:rPr>
      </w:pPr>
    </w:p>
    <w:p>
      <w:pPr>
        <w:spacing w:after="0" w:line="196" w:lineRule="exact"/>
        <w:tabs>
          <w:tab w:leader="none" w:pos="200" w:val="left"/>
          <w:tab w:leader="none" w:pos="300" w:val="left"/>
          <w:tab w:leader="none" w:pos="42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7"/>
          <w:szCs w:val="17"/>
          <w:color w:val="auto"/>
        </w:rPr>
        <w:t>Preliminary Proxy Statement</w:t>
      </w:r>
    </w:p>
    <w:p>
      <w:pPr>
        <w:spacing w:after="0" w:line="126" w:lineRule="exact"/>
        <w:rPr>
          <w:sz w:val="24"/>
          <w:szCs w:val="24"/>
          <w:color w:val="auto"/>
        </w:rPr>
      </w:pPr>
    </w:p>
    <w:p>
      <w:pPr>
        <w:spacing w:after="0" w:line="196" w:lineRule="exact"/>
        <w:tabs>
          <w:tab w:leader="none" w:pos="200" w:val="left"/>
          <w:tab w:leader="none" w:pos="300" w:val="left"/>
          <w:tab w:leader="none" w:pos="42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7"/>
          <w:szCs w:val="17"/>
          <w:b w:val="1"/>
          <w:bCs w:val="1"/>
          <w:color w:val="auto"/>
        </w:rPr>
        <w:t>Confidential, for Use of the Commission Only (as permitted by Rule 14a-6(e)(2))</w:t>
      </w:r>
    </w:p>
    <w:p>
      <w:pPr>
        <w:spacing w:after="0" w:line="126" w:lineRule="exact"/>
        <w:rPr>
          <w:sz w:val="24"/>
          <w:szCs w:val="24"/>
          <w:color w:val="auto"/>
        </w:rPr>
      </w:pPr>
    </w:p>
    <w:p>
      <w:pPr>
        <w:spacing w:after="0" w:line="196" w:lineRule="exact"/>
        <w:tabs>
          <w:tab w:leader="none" w:pos="200" w:val="left"/>
          <w:tab w:leader="none" w:pos="300" w:val="left"/>
          <w:tab w:leader="none" w:pos="42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7"/>
          <w:szCs w:val="17"/>
          <w:color w:val="auto"/>
        </w:rPr>
        <w:t>Definitive Proxy Statement</w:t>
      </w:r>
    </w:p>
    <w:p>
      <w:pPr>
        <w:spacing w:after="0" w:line="112" w:lineRule="exact"/>
        <w:rPr>
          <w:sz w:val="24"/>
          <w:szCs w:val="24"/>
          <w:color w:val="auto"/>
        </w:rPr>
      </w:pPr>
    </w:p>
    <w:p>
      <w:pPr>
        <w:spacing w:after="0" w:line="196" w:lineRule="exact"/>
        <w:tabs>
          <w:tab w:leader="none" w:pos="200" w:val="left"/>
          <w:tab w:leader="none" w:pos="300" w:val="left"/>
          <w:tab w:leader="none" w:pos="42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7"/>
          <w:szCs w:val="17"/>
          <w:color w:val="auto"/>
        </w:rPr>
        <w:t>Definitive Additional Materials</w:t>
      </w:r>
    </w:p>
    <w:p>
      <w:pPr>
        <w:spacing w:after="0" w:line="126" w:lineRule="exact"/>
        <w:rPr>
          <w:sz w:val="24"/>
          <w:szCs w:val="24"/>
          <w:color w:val="auto"/>
        </w:rPr>
      </w:pPr>
    </w:p>
    <w:p>
      <w:pPr>
        <w:spacing w:after="0" w:line="196" w:lineRule="exact"/>
        <w:tabs>
          <w:tab w:leader="none" w:pos="200" w:val="left"/>
          <w:tab w:leader="none" w:pos="300" w:val="left"/>
          <w:tab w:leader="none" w:pos="42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7"/>
          <w:szCs w:val="17"/>
          <w:color w:val="auto"/>
        </w:rPr>
        <w:t>Soliciting Material under sec.240.14a-12</w:t>
      </w:r>
    </w:p>
    <w:p>
      <w:pPr>
        <w:spacing w:after="0" w:line="367" w:lineRule="exact"/>
        <w:rPr>
          <w:sz w:val="24"/>
          <w:szCs w:val="24"/>
          <w:color w:val="auto"/>
        </w:rPr>
      </w:pPr>
    </w:p>
    <w:p>
      <w:pPr>
        <w:jc w:val="center"/>
        <w:ind w:right="-320"/>
        <w:spacing w:after="0"/>
        <w:rPr>
          <w:sz w:val="20"/>
          <w:szCs w:val="20"/>
          <w:color w:val="auto"/>
        </w:rPr>
      </w:pPr>
      <w:r>
        <w:rPr>
          <w:rFonts w:ascii="Arial" w:cs="Arial" w:eastAsia="Arial" w:hAnsi="Arial"/>
          <w:sz w:val="28"/>
          <w:szCs w:val="28"/>
          <w:b w:val="1"/>
          <w:bCs w:val="1"/>
          <w:color w:val="auto"/>
        </w:rPr>
        <w:t>WESTINGHOUSE AIR BRAKE TECHNOLOGIES CORPORATION</w:t>
      </w:r>
    </w:p>
    <w:p>
      <w:pPr>
        <w:spacing w:after="0" w:line="146"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21" w:lineRule="exact"/>
        <w:rPr>
          <w:sz w:val="24"/>
          <w:szCs w:val="24"/>
          <w:color w:val="auto"/>
        </w:rPr>
      </w:pPr>
    </w:p>
    <w:p>
      <w:pPr>
        <w:ind w:left="108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ectPr>
          <w:pgSz w:w="11900" w:h="16838" w:orient="portrait"/>
          <w:cols w:equalWidth="0" w:num="1">
            <w:col w:w="9339"/>
          </w:cols>
          <w:pgMar w:left="1120" w:top="222" w:right="1440" w:bottom="1440" w:gutter="0" w:footer="0" w:header="0"/>
        </w:sectPr>
      </w:pPr>
    </w:p>
    <w:p>
      <w:pPr>
        <w:spacing w:after="0" w:line="128" w:lineRule="exact"/>
        <w:rPr>
          <w:sz w:val="24"/>
          <w:szCs w:val="24"/>
          <w:color w:val="auto"/>
        </w:rPr>
      </w:pPr>
    </w:p>
    <w:p>
      <w:pPr>
        <w:spacing w:after="0" w:line="196" w:lineRule="exact"/>
        <w:tabs>
          <w:tab w:leader="none" w:pos="200" w:val="left"/>
          <w:tab w:leader="none" w:pos="30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12" w:lineRule="exact"/>
        <w:rPr>
          <w:sz w:val="24"/>
          <w:szCs w:val="24"/>
          <w:color w:val="auto"/>
        </w:rPr>
      </w:pPr>
    </w:p>
    <w:p>
      <w:pPr>
        <w:spacing w:after="0" w:line="196" w:lineRule="exact"/>
        <w:tabs>
          <w:tab w:leader="none" w:pos="200" w:val="left"/>
          <w:tab w:leader="none" w:pos="30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26" w:lineRule="exact"/>
        <w:rPr>
          <w:sz w:val="24"/>
          <w:szCs w:val="24"/>
          <w:color w:val="auto"/>
        </w:rPr>
      </w:pPr>
    </w:p>
    <w:p>
      <w:pPr>
        <w:spacing w:after="0" w:line="196" w:lineRule="exact"/>
        <w:tabs>
          <w:tab w:leader="none" w:pos="200" w:val="left"/>
          <w:tab w:leader="none" w:pos="30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color w:val="auto"/>
        </w:rPr>
        <w:t>No fee required.</w:t>
      </w:r>
    </w:p>
    <w:p>
      <w:pPr>
        <w:spacing w:after="0" w:line="114" w:lineRule="exact"/>
        <w:rPr>
          <w:sz w:val="24"/>
          <w:szCs w:val="24"/>
          <w:color w:val="auto"/>
        </w:rPr>
      </w:pPr>
    </w:p>
    <w:p>
      <w:pPr>
        <w:spacing w:after="0"/>
        <w:rPr>
          <w:sz w:val="20"/>
          <w:szCs w:val="20"/>
          <w:color w:val="auto"/>
        </w:rPr>
      </w:pPr>
      <w:r>
        <w:rPr>
          <w:rFonts w:ascii="Arial" w:cs="Arial" w:eastAsia="Arial" w:hAnsi="Arial"/>
          <w:sz w:val="18"/>
          <w:szCs w:val="18"/>
          <w:color w:val="auto"/>
        </w:rPr>
        <w:t>Fee paid previously with preliminary materials:</w:t>
      </w:r>
    </w:p>
    <w:p>
      <w:pPr>
        <w:spacing w:after="0" w:line="114" w:lineRule="exact"/>
        <w:rPr>
          <w:sz w:val="24"/>
          <w:szCs w:val="24"/>
          <w:color w:val="auto"/>
        </w:rPr>
      </w:pPr>
    </w:p>
    <w:p>
      <w:pPr>
        <w:spacing w:after="0"/>
        <w:rPr>
          <w:sz w:val="20"/>
          <w:szCs w:val="20"/>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-272415</wp:posOffset>
            </wp:positionH>
            <wp:positionV relativeFrom="paragraph">
              <wp:posOffset>219710</wp:posOffset>
            </wp:positionV>
            <wp:extent cx="6121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21400" cy="8255"/>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278765</wp:posOffset>
            </wp:positionV>
            <wp:extent cx="61214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21400" cy="17145"/>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415290</wp:posOffset>
            </wp:positionV>
            <wp:extent cx="69380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38010" cy="17145"/>
                    </a:xfrm>
                    <a:prstGeom prst="rect">
                      <a:avLst/>
                    </a:prstGeom>
                    <a:noFill/>
                  </pic:spPr>
                </pic:pic>
              </a:graphicData>
            </a:graphic>
          </wp:anchor>
        </w:drawing>
      </w:r>
    </w:p>
    <w:p>
      <w:pPr>
        <w:sectPr>
          <w:pgSz w:w="11900" w:h="16838" w:orient="portrait"/>
          <w:cols w:equalWidth="0" w:num="2">
            <w:col w:w="340" w:space="100"/>
            <w:col w:w="8899"/>
          </w:cols>
          <w:pgMar w:left="1120" w:top="222"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03110" cy="92081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3110" cy="920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130175</wp:posOffset>
            </wp:positionV>
            <wp:extent cx="69380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38010" cy="17145"/>
                    </a:xfrm>
                    <a:prstGeom prst="rect">
                      <a:avLst/>
                    </a:prstGeom>
                    <a:noFill/>
                  </pic:spPr>
                </pic:pic>
              </a:graphicData>
            </a:graphic>
          </wp:anchor>
        </w:drawing>
      </w:r>
    </w:p>
    <w:p>
      <w:pPr>
        <w:sectPr>
          <w:pgSz w:w="11900" w:h="16838" w:orient="portrait"/>
          <w:cols w:equalWidth="0" w:num="1">
            <w:col w:w="9999"/>
          </w:cols>
          <w:pgMar w:left="460" w:top="115" w:right="1440" w:bottom="1142"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6938010" cy="89192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38010" cy="8919210"/>
                    </a:xfrm>
                    <a:prstGeom prst="rect">
                      <a:avLst/>
                    </a:prstGeom>
                    <a:noFill/>
                  </pic:spPr>
                </pic:pic>
              </a:graphicData>
            </a:graphic>
          </wp:anchor>
        </w:drawing>
      </w:r>
    </w:p>
    <w:p>
      <w:pPr>
        <w:sectPr>
          <w:pgSz w:w="11900" w:h="16838" w:orient="portrait"/>
          <w:cols w:equalWidth="0" w:num="1">
            <w:col w:w="9999"/>
          </w:cols>
          <w:pgMar w:left="460" w:top="1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130175</wp:posOffset>
            </wp:positionV>
            <wp:extent cx="69380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38010" cy="17145"/>
                    </a:xfrm>
                    <a:prstGeom prst="rect">
                      <a:avLst/>
                    </a:prstGeom>
                    <a:noFill/>
                  </pic:spPr>
                </pic:pic>
              </a:graphicData>
            </a:graphic>
          </wp:anchor>
        </w:drawing>
      </w:r>
    </w:p>
    <w:p>
      <w:pPr>
        <w:sectPr>
          <w:pgSz w:w="11900" w:h="16838" w:orient="portrait"/>
          <w:cols w:equalWidth="0" w:num="1">
            <w:col w:w="9999"/>
          </w:cols>
          <w:pgMar w:left="460" w:top="115" w:right="1440" w:bottom="1440" w:gutter="0" w:footer="0" w:header="0"/>
          <w:type w:val="continuous"/>
        </w:sectPr>
      </w:pPr>
    </w:p>
    <w:bookmarkStart w:id="3" w:name="page4"/>
    <w:bookmarkEnd w:id="3"/>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100330</wp:posOffset>
            </wp:positionV>
            <wp:extent cx="1148080" cy="399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48080" cy="39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xml:space="preserve">  </w:t>
      </w:r>
    </w:p>
    <w:p>
      <w:pPr>
        <w:spacing w:after="0" w:line="190" w:lineRule="exact"/>
        <w:rPr>
          <w:sz w:val="20"/>
          <w:szCs w:val="20"/>
          <w:color w:val="auto"/>
        </w:rPr>
      </w:pPr>
    </w:p>
    <w:p>
      <w:pPr>
        <w:ind w:left="960"/>
        <w:spacing w:after="0"/>
        <w:rPr>
          <w:sz w:val="20"/>
          <w:szCs w:val="20"/>
          <w:color w:val="auto"/>
        </w:rPr>
      </w:pPr>
      <w:r>
        <w:rPr>
          <w:rFonts w:ascii="Arial" w:cs="Arial" w:eastAsia="Arial" w:hAnsi="Arial"/>
          <w:sz w:val="43"/>
          <w:szCs w:val="43"/>
          <w:color w:val="E02826"/>
        </w:rPr>
        <w:t>Letter from the Chair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3640" w:type="dxa"/>
            <w:vAlign w:val="bottom"/>
            <w:tcBorders>
              <w:right w:val="single" w:sz="8" w:color="636466"/>
            </w:tcBorders>
          </w:tcPr>
          <w:p>
            <w:pPr>
              <w:spacing w:after="0"/>
              <w:rPr>
                <w:sz w:val="24"/>
                <w:szCs w:val="24"/>
                <w:color w:val="auto"/>
              </w:rPr>
            </w:pPr>
          </w:p>
        </w:tc>
        <w:tc>
          <w:tcPr>
            <w:tcW w:w="6220" w:type="dxa"/>
            <w:vAlign w:val="bottom"/>
            <w:vMerge w:val="restart"/>
          </w:tcPr>
          <w:p>
            <w:pPr>
              <w:ind w:left="380"/>
              <w:spacing w:after="0"/>
              <w:rPr>
                <w:sz w:val="20"/>
                <w:szCs w:val="20"/>
                <w:color w:val="auto"/>
              </w:rPr>
            </w:pPr>
            <w:r>
              <w:rPr>
                <w:rFonts w:ascii="Arial" w:cs="Arial" w:eastAsia="Arial" w:hAnsi="Arial"/>
                <w:sz w:val="29"/>
                <w:szCs w:val="29"/>
                <w:color w:val="636466"/>
              </w:rPr>
              <w:t>Dear Stockholder:</w:t>
            </w:r>
          </w:p>
        </w:tc>
        <w:tc>
          <w:tcPr>
            <w:tcW w:w="10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62"/>
        </w:trPr>
        <w:tc>
          <w:tcPr>
            <w:tcW w:w="3640" w:type="dxa"/>
            <w:vAlign w:val="bottom"/>
            <w:tcBorders>
              <w:right w:val="single" w:sz="8" w:color="636466"/>
            </w:tcBorders>
          </w:tcPr>
          <w:p>
            <w:pPr>
              <w:spacing w:after="0"/>
              <w:rPr>
                <w:sz w:val="14"/>
                <w:szCs w:val="14"/>
                <w:color w:val="auto"/>
              </w:rPr>
            </w:pPr>
          </w:p>
        </w:tc>
        <w:tc>
          <w:tcPr>
            <w:tcW w:w="622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9"/>
        </w:trPr>
        <w:tc>
          <w:tcPr>
            <w:tcW w:w="3640" w:type="dxa"/>
            <w:vAlign w:val="bottom"/>
            <w:tcBorders>
              <w:right w:val="single" w:sz="8" w:color="636466"/>
            </w:tcBorders>
          </w:tcPr>
          <w:p>
            <w:pPr>
              <w:spacing w:after="0"/>
              <w:rPr>
                <w:sz w:val="24"/>
                <w:szCs w:val="24"/>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We invite you to attend the 2024 annual meeting of stockholders of Westinghouse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640" w:type="dxa"/>
            <w:vAlign w:val="bottom"/>
            <w:tcBorders>
              <w:right w:val="single" w:sz="8" w:color="636466"/>
            </w:tcBorders>
          </w:tcPr>
          <w:p>
            <w:pPr>
              <w:spacing w:after="0"/>
              <w:rPr>
                <w:sz w:val="17"/>
                <w:szCs w:val="17"/>
                <w:color w:val="auto"/>
              </w:rPr>
            </w:pPr>
          </w:p>
        </w:tc>
        <w:tc>
          <w:tcPr>
            <w:tcW w:w="7300" w:type="dxa"/>
            <w:vAlign w:val="bottom"/>
            <w:gridSpan w:val="2"/>
          </w:tcPr>
          <w:p>
            <w:pPr>
              <w:ind w:left="380"/>
              <w:spacing w:after="0"/>
              <w:rPr>
                <w:sz w:val="20"/>
                <w:szCs w:val="20"/>
                <w:color w:val="auto"/>
              </w:rPr>
            </w:pPr>
            <w:r>
              <w:rPr>
                <w:rFonts w:ascii="Arial" w:cs="Arial" w:eastAsia="Arial" w:hAnsi="Arial"/>
                <w:sz w:val="16"/>
                <w:szCs w:val="16"/>
                <w:color w:val="auto"/>
              </w:rPr>
              <w:t xml:space="preserve">Air Brake Technologies Corporation, doing business as Wabtec Corporation, on   </w:t>
            </w:r>
            <w:r>
              <w:rPr>
                <w:rFonts w:ascii="Times New Roman" w:cs="Times New Roman" w:eastAsia="Times New Roman" w:hAnsi="Times New Roman"/>
                <w:sz w:val="7"/>
                <w:szCs w:val="7"/>
                <w:color w:val="auto"/>
                <w:vertAlign w:val="subscript"/>
              </w:rPr>
              <w:t>​</w:t>
            </w:r>
          </w:p>
        </w:tc>
        <w:tc>
          <w:tcPr>
            <w:tcW w:w="0" w:type="dxa"/>
            <w:vAlign w:val="bottom"/>
          </w:tcPr>
          <w:p>
            <w:pPr>
              <w:spacing w:after="0"/>
              <w:rPr>
                <w:sz w:val="1"/>
                <w:szCs w:val="1"/>
                <w:color w:val="auto"/>
              </w:rPr>
            </w:pPr>
          </w:p>
        </w:tc>
      </w:tr>
      <w:tr>
        <w:trPr>
          <w:trHeight w:val="173"/>
        </w:trPr>
        <w:tc>
          <w:tcPr>
            <w:tcW w:w="3640" w:type="dxa"/>
            <w:vAlign w:val="bottom"/>
            <w:tcBorders>
              <w:right w:val="single" w:sz="8" w:color="636466"/>
            </w:tcBorders>
          </w:tcPr>
          <w:p>
            <w:pPr>
              <w:spacing w:after="0"/>
              <w:rPr>
                <w:sz w:val="15"/>
                <w:szCs w:val="15"/>
                <w:color w:val="auto"/>
              </w:rPr>
            </w:pPr>
          </w:p>
        </w:tc>
        <w:tc>
          <w:tcPr>
            <w:tcW w:w="6220" w:type="dxa"/>
            <w:vAlign w:val="bottom"/>
          </w:tcPr>
          <w:p>
            <w:pPr>
              <w:ind w:left="380"/>
              <w:spacing w:after="0" w:line="174" w:lineRule="exact"/>
              <w:rPr>
                <w:sz w:val="20"/>
                <w:szCs w:val="20"/>
                <w:color w:val="auto"/>
              </w:rPr>
            </w:pPr>
            <w:r>
              <w:rPr>
                <w:rFonts w:ascii="Arial" w:cs="Arial" w:eastAsia="Arial" w:hAnsi="Arial"/>
                <w:sz w:val="16"/>
                <w:szCs w:val="16"/>
                <w:color w:val="auto"/>
              </w:rPr>
              <w:t>May 16, 2024 at 11:30 a.m. Eastern Time virtually, via a live audio webcast on the</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640" w:type="dxa"/>
            <w:vAlign w:val="bottom"/>
            <w:tcBorders>
              <w:right w:val="single" w:sz="8" w:color="636466"/>
            </w:tcBorders>
          </w:tcPr>
          <w:p>
            <w:pPr>
              <w:spacing w:after="0"/>
              <w:rPr>
                <w:sz w:val="19"/>
                <w:szCs w:val="19"/>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 xml:space="preserve">Internet at </w:t>
            </w:r>
            <w:r>
              <w:rPr>
                <w:rFonts w:ascii="Arial" w:cs="Arial" w:eastAsia="Arial" w:hAnsi="Arial"/>
                <w:sz w:val="16"/>
                <w:szCs w:val="16"/>
                <w:b w:val="1"/>
                <w:bCs w:val="1"/>
                <w:color w:val="4297CB"/>
              </w:rPr>
              <w:t>www.virtualshareholdermeeting.com/WAB2024</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3640" w:type="dxa"/>
            <w:vAlign w:val="bottom"/>
            <w:tcBorders>
              <w:right w:val="single" w:sz="8" w:color="636466"/>
            </w:tcBorders>
          </w:tcPr>
          <w:p>
            <w:pPr>
              <w:ind w:left="1320"/>
              <w:spacing w:after="0"/>
              <w:rPr>
                <w:sz w:val="20"/>
                <w:szCs w:val="20"/>
                <w:color w:val="auto"/>
              </w:rPr>
            </w:pPr>
            <w:r>
              <w:rPr>
                <w:rFonts w:ascii="Arial" w:cs="Arial" w:eastAsia="Arial" w:hAnsi="Arial"/>
                <w:sz w:val="16"/>
                <w:szCs w:val="16"/>
                <w:color w:val="auto"/>
              </w:rPr>
              <w:t xml:space="preserve">  </w:t>
            </w:r>
          </w:p>
        </w:tc>
        <w:tc>
          <w:tcPr>
            <w:tcW w:w="6220" w:type="dxa"/>
            <w:vAlign w:val="bottom"/>
          </w:tcPr>
          <w:p>
            <w:pPr>
              <w:ind w:left="380"/>
              <w:spacing w:after="0"/>
              <w:rPr>
                <w:sz w:val="20"/>
                <w:szCs w:val="20"/>
                <w:color w:val="auto"/>
              </w:rPr>
            </w:pPr>
            <w:r>
              <w:rPr>
                <w:rFonts w:ascii="Arial" w:cs="Arial" w:eastAsia="Arial" w:hAnsi="Arial"/>
                <w:sz w:val="16"/>
                <w:szCs w:val="16"/>
                <w:color w:val="auto"/>
              </w:rPr>
              <w:t>You will be able to attend and participate in the Annual Meeting online by visiting</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640" w:type="dxa"/>
            <w:vAlign w:val="bottom"/>
            <w:tcBorders>
              <w:right w:val="single" w:sz="8" w:color="636466"/>
            </w:tcBorders>
          </w:tcPr>
          <w:p>
            <w:pPr>
              <w:spacing w:after="0"/>
              <w:rPr>
                <w:sz w:val="16"/>
                <w:szCs w:val="16"/>
                <w:color w:val="auto"/>
              </w:rPr>
            </w:pPr>
          </w:p>
        </w:tc>
        <w:tc>
          <w:tcPr>
            <w:tcW w:w="6220" w:type="dxa"/>
            <w:vAlign w:val="bottom"/>
          </w:tcPr>
          <w:p>
            <w:pPr>
              <w:ind w:left="380"/>
              <w:spacing w:after="0"/>
              <w:rPr>
                <w:sz w:val="20"/>
                <w:szCs w:val="20"/>
                <w:color w:val="auto"/>
              </w:rPr>
            </w:pPr>
            <w:r>
              <w:rPr>
                <w:rFonts w:ascii="Arial" w:cs="Arial" w:eastAsia="Arial" w:hAnsi="Arial"/>
                <w:sz w:val="16"/>
                <w:szCs w:val="16"/>
                <w:b w:val="1"/>
                <w:bCs w:val="1"/>
                <w:color w:val="4297CB"/>
              </w:rPr>
              <w:t>www.virtualshareholdermeeting.com/WAB2024</w:t>
            </w:r>
            <w:r>
              <w:rPr>
                <w:rFonts w:ascii="Arial" w:cs="Arial" w:eastAsia="Arial" w:hAnsi="Arial"/>
                <w:sz w:val="16"/>
                <w:szCs w:val="16"/>
                <w:color w:val="000000"/>
              </w:rPr>
              <w:t>, where you will be able to vote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40" w:type="dxa"/>
            <w:vAlign w:val="bottom"/>
            <w:tcBorders>
              <w:right w:val="single" w:sz="8" w:color="636466"/>
            </w:tcBorders>
          </w:tcPr>
          <w:p>
            <w:pPr>
              <w:spacing w:after="0"/>
              <w:rPr>
                <w:sz w:val="16"/>
                <w:szCs w:val="16"/>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electronically and submit questions. You will need the 16-digit control number on</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40" w:type="dxa"/>
            <w:vAlign w:val="bottom"/>
            <w:tcBorders>
              <w:right w:val="single" w:sz="8" w:color="636466"/>
            </w:tcBorders>
          </w:tcPr>
          <w:p>
            <w:pPr>
              <w:spacing w:after="0"/>
              <w:rPr>
                <w:sz w:val="18"/>
                <w:szCs w:val="18"/>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your proxy card to attend the Annual Meeting.</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9"/>
        </w:trPr>
        <w:tc>
          <w:tcPr>
            <w:tcW w:w="3640" w:type="dxa"/>
            <w:vAlign w:val="bottom"/>
            <w:tcBorders>
              <w:right w:val="single" w:sz="8" w:color="636466"/>
            </w:tcBorders>
          </w:tcPr>
          <w:p>
            <w:pPr>
              <w:spacing w:after="0"/>
              <w:rPr>
                <w:sz w:val="24"/>
                <w:szCs w:val="24"/>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For more than 150 years, Wabtec has been at the forefront of developing</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640" w:type="dxa"/>
            <w:vAlign w:val="bottom"/>
            <w:tcBorders>
              <w:right w:val="single" w:sz="8" w:color="636466"/>
            </w:tcBorders>
          </w:tcPr>
          <w:p>
            <w:pPr>
              <w:spacing w:after="0"/>
              <w:rPr>
                <w:sz w:val="16"/>
                <w:szCs w:val="16"/>
                <w:color w:val="auto"/>
              </w:rPr>
            </w:pPr>
          </w:p>
        </w:tc>
        <w:tc>
          <w:tcPr>
            <w:tcW w:w="7300" w:type="dxa"/>
            <w:vAlign w:val="bottom"/>
            <w:gridSpan w:val="2"/>
          </w:tcPr>
          <w:p>
            <w:pPr>
              <w:ind w:left="380"/>
              <w:spacing w:after="0"/>
              <w:rPr>
                <w:sz w:val="20"/>
                <w:szCs w:val="20"/>
                <w:color w:val="auto"/>
              </w:rPr>
            </w:pPr>
            <w:r>
              <w:rPr>
                <w:rFonts w:ascii="Arial" w:cs="Arial" w:eastAsia="Arial" w:hAnsi="Arial"/>
                <w:sz w:val="16"/>
                <w:szCs w:val="16"/>
                <w:color w:val="auto"/>
              </w:rPr>
              <w:t>innovative solutions and technologies that have transformed the global rail industry.</w:t>
            </w:r>
          </w:p>
        </w:tc>
        <w:tc>
          <w:tcPr>
            <w:tcW w:w="0" w:type="dxa"/>
            <w:vAlign w:val="bottom"/>
          </w:tcPr>
          <w:p>
            <w:pPr>
              <w:spacing w:after="0"/>
              <w:rPr>
                <w:sz w:val="1"/>
                <w:szCs w:val="1"/>
                <w:color w:val="auto"/>
              </w:rPr>
            </w:pPr>
          </w:p>
        </w:tc>
      </w:tr>
      <w:tr>
        <w:trPr>
          <w:trHeight w:val="187"/>
        </w:trPr>
        <w:tc>
          <w:tcPr>
            <w:tcW w:w="3640" w:type="dxa"/>
            <w:vAlign w:val="bottom"/>
            <w:tcBorders>
              <w:right w:val="single" w:sz="8" w:color="636466"/>
            </w:tcBorders>
          </w:tcPr>
          <w:p>
            <w:pPr>
              <w:spacing w:after="0"/>
              <w:rPr>
                <w:sz w:val="16"/>
                <w:szCs w:val="16"/>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The Company's unique portfolio addresses some of the world's most critical</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40" w:type="dxa"/>
            <w:vAlign w:val="bottom"/>
            <w:tcBorders>
              <w:right w:val="single" w:sz="8" w:color="636466"/>
            </w:tcBorders>
          </w:tcPr>
          <w:p>
            <w:pPr>
              <w:spacing w:after="0"/>
              <w:rPr>
                <w:sz w:val="16"/>
                <w:szCs w:val="16"/>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w w:val="99"/>
              </w:rPr>
              <w:t>challenges to improve efficiency, safety and make a positive impact on people and</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40" w:type="dxa"/>
            <w:vAlign w:val="bottom"/>
            <w:tcBorders>
              <w:right w:val="single" w:sz="8" w:color="636466"/>
            </w:tcBorders>
          </w:tcPr>
          <w:p>
            <w:pPr>
              <w:spacing w:after="0"/>
              <w:rPr>
                <w:sz w:val="18"/>
                <w:szCs w:val="18"/>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the planet.</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9"/>
        </w:trPr>
        <w:tc>
          <w:tcPr>
            <w:tcW w:w="3640" w:type="dxa"/>
            <w:vAlign w:val="bottom"/>
            <w:tcBorders>
              <w:right w:val="single" w:sz="8" w:color="636466"/>
            </w:tcBorders>
          </w:tcPr>
          <w:p>
            <w:pPr>
              <w:spacing w:after="0"/>
              <w:rPr>
                <w:sz w:val="24"/>
                <w:szCs w:val="24"/>
                <w:color w:val="auto"/>
              </w:rPr>
            </w:pPr>
          </w:p>
        </w:tc>
        <w:tc>
          <w:tcPr>
            <w:tcW w:w="7300" w:type="dxa"/>
            <w:vAlign w:val="bottom"/>
            <w:gridSpan w:val="2"/>
          </w:tcPr>
          <w:p>
            <w:pPr>
              <w:ind w:left="380"/>
              <w:spacing w:after="0"/>
              <w:rPr>
                <w:sz w:val="20"/>
                <w:szCs w:val="20"/>
                <w:color w:val="auto"/>
              </w:rPr>
            </w:pPr>
            <w:r>
              <w:rPr>
                <w:rFonts w:ascii="Arial" w:cs="Arial" w:eastAsia="Arial" w:hAnsi="Arial"/>
                <w:sz w:val="16"/>
                <w:szCs w:val="16"/>
                <w:color w:val="auto"/>
              </w:rPr>
              <w:t>With 2023 behind us, I would like to take the opportunity to discuss how the Wabtec</w:t>
            </w:r>
          </w:p>
        </w:tc>
        <w:tc>
          <w:tcPr>
            <w:tcW w:w="0" w:type="dxa"/>
            <w:vAlign w:val="bottom"/>
          </w:tcPr>
          <w:p>
            <w:pPr>
              <w:spacing w:after="0"/>
              <w:rPr>
                <w:sz w:val="1"/>
                <w:szCs w:val="1"/>
                <w:color w:val="auto"/>
              </w:rPr>
            </w:pPr>
          </w:p>
        </w:tc>
      </w:tr>
      <w:tr>
        <w:trPr>
          <w:trHeight w:val="187"/>
        </w:trPr>
        <w:tc>
          <w:tcPr>
            <w:tcW w:w="3640" w:type="dxa"/>
            <w:vAlign w:val="bottom"/>
            <w:tcBorders>
              <w:right w:val="single" w:sz="8" w:color="636466"/>
            </w:tcBorders>
          </w:tcPr>
          <w:p>
            <w:pPr>
              <w:spacing w:after="0"/>
              <w:rPr>
                <w:sz w:val="16"/>
                <w:szCs w:val="16"/>
                <w:color w:val="auto"/>
              </w:rPr>
            </w:pPr>
          </w:p>
        </w:tc>
        <w:tc>
          <w:tcPr>
            <w:tcW w:w="7300" w:type="dxa"/>
            <w:vAlign w:val="bottom"/>
            <w:gridSpan w:val="2"/>
          </w:tcPr>
          <w:p>
            <w:pPr>
              <w:ind w:left="380"/>
              <w:spacing w:after="0"/>
              <w:rPr>
                <w:sz w:val="20"/>
                <w:szCs w:val="20"/>
                <w:color w:val="auto"/>
              </w:rPr>
            </w:pPr>
            <w:r>
              <w:rPr>
                <w:rFonts w:ascii="Arial" w:cs="Arial" w:eastAsia="Arial" w:hAnsi="Arial"/>
                <w:sz w:val="16"/>
                <w:szCs w:val="16"/>
                <w:color w:val="auto"/>
              </w:rPr>
              <w:t>Board of Directors has worked on your behalf. As members on the Board, we have</w:t>
            </w:r>
          </w:p>
        </w:tc>
        <w:tc>
          <w:tcPr>
            <w:tcW w:w="0" w:type="dxa"/>
            <w:vAlign w:val="bottom"/>
          </w:tcPr>
          <w:p>
            <w:pPr>
              <w:spacing w:after="0"/>
              <w:rPr>
                <w:sz w:val="1"/>
                <w:szCs w:val="1"/>
                <w:color w:val="auto"/>
              </w:rPr>
            </w:pPr>
          </w:p>
        </w:tc>
      </w:tr>
      <w:tr>
        <w:trPr>
          <w:trHeight w:val="187"/>
        </w:trPr>
        <w:tc>
          <w:tcPr>
            <w:tcW w:w="3640" w:type="dxa"/>
            <w:vAlign w:val="bottom"/>
            <w:tcBorders>
              <w:right w:val="single" w:sz="8" w:color="636466"/>
            </w:tcBorders>
          </w:tcPr>
          <w:p>
            <w:pPr>
              <w:spacing w:after="0"/>
              <w:rPr>
                <w:sz w:val="16"/>
                <w:szCs w:val="16"/>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a duty to understand the perspectives of our stockholders, provide oversight of</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40" w:type="dxa"/>
            <w:vAlign w:val="bottom"/>
            <w:tcBorders>
              <w:right w:val="single" w:sz="8" w:color="636466"/>
            </w:tcBorders>
          </w:tcPr>
          <w:p>
            <w:pPr>
              <w:spacing w:after="0"/>
              <w:rPr>
                <w:sz w:val="18"/>
                <w:szCs w:val="18"/>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material risks and provide long-term guidance to the Company's strategic vision.</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9"/>
        </w:trPr>
        <w:tc>
          <w:tcPr>
            <w:tcW w:w="3640" w:type="dxa"/>
            <w:vAlign w:val="bottom"/>
            <w:tcBorders>
              <w:right w:val="single" w:sz="8" w:color="636466"/>
            </w:tcBorders>
          </w:tcPr>
          <w:p>
            <w:pPr>
              <w:spacing w:after="0"/>
              <w:rPr>
                <w:sz w:val="24"/>
                <w:szCs w:val="24"/>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Your Board is comprised of leaders with extensive global corporate strategy, rail</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640" w:type="dxa"/>
            <w:vAlign w:val="bottom"/>
            <w:tcBorders>
              <w:right w:val="single" w:sz="8" w:color="636466"/>
            </w:tcBorders>
          </w:tcPr>
          <w:p>
            <w:pPr>
              <w:spacing w:after="0"/>
              <w:rPr>
                <w:sz w:val="16"/>
                <w:szCs w:val="16"/>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industry, risk management, technology and innovation, corporate finance,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40" w:type="dxa"/>
            <w:vAlign w:val="bottom"/>
            <w:tcBorders>
              <w:right w:val="single" w:sz="8" w:color="636466"/>
            </w:tcBorders>
          </w:tcPr>
          <w:p>
            <w:pPr>
              <w:spacing w:after="0"/>
              <w:rPr>
                <w:sz w:val="16"/>
                <w:szCs w:val="16"/>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regulatory and compliance and ESG experience. Wabtec seeks to maintain a</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40" w:type="dxa"/>
            <w:vAlign w:val="bottom"/>
            <w:tcBorders>
              <w:right w:val="single" w:sz="8" w:color="636466"/>
            </w:tcBorders>
          </w:tcPr>
          <w:p>
            <w:pPr>
              <w:spacing w:after="0"/>
              <w:rPr>
                <w:sz w:val="16"/>
                <w:szCs w:val="16"/>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contemporary Board and is committed to refreshment to ensure leadership</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40" w:type="dxa"/>
            <w:vAlign w:val="bottom"/>
            <w:tcBorders>
              <w:right w:val="single" w:sz="8" w:color="636466"/>
            </w:tcBorders>
          </w:tcPr>
          <w:p>
            <w:pPr>
              <w:spacing w:after="0"/>
              <w:rPr>
                <w:sz w:val="16"/>
                <w:szCs w:val="16"/>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expertise in areas that are critical to long-term business growth, risk oversight and</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40" w:type="dxa"/>
            <w:vAlign w:val="bottom"/>
            <w:tcBorders>
              <w:right w:val="single" w:sz="8" w:color="636466"/>
            </w:tcBorders>
          </w:tcPr>
          <w:p>
            <w:pPr>
              <w:spacing w:after="0"/>
              <w:rPr>
                <w:sz w:val="16"/>
                <w:szCs w:val="16"/>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to support future value creation. We believe a variety of perspectives facilitates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40" w:type="dxa"/>
            <w:vAlign w:val="bottom"/>
            <w:tcBorders>
              <w:right w:val="single" w:sz="8" w:color="636466"/>
            </w:tcBorders>
          </w:tcPr>
          <w:p>
            <w:pPr>
              <w:spacing w:after="0"/>
              <w:rPr>
                <w:sz w:val="16"/>
                <w:szCs w:val="16"/>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effective decision making, helps drive long-term value, and encourages different</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40" w:type="dxa"/>
            <w:vAlign w:val="bottom"/>
            <w:tcBorders>
              <w:right w:val="single" w:sz="8" w:color="636466"/>
            </w:tcBorders>
          </w:tcPr>
          <w:p>
            <w:pPr>
              <w:spacing w:after="0"/>
              <w:rPr>
                <w:sz w:val="16"/>
                <w:szCs w:val="16"/>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views on risk, business strategy and innovation.</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40" w:type="dxa"/>
            <w:vAlign w:val="bottom"/>
            <w:tcBorders>
              <w:right w:val="single" w:sz="8" w:color="636466"/>
            </w:tcBorders>
          </w:tcPr>
          <w:p>
            <w:pPr>
              <w:spacing w:after="0"/>
              <w:rPr>
                <w:sz w:val="16"/>
                <w:szCs w:val="16"/>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 </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40" w:type="dxa"/>
            <w:vAlign w:val="bottom"/>
            <w:tcBorders>
              <w:right w:val="single" w:sz="8" w:color="636466"/>
            </w:tcBorders>
          </w:tcPr>
          <w:p>
            <w:pPr>
              <w:spacing w:after="0"/>
              <w:rPr>
                <w:sz w:val="18"/>
                <w:szCs w:val="18"/>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Of note:</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5"/>
        </w:trPr>
        <w:tc>
          <w:tcPr>
            <w:tcW w:w="3640" w:type="dxa"/>
            <w:vAlign w:val="bottom"/>
            <w:tcBorders>
              <w:right w:val="single" w:sz="8" w:color="636466"/>
            </w:tcBorders>
          </w:tcPr>
          <w:p>
            <w:pPr>
              <w:spacing w:after="0"/>
              <w:rPr>
                <w:sz w:val="24"/>
                <w:szCs w:val="24"/>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Five of nine directors joined the board in the last four years.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3640" w:type="dxa"/>
            <w:vAlign w:val="bottom"/>
            <w:tcBorders>
              <w:right w:val="single" w:sz="8" w:color="636466"/>
            </w:tcBorders>
          </w:tcPr>
          <w:p>
            <w:pPr>
              <w:spacing w:after="0"/>
              <w:rPr>
                <w:sz w:val="24"/>
                <w:szCs w:val="24"/>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33% of directors are gender diverse.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3640" w:type="dxa"/>
            <w:vAlign w:val="bottom"/>
            <w:tcBorders>
              <w:right w:val="single" w:sz="8" w:color="636466"/>
            </w:tcBorders>
          </w:tcPr>
          <w:p>
            <w:pPr>
              <w:spacing w:after="0"/>
              <w:rPr>
                <w:sz w:val="24"/>
                <w:szCs w:val="24"/>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22% of directors are ethnically or racially diverse.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3640" w:type="dxa"/>
            <w:vAlign w:val="bottom"/>
            <w:tcBorders>
              <w:right w:val="single" w:sz="8" w:color="636466"/>
            </w:tcBorders>
          </w:tcPr>
          <w:p>
            <w:pPr>
              <w:spacing w:after="0"/>
              <w:rPr>
                <w:sz w:val="24"/>
                <w:szCs w:val="24"/>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Eight of nine directors have served in senior leadership roles and/or on the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640" w:type="dxa"/>
            <w:vAlign w:val="bottom"/>
            <w:tcBorders>
              <w:right w:val="single" w:sz="8" w:color="636466"/>
            </w:tcBorders>
          </w:tcPr>
          <w:p>
            <w:pPr>
              <w:spacing w:after="0"/>
              <w:rPr>
                <w:sz w:val="18"/>
                <w:szCs w:val="18"/>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Boards of significantly sized publicly traded companies.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640" w:type="dxa"/>
            <w:vAlign w:val="bottom"/>
            <w:tcBorders>
              <w:right w:val="single" w:sz="8" w:color="636466"/>
            </w:tcBorders>
          </w:tcPr>
          <w:p>
            <w:pPr>
              <w:spacing w:after="0"/>
              <w:rPr>
                <w:sz w:val="8"/>
                <w:szCs w:val="8"/>
                <w:color w:val="auto"/>
              </w:rPr>
            </w:pPr>
          </w:p>
        </w:tc>
        <w:tc>
          <w:tcPr>
            <w:tcW w:w="6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3640" w:type="dxa"/>
            <w:vAlign w:val="bottom"/>
            <w:tcBorders>
              <w:bottom w:val="single" w:sz="8" w:color="auto"/>
            </w:tcBorders>
          </w:tcPr>
          <w:p>
            <w:pPr>
              <w:spacing w:after="0"/>
              <w:rPr>
                <w:sz w:val="15"/>
                <w:szCs w:val="15"/>
                <w:color w:val="auto"/>
              </w:rPr>
            </w:pPr>
          </w:p>
        </w:tc>
        <w:tc>
          <w:tcPr>
            <w:tcW w:w="6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838200</wp:posOffset>
            </wp:positionH>
            <wp:positionV relativeFrom="paragraph">
              <wp:posOffset>-5814695</wp:posOffset>
            </wp:positionV>
            <wp:extent cx="1062990" cy="1062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62990" cy="1062990"/>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sectPr>
      </w:pPr>
    </w:p>
    <w:bookmarkStart w:id="4" w:name="page5"/>
    <w:bookmarkEnd w:id="4"/>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640" w:type="dxa"/>
            <w:vAlign w:val="bottom"/>
            <w:tcBorders>
              <w:right w:val="single" w:sz="8" w:color="636466"/>
            </w:tcBorders>
          </w:tcPr>
          <w:p>
            <w:pPr>
              <w:ind w:left="1320"/>
              <w:spacing w:after="0"/>
              <w:rPr>
                <w:sz w:val="20"/>
                <w:szCs w:val="20"/>
                <w:color w:val="auto"/>
              </w:rPr>
            </w:pPr>
            <w:r>
              <w:rPr>
                <w:rFonts w:ascii="Arial" w:cs="Arial" w:eastAsia="Arial" w:hAnsi="Arial"/>
                <w:sz w:val="16"/>
                <w:szCs w:val="16"/>
                <w:color w:val="auto"/>
              </w:rPr>
              <w:t> </w:t>
            </w:r>
          </w:p>
        </w:tc>
        <w:tc>
          <w:tcPr>
            <w:tcW w:w="6220" w:type="dxa"/>
            <w:vAlign w:val="bottom"/>
            <w:vMerge w:val="restart"/>
          </w:tcPr>
          <w:p>
            <w:pPr>
              <w:ind w:left="380"/>
              <w:spacing w:after="0"/>
              <w:rPr>
                <w:sz w:val="20"/>
                <w:szCs w:val="20"/>
                <w:color w:val="auto"/>
              </w:rPr>
            </w:pPr>
            <w:r>
              <w:rPr>
                <w:rFonts w:ascii="Arial" w:cs="Arial" w:eastAsia="Arial" w:hAnsi="Arial"/>
                <w:sz w:val="16"/>
                <w:szCs w:val="16"/>
                <w:color w:val="auto"/>
              </w:rPr>
              <w:t>Your Board is committed to engaging directly with the Company's stockholders. In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640" w:type="dxa"/>
            <w:vAlign w:val="bottom"/>
            <w:tcBorders>
              <w:right w:val="single" w:sz="8" w:color="636466"/>
            </w:tcBorders>
          </w:tcPr>
          <w:p>
            <w:pPr>
              <w:spacing w:after="0"/>
              <w:rPr>
                <w:sz w:val="4"/>
                <w:szCs w:val="4"/>
                <w:color w:val="auto"/>
              </w:rPr>
            </w:pPr>
          </w:p>
        </w:tc>
        <w:tc>
          <w:tcPr>
            <w:tcW w:w="622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640" w:type="dxa"/>
            <w:vAlign w:val="bottom"/>
            <w:tcBorders>
              <w:right w:val="single" w:sz="8" w:color="636466"/>
            </w:tcBorders>
          </w:tcPr>
          <w:p>
            <w:pPr>
              <w:spacing w:after="0"/>
              <w:rPr>
                <w:sz w:val="16"/>
                <w:szCs w:val="16"/>
                <w:color w:val="auto"/>
              </w:rPr>
            </w:pPr>
          </w:p>
        </w:tc>
        <w:tc>
          <w:tcPr>
            <w:tcW w:w="7300" w:type="dxa"/>
            <w:vAlign w:val="bottom"/>
            <w:gridSpan w:val="2"/>
          </w:tcPr>
          <w:p>
            <w:pPr>
              <w:ind w:left="380"/>
              <w:spacing w:after="0"/>
              <w:rPr>
                <w:sz w:val="20"/>
                <w:szCs w:val="20"/>
                <w:color w:val="auto"/>
              </w:rPr>
            </w:pPr>
            <w:r>
              <w:rPr>
                <w:rFonts w:ascii="Arial" w:cs="Arial" w:eastAsia="Arial" w:hAnsi="Arial"/>
                <w:sz w:val="16"/>
                <w:szCs w:val="16"/>
                <w:color w:val="auto"/>
              </w:rPr>
              <w:t>2023, Wabtec's held meetings dedicated to strategy, governance, sustainability and</w:t>
            </w:r>
          </w:p>
        </w:tc>
        <w:tc>
          <w:tcPr>
            <w:tcW w:w="0" w:type="dxa"/>
            <w:vAlign w:val="bottom"/>
          </w:tcPr>
          <w:p>
            <w:pPr>
              <w:spacing w:after="0"/>
              <w:rPr>
                <w:sz w:val="1"/>
                <w:szCs w:val="1"/>
                <w:color w:val="auto"/>
              </w:rPr>
            </w:pPr>
          </w:p>
        </w:tc>
      </w:tr>
      <w:tr>
        <w:trPr>
          <w:trHeight w:val="187"/>
        </w:trPr>
        <w:tc>
          <w:tcPr>
            <w:tcW w:w="3640" w:type="dxa"/>
            <w:vAlign w:val="bottom"/>
            <w:tcBorders>
              <w:right w:val="single" w:sz="8" w:color="636466"/>
            </w:tcBorders>
          </w:tcPr>
          <w:p>
            <w:pPr>
              <w:spacing w:after="0"/>
              <w:rPr>
                <w:sz w:val="16"/>
                <w:szCs w:val="16"/>
                <w:color w:val="auto"/>
              </w:rPr>
            </w:pPr>
          </w:p>
        </w:tc>
        <w:tc>
          <w:tcPr>
            <w:tcW w:w="7300" w:type="dxa"/>
            <w:vAlign w:val="bottom"/>
            <w:gridSpan w:val="2"/>
          </w:tcPr>
          <w:p>
            <w:pPr>
              <w:ind w:left="380"/>
              <w:spacing w:after="0"/>
              <w:rPr>
                <w:sz w:val="20"/>
                <w:szCs w:val="20"/>
                <w:color w:val="auto"/>
              </w:rPr>
            </w:pPr>
            <w:r>
              <w:rPr>
                <w:rFonts w:ascii="Arial" w:cs="Arial" w:eastAsia="Arial" w:hAnsi="Arial"/>
                <w:sz w:val="16"/>
                <w:szCs w:val="16"/>
                <w:color w:val="auto"/>
              </w:rPr>
              <w:t>social topics with stockholders representing 69% of shares outstanding. The strong</w:t>
            </w:r>
          </w:p>
        </w:tc>
        <w:tc>
          <w:tcPr>
            <w:tcW w:w="0" w:type="dxa"/>
            <w:vAlign w:val="bottom"/>
          </w:tcPr>
          <w:p>
            <w:pPr>
              <w:spacing w:after="0"/>
              <w:rPr>
                <w:sz w:val="1"/>
                <w:szCs w:val="1"/>
                <w:color w:val="auto"/>
              </w:rPr>
            </w:pPr>
          </w:p>
        </w:tc>
      </w:tr>
      <w:tr>
        <w:trPr>
          <w:trHeight w:val="187"/>
        </w:trPr>
        <w:tc>
          <w:tcPr>
            <w:tcW w:w="3640" w:type="dxa"/>
            <w:vAlign w:val="bottom"/>
            <w:tcBorders>
              <w:right w:val="single" w:sz="8" w:color="636466"/>
            </w:tcBorders>
          </w:tcPr>
          <w:p>
            <w:pPr>
              <w:spacing w:after="0"/>
              <w:rPr>
                <w:sz w:val="16"/>
                <w:szCs w:val="16"/>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engagement and continued open dialogue with our stockholders help make the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40" w:type="dxa"/>
            <w:vAlign w:val="bottom"/>
            <w:tcBorders>
              <w:right w:val="single" w:sz="8" w:color="636466"/>
            </w:tcBorders>
          </w:tcPr>
          <w:p>
            <w:pPr>
              <w:spacing w:after="0"/>
              <w:rPr>
                <w:sz w:val="18"/>
                <w:szCs w:val="18"/>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Company stronger.</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9"/>
        </w:trPr>
        <w:tc>
          <w:tcPr>
            <w:tcW w:w="3640" w:type="dxa"/>
            <w:vAlign w:val="bottom"/>
            <w:tcBorders>
              <w:right w:val="single" w:sz="8" w:color="636466"/>
            </w:tcBorders>
          </w:tcPr>
          <w:p>
            <w:pPr>
              <w:spacing w:after="0"/>
              <w:rPr>
                <w:sz w:val="24"/>
                <w:szCs w:val="24"/>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The Company is continuing to invent solutions and technologies that will drive the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640" w:type="dxa"/>
            <w:vAlign w:val="bottom"/>
            <w:tcBorders>
              <w:right w:val="single" w:sz="8" w:color="636466"/>
            </w:tcBorders>
          </w:tcPr>
          <w:p>
            <w:pPr>
              <w:spacing w:after="0"/>
              <w:rPr>
                <w:sz w:val="16"/>
                <w:szCs w:val="16"/>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industry and the world toward a more efficient and sustainable future. I have the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40" w:type="dxa"/>
            <w:vAlign w:val="bottom"/>
            <w:tcBorders>
              <w:right w:val="single" w:sz="8" w:color="636466"/>
            </w:tcBorders>
          </w:tcPr>
          <w:p>
            <w:pPr>
              <w:spacing w:after="0"/>
              <w:rPr>
                <w:sz w:val="16"/>
                <w:szCs w:val="16"/>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utmost confidence in where the Company is headed. I speak for the entire Board</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40" w:type="dxa"/>
            <w:vAlign w:val="bottom"/>
            <w:tcBorders>
              <w:right w:val="single" w:sz="8" w:color="636466"/>
            </w:tcBorders>
          </w:tcPr>
          <w:p>
            <w:pPr>
              <w:spacing w:after="0"/>
              <w:rPr>
                <w:sz w:val="16"/>
                <w:szCs w:val="16"/>
                <w:color w:val="auto"/>
              </w:rPr>
            </w:pPr>
          </w:p>
        </w:tc>
        <w:tc>
          <w:tcPr>
            <w:tcW w:w="7300" w:type="dxa"/>
            <w:vAlign w:val="bottom"/>
            <w:gridSpan w:val="2"/>
          </w:tcPr>
          <w:p>
            <w:pPr>
              <w:ind w:left="380"/>
              <w:spacing w:after="0"/>
              <w:rPr>
                <w:sz w:val="20"/>
                <w:szCs w:val="20"/>
                <w:color w:val="auto"/>
              </w:rPr>
            </w:pPr>
            <w:r>
              <w:rPr>
                <w:rFonts w:ascii="Arial" w:cs="Arial" w:eastAsia="Arial" w:hAnsi="Arial"/>
                <w:sz w:val="16"/>
                <w:szCs w:val="16"/>
                <w:color w:val="auto"/>
              </w:rPr>
              <w:t>when I say I am highly encouraged by Wabtec’s progress and eager to see all it will</w:t>
            </w:r>
          </w:p>
        </w:tc>
        <w:tc>
          <w:tcPr>
            <w:tcW w:w="0" w:type="dxa"/>
            <w:vAlign w:val="bottom"/>
          </w:tcPr>
          <w:p>
            <w:pPr>
              <w:spacing w:after="0"/>
              <w:rPr>
                <w:sz w:val="1"/>
                <w:szCs w:val="1"/>
                <w:color w:val="auto"/>
              </w:rPr>
            </w:pPr>
          </w:p>
        </w:tc>
      </w:tr>
      <w:tr>
        <w:trPr>
          <w:trHeight w:val="213"/>
        </w:trPr>
        <w:tc>
          <w:tcPr>
            <w:tcW w:w="3640" w:type="dxa"/>
            <w:vAlign w:val="bottom"/>
            <w:tcBorders>
              <w:right w:val="single" w:sz="8" w:color="636466"/>
            </w:tcBorders>
          </w:tcPr>
          <w:p>
            <w:pPr>
              <w:spacing w:after="0"/>
              <w:rPr>
                <w:sz w:val="18"/>
                <w:szCs w:val="18"/>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accomplish.</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9"/>
        </w:trPr>
        <w:tc>
          <w:tcPr>
            <w:tcW w:w="3640" w:type="dxa"/>
            <w:vAlign w:val="bottom"/>
            <w:tcBorders>
              <w:right w:val="single" w:sz="8" w:color="636466"/>
            </w:tcBorders>
          </w:tcPr>
          <w:p>
            <w:pPr>
              <w:spacing w:after="0"/>
              <w:rPr>
                <w:sz w:val="24"/>
                <w:szCs w:val="24"/>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Whether or not you plan to attend the Annual Meeting, please cast your vote by</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640" w:type="dxa"/>
            <w:vAlign w:val="bottom"/>
            <w:tcBorders>
              <w:right w:val="single" w:sz="8" w:color="636466"/>
            </w:tcBorders>
          </w:tcPr>
          <w:p>
            <w:pPr>
              <w:spacing w:after="0"/>
              <w:rPr>
                <w:sz w:val="16"/>
                <w:szCs w:val="16"/>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proxy over the Internet by following the instructions provided in the Notice, by</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40" w:type="dxa"/>
            <w:vAlign w:val="bottom"/>
            <w:tcBorders>
              <w:right w:val="single" w:sz="8" w:color="636466"/>
            </w:tcBorders>
          </w:tcPr>
          <w:p>
            <w:pPr>
              <w:spacing w:after="0"/>
              <w:rPr>
                <w:sz w:val="16"/>
                <w:szCs w:val="16"/>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telephone or by requesting a paper proxy card to sign, date and return by mail.</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40" w:type="dxa"/>
            <w:vAlign w:val="bottom"/>
            <w:tcBorders>
              <w:right w:val="single" w:sz="8" w:color="636466"/>
            </w:tcBorders>
          </w:tcPr>
          <w:p>
            <w:pPr>
              <w:spacing w:after="0"/>
              <w:rPr>
                <w:sz w:val="17"/>
                <w:szCs w:val="17"/>
                <w:color w:val="auto"/>
              </w:rPr>
            </w:pPr>
          </w:p>
        </w:tc>
        <w:tc>
          <w:tcPr>
            <w:tcW w:w="7300" w:type="dxa"/>
            <w:vAlign w:val="bottom"/>
            <w:gridSpan w:val="2"/>
          </w:tcPr>
          <w:p>
            <w:pPr>
              <w:ind w:left="380"/>
              <w:spacing w:after="0"/>
              <w:rPr>
                <w:sz w:val="20"/>
                <w:szCs w:val="20"/>
                <w:color w:val="auto"/>
              </w:rPr>
            </w:pPr>
            <w:r>
              <w:rPr>
                <w:rFonts w:ascii="Arial" w:cs="Arial" w:eastAsia="Arial" w:hAnsi="Arial"/>
                <w:sz w:val="16"/>
                <w:szCs w:val="16"/>
                <w:color w:val="auto"/>
              </w:rPr>
              <w:t xml:space="preserve">Regardless of the method used, please vote your shares so that enough shares   </w:t>
            </w:r>
            <w:r>
              <w:rPr>
                <w:rFonts w:ascii="Times New Roman" w:cs="Times New Roman" w:eastAsia="Times New Roman" w:hAnsi="Times New Roman"/>
                <w:sz w:val="7"/>
                <w:szCs w:val="7"/>
                <w:color w:val="auto"/>
                <w:vertAlign w:val="subscript"/>
              </w:rPr>
              <w:t>​</w:t>
            </w:r>
          </w:p>
        </w:tc>
        <w:tc>
          <w:tcPr>
            <w:tcW w:w="0" w:type="dxa"/>
            <w:vAlign w:val="bottom"/>
          </w:tcPr>
          <w:p>
            <w:pPr>
              <w:spacing w:after="0"/>
              <w:rPr>
                <w:sz w:val="1"/>
                <w:szCs w:val="1"/>
                <w:color w:val="auto"/>
              </w:rPr>
            </w:pPr>
          </w:p>
        </w:tc>
      </w:tr>
      <w:tr>
        <w:trPr>
          <w:trHeight w:val="173"/>
        </w:trPr>
        <w:tc>
          <w:tcPr>
            <w:tcW w:w="3640" w:type="dxa"/>
            <w:vAlign w:val="bottom"/>
            <w:tcBorders>
              <w:right w:val="single" w:sz="8" w:color="636466"/>
            </w:tcBorders>
          </w:tcPr>
          <w:p>
            <w:pPr>
              <w:spacing w:after="0"/>
              <w:rPr>
                <w:sz w:val="15"/>
                <w:szCs w:val="15"/>
                <w:color w:val="auto"/>
              </w:rPr>
            </w:pPr>
          </w:p>
        </w:tc>
        <w:tc>
          <w:tcPr>
            <w:tcW w:w="6220" w:type="dxa"/>
            <w:vAlign w:val="bottom"/>
          </w:tcPr>
          <w:p>
            <w:pPr>
              <w:ind w:left="380"/>
              <w:spacing w:after="0" w:line="174" w:lineRule="exact"/>
              <w:rPr>
                <w:sz w:val="20"/>
                <w:szCs w:val="20"/>
                <w:color w:val="auto"/>
              </w:rPr>
            </w:pPr>
            <w:r>
              <w:rPr>
                <w:rFonts w:ascii="Arial" w:cs="Arial" w:eastAsia="Arial" w:hAnsi="Arial"/>
                <w:sz w:val="16"/>
                <w:szCs w:val="16"/>
                <w:color w:val="auto"/>
              </w:rPr>
              <w:t>are represented to allow us to conduct the business of the Annual Meeting. Voting</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640" w:type="dxa"/>
            <w:vAlign w:val="bottom"/>
            <w:tcBorders>
              <w:right w:val="single" w:sz="8" w:color="636466"/>
            </w:tcBorders>
          </w:tcPr>
          <w:p>
            <w:pPr>
              <w:spacing w:after="0"/>
              <w:rPr>
                <w:sz w:val="16"/>
                <w:szCs w:val="16"/>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over the Internet, by telephone or by proxy card if you request one does not affect</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40" w:type="dxa"/>
            <w:vAlign w:val="bottom"/>
            <w:tcBorders>
              <w:right w:val="single" w:sz="8" w:color="636466"/>
            </w:tcBorders>
          </w:tcPr>
          <w:p>
            <w:pPr>
              <w:spacing w:after="0"/>
              <w:rPr>
                <w:sz w:val="16"/>
                <w:szCs w:val="16"/>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your right to vote while you attend the virtual Annual Meeting.</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40" w:type="dxa"/>
            <w:vAlign w:val="bottom"/>
            <w:tcBorders>
              <w:right w:val="single" w:sz="8" w:color="636466"/>
            </w:tcBorders>
          </w:tcPr>
          <w:p>
            <w:pPr>
              <w:spacing w:after="0"/>
              <w:rPr>
                <w:sz w:val="18"/>
                <w:szCs w:val="18"/>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 </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3640" w:type="dxa"/>
            <w:vAlign w:val="bottom"/>
            <w:tcBorders>
              <w:right w:val="single" w:sz="8" w:color="636466"/>
            </w:tcBorders>
          </w:tcPr>
          <w:p>
            <w:pPr>
              <w:spacing w:after="0"/>
              <w:rPr>
                <w:sz w:val="24"/>
                <w:szCs w:val="24"/>
                <w:color w:val="auto"/>
              </w:rPr>
            </w:pPr>
          </w:p>
        </w:tc>
        <w:tc>
          <w:tcPr>
            <w:tcW w:w="6220" w:type="dxa"/>
            <w:vAlign w:val="bottom"/>
            <w:vMerge w:val="restart"/>
          </w:tcPr>
          <w:p>
            <w:pPr>
              <w:ind w:left="380"/>
              <w:spacing w:after="0"/>
              <w:rPr>
                <w:sz w:val="20"/>
                <w:szCs w:val="20"/>
                <w:color w:val="auto"/>
              </w:rPr>
            </w:pPr>
            <w:r>
              <w:rPr>
                <w:rFonts w:ascii="Arial" w:cs="Arial" w:eastAsia="Arial" w:hAnsi="Arial"/>
                <w:sz w:val="16"/>
                <w:szCs w:val="16"/>
                <w:color w:val="auto"/>
              </w:rPr>
              <w:t>Sincerely yours,</w:t>
            </w:r>
          </w:p>
        </w:tc>
        <w:tc>
          <w:tcPr>
            <w:tcW w:w="10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96"/>
        </w:trPr>
        <w:tc>
          <w:tcPr>
            <w:tcW w:w="3640" w:type="dxa"/>
            <w:vAlign w:val="bottom"/>
            <w:tcBorders>
              <w:right w:val="single" w:sz="8" w:color="636466"/>
            </w:tcBorders>
          </w:tcPr>
          <w:p>
            <w:pPr>
              <w:spacing w:after="0"/>
              <w:rPr>
                <w:sz w:val="8"/>
                <w:szCs w:val="8"/>
                <w:color w:val="auto"/>
              </w:rPr>
            </w:pPr>
          </w:p>
        </w:tc>
        <w:tc>
          <w:tcPr>
            <w:tcW w:w="622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4"/>
        </w:trPr>
        <w:tc>
          <w:tcPr>
            <w:tcW w:w="3640" w:type="dxa"/>
            <w:vAlign w:val="bottom"/>
            <w:tcBorders>
              <w:right w:val="single" w:sz="8" w:color="636466"/>
            </w:tcBorders>
          </w:tcPr>
          <w:p>
            <w:pPr>
              <w:spacing w:after="0"/>
              <w:rPr>
                <w:sz w:val="24"/>
                <w:szCs w:val="24"/>
                <w:color w:val="auto"/>
              </w:rPr>
            </w:pPr>
          </w:p>
        </w:tc>
        <w:tc>
          <w:tcPr>
            <w:tcW w:w="62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16"/>
        </w:trPr>
        <w:tc>
          <w:tcPr>
            <w:tcW w:w="3640" w:type="dxa"/>
            <w:vAlign w:val="bottom"/>
            <w:tcBorders>
              <w:right w:val="single" w:sz="8" w:color="636466"/>
            </w:tcBorders>
          </w:tcPr>
          <w:p>
            <w:pPr>
              <w:spacing w:after="0"/>
              <w:rPr>
                <w:sz w:val="18"/>
                <w:szCs w:val="18"/>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 </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9"/>
        </w:trPr>
        <w:tc>
          <w:tcPr>
            <w:tcW w:w="3640" w:type="dxa"/>
            <w:vAlign w:val="bottom"/>
            <w:tcBorders>
              <w:right w:val="single" w:sz="8" w:color="636466"/>
            </w:tcBorders>
          </w:tcPr>
          <w:p>
            <w:pPr>
              <w:spacing w:after="0"/>
              <w:rPr>
                <w:sz w:val="24"/>
                <w:szCs w:val="24"/>
                <w:color w:val="auto"/>
              </w:rPr>
            </w:pPr>
          </w:p>
        </w:tc>
        <w:tc>
          <w:tcPr>
            <w:tcW w:w="6220" w:type="dxa"/>
            <w:vAlign w:val="bottom"/>
          </w:tcPr>
          <w:p>
            <w:pPr>
              <w:ind w:left="380"/>
              <w:spacing w:after="0"/>
              <w:rPr>
                <w:sz w:val="20"/>
                <w:szCs w:val="20"/>
                <w:color w:val="auto"/>
              </w:rPr>
            </w:pPr>
            <w:r>
              <w:rPr>
                <w:rFonts w:ascii="Arial" w:cs="Arial" w:eastAsia="Arial" w:hAnsi="Arial"/>
                <w:sz w:val="16"/>
                <w:szCs w:val="16"/>
                <w:b w:val="1"/>
                <w:bCs w:val="1"/>
                <w:color w:val="0C426A"/>
              </w:rPr>
              <w:t>Albert J. Neupaver</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640" w:type="dxa"/>
            <w:vAlign w:val="bottom"/>
            <w:tcBorders>
              <w:right w:val="single" w:sz="8" w:color="636466"/>
            </w:tcBorders>
          </w:tcPr>
          <w:p>
            <w:pPr>
              <w:spacing w:after="0"/>
              <w:rPr>
                <w:sz w:val="10"/>
                <w:szCs w:val="10"/>
                <w:color w:val="auto"/>
              </w:rPr>
            </w:pPr>
          </w:p>
        </w:tc>
        <w:tc>
          <w:tcPr>
            <w:tcW w:w="6220" w:type="dxa"/>
            <w:vAlign w:val="bottom"/>
            <w:vMerge w:val="restart"/>
          </w:tcPr>
          <w:p>
            <w:pPr>
              <w:ind w:left="380"/>
              <w:spacing w:after="0"/>
              <w:rPr>
                <w:sz w:val="20"/>
                <w:szCs w:val="20"/>
                <w:color w:val="auto"/>
              </w:rPr>
            </w:pPr>
            <w:r>
              <w:rPr>
                <w:rFonts w:ascii="Arial" w:cs="Arial" w:eastAsia="Arial" w:hAnsi="Arial"/>
                <w:sz w:val="16"/>
                <w:szCs w:val="16"/>
                <w:color w:val="auto"/>
              </w:rPr>
              <w:t>Chairman of the Board</w:t>
            </w:r>
          </w:p>
        </w:tc>
        <w:tc>
          <w:tcPr>
            <w:tcW w:w="10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70"/>
        </w:trPr>
        <w:tc>
          <w:tcPr>
            <w:tcW w:w="3640" w:type="dxa"/>
            <w:vAlign w:val="bottom"/>
            <w:tcBorders>
              <w:right w:val="single" w:sz="8" w:color="636466"/>
            </w:tcBorders>
          </w:tcPr>
          <w:p>
            <w:pPr>
              <w:spacing w:after="0"/>
              <w:rPr>
                <w:sz w:val="6"/>
                <w:szCs w:val="6"/>
                <w:color w:val="auto"/>
              </w:rPr>
            </w:pPr>
          </w:p>
        </w:tc>
        <w:tc>
          <w:tcPr>
            <w:tcW w:w="622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3640" w:type="dxa"/>
            <w:vAlign w:val="bottom"/>
            <w:tcBorders>
              <w:right w:val="single" w:sz="8" w:color="636466"/>
            </w:tcBorders>
          </w:tcPr>
          <w:p>
            <w:pPr>
              <w:spacing w:after="0"/>
              <w:rPr>
                <w:sz w:val="18"/>
                <w:szCs w:val="18"/>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April 4, 2024</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640" w:type="dxa"/>
            <w:vAlign w:val="bottom"/>
            <w:tcBorders>
              <w:right w:val="single" w:sz="8" w:color="636466"/>
            </w:tcBorders>
          </w:tcPr>
          <w:p>
            <w:pPr>
              <w:spacing w:after="0"/>
              <w:rPr>
                <w:sz w:val="8"/>
                <w:szCs w:val="8"/>
                <w:color w:val="auto"/>
              </w:rPr>
            </w:pPr>
          </w:p>
        </w:tc>
        <w:tc>
          <w:tcPr>
            <w:tcW w:w="6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3640" w:type="dxa"/>
            <w:vAlign w:val="bottom"/>
            <w:tcBorders>
              <w:bottom w:val="single" w:sz="8" w:color="auto"/>
            </w:tcBorders>
          </w:tcPr>
          <w:p>
            <w:pPr>
              <w:spacing w:after="0"/>
              <w:rPr>
                <w:sz w:val="15"/>
                <w:szCs w:val="15"/>
                <w:color w:val="auto"/>
              </w:rPr>
            </w:pPr>
          </w:p>
        </w:tc>
        <w:tc>
          <w:tcPr>
            <w:tcW w:w="6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2555875</wp:posOffset>
            </wp:positionH>
            <wp:positionV relativeFrom="paragraph">
              <wp:posOffset>-1002665</wp:posOffset>
            </wp:positionV>
            <wp:extent cx="1470660" cy="229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0660" cy="229870"/>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Arial" w:cs="Arial" w:eastAsia="Arial" w:hAnsi="Arial"/>
          <w:sz w:val="42"/>
          <w:szCs w:val="42"/>
          <w:color w:val="E02826"/>
        </w:rPr>
        <w:t>Notice of 2024 Annual Meeting</w:t>
      </w:r>
    </w:p>
    <w:p>
      <w:pPr>
        <w:sectPr>
          <w:pgSz w:w="11900" w:h="16838" w:orient="portrait"/>
          <w:cols w:equalWidth="0" w:num="1">
            <w:col w:w="9019"/>
          </w:cols>
          <w:pgMar w:left="1440" w:top="115" w:right="1440" w:bottom="1440" w:gutter="0" w:footer="0" w:header="0"/>
        </w:sectPr>
      </w:pPr>
    </w:p>
    <w:p>
      <w:pPr>
        <w:spacing w:after="0" w:line="384" w:lineRule="exact"/>
        <w:rPr>
          <w:sz w:val="20"/>
          <w:szCs w:val="20"/>
          <w:color w:val="auto"/>
        </w:rPr>
      </w:pPr>
    </w:p>
    <w:p>
      <w:pPr>
        <w:ind w:left="780"/>
        <w:spacing w:after="0"/>
        <w:rPr>
          <w:sz w:val="20"/>
          <w:szCs w:val="20"/>
          <w:color w:val="auto"/>
        </w:rPr>
      </w:pPr>
      <w:r>
        <w:rPr>
          <w:rFonts w:ascii="Arial" w:cs="Arial" w:eastAsia="Arial" w:hAnsi="Arial"/>
          <w:sz w:val="12"/>
          <w:szCs w:val="12"/>
          <w:color w:val="auto"/>
        </w:rPr>
        <w:t>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-160655</wp:posOffset>
            </wp:positionV>
            <wp:extent cx="374015" cy="374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4015" cy="374015"/>
                    </a:xfrm>
                    <a:prstGeom prst="rect">
                      <a:avLst/>
                    </a:prstGeom>
                    <a:noFill/>
                  </pic:spPr>
                </pic:pic>
              </a:graphicData>
            </a:graphic>
          </wp:anchor>
        </w:drawing>
      </w:r>
    </w:p>
    <w:p>
      <w:pPr>
        <w:spacing w:after="0" w:line="16" w:lineRule="exact"/>
        <w:rPr>
          <w:sz w:val="20"/>
          <w:szCs w:val="20"/>
          <w:color w:val="auto"/>
        </w:rPr>
      </w:pPr>
    </w:p>
    <w:p>
      <w:pPr>
        <w:ind w:left="700" w:hanging="88"/>
        <w:spacing w:after="0"/>
        <w:tabs>
          <w:tab w:leader="none" w:pos="700" w:val="left"/>
        </w:tabs>
        <w:numPr>
          <w:ilvl w:val="0"/>
          <w:numId w:val="1"/>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w:t>
      </w:r>
      <w:r>
        <w:rPr>
          <w:rFonts w:ascii="Arial" w:cs="Arial" w:eastAsia="Arial" w:hAnsi="Arial"/>
          <w:sz w:val="12"/>
          <w:szCs w:val="12"/>
          <w:color w:val="auto"/>
        </w:rPr>
        <w:t>May 16, 2024</w:t>
      </w:r>
    </w:p>
    <w:p>
      <w:pPr>
        <w:spacing w:after="0" w:line="8" w:lineRule="exact"/>
        <w:rPr>
          <w:sz w:val="20"/>
          <w:szCs w:val="20"/>
          <w:color w:val="auto"/>
        </w:rPr>
      </w:pPr>
    </w:p>
    <w:p>
      <w:pPr>
        <w:ind w:left="780"/>
        <w:spacing w:after="0"/>
        <w:rPr>
          <w:sz w:val="20"/>
          <w:szCs w:val="20"/>
          <w:color w:val="auto"/>
        </w:rPr>
      </w:pPr>
      <w:r>
        <w:rPr>
          <w:rFonts w:ascii="Arial" w:cs="Arial" w:eastAsia="Arial" w:hAnsi="Arial"/>
          <w:sz w:val="12"/>
          <w:szCs w:val="12"/>
          <w:color w:val="auto"/>
        </w:rPr>
        <w:t>at 11:30 a.m. ET</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273050</wp:posOffset>
            </wp:positionV>
            <wp:extent cx="348615" cy="374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8615" cy="37401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780"/>
        <w:spacing w:after="0"/>
        <w:rPr>
          <w:sz w:val="20"/>
          <w:szCs w:val="20"/>
          <w:color w:val="auto"/>
        </w:rPr>
      </w:pPr>
      <w:r>
        <w:rPr>
          <w:rFonts w:ascii="Arial" w:cs="Arial" w:eastAsia="Arial" w:hAnsi="Arial"/>
          <w:sz w:val="12"/>
          <w:szCs w:val="12"/>
          <w:color w:val="auto"/>
        </w:rPr>
        <w:t>WHERE:</w:t>
      </w:r>
    </w:p>
    <w:p>
      <w:pPr>
        <w:spacing w:after="0" w:line="36" w:lineRule="exact"/>
        <w:rPr>
          <w:sz w:val="20"/>
          <w:szCs w:val="20"/>
          <w:color w:val="auto"/>
        </w:rPr>
      </w:pPr>
    </w:p>
    <w:p>
      <w:pPr>
        <w:jc w:val="right"/>
        <w:ind w:left="620" w:right="120"/>
        <w:spacing w:after="0" w:line="231" w:lineRule="auto"/>
        <w:rPr>
          <w:sz w:val="20"/>
          <w:szCs w:val="20"/>
          <w:color w:val="auto"/>
        </w:rPr>
      </w:pPr>
      <w:r>
        <w:rPr>
          <w:rFonts w:ascii="Times New Roman" w:cs="Times New Roman" w:eastAsia="Times New Roman" w:hAnsi="Times New Roman"/>
          <w:sz w:val="7"/>
          <w:szCs w:val="7"/>
          <w:color w:val="000000"/>
          <w:vertAlign w:val="superscript"/>
        </w:rPr>
        <w:t>​     ​</w:t>
      </w:r>
      <w:r>
        <w:rPr>
          <w:rFonts w:ascii="Arial" w:cs="Arial" w:eastAsia="Arial" w:hAnsi="Arial"/>
          <w:sz w:val="12"/>
          <w:szCs w:val="12"/>
          <w:b w:val="1"/>
          <w:bCs w:val="1"/>
          <w:color w:val="4297CB"/>
        </w:rPr>
        <w:t xml:space="preserve">    www.virtualshareholder meeting.com/WAB2024</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0C426A"/>
        </w:rPr>
        <w:t>How to Vote</w:t>
      </w:r>
    </w:p>
    <w:p>
      <w:pPr>
        <w:spacing w:after="0" w:line="67" w:lineRule="exact"/>
        <w:rPr>
          <w:sz w:val="20"/>
          <w:szCs w:val="20"/>
          <w:color w:val="auto"/>
        </w:rPr>
      </w:pPr>
    </w:p>
    <w:p>
      <w:pPr>
        <w:spacing w:after="0" w:line="248" w:lineRule="auto"/>
        <w:rPr>
          <w:sz w:val="20"/>
          <w:szCs w:val="20"/>
          <w:color w:val="auto"/>
        </w:rPr>
      </w:pPr>
      <w:r>
        <w:rPr>
          <w:rFonts w:ascii="Arial" w:cs="Arial" w:eastAsia="Arial" w:hAnsi="Arial"/>
          <w:sz w:val="12"/>
          <w:szCs w:val="12"/>
          <w:color w:val="auto"/>
        </w:rPr>
        <w:t>You may vote while attending the virtual meeting or by proxy. You will need the 16-digit number included in your proxy card, voting instruction form 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261620</wp:posOffset>
            </wp:positionV>
            <wp:extent cx="374015" cy="374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4015" cy="37401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780"/>
        <w:spacing w:after="0"/>
        <w:rPr>
          <w:sz w:val="20"/>
          <w:szCs w:val="20"/>
          <w:color w:val="auto"/>
        </w:rPr>
      </w:pPr>
      <w:r>
        <w:rPr>
          <w:rFonts w:ascii="Arial" w:cs="Arial" w:eastAsia="Arial" w:hAnsi="Arial"/>
          <w:sz w:val="12"/>
          <w:szCs w:val="12"/>
          <w:color w:val="auto"/>
        </w:rPr>
        <w:t>BY INTERNET:</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636466"/>
        </w:rPr>
        <w:t>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-166370</wp:posOffset>
            </wp:positionV>
            <wp:extent cx="8255" cy="6351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6351270"/>
                    </a:xfrm>
                    <a:prstGeom prst="rect">
                      <a:avLst/>
                    </a:prstGeom>
                    <a:noFill/>
                  </pic:spPr>
                </pic:pic>
              </a:graphicData>
            </a:graphic>
          </wp:anchor>
        </w:drawing>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37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Purpose</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40" w:type="dxa"/>
            <w:vAlign w:val="bottom"/>
            <w:gridSpan w:val="2"/>
          </w:tcPr>
          <w:p>
            <w:pPr>
              <w:ind w:left="420"/>
              <w:spacing w:after="0"/>
              <w:rPr>
                <w:sz w:val="20"/>
                <w:szCs w:val="20"/>
                <w:color w:val="auto"/>
              </w:rPr>
            </w:pPr>
            <w:r>
              <w:rPr>
                <w:rFonts w:ascii="Arial" w:cs="Arial" w:eastAsia="Arial" w:hAnsi="Arial"/>
                <w:sz w:val="14"/>
                <w:szCs w:val="14"/>
                <w:b w:val="1"/>
                <w:bCs w:val="1"/>
                <w:color w:val="auto"/>
              </w:rPr>
              <w:t>Board</w:t>
            </w: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gridSpan w:val="4"/>
          </w:tcPr>
          <w:p>
            <w:pPr>
              <w:jc w:val="cente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378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Recommendation</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4"/>
          </w:tcPr>
          <w:p>
            <w:pPr>
              <w:jc w:val="center"/>
              <w:spacing w:after="0"/>
              <w:rPr>
                <w:sz w:val="20"/>
                <w:szCs w:val="20"/>
                <w:color w:val="auto"/>
              </w:rPr>
            </w:pPr>
            <w:r>
              <w:rPr>
                <w:rFonts w:ascii="Arial" w:cs="Arial" w:eastAsia="Arial" w:hAnsi="Arial"/>
                <w:sz w:val="14"/>
                <w:szCs w:val="14"/>
                <w:b w:val="1"/>
                <w:bCs w:val="1"/>
                <w:color w:val="auto"/>
              </w:rPr>
              <w:t>Reference</w:t>
            </w:r>
          </w:p>
        </w:tc>
        <w:tc>
          <w:tcPr>
            <w:tcW w:w="0" w:type="dxa"/>
            <w:vAlign w:val="bottom"/>
          </w:tcPr>
          <w:p>
            <w:pPr>
              <w:spacing w:after="0"/>
              <w:rPr>
                <w:sz w:val="1"/>
                <w:szCs w:val="1"/>
                <w:color w:val="auto"/>
              </w:rPr>
            </w:pPr>
          </w:p>
        </w:tc>
      </w:tr>
      <w:tr>
        <w:trPr>
          <w:trHeight w:val="86"/>
        </w:trPr>
        <w:tc>
          <w:tcPr>
            <w:tcW w:w="200" w:type="dxa"/>
            <w:vAlign w:val="bottom"/>
            <w:tcBorders>
              <w:bottom w:val="single" w:sz="8" w:color="0C426A"/>
            </w:tcBorders>
          </w:tcPr>
          <w:p>
            <w:pPr>
              <w:spacing w:after="0"/>
              <w:rPr>
                <w:sz w:val="7"/>
                <w:szCs w:val="7"/>
                <w:color w:val="auto"/>
              </w:rPr>
            </w:pPr>
          </w:p>
        </w:tc>
        <w:tc>
          <w:tcPr>
            <w:tcW w:w="40" w:type="dxa"/>
            <w:vAlign w:val="bottom"/>
            <w:tcBorders>
              <w:bottom w:val="single" w:sz="8" w:color="0C426A"/>
            </w:tcBorders>
          </w:tcPr>
          <w:p>
            <w:pPr>
              <w:spacing w:after="0"/>
              <w:rPr>
                <w:sz w:val="7"/>
                <w:szCs w:val="7"/>
                <w:color w:val="auto"/>
              </w:rPr>
            </w:pPr>
          </w:p>
        </w:tc>
        <w:tc>
          <w:tcPr>
            <w:tcW w:w="80" w:type="dxa"/>
            <w:vAlign w:val="bottom"/>
            <w:tcBorders>
              <w:bottom w:val="single" w:sz="8" w:color="0C426A"/>
            </w:tcBorders>
          </w:tcPr>
          <w:p>
            <w:pPr>
              <w:spacing w:after="0"/>
              <w:rPr>
                <w:sz w:val="7"/>
                <w:szCs w:val="7"/>
                <w:color w:val="auto"/>
              </w:rPr>
            </w:pPr>
          </w:p>
        </w:tc>
        <w:tc>
          <w:tcPr>
            <w:tcW w:w="3460" w:type="dxa"/>
            <w:vAlign w:val="bottom"/>
            <w:tcBorders>
              <w:bottom w:val="single" w:sz="8" w:color="0C426A"/>
            </w:tcBorders>
          </w:tcPr>
          <w:p>
            <w:pPr>
              <w:spacing w:after="0"/>
              <w:rPr>
                <w:sz w:val="7"/>
                <w:szCs w:val="7"/>
                <w:color w:val="auto"/>
              </w:rPr>
            </w:pPr>
          </w:p>
        </w:tc>
        <w:tc>
          <w:tcPr>
            <w:tcW w:w="100" w:type="dxa"/>
            <w:vAlign w:val="bottom"/>
            <w:tcBorders>
              <w:bottom w:val="single" w:sz="8" w:color="0C426A"/>
            </w:tcBorders>
          </w:tcPr>
          <w:p>
            <w:pPr>
              <w:spacing w:after="0"/>
              <w:rPr>
                <w:sz w:val="7"/>
                <w:szCs w:val="7"/>
                <w:color w:val="auto"/>
              </w:rPr>
            </w:pPr>
          </w:p>
        </w:tc>
        <w:tc>
          <w:tcPr>
            <w:tcW w:w="80" w:type="dxa"/>
            <w:vAlign w:val="bottom"/>
            <w:tcBorders>
              <w:bottom w:val="single" w:sz="8" w:color="0C426A"/>
            </w:tcBorders>
          </w:tcPr>
          <w:p>
            <w:pPr>
              <w:spacing w:after="0"/>
              <w:rPr>
                <w:sz w:val="7"/>
                <w:szCs w:val="7"/>
                <w:color w:val="auto"/>
              </w:rPr>
            </w:pPr>
          </w:p>
        </w:tc>
        <w:tc>
          <w:tcPr>
            <w:tcW w:w="540" w:type="dxa"/>
            <w:vAlign w:val="bottom"/>
            <w:tcBorders>
              <w:bottom w:val="single" w:sz="8" w:color="0C426A"/>
            </w:tcBorders>
          </w:tcPr>
          <w:p>
            <w:pPr>
              <w:spacing w:after="0"/>
              <w:rPr>
                <w:sz w:val="7"/>
                <w:szCs w:val="7"/>
                <w:color w:val="auto"/>
              </w:rPr>
            </w:pPr>
          </w:p>
        </w:tc>
        <w:tc>
          <w:tcPr>
            <w:tcW w:w="700" w:type="dxa"/>
            <w:vAlign w:val="bottom"/>
            <w:tcBorders>
              <w:bottom w:val="single" w:sz="8" w:color="0C426A"/>
            </w:tcBorders>
          </w:tcPr>
          <w:p>
            <w:pPr>
              <w:spacing w:after="0"/>
              <w:rPr>
                <w:sz w:val="7"/>
                <w:szCs w:val="7"/>
                <w:color w:val="auto"/>
              </w:rPr>
            </w:pPr>
          </w:p>
        </w:tc>
        <w:tc>
          <w:tcPr>
            <w:tcW w:w="40" w:type="dxa"/>
            <w:vAlign w:val="bottom"/>
            <w:tcBorders>
              <w:bottom w:val="single" w:sz="8" w:color="0C426A"/>
            </w:tcBorders>
          </w:tcPr>
          <w:p>
            <w:pPr>
              <w:spacing w:after="0"/>
              <w:rPr>
                <w:sz w:val="7"/>
                <w:szCs w:val="7"/>
                <w:color w:val="auto"/>
              </w:rPr>
            </w:pPr>
          </w:p>
        </w:tc>
        <w:tc>
          <w:tcPr>
            <w:tcW w:w="80" w:type="dxa"/>
            <w:vAlign w:val="bottom"/>
            <w:tcBorders>
              <w:bottom w:val="single" w:sz="8" w:color="0C426A"/>
            </w:tcBorders>
          </w:tcPr>
          <w:p>
            <w:pPr>
              <w:spacing w:after="0"/>
              <w:rPr>
                <w:sz w:val="7"/>
                <w:szCs w:val="7"/>
                <w:color w:val="auto"/>
              </w:rPr>
            </w:pPr>
          </w:p>
        </w:tc>
        <w:tc>
          <w:tcPr>
            <w:tcW w:w="320" w:type="dxa"/>
            <w:vAlign w:val="bottom"/>
            <w:tcBorders>
              <w:bottom w:val="single" w:sz="8" w:color="0C426A"/>
            </w:tcBorders>
          </w:tcPr>
          <w:p>
            <w:pPr>
              <w:spacing w:after="0"/>
              <w:rPr>
                <w:sz w:val="7"/>
                <w:szCs w:val="7"/>
                <w:color w:val="auto"/>
              </w:rPr>
            </w:pPr>
          </w:p>
        </w:tc>
        <w:tc>
          <w:tcPr>
            <w:tcW w:w="140" w:type="dxa"/>
            <w:vAlign w:val="bottom"/>
            <w:tcBorders>
              <w:bottom w:val="single" w:sz="8" w:color="0C426A"/>
            </w:tcBorders>
          </w:tcPr>
          <w:p>
            <w:pPr>
              <w:spacing w:after="0"/>
              <w:rPr>
                <w:sz w:val="7"/>
                <w:szCs w:val="7"/>
                <w:color w:val="auto"/>
              </w:rPr>
            </w:pPr>
          </w:p>
        </w:tc>
        <w:tc>
          <w:tcPr>
            <w:tcW w:w="20" w:type="dxa"/>
            <w:vAlign w:val="bottom"/>
            <w:tcBorders>
              <w:bottom w:val="single" w:sz="8" w:color="0C426A"/>
            </w:tcBorders>
          </w:tcPr>
          <w:p>
            <w:pPr>
              <w:spacing w:after="0"/>
              <w:rPr>
                <w:sz w:val="7"/>
                <w:szCs w:val="7"/>
                <w:color w:val="auto"/>
              </w:rPr>
            </w:pPr>
          </w:p>
        </w:tc>
        <w:tc>
          <w:tcPr>
            <w:tcW w:w="260" w:type="dxa"/>
            <w:vAlign w:val="bottom"/>
            <w:tcBorders>
              <w:bottom w:val="single" w:sz="8" w:color="0C426A"/>
            </w:tcBorders>
          </w:tcPr>
          <w:p>
            <w:pPr>
              <w:spacing w:after="0"/>
              <w:rPr>
                <w:sz w:val="7"/>
                <w:szCs w:val="7"/>
                <w:color w:val="auto"/>
              </w:rPr>
            </w:pPr>
          </w:p>
        </w:tc>
        <w:tc>
          <w:tcPr>
            <w:tcW w:w="0" w:type="dxa"/>
            <w:vAlign w:val="bottom"/>
          </w:tcPr>
          <w:p>
            <w:pPr>
              <w:spacing w:after="0"/>
              <w:rPr>
                <w:sz w:val="1"/>
                <w:szCs w:val="1"/>
                <w:color w:val="auto"/>
              </w:rPr>
            </w:pPr>
          </w:p>
        </w:tc>
      </w:tr>
      <w:tr>
        <w:trPr>
          <w:trHeight w:val="305"/>
        </w:trPr>
        <w:tc>
          <w:tcPr>
            <w:tcW w:w="200" w:type="dxa"/>
            <w:vAlign w:val="bottom"/>
            <w:vMerge w:val="restart"/>
          </w:tcPr>
          <w:p>
            <w:pPr>
              <w:spacing w:after="0"/>
              <w:rPr>
                <w:sz w:val="20"/>
                <w:szCs w:val="20"/>
                <w:color w:val="auto"/>
              </w:rPr>
            </w:pPr>
            <w:r>
              <w:rPr>
                <w:rFonts w:ascii="Arial" w:cs="Arial" w:eastAsia="Arial" w:hAnsi="Arial"/>
                <w:sz w:val="36"/>
                <w:szCs w:val="36"/>
                <w:color w:val="0C426A"/>
                <w:w w:val="89"/>
              </w:rPr>
              <w:t>1</w:t>
            </w: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460" w:type="dxa"/>
            <w:vAlign w:val="bottom"/>
          </w:tcPr>
          <w:p>
            <w:pPr>
              <w:ind w:left="40"/>
              <w:spacing w:after="0"/>
              <w:rPr>
                <w:sz w:val="20"/>
                <w:szCs w:val="20"/>
                <w:color w:val="auto"/>
              </w:rPr>
            </w:pPr>
            <w:r>
              <w:rPr>
                <w:rFonts w:ascii="Arial" w:cs="Arial" w:eastAsia="Arial" w:hAnsi="Arial"/>
                <w:sz w:val="14"/>
                <w:szCs w:val="14"/>
                <w:color w:val="0C426A"/>
              </w:rPr>
              <w:t>Elect three directors for a term of three years expiring</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vMerge w:val="restart"/>
          </w:tcPr>
          <w:p>
            <w:pPr>
              <w:ind w:left="460"/>
              <w:spacing w:after="0"/>
              <w:rPr>
                <w:sz w:val="20"/>
                <w:szCs w:val="20"/>
                <w:color w:val="auto"/>
              </w:rPr>
            </w:pPr>
            <w:r>
              <w:rPr>
                <w:rFonts w:ascii="Arial" w:cs="Arial" w:eastAsia="Arial" w:hAnsi="Arial"/>
                <w:sz w:val="8"/>
                <w:szCs w:val="8"/>
                <w:color w:val="auto"/>
                <w:w w:val="74"/>
              </w:rPr>
              <w:t> </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auto"/>
              </w:rPr>
              <w:t>  FOR</w:t>
            </w: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80" w:type="dxa"/>
            <w:vAlign w:val="bottom"/>
            <w:gridSpan w:val="3"/>
            <w:vMerge w:val="restart"/>
          </w:tcPr>
          <w:p>
            <w:pPr>
              <w:jc w:val="center"/>
              <w:ind w:left="229"/>
              <w:spacing w:after="0"/>
              <w:rPr>
                <w:sz w:val="20"/>
                <w:szCs w:val="20"/>
                <w:color w:val="auto"/>
              </w:rPr>
            </w:pPr>
            <w:r>
              <w:rPr>
                <w:rFonts w:ascii="Arial" w:cs="Arial" w:eastAsia="Arial" w:hAnsi="Arial"/>
                <w:sz w:val="14"/>
                <w:szCs w:val="14"/>
                <w:color w:val="0000EE"/>
                <w:w w:val="89"/>
              </w:rPr>
              <w:t>11</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60" w:type="dxa"/>
            <w:vAlign w:val="bottom"/>
            <w:vMerge w:val="restart"/>
          </w:tcPr>
          <w:p>
            <w:pPr>
              <w:ind w:left="40"/>
              <w:spacing w:after="0"/>
              <w:rPr>
                <w:sz w:val="20"/>
                <w:szCs w:val="20"/>
                <w:color w:val="auto"/>
              </w:rPr>
            </w:pPr>
            <w:r>
              <w:rPr>
                <w:rFonts w:ascii="Arial" w:cs="Arial" w:eastAsia="Arial" w:hAnsi="Arial"/>
                <w:sz w:val="14"/>
                <w:szCs w:val="14"/>
                <w:color w:val="0C426A"/>
              </w:rPr>
              <w:t>in 2027</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4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200" w:type="dxa"/>
            <w:vAlign w:val="bottom"/>
            <w:vMerge w:val="restart"/>
          </w:tcPr>
          <w:p>
            <w:pPr>
              <w:spacing w:after="0"/>
              <w:rPr>
                <w:sz w:val="20"/>
                <w:szCs w:val="20"/>
                <w:color w:val="auto"/>
              </w:rPr>
            </w:pPr>
            <w:r>
              <w:rPr>
                <w:rFonts w:ascii="Arial" w:cs="Arial" w:eastAsia="Arial" w:hAnsi="Arial"/>
                <w:sz w:val="36"/>
                <w:szCs w:val="36"/>
                <w:color w:val="0C426A"/>
                <w:w w:val="89"/>
              </w:rPr>
              <w:t>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60" w:type="dxa"/>
            <w:vAlign w:val="bottom"/>
          </w:tcPr>
          <w:p>
            <w:pPr>
              <w:ind w:left="40"/>
              <w:spacing w:after="0"/>
              <w:rPr>
                <w:sz w:val="20"/>
                <w:szCs w:val="20"/>
                <w:color w:val="auto"/>
              </w:rPr>
            </w:pPr>
            <w:r>
              <w:rPr>
                <w:rFonts w:ascii="Arial" w:cs="Arial" w:eastAsia="Arial" w:hAnsi="Arial"/>
                <w:sz w:val="14"/>
                <w:szCs w:val="14"/>
                <w:color w:val="0C426A"/>
              </w:rPr>
              <w:t>Approve an advisory (non-binding) resolution to</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200" w:type="dxa"/>
            <w:vAlign w:val="bottom"/>
            <w:vMerge w:val="continue"/>
          </w:tcPr>
          <w:p>
            <w:pPr>
              <w:spacing w:after="0"/>
              <w:rPr>
                <w:sz w:val="13"/>
                <w:szCs w:val="1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460" w:type="dxa"/>
            <w:vAlign w:val="bottom"/>
          </w:tcPr>
          <w:p>
            <w:pPr>
              <w:ind w:left="40"/>
              <w:spacing w:after="0" w:line="157" w:lineRule="exact"/>
              <w:rPr>
                <w:sz w:val="20"/>
                <w:szCs w:val="20"/>
                <w:color w:val="auto"/>
              </w:rPr>
            </w:pPr>
            <w:r>
              <w:rPr>
                <w:rFonts w:ascii="Arial" w:cs="Arial" w:eastAsia="Arial" w:hAnsi="Arial"/>
                <w:sz w:val="14"/>
                <w:szCs w:val="14"/>
                <w:color w:val="0C426A"/>
              </w:rPr>
              <w:t>approve the 2023 named executive officer</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ind w:left="460"/>
              <w:spacing w:after="0"/>
              <w:rPr>
                <w:sz w:val="20"/>
                <w:szCs w:val="20"/>
                <w:color w:val="auto"/>
              </w:rPr>
            </w:pPr>
            <w:r>
              <w:rPr>
                <w:rFonts w:ascii="Arial" w:cs="Arial" w:eastAsia="Arial" w:hAnsi="Arial"/>
                <w:sz w:val="8"/>
                <w:szCs w:val="8"/>
                <w:color w:val="auto"/>
                <w:w w:val="74"/>
              </w:rPr>
              <w:t> </w:t>
            </w:r>
          </w:p>
        </w:tc>
        <w:tc>
          <w:tcPr>
            <w:tcW w:w="700" w:type="dxa"/>
            <w:vAlign w:val="bottom"/>
          </w:tcPr>
          <w:p>
            <w:pPr>
              <w:ind w:left="60"/>
              <w:spacing w:after="0" w:line="157" w:lineRule="exact"/>
              <w:rPr>
                <w:sz w:val="20"/>
                <w:szCs w:val="20"/>
                <w:color w:val="auto"/>
              </w:rPr>
            </w:pPr>
            <w:r>
              <w:rPr>
                <w:rFonts w:ascii="Arial" w:cs="Arial" w:eastAsia="Arial" w:hAnsi="Arial"/>
                <w:sz w:val="14"/>
                <w:szCs w:val="14"/>
                <w:color w:val="auto"/>
              </w:rPr>
              <w:t>  FOR</w:t>
            </w: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gridSpan w:val="4"/>
          </w:tcPr>
          <w:p>
            <w:pPr>
              <w:jc w:val="center"/>
              <w:spacing w:after="0" w:line="157" w:lineRule="exact"/>
              <w:rPr>
                <w:sz w:val="20"/>
                <w:szCs w:val="20"/>
                <w:color w:val="auto"/>
              </w:rPr>
            </w:pPr>
            <w:r>
              <w:rPr>
                <w:rFonts w:ascii="Arial" w:cs="Arial" w:eastAsia="Arial" w:hAnsi="Arial"/>
                <w:sz w:val="14"/>
                <w:szCs w:val="14"/>
                <w:color w:val="0000EE"/>
              </w:rPr>
              <w:t>41</w:t>
            </w:r>
          </w:p>
        </w:tc>
        <w:tc>
          <w:tcPr>
            <w:tcW w:w="0" w:type="dxa"/>
            <w:vAlign w:val="bottom"/>
          </w:tcPr>
          <w:p>
            <w:pPr>
              <w:spacing w:after="0"/>
              <w:rPr>
                <w:sz w:val="1"/>
                <w:szCs w:val="1"/>
                <w:color w:val="auto"/>
              </w:rPr>
            </w:pPr>
          </w:p>
        </w:tc>
      </w:tr>
      <w:tr>
        <w:trPr>
          <w:trHeight w:val="173"/>
        </w:trPr>
        <w:tc>
          <w:tcPr>
            <w:tcW w:w="2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Pr>
          <w:p>
            <w:pPr>
              <w:ind w:left="40"/>
              <w:spacing w:after="0"/>
              <w:rPr>
                <w:sz w:val="20"/>
                <w:szCs w:val="20"/>
                <w:color w:val="auto"/>
              </w:rPr>
            </w:pPr>
            <w:r>
              <w:rPr>
                <w:rFonts w:ascii="Arial" w:cs="Arial" w:eastAsia="Arial" w:hAnsi="Arial"/>
                <w:sz w:val="14"/>
                <w:szCs w:val="14"/>
                <w:color w:val="0C426A"/>
              </w:rPr>
              <w:t>compensation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2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4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200" w:type="dxa"/>
            <w:vAlign w:val="bottom"/>
            <w:vMerge w:val="restart"/>
          </w:tcPr>
          <w:p>
            <w:pPr>
              <w:spacing w:after="0"/>
              <w:rPr>
                <w:sz w:val="20"/>
                <w:szCs w:val="20"/>
                <w:color w:val="auto"/>
              </w:rPr>
            </w:pPr>
            <w:r>
              <w:rPr>
                <w:rFonts w:ascii="Arial" w:cs="Arial" w:eastAsia="Arial" w:hAnsi="Arial"/>
                <w:sz w:val="36"/>
                <w:szCs w:val="36"/>
                <w:color w:val="0C426A"/>
                <w:w w:val="89"/>
              </w:rPr>
              <w:t>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60" w:type="dxa"/>
            <w:vAlign w:val="bottom"/>
          </w:tcPr>
          <w:p>
            <w:pPr>
              <w:ind w:left="40"/>
              <w:spacing w:after="0"/>
              <w:rPr>
                <w:sz w:val="20"/>
                <w:szCs w:val="20"/>
                <w:color w:val="auto"/>
              </w:rPr>
            </w:pPr>
            <w:r>
              <w:rPr>
                <w:rFonts w:ascii="Arial" w:cs="Arial" w:eastAsia="Arial" w:hAnsi="Arial"/>
                <w:sz w:val="14"/>
                <w:szCs w:val="14"/>
                <w:color w:val="0C426A"/>
              </w:rPr>
              <w:t>Ratify the appointment of Ernst &amp; Young LLP as our</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200" w:type="dxa"/>
            <w:vAlign w:val="bottom"/>
            <w:vMerge w:val="continue"/>
          </w:tcPr>
          <w:p>
            <w:pPr>
              <w:spacing w:after="0"/>
              <w:rPr>
                <w:sz w:val="13"/>
                <w:szCs w:val="1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460" w:type="dxa"/>
            <w:vAlign w:val="bottom"/>
          </w:tcPr>
          <w:p>
            <w:pPr>
              <w:ind w:left="40"/>
              <w:spacing w:after="0" w:line="157" w:lineRule="exact"/>
              <w:rPr>
                <w:sz w:val="20"/>
                <w:szCs w:val="20"/>
                <w:color w:val="auto"/>
              </w:rPr>
            </w:pPr>
            <w:r>
              <w:rPr>
                <w:rFonts w:ascii="Arial" w:cs="Arial" w:eastAsia="Arial" w:hAnsi="Arial"/>
                <w:sz w:val="14"/>
                <w:szCs w:val="14"/>
                <w:color w:val="0C426A"/>
              </w:rPr>
              <w:t>independent registered public accounting firm for the</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ind w:left="460"/>
              <w:spacing w:after="0"/>
              <w:rPr>
                <w:sz w:val="20"/>
                <w:szCs w:val="20"/>
                <w:color w:val="auto"/>
              </w:rPr>
            </w:pPr>
            <w:r>
              <w:rPr>
                <w:rFonts w:ascii="Arial" w:cs="Arial" w:eastAsia="Arial" w:hAnsi="Arial"/>
                <w:sz w:val="8"/>
                <w:szCs w:val="8"/>
                <w:color w:val="auto"/>
                <w:w w:val="74"/>
              </w:rPr>
              <w:t> </w:t>
            </w:r>
          </w:p>
        </w:tc>
        <w:tc>
          <w:tcPr>
            <w:tcW w:w="700" w:type="dxa"/>
            <w:vAlign w:val="bottom"/>
          </w:tcPr>
          <w:p>
            <w:pPr>
              <w:ind w:left="60"/>
              <w:spacing w:after="0" w:line="157" w:lineRule="exact"/>
              <w:rPr>
                <w:sz w:val="20"/>
                <w:szCs w:val="20"/>
                <w:color w:val="auto"/>
              </w:rPr>
            </w:pPr>
            <w:r>
              <w:rPr>
                <w:rFonts w:ascii="Arial" w:cs="Arial" w:eastAsia="Arial" w:hAnsi="Arial"/>
                <w:sz w:val="14"/>
                <w:szCs w:val="14"/>
                <w:color w:val="auto"/>
              </w:rPr>
              <w:t>  FOR</w:t>
            </w: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gridSpan w:val="4"/>
          </w:tcPr>
          <w:p>
            <w:pPr>
              <w:jc w:val="center"/>
              <w:spacing w:after="0" w:line="157" w:lineRule="exact"/>
              <w:rPr>
                <w:sz w:val="20"/>
                <w:szCs w:val="20"/>
                <w:color w:val="auto"/>
              </w:rPr>
            </w:pPr>
            <w:r>
              <w:rPr>
                <w:rFonts w:ascii="Arial" w:cs="Arial" w:eastAsia="Arial" w:hAnsi="Arial"/>
                <w:sz w:val="14"/>
                <w:szCs w:val="14"/>
                <w:color w:val="0000EE"/>
              </w:rPr>
              <w:t>75</w:t>
            </w:r>
          </w:p>
        </w:tc>
        <w:tc>
          <w:tcPr>
            <w:tcW w:w="0" w:type="dxa"/>
            <w:vAlign w:val="bottom"/>
          </w:tcPr>
          <w:p>
            <w:pPr>
              <w:spacing w:after="0"/>
              <w:rPr>
                <w:sz w:val="1"/>
                <w:szCs w:val="1"/>
                <w:color w:val="auto"/>
              </w:rPr>
            </w:pPr>
          </w:p>
        </w:tc>
      </w:tr>
      <w:tr>
        <w:trPr>
          <w:trHeight w:val="173"/>
        </w:trPr>
        <w:tc>
          <w:tcPr>
            <w:tcW w:w="2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Pr>
          <w:p>
            <w:pPr>
              <w:ind w:left="40"/>
              <w:spacing w:after="0"/>
              <w:rPr>
                <w:sz w:val="20"/>
                <w:szCs w:val="20"/>
                <w:color w:val="auto"/>
              </w:rPr>
            </w:pPr>
            <w:r>
              <w:rPr>
                <w:rFonts w:ascii="Arial" w:cs="Arial" w:eastAsia="Arial" w:hAnsi="Arial"/>
                <w:sz w:val="14"/>
                <w:szCs w:val="14"/>
                <w:color w:val="0C426A"/>
              </w:rPr>
              <w:t>2024 fiscal year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3780" w:type="dxa"/>
            <w:vAlign w:val="bottom"/>
            <w:tcBorders>
              <w:bottom w:val="single" w:sz="8" w:color="808080"/>
            </w:tcBorders>
            <w:gridSpan w:val="4"/>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4"/>
        </w:trPr>
        <w:tc>
          <w:tcPr>
            <w:tcW w:w="3780" w:type="dxa"/>
            <w:vAlign w:val="bottom"/>
            <w:gridSpan w:val="4"/>
          </w:tcPr>
          <w:p>
            <w:pPr>
              <w:spacing w:after="0"/>
              <w:rPr>
                <w:sz w:val="20"/>
                <w:szCs w:val="20"/>
                <w:color w:val="auto"/>
              </w:rPr>
            </w:pPr>
            <w:r>
              <w:rPr>
                <w:rFonts w:ascii="Arial" w:cs="Arial" w:eastAsia="Arial" w:hAnsi="Arial"/>
                <w:sz w:val="20"/>
                <w:szCs w:val="20"/>
                <w:color w:val="0C426A"/>
              </w:rPr>
              <w:t>Misc. Other</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40" w:type="dxa"/>
            <w:vAlign w:val="bottom"/>
            <w:gridSpan w:val="2"/>
            <w:vMerge w:val="restart"/>
          </w:tcPr>
          <w:p>
            <w:pPr>
              <w:ind w:left="460"/>
              <w:spacing w:after="0"/>
              <w:rPr>
                <w:sz w:val="20"/>
                <w:szCs w:val="20"/>
                <w:color w:val="auto"/>
              </w:rPr>
            </w:pPr>
            <w:r>
              <w:rPr>
                <w:rFonts w:ascii="Arial" w:cs="Arial" w:eastAsia="Arial" w:hAnsi="Arial"/>
                <w:sz w:val="14"/>
                <w:szCs w:val="14"/>
                <w:color w:val="auto"/>
              </w:rPr>
              <w:t>    NA</w:t>
            </w: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gridSpan w:val="4"/>
            <w:vMerge w:val="restart"/>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00"/>
        </w:trPr>
        <w:tc>
          <w:tcPr>
            <w:tcW w:w="3780" w:type="dxa"/>
            <w:vAlign w:val="bottom"/>
            <w:gridSpan w:val="4"/>
            <w:vMerge w:val="restart"/>
          </w:tcPr>
          <w:p>
            <w:pPr>
              <w:spacing w:after="0"/>
              <w:rPr>
                <w:sz w:val="20"/>
                <w:szCs w:val="20"/>
                <w:color w:val="auto"/>
              </w:rPr>
            </w:pPr>
            <w:r>
              <w:rPr>
                <w:rFonts w:ascii="Arial" w:cs="Arial" w:eastAsia="Arial" w:hAnsi="Arial"/>
                <w:sz w:val="16"/>
                <w:szCs w:val="16"/>
                <w:color w:val="0C426A"/>
              </w:rPr>
              <w:t>Conduct other business if properly raised</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780" w:type="dxa"/>
            <w:vAlign w:val="bottom"/>
            <w:tcBorders>
              <w:bottom w:val="single" w:sz="8" w:color="0C426A"/>
            </w:tcBorders>
            <w:gridSpan w:val="4"/>
            <w:vMerge w:val="continue"/>
          </w:tcPr>
          <w:p>
            <w:pPr>
              <w:spacing w:after="0"/>
              <w:rPr>
                <w:sz w:val="8"/>
                <w:szCs w:val="8"/>
                <w:color w:val="auto"/>
              </w:rPr>
            </w:pPr>
          </w:p>
        </w:tc>
        <w:tc>
          <w:tcPr>
            <w:tcW w:w="100" w:type="dxa"/>
            <w:vAlign w:val="bottom"/>
            <w:tcBorders>
              <w:bottom w:val="single" w:sz="8" w:color="0C426A"/>
            </w:tcBorders>
          </w:tcPr>
          <w:p>
            <w:pPr>
              <w:spacing w:after="0"/>
              <w:rPr>
                <w:sz w:val="8"/>
                <w:szCs w:val="8"/>
                <w:color w:val="auto"/>
              </w:rPr>
            </w:pPr>
          </w:p>
        </w:tc>
        <w:tc>
          <w:tcPr>
            <w:tcW w:w="80" w:type="dxa"/>
            <w:vAlign w:val="bottom"/>
            <w:tcBorders>
              <w:bottom w:val="single" w:sz="8" w:color="0C426A"/>
            </w:tcBorders>
          </w:tcPr>
          <w:p>
            <w:pPr>
              <w:spacing w:after="0"/>
              <w:rPr>
                <w:sz w:val="8"/>
                <w:szCs w:val="8"/>
                <w:color w:val="auto"/>
              </w:rPr>
            </w:pPr>
          </w:p>
        </w:tc>
        <w:tc>
          <w:tcPr>
            <w:tcW w:w="540" w:type="dxa"/>
            <w:vAlign w:val="bottom"/>
            <w:tcBorders>
              <w:bottom w:val="single" w:sz="8" w:color="0C426A"/>
            </w:tcBorders>
          </w:tcPr>
          <w:p>
            <w:pPr>
              <w:spacing w:after="0"/>
              <w:rPr>
                <w:sz w:val="8"/>
                <w:szCs w:val="8"/>
                <w:color w:val="auto"/>
              </w:rPr>
            </w:pPr>
          </w:p>
        </w:tc>
        <w:tc>
          <w:tcPr>
            <w:tcW w:w="700" w:type="dxa"/>
            <w:vAlign w:val="bottom"/>
            <w:tcBorders>
              <w:bottom w:val="single" w:sz="8" w:color="0C426A"/>
            </w:tcBorders>
          </w:tcPr>
          <w:p>
            <w:pPr>
              <w:spacing w:after="0"/>
              <w:rPr>
                <w:sz w:val="8"/>
                <w:szCs w:val="8"/>
                <w:color w:val="auto"/>
              </w:rPr>
            </w:pPr>
          </w:p>
        </w:tc>
        <w:tc>
          <w:tcPr>
            <w:tcW w:w="40" w:type="dxa"/>
            <w:vAlign w:val="bottom"/>
            <w:tcBorders>
              <w:bottom w:val="single" w:sz="8" w:color="0C426A"/>
            </w:tcBorders>
          </w:tcPr>
          <w:p>
            <w:pPr>
              <w:spacing w:after="0"/>
              <w:rPr>
                <w:sz w:val="8"/>
                <w:szCs w:val="8"/>
                <w:color w:val="auto"/>
              </w:rPr>
            </w:pPr>
          </w:p>
        </w:tc>
        <w:tc>
          <w:tcPr>
            <w:tcW w:w="80" w:type="dxa"/>
            <w:vAlign w:val="bottom"/>
            <w:tcBorders>
              <w:bottom w:val="single" w:sz="8" w:color="0C426A"/>
            </w:tcBorders>
          </w:tcPr>
          <w:p>
            <w:pPr>
              <w:spacing w:after="0"/>
              <w:rPr>
                <w:sz w:val="8"/>
                <w:szCs w:val="8"/>
                <w:color w:val="auto"/>
              </w:rPr>
            </w:pPr>
          </w:p>
        </w:tc>
        <w:tc>
          <w:tcPr>
            <w:tcW w:w="320" w:type="dxa"/>
            <w:vAlign w:val="bottom"/>
            <w:tcBorders>
              <w:bottom w:val="single" w:sz="8" w:color="0C426A"/>
            </w:tcBorders>
          </w:tcPr>
          <w:p>
            <w:pPr>
              <w:spacing w:after="0"/>
              <w:rPr>
                <w:sz w:val="8"/>
                <w:szCs w:val="8"/>
                <w:color w:val="auto"/>
              </w:rPr>
            </w:pPr>
          </w:p>
        </w:tc>
        <w:tc>
          <w:tcPr>
            <w:tcW w:w="140" w:type="dxa"/>
            <w:vAlign w:val="bottom"/>
            <w:tcBorders>
              <w:bottom w:val="single" w:sz="8" w:color="0C426A"/>
            </w:tcBorders>
          </w:tcPr>
          <w:p>
            <w:pPr>
              <w:spacing w:after="0"/>
              <w:rPr>
                <w:sz w:val="8"/>
                <w:szCs w:val="8"/>
                <w:color w:val="auto"/>
              </w:rPr>
            </w:pPr>
          </w:p>
        </w:tc>
        <w:tc>
          <w:tcPr>
            <w:tcW w:w="20" w:type="dxa"/>
            <w:vAlign w:val="bottom"/>
            <w:tcBorders>
              <w:bottom w:val="single" w:sz="8" w:color="0C426A"/>
            </w:tcBorders>
          </w:tcPr>
          <w:p>
            <w:pPr>
              <w:spacing w:after="0"/>
              <w:rPr>
                <w:sz w:val="8"/>
                <w:szCs w:val="8"/>
                <w:color w:val="auto"/>
              </w:rPr>
            </w:pPr>
          </w:p>
        </w:tc>
        <w:tc>
          <w:tcPr>
            <w:tcW w:w="260" w:type="dxa"/>
            <w:vAlign w:val="bottom"/>
            <w:tcBorders>
              <w:bottom w:val="single" w:sz="8" w:color="0C426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2719070</wp:posOffset>
            </wp:positionH>
            <wp:positionV relativeFrom="paragraph">
              <wp:posOffset>-1546860</wp:posOffset>
            </wp:positionV>
            <wp:extent cx="93345" cy="85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345" cy="85090"/>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-1096010</wp:posOffset>
            </wp:positionV>
            <wp:extent cx="93345" cy="85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345" cy="85090"/>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-628650</wp:posOffset>
            </wp:positionV>
            <wp:extent cx="93345" cy="85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345" cy="850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0C426A"/>
        </w:rPr>
        <w:t>Procedures</w:t>
      </w:r>
    </w:p>
    <w:p>
      <w:pPr>
        <w:spacing w:after="0" w:line="157" w:lineRule="exact"/>
        <w:rPr>
          <w:sz w:val="20"/>
          <w:szCs w:val="20"/>
          <w:color w:val="auto"/>
        </w:rPr>
      </w:pPr>
    </w:p>
    <w:p>
      <w:pPr>
        <w:sectPr>
          <w:pgSz w:w="11900" w:h="16838" w:orient="portrait"/>
          <w:cols w:equalWidth="0" w:num="2">
            <w:col w:w="2320" w:space="600"/>
            <w:col w:w="6099"/>
          </w:cols>
          <w:pgMar w:left="1440" w:top="115" w:right="1440" w:bottom="1440" w:gutter="0" w:footer="0" w:header="0"/>
          <w:type w:val="continuous"/>
        </w:sectPr>
      </w:pPr>
    </w:p>
    <w:p>
      <w:pPr>
        <w:jc w:val="both"/>
        <w:ind w:left="620"/>
        <w:spacing w:after="0"/>
        <w:tabs>
          <w:tab w:leader="none" w:pos="68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280670</wp:posOffset>
            </wp:positionV>
            <wp:extent cx="229870" cy="3486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9870" cy="34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620"/>
        <w:spacing w:after="0"/>
        <w:tabs>
          <w:tab w:leader="none" w:pos="68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280670</wp:posOffset>
            </wp:positionV>
            <wp:extent cx="348615" cy="3657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8615" cy="36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20"/>
        <w:spacing w:after="0"/>
        <w:tabs>
          <w:tab w:leader="none" w:pos="68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297815</wp:posOffset>
            </wp:positionV>
            <wp:extent cx="348615" cy="2381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8615" cy="238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620"/>
        <w:spacing w:after="0"/>
        <w:tabs>
          <w:tab w:leader="none" w:pos="68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b w:val="1"/>
          <w:bCs w:val="1"/>
          <w:color w:val="4297CB"/>
        </w:rPr>
        <w:t>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color w:val="auto"/>
        </w:rPr>
        <w:t>BY PHONE:</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color w:val="auto"/>
        </w:rPr>
        <w:t>1-800-690-6903</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color w:val="auto"/>
        </w:rPr>
        <w:t>BY MAIL:</w:t>
      </w:r>
    </w:p>
    <w:p>
      <w:pPr>
        <w:spacing w:after="0" w:line="36" w:lineRule="exact"/>
        <w:rPr>
          <w:sz w:val="20"/>
          <w:szCs w:val="20"/>
          <w:color w:val="auto"/>
        </w:rPr>
      </w:pPr>
    </w:p>
    <w:p>
      <w:pPr>
        <w:jc w:val="both"/>
        <w:ind w:right="120"/>
        <w:spacing w:after="0" w:line="256" w:lineRule="auto"/>
        <w:rPr>
          <w:sz w:val="20"/>
          <w:szCs w:val="20"/>
          <w:color w:val="auto"/>
        </w:rPr>
      </w:pPr>
      <w:r>
        <w:rPr>
          <w:rFonts w:ascii="Arial" w:cs="Arial" w:eastAsia="Arial" w:hAnsi="Arial"/>
          <w:sz w:val="12"/>
          <w:szCs w:val="12"/>
          <w:color w:val="auto"/>
        </w:rPr>
        <w:t>completing, signing, dating and mailing a proxy card in the envelope provided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color w:val="auto"/>
        </w:rPr>
        <w:t>AT THE MEETING:</w:t>
      </w:r>
    </w:p>
    <w:p>
      <w:pPr>
        <w:spacing w:after="0" w:line="36"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You may vote while attending the virtual meeting or by proxy.</w:t>
      </w:r>
    </w:p>
    <w:p>
      <w:pPr>
        <w:spacing w:after="0" w:line="20" w:lineRule="exact"/>
        <w:rPr>
          <w:sz w:val="20"/>
          <w:szCs w:val="20"/>
          <w:color w:val="auto"/>
        </w:rPr>
      </w:pPr>
      <w:r>
        <w:rPr>
          <w:sz w:val="20"/>
          <w:szCs w:val="20"/>
          <w:color w:val="auto"/>
        </w:rPr>
        <w:br w:type="column"/>
      </w:r>
    </w:p>
    <w:p>
      <w:pPr>
        <w:ind w:right="39"/>
        <w:spacing w:after="0" w:line="260" w:lineRule="auto"/>
        <w:rPr>
          <w:sz w:val="20"/>
          <w:szCs w:val="20"/>
          <w:color w:val="auto"/>
        </w:rPr>
      </w:pPr>
      <w:r>
        <w:rPr>
          <w:rFonts w:ascii="Arial" w:cs="Arial" w:eastAsia="Arial" w:hAnsi="Arial"/>
          <w:sz w:val="14"/>
          <w:szCs w:val="14"/>
          <w:color w:val="0C426A"/>
        </w:rPr>
        <w:t>If you own stock directly, please vote by proxy over the Internet, by telephone or by requesting a proxy card.</w:t>
      </w:r>
    </w:p>
    <w:p>
      <w:pPr>
        <w:spacing w:after="0" w:line="52" w:lineRule="exact"/>
        <w:rPr>
          <w:sz w:val="20"/>
          <w:szCs w:val="20"/>
          <w:color w:val="auto"/>
        </w:rPr>
      </w:pPr>
    </w:p>
    <w:p>
      <w:pPr>
        <w:ind w:right="39"/>
        <w:spacing w:after="0" w:line="281" w:lineRule="auto"/>
        <w:rPr>
          <w:sz w:val="20"/>
          <w:szCs w:val="20"/>
          <w:color w:val="auto"/>
        </w:rPr>
      </w:pPr>
      <w:r>
        <w:rPr>
          <w:rFonts w:ascii="Arial" w:cs="Arial" w:eastAsia="Arial" w:hAnsi="Arial"/>
          <w:sz w:val="14"/>
          <w:szCs w:val="14"/>
          <w:color w:val="0C426A"/>
        </w:rPr>
        <w:t>If you own stock through a bank, stockbroker or trustee, please vote by following the instructions included in the material that you receive from your bank, stockbroker or trustee.</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0C426A"/>
        </w:rPr>
        <w:t>Only stockholders of record on March 20, 2024 receive notice of, and may vote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56515</wp:posOffset>
            </wp:positionV>
            <wp:extent cx="38601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60165" cy="8255"/>
                    </a:xfrm>
                    <a:prstGeom prst="rect">
                      <a:avLst/>
                    </a:prstGeom>
                    <a:noFill/>
                  </pic:spPr>
                </pic:pic>
              </a:graphicData>
            </a:graphic>
          </wp:anchor>
        </w:drawing>
      </w:r>
    </w:p>
    <w:p>
      <w:pPr>
        <w:spacing w:after="0" w:line="221" w:lineRule="exact"/>
        <w:rPr>
          <w:sz w:val="20"/>
          <w:szCs w:val="20"/>
          <w:color w:val="auto"/>
        </w:rPr>
      </w:pPr>
    </w:p>
    <w:p>
      <w:pPr>
        <w:ind w:right="79"/>
        <w:spacing w:after="0" w:line="250" w:lineRule="auto"/>
        <w:rPr>
          <w:sz w:val="20"/>
          <w:szCs w:val="20"/>
          <w:color w:val="auto"/>
        </w:rPr>
      </w:pPr>
      <w:r>
        <w:rPr>
          <w:rFonts w:ascii="Arial" w:cs="Arial" w:eastAsia="Arial" w:hAnsi="Arial"/>
          <w:sz w:val="14"/>
          <w:szCs w:val="14"/>
          <w:b w:val="1"/>
          <w:bCs w:val="1"/>
          <w:color w:val="auto"/>
        </w:rPr>
        <w:t xml:space="preserve">How to Vote: </w:t>
      </w:r>
      <w:r>
        <w:rPr>
          <w:rFonts w:ascii="Arial" w:cs="Arial" w:eastAsia="Arial" w:hAnsi="Arial"/>
          <w:sz w:val="14"/>
          <w:szCs w:val="14"/>
          <w:color w:val="auto"/>
        </w:rPr>
        <w:t>Your vote is important. You may vote while attending the virtual meeting or by</w:t>
      </w:r>
      <w:r>
        <w:rPr>
          <w:rFonts w:ascii="Arial" w:cs="Arial" w:eastAsia="Arial" w:hAnsi="Arial"/>
          <w:sz w:val="14"/>
          <w:szCs w:val="14"/>
          <w:b w:val="1"/>
          <w:bCs w:val="1"/>
          <w:color w:val="auto"/>
        </w:rPr>
        <w:t xml:space="preserve"> </w:t>
      </w:r>
      <w:r>
        <w:rPr>
          <w:rFonts w:ascii="Arial" w:cs="Arial" w:eastAsia="Arial" w:hAnsi="Arial"/>
          <w:sz w:val="14"/>
          <w:szCs w:val="14"/>
          <w:color w:val="auto"/>
        </w:rPr>
        <w:t>proxy. We recommend you vote by proxy even if you plan to attend the virtual meeting. You can change your vote at the virtual meeting if you are a stockholder whose shares are registered in your name. If you are a stockholder whose shares are registered in your name, you may vote your shares at the virtual meeting or by one of the three following methods:</w:t>
      </w:r>
    </w:p>
    <w:p>
      <w:pPr>
        <w:spacing w:after="0" w:line="59" w:lineRule="exact"/>
        <w:rPr>
          <w:sz w:val="20"/>
          <w:szCs w:val="20"/>
          <w:color w:val="auto"/>
        </w:rPr>
      </w:pPr>
    </w:p>
    <w:p>
      <w:pPr>
        <w:ind w:right="519"/>
        <w:spacing w:after="0" w:line="281" w:lineRule="auto"/>
        <w:rPr>
          <w:sz w:val="20"/>
          <w:szCs w:val="20"/>
          <w:color w:val="auto"/>
        </w:rPr>
      </w:pPr>
      <w:r>
        <w:rPr>
          <w:rFonts w:ascii="Arial" w:cs="Arial" w:eastAsia="Arial" w:hAnsi="Arial"/>
          <w:sz w:val="14"/>
          <w:szCs w:val="14"/>
          <w:b w:val="1"/>
          <w:bCs w:val="1"/>
          <w:color w:val="auto"/>
        </w:rPr>
        <w:t xml:space="preserve">Vote by Internet, </w:t>
      </w:r>
      <w:r>
        <w:rPr>
          <w:rFonts w:ascii="Arial" w:cs="Arial" w:eastAsia="Arial" w:hAnsi="Arial"/>
          <w:sz w:val="14"/>
          <w:szCs w:val="14"/>
          <w:color w:val="auto"/>
        </w:rPr>
        <w:t>by going to the website address</w:t>
      </w:r>
      <w:r>
        <w:rPr>
          <w:rFonts w:ascii="Arial" w:cs="Arial" w:eastAsia="Arial" w:hAnsi="Arial"/>
          <w:sz w:val="14"/>
          <w:szCs w:val="14"/>
          <w:b w:val="1"/>
          <w:bCs w:val="1"/>
          <w:color w:val="auto"/>
        </w:rPr>
        <w:t xml:space="preserve"> </w:t>
      </w:r>
      <w:r>
        <w:rPr>
          <w:rFonts w:ascii="Arial" w:cs="Arial" w:eastAsia="Arial" w:hAnsi="Arial"/>
          <w:sz w:val="14"/>
          <w:szCs w:val="14"/>
          <w:color w:val="4297CB"/>
        </w:rPr>
        <w:t>www.proxyvote.com</w:t>
      </w:r>
      <w:r>
        <w:rPr>
          <w:rFonts w:ascii="Arial" w:cs="Arial" w:eastAsia="Arial" w:hAnsi="Arial"/>
          <w:sz w:val="14"/>
          <w:szCs w:val="14"/>
          <w:b w:val="1"/>
          <w:bCs w:val="1"/>
          <w:color w:val="auto"/>
        </w:rPr>
        <w:t xml:space="preserve"> </w:t>
      </w:r>
      <w:r>
        <w:rPr>
          <w:rFonts w:ascii="Arial" w:cs="Arial" w:eastAsia="Arial" w:hAnsi="Arial"/>
          <w:sz w:val="14"/>
          <w:szCs w:val="14"/>
          <w:color w:val="auto"/>
        </w:rPr>
        <w:t>and following the</w:t>
      </w:r>
      <w:r>
        <w:rPr>
          <w:rFonts w:ascii="Arial" w:cs="Arial" w:eastAsia="Arial" w:hAnsi="Arial"/>
          <w:sz w:val="14"/>
          <w:szCs w:val="14"/>
          <w:b w:val="1"/>
          <w:bCs w:val="1"/>
          <w:color w:val="auto"/>
        </w:rPr>
        <w:t xml:space="preserve"> </w:t>
      </w:r>
      <w:r>
        <w:rPr>
          <w:rFonts w:ascii="Arial" w:cs="Arial" w:eastAsia="Arial" w:hAnsi="Arial"/>
          <w:sz w:val="14"/>
          <w:szCs w:val="14"/>
          <w:color w:val="auto"/>
        </w:rPr>
        <w:t>instructions for Internet voting shown on the website.</w:t>
      </w:r>
    </w:p>
    <w:p>
      <w:pPr>
        <w:spacing w:after="0" w:line="38" w:lineRule="exact"/>
        <w:rPr>
          <w:sz w:val="20"/>
          <w:szCs w:val="20"/>
          <w:color w:val="auto"/>
        </w:rPr>
      </w:pPr>
    </w:p>
    <w:p>
      <w:pPr>
        <w:ind w:right="359"/>
        <w:spacing w:after="0" w:line="281" w:lineRule="auto"/>
        <w:rPr>
          <w:sz w:val="20"/>
          <w:szCs w:val="20"/>
          <w:color w:val="auto"/>
        </w:rPr>
      </w:pPr>
      <w:r>
        <w:rPr>
          <w:rFonts w:ascii="Arial" w:cs="Arial" w:eastAsia="Arial" w:hAnsi="Arial"/>
          <w:sz w:val="14"/>
          <w:szCs w:val="14"/>
          <w:b w:val="1"/>
          <w:bCs w:val="1"/>
          <w:color w:val="auto"/>
        </w:rPr>
        <w:t xml:space="preserve">Vote by Telephone, </w:t>
      </w:r>
      <w:r>
        <w:rPr>
          <w:rFonts w:ascii="Arial" w:cs="Arial" w:eastAsia="Arial" w:hAnsi="Arial"/>
          <w:sz w:val="14"/>
          <w:szCs w:val="14"/>
          <w:color w:val="auto"/>
        </w:rPr>
        <w:t>by dialing 1-800-690-6903 and following the instructions for telephone</w:t>
      </w:r>
      <w:r>
        <w:rPr>
          <w:rFonts w:ascii="Arial" w:cs="Arial" w:eastAsia="Arial" w:hAnsi="Arial"/>
          <w:sz w:val="14"/>
          <w:szCs w:val="14"/>
          <w:b w:val="1"/>
          <w:bCs w:val="1"/>
          <w:color w:val="auto"/>
        </w:rPr>
        <w:t xml:space="preserve"> </w:t>
      </w:r>
      <w:r>
        <w:rPr>
          <w:rFonts w:ascii="Arial" w:cs="Arial" w:eastAsia="Arial" w:hAnsi="Arial"/>
          <w:sz w:val="14"/>
          <w:szCs w:val="14"/>
          <w:color w:val="auto"/>
        </w:rPr>
        <w:t>voting shown on the proxy card.</w:t>
      </w:r>
    </w:p>
    <w:p>
      <w:pPr>
        <w:spacing w:after="0" w:line="25" w:lineRule="exact"/>
        <w:rPr>
          <w:sz w:val="20"/>
          <w:szCs w:val="20"/>
          <w:color w:val="auto"/>
        </w:rPr>
      </w:pPr>
    </w:p>
    <w:p>
      <w:pPr>
        <w:ind w:right="239"/>
        <w:spacing w:after="0" w:line="281" w:lineRule="auto"/>
        <w:rPr>
          <w:sz w:val="20"/>
          <w:szCs w:val="20"/>
          <w:color w:val="auto"/>
        </w:rPr>
      </w:pPr>
      <w:r>
        <w:rPr>
          <w:rFonts w:ascii="Arial" w:cs="Arial" w:eastAsia="Arial" w:hAnsi="Arial"/>
          <w:sz w:val="14"/>
          <w:szCs w:val="14"/>
          <w:b w:val="1"/>
          <w:bCs w:val="1"/>
          <w:color w:val="auto"/>
        </w:rPr>
        <w:t xml:space="preserve">Vote by Proxy Card, </w:t>
      </w:r>
      <w:r>
        <w:rPr>
          <w:rFonts w:ascii="Arial" w:cs="Arial" w:eastAsia="Arial" w:hAnsi="Arial"/>
          <w:sz w:val="14"/>
          <w:szCs w:val="14"/>
          <w:color w:val="auto"/>
        </w:rPr>
        <w:t>by completing, signing, dating and mailing a proxy card in the envelope</w:t>
      </w:r>
      <w:r>
        <w:rPr>
          <w:rFonts w:ascii="Arial" w:cs="Arial" w:eastAsia="Arial" w:hAnsi="Arial"/>
          <w:sz w:val="14"/>
          <w:szCs w:val="14"/>
          <w:b w:val="1"/>
          <w:bCs w:val="1"/>
          <w:color w:val="auto"/>
        </w:rPr>
        <w:t xml:space="preserve"> </w:t>
      </w:r>
      <w:r>
        <w:rPr>
          <w:rFonts w:ascii="Arial" w:cs="Arial" w:eastAsia="Arial" w:hAnsi="Arial"/>
          <w:sz w:val="14"/>
          <w:szCs w:val="14"/>
          <w:color w:val="auto"/>
        </w:rPr>
        <w:t>provided if you requested copies of these proxy materials.</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If you vote by Internet or telephone, you do not need to request a proxy card.</w:t>
      </w:r>
    </w:p>
    <w:p>
      <w:pPr>
        <w:spacing w:after="0" w:line="93" w:lineRule="exact"/>
        <w:rPr>
          <w:sz w:val="20"/>
          <w:szCs w:val="20"/>
          <w:color w:val="auto"/>
        </w:rPr>
      </w:pPr>
    </w:p>
    <w:p>
      <w:pPr>
        <w:ind w:right="59"/>
        <w:spacing w:after="0" w:line="234" w:lineRule="auto"/>
        <w:rPr>
          <w:sz w:val="20"/>
          <w:szCs w:val="20"/>
          <w:color w:val="auto"/>
        </w:rPr>
      </w:pPr>
      <w:r>
        <w:rPr>
          <w:rFonts w:ascii="Arial" w:cs="Arial" w:eastAsia="Arial" w:hAnsi="Arial"/>
          <w:sz w:val="14"/>
          <w:szCs w:val="14"/>
          <w:color w:val="auto"/>
        </w:rPr>
        <w:t>Shares registered in your name are generally covered by one Notice. If you hold shares through someone else, such as a bank, stockbroker, or trustee, you will get a Notice from them asking you to vote. Please follow the instructions on their Notice. Please vote with respect to each</w:t>
      </w:r>
    </w:p>
    <w:p>
      <w:pPr>
        <w:spacing w:after="0" w:line="1" w:lineRule="exact"/>
        <w:rPr>
          <w:sz w:val="20"/>
          <w:szCs w:val="20"/>
          <w:color w:val="auto"/>
        </w:rPr>
      </w:pPr>
    </w:p>
    <w:p>
      <w:pPr>
        <w:sectPr>
          <w:pgSz w:w="11900" w:h="16838" w:orient="portrait"/>
          <w:cols w:equalWidth="0" w:num="3">
            <w:col w:w="720" w:space="60"/>
            <w:col w:w="1620" w:space="520"/>
            <w:col w:w="6099"/>
          </w:cols>
          <w:pgMar w:left="1440" w:top="115" w:right="1440" w:bottom="1440" w:gutter="0" w:footer="0" w:header="0"/>
          <w:type w:val="continuous"/>
        </w:sectPr>
      </w:pPr>
    </w:p>
    <w:p>
      <w:pPr>
        <w:spacing w:after="0" w:line="245" w:lineRule="auto"/>
        <w:rPr>
          <w:sz w:val="20"/>
          <w:szCs w:val="20"/>
          <w:color w:val="auto"/>
        </w:rPr>
      </w:pPr>
      <w:r>
        <w:rPr>
          <w:rFonts w:ascii="Arial" w:cs="Arial" w:eastAsia="Arial" w:hAnsi="Arial"/>
          <w:sz w:val="12"/>
          <w:szCs w:val="12"/>
          <w:b w:val="1"/>
          <w:bCs w:val="1"/>
          <w:color w:val="auto"/>
        </w:rPr>
        <w:t>Please follow the instructions on your Notice. Please vote with respect to each Notice you receive. Your vote is very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742950</wp:posOffset>
            </wp:positionV>
            <wp:extent cx="50800" cy="662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800" cy="662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Notice you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99060</wp:posOffset>
            </wp:positionV>
            <wp:extent cx="1454150" cy="263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54150" cy="26352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0C426A"/>
        </w:rPr>
        <w:t>David L. DeNinno</w:t>
      </w:r>
    </w:p>
    <w:p>
      <w:pPr>
        <w:spacing w:after="0" w:line="14" w:lineRule="exact"/>
        <w:rPr>
          <w:sz w:val="20"/>
          <w:szCs w:val="20"/>
          <w:color w:val="auto"/>
        </w:rPr>
      </w:pPr>
    </w:p>
    <w:p>
      <w:pPr>
        <w:ind w:right="2219"/>
        <w:spacing w:after="0" w:line="260" w:lineRule="auto"/>
        <w:rPr>
          <w:sz w:val="20"/>
          <w:szCs w:val="20"/>
          <w:color w:val="auto"/>
        </w:rPr>
      </w:pPr>
      <w:r>
        <w:rPr>
          <w:rFonts w:ascii="Arial" w:cs="Arial" w:eastAsia="Arial" w:hAnsi="Arial"/>
          <w:sz w:val="14"/>
          <w:szCs w:val="14"/>
          <w:b w:val="1"/>
          <w:bCs w:val="1"/>
          <w:color w:val="auto"/>
        </w:rPr>
        <w:t xml:space="preserve">Executive Vice President, General Counsel and Secretary </w:t>
      </w:r>
      <w:r>
        <w:rPr>
          <w:rFonts w:ascii="Arial" w:cs="Arial" w:eastAsia="Arial" w:hAnsi="Arial"/>
          <w:sz w:val="14"/>
          <w:szCs w:val="14"/>
          <w:color w:val="auto"/>
        </w:rPr>
        <w:t>April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-1795145</wp:posOffset>
            </wp:positionH>
            <wp:positionV relativeFrom="paragraph">
              <wp:posOffset>98425</wp:posOffset>
            </wp:positionV>
            <wp:extent cx="5662295" cy="662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62295" cy="6629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540"/>
            <w:col w:w="6099"/>
          </w:cols>
          <w:pgMar w:left="1440" w:top="115" w:right="1440" w:bottom="1440" w:gutter="0" w:footer="0" w:header="0"/>
          <w:type w:val="continuous"/>
        </w:sectPr>
      </w:pPr>
    </w:p>
    <w:p>
      <w:pPr>
        <w:spacing w:after="0" w:line="141"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0C426A"/>
        </w:rPr>
        <w:t>YOUR VOTE IS IMPORTANT</w:t>
      </w:r>
    </w:p>
    <w:p>
      <w:pPr>
        <w:spacing w:after="0" w:line="30" w:lineRule="exact"/>
        <w:rPr>
          <w:sz w:val="20"/>
          <w:szCs w:val="20"/>
          <w:color w:val="auto"/>
        </w:rPr>
      </w:pPr>
    </w:p>
    <w:p>
      <w:pPr>
        <w:ind w:left="400" w:right="539"/>
        <w:spacing w:after="0" w:line="272" w:lineRule="auto"/>
        <w:rPr>
          <w:sz w:val="20"/>
          <w:szCs w:val="20"/>
          <w:color w:val="auto"/>
        </w:rPr>
      </w:pPr>
      <w:r>
        <w:rPr>
          <w:rFonts w:ascii="Arial" w:cs="Arial" w:eastAsia="Arial" w:hAnsi="Arial"/>
          <w:sz w:val="16"/>
          <w:szCs w:val="16"/>
          <w:b w:val="1"/>
          <w:bCs w:val="1"/>
          <w:color w:val="auto"/>
        </w:rPr>
        <w:t>Please vote over the Internet, by telephone, by requesting a proxy card or vote while 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218440</wp:posOffset>
            </wp:positionV>
            <wp:extent cx="69380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38010" cy="17145"/>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type w:val="continuous"/>
        </w:sectPr>
      </w:pPr>
    </w:p>
    <w:bookmarkStart w:id="6" w:name="page7"/>
    <w:bookmarkEnd w:id="6"/>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ind w:left="960"/>
        <w:spacing w:after="0"/>
        <w:rPr>
          <w:sz w:val="20"/>
          <w:szCs w:val="20"/>
          <w:color w:val="auto"/>
        </w:rPr>
      </w:pPr>
      <w:r>
        <w:rPr>
          <w:rFonts w:ascii="Arial" w:cs="Arial" w:eastAsia="Arial" w:hAnsi="Arial"/>
          <w:sz w:val="43"/>
          <w:szCs w:val="43"/>
          <w:color w:val="E02826"/>
        </w:rPr>
        <w:t>Table of Contents</w:t>
      </w:r>
    </w:p>
    <w:p>
      <w:pPr>
        <w:spacing w:after="0" w:line="200" w:lineRule="exact"/>
        <w:rPr>
          <w:sz w:val="20"/>
          <w:szCs w:val="20"/>
          <w:color w:val="auto"/>
        </w:rPr>
      </w:pPr>
    </w:p>
    <w:p>
      <w:pPr>
        <w:spacing w:after="0" w:line="274"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160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b w:val="1"/>
                <w:bCs w:val="1"/>
                <w:color w:val="0000EE"/>
                <w:w w:val="99"/>
              </w:rPr>
              <w:t>Letter from the Chair</w:t>
            </w:r>
          </w:p>
        </w:tc>
        <w:tc>
          <w:tcPr>
            <w:tcW w:w="1480" w:type="dxa"/>
            <w:vAlign w:val="bottom"/>
            <w:gridSpan w:val="8"/>
          </w:tcPr>
          <w:p>
            <w:pPr>
              <w:spacing w:after="0"/>
              <w:rPr>
                <w:sz w:val="16"/>
                <w:szCs w:val="16"/>
                <w:color w:val="auto"/>
              </w:rPr>
            </w:pPr>
          </w:p>
        </w:tc>
        <w:tc>
          <w:tcPr>
            <w:tcW w:w="1020" w:type="dxa"/>
            <w:vAlign w:val="bottom"/>
          </w:tcPr>
          <w:p>
            <w:pPr>
              <w:ind w:left="9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6"/>
                <w:szCs w:val="16"/>
                <w:color w:val="auto"/>
              </w:rPr>
            </w:pPr>
          </w:p>
        </w:tc>
        <w:tc>
          <w:tcPr>
            <w:tcW w:w="100" w:type="dxa"/>
            <w:vAlign w:val="bottom"/>
            <w:tcBorders>
              <w:bottom w:val="single" w:sz="8" w:color="0000EE"/>
            </w:tcBorders>
          </w:tcPr>
          <w:p>
            <w:pPr>
              <w:spacing w:after="0"/>
              <w:rPr>
                <w:sz w:val="20"/>
                <w:szCs w:val="20"/>
                <w:color w:val="auto"/>
              </w:rPr>
            </w:pPr>
            <w:r>
              <w:rPr>
                <w:rFonts w:ascii="Arial" w:cs="Arial" w:eastAsia="Arial" w:hAnsi="Arial"/>
                <w:sz w:val="16"/>
                <w:szCs w:val="16"/>
                <w:b w:val="1"/>
                <w:bCs w:val="1"/>
                <w:color w:val="0000EE"/>
                <w:w w:val="89"/>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2340" w:type="dxa"/>
            <w:vAlign w:val="bottom"/>
            <w:tcBorders>
              <w:bottom w:val="single" w:sz="8" w:color="0000EE"/>
            </w:tcBorders>
            <w:gridSpan w:val="10"/>
          </w:tcPr>
          <w:p>
            <w:pPr>
              <w:spacing w:after="0"/>
              <w:rPr>
                <w:sz w:val="20"/>
                <w:szCs w:val="20"/>
                <w:color w:val="auto"/>
              </w:rPr>
            </w:pPr>
            <w:r>
              <w:rPr>
                <w:rFonts w:ascii="Arial" w:cs="Arial" w:eastAsia="Arial" w:hAnsi="Arial"/>
                <w:sz w:val="16"/>
                <w:szCs w:val="16"/>
                <w:b w:val="1"/>
                <w:bCs w:val="1"/>
                <w:color w:val="0000EE"/>
                <w:w w:val="99"/>
              </w:rPr>
              <w:t>Notice of 2024 Annual Meeting</w:t>
            </w:r>
          </w:p>
        </w:tc>
        <w:tc>
          <w:tcPr>
            <w:tcW w:w="740" w:type="dxa"/>
            <w:vAlign w:val="bottom"/>
            <w:gridSpan w:val="3"/>
          </w:tcPr>
          <w:p>
            <w:pPr>
              <w:spacing w:after="0"/>
              <w:rPr>
                <w:sz w:val="24"/>
                <w:szCs w:val="24"/>
                <w:color w:val="auto"/>
              </w:rPr>
            </w:pPr>
          </w:p>
        </w:tc>
        <w:tc>
          <w:tcPr>
            <w:tcW w:w="1020" w:type="dxa"/>
            <w:vAlign w:val="bottom"/>
          </w:tcPr>
          <w:p>
            <w:pPr>
              <w:ind w:left="9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24"/>
                <w:szCs w:val="24"/>
                <w:color w:val="auto"/>
              </w:rPr>
            </w:pPr>
          </w:p>
        </w:tc>
        <w:tc>
          <w:tcPr>
            <w:tcW w:w="100" w:type="dxa"/>
            <w:vAlign w:val="bottom"/>
            <w:tcBorders>
              <w:bottom w:val="single" w:sz="8" w:color="0000EE"/>
            </w:tcBorders>
          </w:tcPr>
          <w:p>
            <w:pPr>
              <w:spacing w:after="0"/>
              <w:rPr>
                <w:sz w:val="20"/>
                <w:szCs w:val="20"/>
                <w:color w:val="auto"/>
              </w:rPr>
            </w:pPr>
            <w:r>
              <w:rPr>
                <w:rFonts w:ascii="Arial" w:cs="Arial" w:eastAsia="Arial" w:hAnsi="Arial"/>
                <w:sz w:val="16"/>
                <w:szCs w:val="16"/>
                <w:b w:val="1"/>
                <w:bCs w:val="1"/>
                <w:color w:val="0000EE"/>
                <w:w w:val="89"/>
              </w:rPr>
              <w:t>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50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b w:val="1"/>
                <w:bCs w:val="1"/>
                <w:color w:val="0000EE"/>
                <w:w w:val="99"/>
              </w:rPr>
              <w:t>Company Overview</w:t>
            </w:r>
          </w:p>
        </w:tc>
        <w:tc>
          <w:tcPr>
            <w:tcW w:w="1580" w:type="dxa"/>
            <w:vAlign w:val="bottom"/>
            <w:gridSpan w:val="10"/>
          </w:tcPr>
          <w:p>
            <w:pPr>
              <w:spacing w:after="0"/>
              <w:rPr>
                <w:sz w:val="24"/>
                <w:szCs w:val="24"/>
                <w:color w:val="auto"/>
              </w:rPr>
            </w:pPr>
          </w:p>
        </w:tc>
        <w:tc>
          <w:tcPr>
            <w:tcW w:w="1020" w:type="dxa"/>
            <w:vAlign w:val="bottom"/>
          </w:tcPr>
          <w:p>
            <w:pPr>
              <w:ind w:left="9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24"/>
                <w:szCs w:val="24"/>
                <w:color w:val="auto"/>
              </w:rPr>
            </w:pPr>
          </w:p>
        </w:tc>
        <w:tc>
          <w:tcPr>
            <w:tcW w:w="100" w:type="dxa"/>
            <w:vAlign w:val="bottom"/>
            <w:tcBorders>
              <w:bottom w:val="single" w:sz="8" w:color="0000EE"/>
            </w:tcBorders>
          </w:tcPr>
          <w:p>
            <w:pPr>
              <w:spacing w:after="0"/>
              <w:rPr>
                <w:sz w:val="20"/>
                <w:szCs w:val="20"/>
                <w:color w:val="auto"/>
              </w:rPr>
            </w:pPr>
            <w:r>
              <w:rPr>
                <w:rFonts w:ascii="Arial" w:cs="Arial" w:eastAsia="Arial" w:hAnsi="Arial"/>
                <w:sz w:val="16"/>
                <w:szCs w:val="16"/>
                <w:b w:val="1"/>
                <w:bCs w:val="1"/>
                <w:color w:val="0000EE"/>
                <w:w w:val="89"/>
              </w:rPr>
              <w:t>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3080" w:type="dxa"/>
            <w:vAlign w:val="bottom"/>
            <w:gridSpan w:val="13"/>
          </w:tcPr>
          <w:p>
            <w:pPr>
              <w:spacing w:after="0"/>
              <w:rPr>
                <w:sz w:val="20"/>
                <w:szCs w:val="20"/>
                <w:color w:val="auto"/>
              </w:rPr>
            </w:pPr>
            <w:r>
              <w:rPr>
                <w:rFonts w:ascii="Arial" w:cs="Arial" w:eastAsia="Arial" w:hAnsi="Arial"/>
                <w:sz w:val="16"/>
                <w:szCs w:val="16"/>
                <w:b w:val="1"/>
                <w:bCs w:val="1"/>
                <w:color w:val="0000EE"/>
              </w:rPr>
              <w:t>2023 Performance Snapshot</w:t>
            </w:r>
          </w:p>
        </w:tc>
        <w:tc>
          <w:tcPr>
            <w:tcW w:w="1020" w:type="dxa"/>
            <w:vAlign w:val="bottom"/>
          </w:tcPr>
          <w:p>
            <w:pPr>
              <w:ind w:left="940"/>
              <w:spacing w:after="0"/>
              <w:rPr>
                <w:sz w:val="20"/>
                <w:szCs w:val="20"/>
                <w:color w:val="auto"/>
              </w:rPr>
            </w:pPr>
            <w:r>
              <w:rPr>
                <w:rFonts w:ascii="Times New Roman" w:cs="Times New Roman" w:eastAsia="Times New Roman" w:hAnsi="Times New Roman"/>
                <w:sz w:val="4"/>
                <w:szCs w:val="4"/>
                <w:color w:val="auto"/>
              </w:rPr>
              <w:t>​   ​</w:t>
            </w:r>
          </w:p>
        </w:tc>
        <w:tc>
          <w:tcPr>
            <w:tcW w:w="120" w:type="dxa"/>
            <w:vAlign w:val="bottom"/>
            <w:gridSpan w:val="2"/>
          </w:tcPr>
          <w:p>
            <w:pPr>
              <w:ind w:left="20"/>
              <w:spacing w:after="0"/>
              <w:rPr>
                <w:sz w:val="20"/>
                <w:szCs w:val="20"/>
                <w:color w:val="auto"/>
              </w:rPr>
            </w:pPr>
            <w:r>
              <w:rPr>
                <w:rFonts w:ascii="Arial" w:cs="Arial" w:eastAsia="Arial" w:hAnsi="Arial"/>
                <w:sz w:val="16"/>
                <w:szCs w:val="16"/>
                <w:b w:val="1"/>
                <w:bCs w:val="1"/>
                <w:color w:val="0000EE"/>
                <w:w w:val="89"/>
              </w:rPr>
              <w:t>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3080" w:type="dxa"/>
            <w:vAlign w:val="bottom"/>
            <w:gridSpan w:val="13"/>
          </w:tcPr>
          <w:p>
            <w:pPr>
              <w:spacing w:after="0"/>
              <w:rPr>
                <w:sz w:val="20"/>
                <w:szCs w:val="20"/>
                <w:color w:val="auto"/>
              </w:rPr>
            </w:pPr>
            <w:r>
              <w:rPr>
                <w:rFonts w:ascii="Arial" w:cs="Arial" w:eastAsia="Arial" w:hAnsi="Arial"/>
                <w:sz w:val="16"/>
                <w:szCs w:val="16"/>
                <w:color w:val="0000EE"/>
              </w:rPr>
              <w:t>Financial and Business Highlights</w:t>
            </w:r>
          </w:p>
        </w:tc>
        <w:tc>
          <w:tcPr>
            <w:tcW w:w="1020" w:type="dxa"/>
            <w:vAlign w:val="bottom"/>
          </w:tcPr>
          <w:p>
            <w:pPr>
              <w:ind w:left="940"/>
              <w:spacing w:after="0"/>
              <w:rPr>
                <w:sz w:val="20"/>
                <w:szCs w:val="20"/>
                <w:color w:val="auto"/>
              </w:rPr>
            </w:pPr>
            <w:r>
              <w:rPr>
                <w:rFonts w:ascii="Times New Roman" w:cs="Times New Roman" w:eastAsia="Times New Roman" w:hAnsi="Times New Roman"/>
                <w:sz w:val="4"/>
                <w:szCs w:val="4"/>
                <w:color w:val="auto"/>
              </w:rPr>
              <w:t>​   ​</w:t>
            </w:r>
          </w:p>
        </w:tc>
        <w:tc>
          <w:tcPr>
            <w:tcW w:w="120" w:type="dxa"/>
            <w:vAlign w:val="bottom"/>
            <w:gridSpan w:val="2"/>
          </w:tcPr>
          <w:p>
            <w:pPr>
              <w:ind w:left="20"/>
              <w:spacing w:after="0"/>
              <w:rPr>
                <w:sz w:val="20"/>
                <w:szCs w:val="20"/>
                <w:color w:val="auto"/>
              </w:rPr>
            </w:pPr>
            <w:r>
              <w:rPr>
                <w:rFonts w:ascii="Arial" w:cs="Arial" w:eastAsia="Arial" w:hAnsi="Arial"/>
                <w:sz w:val="16"/>
                <w:szCs w:val="16"/>
                <w:color w:val="0000EE"/>
                <w:w w:val="89"/>
              </w:rPr>
              <w:t>6</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400" w:type="dxa"/>
            <w:vAlign w:val="bottom"/>
            <w:tcBorders>
              <w:top w:val="single" w:sz="8" w:color="0000EE"/>
            </w:tcBorders>
            <w:gridSpan w:val="11"/>
          </w:tcPr>
          <w:p>
            <w:pPr>
              <w:spacing w:after="0"/>
              <w:rPr>
                <w:sz w:val="20"/>
                <w:szCs w:val="20"/>
                <w:color w:val="auto"/>
              </w:rPr>
            </w:pPr>
            <w:r>
              <w:rPr>
                <w:rFonts w:ascii="Arial" w:cs="Arial" w:eastAsia="Arial" w:hAnsi="Arial"/>
                <w:sz w:val="16"/>
                <w:szCs w:val="16"/>
                <w:color w:val="0000EE"/>
              </w:rPr>
              <w:t>Sustainability Highlights</w:t>
            </w:r>
          </w:p>
        </w:tc>
        <w:tc>
          <w:tcPr>
            <w:tcW w:w="680" w:type="dxa"/>
            <w:vAlign w:val="bottom"/>
            <w:gridSpan w:val="2"/>
          </w:tcPr>
          <w:p>
            <w:pPr>
              <w:spacing w:after="0"/>
              <w:rPr>
                <w:sz w:val="23"/>
                <w:szCs w:val="23"/>
                <w:color w:val="auto"/>
              </w:rPr>
            </w:pPr>
          </w:p>
        </w:tc>
        <w:tc>
          <w:tcPr>
            <w:tcW w:w="1020" w:type="dxa"/>
            <w:vAlign w:val="bottom"/>
          </w:tcPr>
          <w:p>
            <w:pPr>
              <w:ind w:left="9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23"/>
                <w:szCs w:val="23"/>
                <w:color w:val="auto"/>
              </w:rPr>
            </w:pPr>
          </w:p>
        </w:tc>
        <w:tc>
          <w:tcPr>
            <w:tcW w:w="100" w:type="dxa"/>
            <w:vAlign w:val="bottom"/>
            <w:tcBorders>
              <w:top w:val="single" w:sz="8" w:color="0000EE"/>
            </w:tcBorders>
          </w:tcPr>
          <w:p>
            <w:pPr>
              <w:spacing w:after="0"/>
              <w:rPr>
                <w:sz w:val="20"/>
                <w:szCs w:val="20"/>
                <w:color w:val="auto"/>
              </w:rPr>
            </w:pPr>
            <w:r>
              <w:rPr>
                <w:rFonts w:ascii="Arial" w:cs="Arial" w:eastAsia="Arial" w:hAnsi="Arial"/>
                <w:sz w:val="16"/>
                <w:szCs w:val="16"/>
                <w:color w:val="0000EE"/>
                <w:w w:val="89"/>
              </w:rPr>
              <w:t>6</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3080" w:type="dxa"/>
            <w:vAlign w:val="bottom"/>
            <w:gridSpan w:val="13"/>
          </w:tcPr>
          <w:p>
            <w:pPr>
              <w:spacing w:after="0"/>
              <w:rPr>
                <w:sz w:val="20"/>
                <w:szCs w:val="20"/>
                <w:color w:val="auto"/>
              </w:rPr>
            </w:pPr>
            <w:r>
              <w:rPr>
                <w:rFonts w:ascii="Arial" w:cs="Arial" w:eastAsia="Arial" w:hAnsi="Arial"/>
                <w:sz w:val="16"/>
                <w:szCs w:val="16"/>
                <w:b w:val="1"/>
                <w:bCs w:val="1"/>
                <w:color w:val="0000EE"/>
              </w:rPr>
              <w:t>Proxy Statement Summary</w:t>
            </w:r>
          </w:p>
        </w:tc>
        <w:tc>
          <w:tcPr>
            <w:tcW w:w="1020" w:type="dxa"/>
            <w:vAlign w:val="bottom"/>
          </w:tcPr>
          <w:p>
            <w:pPr>
              <w:ind w:left="940"/>
              <w:spacing w:after="0"/>
              <w:rPr>
                <w:sz w:val="20"/>
                <w:szCs w:val="20"/>
                <w:color w:val="auto"/>
              </w:rPr>
            </w:pPr>
            <w:r>
              <w:rPr>
                <w:rFonts w:ascii="Times New Roman" w:cs="Times New Roman" w:eastAsia="Times New Roman" w:hAnsi="Times New Roman"/>
                <w:sz w:val="4"/>
                <w:szCs w:val="4"/>
                <w:color w:val="auto"/>
              </w:rPr>
              <w:t>​   ​</w:t>
            </w:r>
          </w:p>
        </w:tc>
        <w:tc>
          <w:tcPr>
            <w:tcW w:w="120" w:type="dxa"/>
            <w:vAlign w:val="bottom"/>
            <w:gridSpan w:val="2"/>
          </w:tcPr>
          <w:p>
            <w:pPr>
              <w:ind w:left="20"/>
              <w:spacing w:after="0"/>
              <w:rPr>
                <w:sz w:val="20"/>
                <w:szCs w:val="20"/>
                <w:color w:val="auto"/>
              </w:rPr>
            </w:pPr>
            <w:r>
              <w:rPr>
                <w:rFonts w:ascii="Arial" w:cs="Arial" w:eastAsia="Arial" w:hAnsi="Arial"/>
                <w:sz w:val="16"/>
                <w:szCs w:val="16"/>
                <w:b w:val="1"/>
                <w:bCs w:val="1"/>
                <w:color w:val="0000EE"/>
                <w:w w:val="89"/>
              </w:rPr>
              <w:t>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2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6"/>
                <w:szCs w:val="16"/>
                <w:color w:val="0000EE"/>
                <w:w w:val="98"/>
              </w:rPr>
              <w:t>Voting Roadmap</w:t>
            </w:r>
          </w:p>
        </w:tc>
        <w:tc>
          <w:tcPr>
            <w:tcW w:w="840" w:type="dxa"/>
            <w:vAlign w:val="bottom"/>
            <w:tcBorders>
              <w:top w:val="single" w:sz="8" w:color="0000EE"/>
            </w:tcBorders>
            <w:gridSpan w:val="6"/>
          </w:tcPr>
          <w:p>
            <w:pPr>
              <w:spacing w:after="0"/>
              <w:rPr>
                <w:sz w:val="23"/>
                <w:szCs w:val="23"/>
                <w:color w:val="auto"/>
              </w:rPr>
            </w:pPr>
          </w:p>
        </w:tc>
        <w:tc>
          <w:tcPr>
            <w:tcW w:w="1040" w:type="dxa"/>
            <w:vAlign w:val="bottom"/>
            <w:gridSpan w:val="5"/>
          </w:tcPr>
          <w:p>
            <w:pPr>
              <w:spacing w:after="0"/>
              <w:rPr>
                <w:sz w:val="23"/>
                <w:szCs w:val="23"/>
                <w:color w:val="auto"/>
              </w:rPr>
            </w:pPr>
          </w:p>
        </w:tc>
        <w:tc>
          <w:tcPr>
            <w:tcW w:w="1020" w:type="dxa"/>
            <w:vAlign w:val="bottom"/>
          </w:tcPr>
          <w:p>
            <w:pPr>
              <w:ind w:left="9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23"/>
                <w:szCs w:val="23"/>
                <w:color w:val="auto"/>
              </w:rPr>
            </w:pPr>
          </w:p>
        </w:tc>
        <w:tc>
          <w:tcPr>
            <w:tcW w:w="10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6"/>
                <w:szCs w:val="16"/>
                <w:color w:val="0000EE"/>
                <w:w w:val="89"/>
              </w:rPr>
              <w:t>7</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080" w:type="dxa"/>
            <w:vAlign w:val="bottom"/>
            <w:gridSpan w:val="13"/>
          </w:tcPr>
          <w:p>
            <w:pPr>
              <w:spacing w:after="0"/>
              <w:rPr>
                <w:sz w:val="20"/>
                <w:szCs w:val="20"/>
                <w:color w:val="auto"/>
              </w:rPr>
            </w:pPr>
            <w:r>
              <w:rPr>
                <w:rFonts w:ascii="Arial" w:cs="Arial" w:eastAsia="Arial" w:hAnsi="Arial"/>
                <w:sz w:val="16"/>
                <w:szCs w:val="16"/>
                <w:color w:val="0000EE"/>
              </w:rPr>
              <w:t>Wabtec Board of Directors at a Glance</w:t>
            </w:r>
          </w:p>
        </w:tc>
        <w:tc>
          <w:tcPr>
            <w:tcW w:w="1020" w:type="dxa"/>
            <w:vAlign w:val="bottom"/>
          </w:tcPr>
          <w:p>
            <w:pPr>
              <w:ind w:left="940"/>
              <w:spacing w:after="0"/>
              <w:rPr>
                <w:sz w:val="20"/>
                <w:szCs w:val="20"/>
                <w:color w:val="auto"/>
              </w:rPr>
            </w:pPr>
            <w:r>
              <w:rPr>
                <w:rFonts w:ascii="Times New Roman" w:cs="Times New Roman" w:eastAsia="Times New Roman" w:hAnsi="Times New Roman"/>
                <w:sz w:val="4"/>
                <w:szCs w:val="4"/>
                <w:color w:val="auto"/>
              </w:rPr>
              <w:t>​   ​</w:t>
            </w:r>
          </w:p>
        </w:tc>
        <w:tc>
          <w:tcPr>
            <w:tcW w:w="120" w:type="dxa"/>
            <w:vAlign w:val="bottom"/>
            <w:gridSpan w:val="2"/>
          </w:tcPr>
          <w:p>
            <w:pPr>
              <w:ind w:left="20"/>
              <w:spacing w:after="0"/>
              <w:rPr>
                <w:sz w:val="20"/>
                <w:szCs w:val="20"/>
                <w:color w:val="auto"/>
              </w:rPr>
            </w:pPr>
            <w:r>
              <w:rPr>
                <w:rFonts w:ascii="Arial" w:cs="Arial" w:eastAsia="Arial" w:hAnsi="Arial"/>
                <w:sz w:val="16"/>
                <w:szCs w:val="16"/>
                <w:color w:val="0000EE"/>
                <w:w w:val="89"/>
              </w:rPr>
              <w:t>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82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6"/>
                <w:szCs w:val="16"/>
                <w:color w:val="0000EE"/>
                <w:w w:val="99"/>
              </w:rPr>
              <w:t>Board Member Highlights</w:t>
            </w:r>
          </w:p>
        </w:tc>
        <w:tc>
          <w:tcPr>
            <w:tcW w:w="920" w:type="dxa"/>
            <w:vAlign w:val="bottom"/>
            <w:tcBorders>
              <w:top w:val="single" w:sz="8" w:color="0000EE"/>
            </w:tcBorders>
            <w:gridSpan w:val="5"/>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ind w:left="9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23"/>
                <w:szCs w:val="23"/>
                <w:color w:val="auto"/>
              </w:rPr>
            </w:pPr>
          </w:p>
        </w:tc>
        <w:tc>
          <w:tcPr>
            <w:tcW w:w="10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6"/>
                <w:szCs w:val="16"/>
                <w:color w:val="0000EE"/>
                <w:w w:val="89"/>
              </w:rPr>
              <w:t>9</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08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color w:val="0000EE"/>
              </w:rPr>
              <w:t>Elements of 2023 Executive Compensation</w:t>
            </w:r>
          </w:p>
        </w:tc>
        <w:tc>
          <w:tcPr>
            <w:tcW w:w="1020" w:type="dxa"/>
            <w:vAlign w:val="bottom"/>
          </w:tcPr>
          <w:p>
            <w:pPr>
              <w:ind w:left="9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23"/>
                <w:szCs w:val="23"/>
                <w:color w:val="auto"/>
              </w:rPr>
            </w:pPr>
          </w:p>
        </w:tc>
        <w:tc>
          <w:tcPr>
            <w:tcW w:w="10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89"/>
              </w:rPr>
              <w:t>9</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700" w:type="dxa"/>
            <w:vAlign w:val="bottom"/>
            <w:gridSpan w:val="6"/>
          </w:tcPr>
          <w:p>
            <w:pPr>
              <w:spacing w:after="0"/>
              <w:rPr>
                <w:sz w:val="20"/>
                <w:szCs w:val="20"/>
                <w:color w:val="auto"/>
              </w:rPr>
            </w:pPr>
            <w:r>
              <w:rPr>
                <w:rFonts w:ascii="Arial" w:cs="Arial" w:eastAsia="Arial" w:hAnsi="Arial"/>
                <w:sz w:val="16"/>
                <w:szCs w:val="16"/>
                <w:color w:val="0000EE"/>
                <w:w w:val="99"/>
              </w:rPr>
              <w:t>CEO and NEO Pay Mix</w:t>
            </w:r>
          </w:p>
        </w:tc>
        <w:tc>
          <w:tcPr>
            <w:tcW w:w="1380" w:type="dxa"/>
            <w:vAlign w:val="bottom"/>
            <w:gridSpan w:val="7"/>
          </w:tcPr>
          <w:p>
            <w:pPr>
              <w:spacing w:after="0"/>
              <w:rPr>
                <w:sz w:val="23"/>
                <w:szCs w:val="23"/>
                <w:color w:val="auto"/>
              </w:rPr>
            </w:pPr>
          </w:p>
        </w:tc>
        <w:tc>
          <w:tcPr>
            <w:tcW w:w="1020" w:type="dxa"/>
            <w:vAlign w:val="bottom"/>
          </w:tcPr>
          <w:p>
            <w:pPr>
              <w:ind w:left="9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23"/>
                <w:szCs w:val="23"/>
                <w:color w:val="auto"/>
              </w:rPr>
            </w:pPr>
          </w:p>
        </w:tc>
        <w:tc>
          <w:tcPr>
            <w:tcW w:w="280" w:type="dxa"/>
            <w:vAlign w:val="bottom"/>
            <w:gridSpan w:val="3"/>
          </w:tcPr>
          <w:p>
            <w:pPr>
              <w:spacing w:after="0"/>
              <w:rPr>
                <w:sz w:val="20"/>
                <w:szCs w:val="20"/>
                <w:color w:val="auto"/>
              </w:rPr>
            </w:pPr>
            <w:r>
              <w:rPr>
                <w:rFonts w:ascii="Arial" w:cs="Arial" w:eastAsia="Arial" w:hAnsi="Arial"/>
                <w:sz w:val="16"/>
                <w:szCs w:val="16"/>
                <w:color w:val="0000EE"/>
              </w:rPr>
              <w:t>10</w:t>
            </w:r>
          </w:p>
        </w:tc>
        <w:tc>
          <w:tcPr>
            <w:tcW w:w="0" w:type="dxa"/>
            <w:vAlign w:val="bottom"/>
          </w:tcPr>
          <w:p>
            <w:pPr>
              <w:spacing w:after="0"/>
              <w:rPr>
                <w:sz w:val="1"/>
                <w:szCs w:val="1"/>
                <w:color w:val="auto"/>
              </w:rPr>
            </w:pPr>
          </w:p>
        </w:tc>
      </w:tr>
      <w:tr>
        <w:trPr>
          <w:trHeight w:val="472"/>
        </w:trPr>
        <w:tc>
          <w:tcPr>
            <w:tcW w:w="1200" w:type="dxa"/>
            <w:vAlign w:val="bottom"/>
            <w:tcBorders>
              <w:top w:val="single" w:sz="8" w:color="0000EE"/>
            </w:tcBorders>
            <w:gridSpan w:val="2"/>
            <w:vMerge w:val="restart"/>
          </w:tcPr>
          <w:p>
            <w:pPr>
              <w:spacing w:after="0"/>
              <w:rPr>
                <w:sz w:val="20"/>
                <w:szCs w:val="20"/>
                <w:color w:val="auto"/>
              </w:rPr>
            </w:pPr>
            <w:r>
              <w:rPr>
                <w:rFonts w:ascii="Arial" w:cs="Arial" w:eastAsia="Arial" w:hAnsi="Arial"/>
                <w:sz w:val="18"/>
                <w:szCs w:val="18"/>
                <w:b w:val="1"/>
                <w:bCs w:val="1"/>
                <w:color w:val="0000EE"/>
              </w:rPr>
              <w:t>PROPOSAL 1</w:t>
            </w:r>
          </w:p>
        </w:tc>
        <w:tc>
          <w:tcPr>
            <w:tcW w:w="500" w:type="dxa"/>
            <w:vAlign w:val="bottom"/>
            <w:tcBorders>
              <w:top w:val="single" w:sz="8" w:color="0000EE"/>
            </w:tcBorders>
            <w:gridSpan w:val="4"/>
            <w:vMerge w:val="restart"/>
          </w:tcPr>
          <w:p>
            <w:pPr>
              <w:spacing w:after="0"/>
              <w:rPr>
                <w:sz w:val="24"/>
                <w:szCs w:val="24"/>
                <w:color w:val="auto"/>
              </w:rPr>
            </w:pPr>
          </w:p>
        </w:tc>
        <w:tc>
          <w:tcPr>
            <w:tcW w:w="1380" w:type="dxa"/>
            <w:vAlign w:val="bottom"/>
            <w:gridSpan w:val="7"/>
            <w:vMerge w:val="restart"/>
          </w:tcPr>
          <w:p>
            <w:pPr>
              <w:spacing w:after="0"/>
              <w:rPr>
                <w:sz w:val="24"/>
                <w:szCs w:val="24"/>
                <w:color w:val="auto"/>
              </w:rPr>
            </w:pPr>
          </w:p>
        </w:tc>
        <w:tc>
          <w:tcPr>
            <w:tcW w:w="1020" w:type="dxa"/>
            <w:vAlign w:val="bottom"/>
          </w:tcPr>
          <w:p>
            <w:pPr>
              <w:ind w:left="9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200" w:type="dxa"/>
            <w:vAlign w:val="bottom"/>
            <w:tcBorders>
              <w:bottom w:val="single" w:sz="8" w:color="0000EE"/>
            </w:tcBorders>
            <w:gridSpan w:val="2"/>
            <w:vMerge w:val="continue"/>
          </w:tcPr>
          <w:p>
            <w:pPr>
              <w:spacing w:after="0"/>
              <w:rPr>
                <w:sz w:val="9"/>
                <w:szCs w:val="9"/>
                <w:color w:val="auto"/>
              </w:rPr>
            </w:pPr>
          </w:p>
        </w:tc>
        <w:tc>
          <w:tcPr>
            <w:tcW w:w="500" w:type="dxa"/>
            <w:vAlign w:val="bottom"/>
            <w:gridSpan w:val="4"/>
            <w:vMerge w:val="continue"/>
          </w:tcPr>
          <w:p>
            <w:pPr>
              <w:spacing w:after="0"/>
              <w:rPr>
                <w:sz w:val="9"/>
                <w:szCs w:val="9"/>
                <w:color w:val="auto"/>
              </w:rPr>
            </w:pPr>
          </w:p>
        </w:tc>
        <w:tc>
          <w:tcPr>
            <w:tcW w:w="1380" w:type="dxa"/>
            <w:vAlign w:val="bottom"/>
            <w:gridSpan w:val="7"/>
            <w:vMerge w:val="continue"/>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0000EE"/>
                <w:w w:val="89"/>
              </w:rPr>
              <w:t>11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080" w:type="dxa"/>
            <w:vAlign w:val="bottom"/>
            <w:gridSpan w:val="13"/>
          </w:tcPr>
          <w:p>
            <w:pPr>
              <w:spacing w:after="0" w:line="168" w:lineRule="exact"/>
              <w:rPr>
                <w:sz w:val="20"/>
                <w:szCs w:val="20"/>
                <w:color w:val="auto"/>
              </w:rPr>
            </w:pPr>
            <w:r>
              <w:rPr>
                <w:rFonts w:ascii="Arial" w:cs="Arial" w:eastAsia="Arial" w:hAnsi="Arial"/>
                <w:sz w:val="16"/>
                <w:szCs w:val="16"/>
                <w:b w:val="1"/>
                <w:bCs w:val="1"/>
                <w:color w:val="0000EE"/>
              </w:rPr>
              <w:t>Election of Directors</w:t>
            </w:r>
          </w:p>
        </w:tc>
        <w:tc>
          <w:tcPr>
            <w:tcW w:w="1020" w:type="dxa"/>
            <w:vAlign w:val="bottom"/>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Borders>
              <w:top w:val="single" w:sz="8" w:color="0000EE"/>
            </w:tcBorders>
          </w:tcPr>
          <w:p>
            <w:pPr>
              <w:spacing w:after="0"/>
              <w:rPr>
                <w:sz w:val="11"/>
                <w:szCs w:val="11"/>
                <w:color w:val="auto"/>
              </w:rPr>
            </w:pPr>
          </w:p>
        </w:tc>
        <w:tc>
          <w:tcPr>
            <w:tcW w:w="1180" w:type="dxa"/>
            <w:vAlign w:val="bottom"/>
            <w:tcBorders>
              <w:top w:val="single" w:sz="8" w:color="0000EE"/>
              <w:bottom w:val="single" w:sz="8" w:color="0C426A"/>
            </w:tcBorders>
          </w:tcPr>
          <w:p>
            <w:pPr>
              <w:spacing w:after="0"/>
              <w:rPr>
                <w:sz w:val="11"/>
                <w:szCs w:val="11"/>
                <w:color w:val="auto"/>
              </w:rPr>
            </w:pPr>
          </w:p>
        </w:tc>
        <w:tc>
          <w:tcPr>
            <w:tcW w:w="300" w:type="dxa"/>
            <w:vAlign w:val="bottom"/>
            <w:tcBorders>
              <w:top w:val="single" w:sz="8" w:color="0000EE"/>
              <w:bottom w:val="single" w:sz="8" w:color="0C426A"/>
            </w:tcBorders>
          </w:tcPr>
          <w:p>
            <w:pPr>
              <w:spacing w:after="0"/>
              <w:rPr>
                <w:sz w:val="11"/>
                <w:szCs w:val="11"/>
                <w:color w:val="auto"/>
              </w:rPr>
            </w:pPr>
          </w:p>
        </w:tc>
        <w:tc>
          <w:tcPr>
            <w:tcW w:w="80" w:type="dxa"/>
            <w:vAlign w:val="bottom"/>
            <w:tcBorders>
              <w:top w:val="single" w:sz="8" w:color="0000EE"/>
              <w:bottom w:val="single" w:sz="8" w:color="0C426A"/>
            </w:tcBorders>
          </w:tcPr>
          <w:p>
            <w:pPr>
              <w:spacing w:after="0"/>
              <w:rPr>
                <w:sz w:val="11"/>
                <w:szCs w:val="11"/>
                <w:color w:val="auto"/>
              </w:rPr>
            </w:pPr>
          </w:p>
        </w:tc>
        <w:tc>
          <w:tcPr>
            <w:tcW w:w="20" w:type="dxa"/>
            <w:vAlign w:val="bottom"/>
            <w:tcBorders>
              <w:bottom w:val="single" w:sz="8" w:color="0C426A"/>
            </w:tcBorders>
          </w:tcPr>
          <w:p>
            <w:pPr>
              <w:spacing w:after="0"/>
              <w:rPr>
                <w:sz w:val="11"/>
                <w:szCs w:val="11"/>
                <w:color w:val="auto"/>
              </w:rPr>
            </w:pPr>
          </w:p>
        </w:tc>
        <w:tc>
          <w:tcPr>
            <w:tcW w:w="100" w:type="dxa"/>
            <w:vAlign w:val="bottom"/>
            <w:tcBorders>
              <w:bottom w:val="single" w:sz="8" w:color="0C426A"/>
            </w:tcBorders>
          </w:tcPr>
          <w:p>
            <w:pPr>
              <w:spacing w:after="0"/>
              <w:rPr>
                <w:sz w:val="11"/>
                <w:szCs w:val="11"/>
                <w:color w:val="auto"/>
              </w:rPr>
            </w:pPr>
          </w:p>
        </w:tc>
        <w:tc>
          <w:tcPr>
            <w:tcW w:w="120" w:type="dxa"/>
            <w:vAlign w:val="bottom"/>
            <w:tcBorders>
              <w:bottom w:val="single" w:sz="8" w:color="0C426A"/>
            </w:tcBorders>
          </w:tcPr>
          <w:p>
            <w:pPr>
              <w:spacing w:after="0"/>
              <w:rPr>
                <w:sz w:val="11"/>
                <w:szCs w:val="11"/>
                <w:color w:val="auto"/>
              </w:rPr>
            </w:pPr>
          </w:p>
        </w:tc>
        <w:tc>
          <w:tcPr>
            <w:tcW w:w="220" w:type="dxa"/>
            <w:vAlign w:val="bottom"/>
            <w:tcBorders>
              <w:bottom w:val="single" w:sz="8" w:color="0C426A"/>
            </w:tcBorders>
          </w:tcPr>
          <w:p>
            <w:pPr>
              <w:spacing w:after="0"/>
              <w:rPr>
                <w:sz w:val="11"/>
                <w:szCs w:val="11"/>
                <w:color w:val="auto"/>
              </w:rPr>
            </w:pPr>
          </w:p>
        </w:tc>
        <w:tc>
          <w:tcPr>
            <w:tcW w:w="120" w:type="dxa"/>
            <w:vAlign w:val="bottom"/>
            <w:tcBorders>
              <w:bottom w:val="single" w:sz="8" w:color="0C426A"/>
            </w:tcBorders>
          </w:tcPr>
          <w:p>
            <w:pPr>
              <w:spacing w:after="0"/>
              <w:rPr>
                <w:sz w:val="11"/>
                <w:szCs w:val="11"/>
                <w:color w:val="auto"/>
              </w:rPr>
            </w:pPr>
          </w:p>
        </w:tc>
        <w:tc>
          <w:tcPr>
            <w:tcW w:w="180" w:type="dxa"/>
            <w:vAlign w:val="bottom"/>
            <w:tcBorders>
              <w:bottom w:val="single" w:sz="8" w:color="0C426A"/>
            </w:tcBorders>
          </w:tcPr>
          <w:p>
            <w:pPr>
              <w:spacing w:after="0"/>
              <w:rPr>
                <w:sz w:val="11"/>
                <w:szCs w:val="11"/>
                <w:color w:val="auto"/>
              </w:rPr>
            </w:pPr>
          </w:p>
        </w:tc>
        <w:tc>
          <w:tcPr>
            <w:tcW w:w="60" w:type="dxa"/>
            <w:vAlign w:val="bottom"/>
            <w:tcBorders>
              <w:bottom w:val="single" w:sz="8" w:color="0C426A"/>
            </w:tcBorders>
          </w:tcPr>
          <w:p>
            <w:pPr>
              <w:spacing w:after="0"/>
              <w:rPr>
                <w:sz w:val="11"/>
                <w:szCs w:val="11"/>
                <w:color w:val="auto"/>
              </w:rPr>
            </w:pPr>
          </w:p>
        </w:tc>
        <w:tc>
          <w:tcPr>
            <w:tcW w:w="340" w:type="dxa"/>
            <w:vAlign w:val="bottom"/>
            <w:tcBorders>
              <w:bottom w:val="single" w:sz="8" w:color="0C426A"/>
            </w:tcBorders>
          </w:tcPr>
          <w:p>
            <w:pPr>
              <w:spacing w:after="0"/>
              <w:rPr>
                <w:sz w:val="11"/>
                <w:szCs w:val="11"/>
                <w:color w:val="auto"/>
              </w:rPr>
            </w:pPr>
          </w:p>
        </w:tc>
        <w:tc>
          <w:tcPr>
            <w:tcW w:w="340" w:type="dxa"/>
            <w:vAlign w:val="bottom"/>
            <w:tcBorders>
              <w:bottom w:val="single" w:sz="8" w:color="0C426A"/>
            </w:tcBorders>
          </w:tcPr>
          <w:p>
            <w:pPr>
              <w:spacing w:after="0"/>
              <w:rPr>
                <w:sz w:val="11"/>
                <w:szCs w:val="11"/>
                <w:color w:val="auto"/>
              </w:rPr>
            </w:pPr>
          </w:p>
        </w:tc>
        <w:tc>
          <w:tcPr>
            <w:tcW w:w="1020" w:type="dxa"/>
            <w:vAlign w:val="bottom"/>
            <w:tcBorders>
              <w:bottom w:val="single" w:sz="8" w:color="0C426A"/>
            </w:tcBorders>
          </w:tcPr>
          <w:p>
            <w:pPr>
              <w:spacing w:after="0"/>
              <w:rPr>
                <w:sz w:val="11"/>
                <w:szCs w:val="11"/>
                <w:color w:val="auto"/>
              </w:rPr>
            </w:pPr>
          </w:p>
        </w:tc>
        <w:tc>
          <w:tcPr>
            <w:tcW w:w="20" w:type="dxa"/>
            <w:vAlign w:val="bottom"/>
            <w:tcBorders>
              <w:bottom w:val="single" w:sz="8" w:color="0C426A"/>
            </w:tcBorders>
          </w:tcPr>
          <w:p>
            <w:pPr>
              <w:spacing w:after="0"/>
              <w:rPr>
                <w:sz w:val="11"/>
                <w:szCs w:val="11"/>
                <w:color w:val="auto"/>
              </w:rPr>
            </w:pPr>
          </w:p>
        </w:tc>
        <w:tc>
          <w:tcPr>
            <w:tcW w:w="100" w:type="dxa"/>
            <w:vAlign w:val="bottom"/>
            <w:tcBorders>
              <w:top w:val="single" w:sz="8" w:color="0000EE"/>
              <w:bottom w:val="single" w:sz="8" w:color="0C426A"/>
            </w:tcBorders>
          </w:tcPr>
          <w:p>
            <w:pPr>
              <w:spacing w:after="0"/>
              <w:rPr>
                <w:sz w:val="11"/>
                <w:szCs w:val="11"/>
                <w:color w:val="auto"/>
              </w:rPr>
            </w:pPr>
          </w:p>
        </w:tc>
        <w:tc>
          <w:tcPr>
            <w:tcW w:w="80" w:type="dxa"/>
            <w:vAlign w:val="bottom"/>
            <w:tcBorders>
              <w:top w:val="single" w:sz="8" w:color="0000EE"/>
              <w:bottom w:val="single" w:sz="8" w:color="0C426A"/>
            </w:tcBorders>
          </w:tcPr>
          <w:p>
            <w:pPr>
              <w:spacing w:after="0"/>
              <w:rPr>
                <w:sz w:val="11"/>
                <w:szCs w:val="11"/>
                <w:color w:val="auto"/>
              </w:rPr>
            </w:pPr>
          </w:p>
        </w:tc>
        <w:tc>
          <w:tcPr>
            <w:tcW w:w="100" w:type="dxa"/>
            <w:vAlign w:val="bottom"/>
            <w:tcBorders>
              <w:bottom w:val="single" w:sz="8" w:color="0C426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Compensation Philosophy and Objectives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Executive Compensation Decision-Making Process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2023 NEO Compensation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NEO Pay Summaries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Other Compensation Policies and Practices</w:t>
      </w:r>
    </w:p>
    <w:p>
      <w:pPr>
        <w:spacing w:after="0" w:line="218" w:lineRule="exact"/>
        <w:rPr>
          <w:sz w:val="20"/>
          <w:szCs w:val="20"/>
          <w:color w:val="auto"/>
        </w:rPr>
      </w:pPr>
    </w:p>
    <w:p>
      <w:pPr>
        <w:ind w:right="720"/>
        <w:spacing w:after="0" w:line="293" w:lineRule="auto"/>
        <w:rPr>
          <w:sz w:val="20"/>
          <w:szCs w:val="20"/>
          <w:color w:val="auto"/>
        </w:rPr>
      </w:pPr>
      <w:r>
        <w:rPr>
          <w:rFonts w:ascii="Arial" w:cs="Arial" w:eastAsia="Arial" w:hAnsi="Arial"/>
          <w:sz w:val="16"/>
          <w:szCs w:val="16"/>
          <w:b w:val="1"/>
          <w:bCs w:val="1"/>
          <w:u w:val="single" w:color="auto"/>
          <w:color w:val="0000EE"/>
        </w:rPr>
        <w:t>Compensation and Talent Management Committee Report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Executive Compensation Tables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Summary Compensation Table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2023 Grants of Plan Based Awards</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EE"/>
        </w:rPr>
        <w:t>2023 Outstanding Equity Awards at Fiscal Year-End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Option Exercises and Stock Vested</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Nonqualified Deferred Compensation</w:t>
      </w:r>
    </w:p>
    <w:p>
      <w:pPr>
        <w:spacing w:after="0" w:line="111" w:lineRule="exact"/>
        <w:rPr>
          <w:sz w:val="20"/>
          <w:szCs w:val="20"/>
          <w:color w:val="auto"/>
        </w:rPr>
      </w:pPr>
    </w:p>
    <w:p>
      <w:pPr>
        <w:ind w:right="820"/>
        <w:spacing w:after="0" w:line="282" w:lineRule="auto"/>
        <w:rPr>
          <w:sz w:val="20"/>
          <w:szCs w:val="20"/>
          <w:color w:val="auto"/>
        </w:rPr>
      </w:pPr>
      <w:r>
        <w:rPr>
          <w:rFonts w:ascii="Arial" w:cs="Arial" w:eastAsia="Arial" w:hAnsi="Arial"/>
          <w:sz w:val="16"/>
          <w:szCs w:val="16"/>
          <w:u w:val="single" w:color="auto"/>
          <w:color w:val="0000EE"/>
        </w:rPr>
        <w:t>Potential Payments Upon Termination or Change in Control</w:t>
      </w:r>
    </w:p>
    <w:p>
      <w:pPr>
        <w:spacing w:after="0" w:line="50" w:lineRule="exact"/>
        <w:rPr>
          <w:sz w:val="20"/>
          <w:szCs w:val="20"/>
          <w:color w:val="auto"/>
        </w:rPr>
      </w:pPr>
    </w:p>
    <w:p>
      <w:pPr>
        <w:ind w:right="680"/>
        <w:spacing w:after="0" w:line="282" w:lineRule="auto"/>
        <w:rPr>
          <w:sz w:val="20"/>
          <w:szCs w:val="20"/>
          <w:color w:val="auto"/>
        </w:rPr>
      </w:pPr>
      <w:r>
        <w:rPr>
          <w:rFonts w:ascii="Arial" w:cs="Arial" w:eastAsia="Arial" w:hAnsi="Arial"/>
          <w:sz w:val="16"/>
          <w:szCs w:val="16"/>
          <w:u w:val="single" w:color="auto"/>
          <w:color w:val="0000EE"/>
        </w:rPr>
        <w:t>Potential Payments Upon Termination and Change-in-Control Provisions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0" w:hanging="52"/>
        <w:spacing w:after="0"/>
        <w:tabs>
          <w:tab w:leader="none" w:pos="60" w:val="left"/>
        </w:tabs>
        <w:numPr>
          <w:ilvl w:val="0"/>
          <w:numId w:val="2"/>
        </w:numPr>
        <w:rPr>
          <w:rFonts w:ascii="Times New Roman" w:cs="Times New Roman" w:eastAsia="Times New Roman" w:hAnsi="Times New Roman"/>
          <w:sz w:val="3"/>
          <w:szCs w:val="3"/>
          <w:color w:val="auto"/>
        </w:rPr>
      </w:pPr>
      <w:r>
        <w:rPr>
          <w:rFonts w:ascii="Times New Roman" w:cs="Times New Roman" w:eastAsia="Times New Roman" w:hAnsi="Times New Roman"/>
          <w:sz w:val="3"/>
          <w:szCs w:val="3"/>
          <w:color w:val="auto"/>
        </w:rPr>
        <w:t xml:space="preserve">​   </w:t>
      </w:r>
      <w:r>
        <w:rPr>
          <w:rFonts w:ascii="Arial" w:cs="Arial" w:eastAsia="Arial" w:hAnsi="Arial"/>
          <w:sz w:val="29"/>
          <w:szCs w:val="29"/>
          <w:u w:val="single" w:color="auto"/>
          <w:color w:val="0000EE"/>
          <w:vertAlign w:val="subscript"/>
        </w:rPr>
        <w:t>46</w:t>
      </w:r>
    </w:p>
    <w:p>
      <w:pPr>
        <w:spacing w:after="0" w:line="177" w:lineRule="exact"/>
        <w:rPr>
          <w:rFonts w:ascii="Times New Roman" w:cs="Times New Roman" w:eastAsia="Times New Roman" w:hAnsi="Times New Roman"/>
          <w:sz w:val="3"/>
          <w:szCs w:val="3"/>
          <w:color w:val="auto"/>
        </w:rPr>
      </w:pPr>
    </w:p>
    <w:p>
      <w:pPr>
        <w:ind w:left="60" w:hanging="52"/>
        <w:spacing w:after="0"/>
        <w:tabs>
          <w:tab w:leader="none" w:pos="60" w:val="left"/>
        </w:tabs>
        <w:numPr>
          <w:ilvl w:val="0"/>
          <w:numId w:val="2"/>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 xml:space="preserve">​   </w:t>
      </w:r>
      <w:r>
        <w:rPr>
          <w:rFonts w:ascii="Arial" w:cs="Arial" w:eastAsia="Arial" w:hAnsi="Arial"/>
          <w:sz w:val="16"/>
          <w:szCs w:val="16"/>
          <w:u w:val="single" w:color="auto"/>
          <w:color w:val="0000EE"/>
        </w:rPr>
        <w:t>47</w:t>
      </w:r>
    </w:p>
    <w:p>
      <w:pPr>
        <w:spacing w:after="0" w:line="109" w:lineRule="exact"/>
        <w:rPr>
          <w:rFonts w:ascii="Times New Roman" w:cs="Times New Roman" w:eastAsia="Times New Roman" w:hAnsi="Times New Roman"/>
          <w:sz w:val="4"/>
          <w:szCs w:val="4"/>
          <w:color w:val="auto"/>
        </w:rPr>
      </w:pPr>
    </w:p>
    <w:p>
      <w:pPr>
        <w:ind w:left="60" w:hanging="52"/>
        <w:spacing w:after="0"/>
        <w:tabs>
          <w:tab w:leader="none" w:pos="60" w:val="left"/>
        </w:tabs>
        <w:numPr>
          <w:ilvl w:val="0"/>
          <w:numId w:val="2"/>
        </w:numPr>
        <w:rPr>
          <w:rFonts w:ascii="Times New Roman" w:cs="Times New Roman" w:eastAsia="Times New Roman" w:hAnsi="Times New Roman"/>
          <w:sz w:val="6"/>
          <w:szCs w:val="6"/>
          <w:color w:val="auto"/>
          <w:vertAlign w:val="superscript"/>
        </w:rPr>
      </w:pPr>
      <w:r>
        <w:rPr>
          <w:rFonts w:ascii="Times New Roman" w:cs="Times New Roman" w:eastAsia="Times New Roman" w:hAnsi="Times New Roman"/>
          <w:sz w:val="6"/>
          <w:szCs w:val="6"/>
          <w:color w:val="000000"/>
          <w:vertAlign w:val="superscript"/>
        </w:rPr>
        <w:t>​</w:t>
      </w:r>
      <w:r>
        <w:rPr>
          <w:rFonts w:ascii="Arial" w:cs="Arial" w:eastAsia="Arial" w:hAnsi="Arial"/>
          <w:sz w:val="12"/>
          <w:szCs w:val="12"/>
          <w:color w:val="0000EE"/>
        </w:rPr>
        <w:t xml:space="preserve">   </w:t>
      </w:r>
      <w:r>
        <w:rPr>
          <w:rFonts w:ascii="Arial" w:cs="Arial" w:eastAsia="Arial" w:hAnsi="Arial"/>
          <w:sz w:val="12"/>
          <w:szCs w:val="12"/>
          <w:u w:val="single" w:color="auto"/>
          <w:color w:val="0000EE"/>
        </w:rPr>
        <w:t>49</w:t>
      </w:r>
    </w:p>
    <w:p>
      <w:pPr>
        <w:spacing w:after="0" w:line="156" w:lineRule="exact"/>
        <w:rPr>
          <w:rFonts w:ascii="Times New Roman" w:cs="Times New Roman" w:eastAsia="Times New Roman" w:hAnsi="Times New Roman"/>
          <w:sz w:val="6"/>
          <w:szCs w:val="6"/>
          <w:color w:val="auto"/>
          <w:vertAlign w:val="superscript"/>
        </w:rPr>
      </w:pPr>
    </w:p>
    <w:p>
      <w:pPr>
        <w:ind w:left="60" w:hanging="52"/>
        <w:spacing w:after="0"/>
        <w:tabs>
          <w:tab w:leader="none" w:pos="60" w:val="left"/>
        </w:tabs>
        <w:numPr>
          <w:ilvl w:val="0"/>
          <w:numId w:val="2"/>
        </w:numPr>
        <w:rPr>
          <w:rFonts w:ascii="Times New Roman" w:cs="Times New Roman" w:eastAsia="Times New Roman" w:hAnsi="Times New Roman"/>
          <w:sz w:val="6"/>
          <w:szCs w:val="6"/>
          <w:color w:val="auto"/>
          <w:vertAlign w:val="superscript"/>
        </w:rPr>
      </w:pPr>
      <w:r>
        <w:rPr>
          <w:rFonts w:ascii="Times New Roman" w:cs="Times New Roman" w:eastAsia="Times New Roman" w:hAnsi="Times New Roman"/>
          <w:sz w:val="6"/>
          <w:szCs w:val="6"/>
          <w:color w:val="000000"/>
          <w:vertAlign w:val="superscript"/>
        </w:rPr>
        <w:t>​</w:t>
      </w:r>
      <w:r>
        <w:rPr>
          <w:rFonts w:ascii="Arial" w:cs="Arial" w:eastAsia="Arial" w:hAnsi="Arial"/>
          <w:sz w:val="12"/>
          <w:szCs w:val="12"/>
          <w:color w:val="0000EE"/>
        </w:rPr>
        <w:t xml:space="preserve">   </w:t>
      </w:r>
      <w:r>
        <w:rPr>
          <w:rFonts w:ascii="Arial" w:cs="Arial" w:eastAsia="Arial" w:hAnsi="Arial"/>
          <w:sz w:val="12"/>
          <w:szCs w:val="12"/>
          <w:u w:val="single" w:color="auto"/>
          <w:color w:val="0000EE"/>
        </w:rPr>
        <w:t>57</w:t>
      </w:r>
    </w:p>
    <w:p>
      <w:pPr>
        <w:spacing w:after="0" w:line="156" w:lineRule="exact"/>
        <w:rPr>
          <w:rFonts w:ascii="Times New Roman" w:cs="Times New Roman" w:eastAsia="Times New Roman" w:hAnsi="Times New Roman"/>
          <w:sz w:val="6"/>
          <w:szCs w:val="6"/>
          <w:color w:val="auto"/>
          <w:vertAlign w:val="superscript"/>
        </w:rPr>
      </w:pPr>
    </w:p>
    <w:p>
      <w:pPr>
        <w:ind w:left="60" w:hanging="52"/>
        <w:spacing w:after="0"/>
        <w:tabs>
          <w:tab w:leader="none" w:pos="60" w:val="left"/>
        </w:tabs>
        <w:numPr>
          <w:ilvl w:val="0"/>
          <w:numId w:val="2"/>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 xml:space="preserve">​   </w:t>
      </w:r>
      <w:r>
        <w:rPr>
          <w:rFonts w:ascii="Arial" w:cs="Arial" w:eastAsia="Arial" w:hAnsi="Arial"/>
          <w:sz w:val="16"/>
          <w:szCs w:val="16"/>
          <w:u w:val="single" w:color="auto"/>
          <w:color w:val="0000EE"/>
        </w:rPr>
        <w:t>58</w:t>
      </w:r>
    </w:p>
    <w:p>
      <w:pPr>
        <w:spacing w:after="0" w:line="329"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tab/>
        <w:t>​</w:t>
      </w:r>
    </w:p>
    <w:p>
      <w:pPr>
        <w:spacing w:after="0" w:line="29" w:lineRule="exact"/>
        <w:rPr>
          <w:sz w:val="20"/>
          <w:szCs w:val="20"/>
          <w:color w:val="auto"/>
        </w:rPr>
      </w:pPr>
    </w:p>
    <w:p>
      <w:pPr>
        <w:jc w:val="right"/>
        <w:ind w:right="1060"/>
        <w:spacing w:after="0"/>
        <w:rPr>
          <w:sz w:val="20"/>
          <w:szCs w:val="20"/>
          <w:color w:val="auto"/>
        </w:rPr>
      </w:pPr>
      <w:r>
        <w:rPr>
          <w:rFonts w:ascii="Arial" w:cs="Arial" w:eastAsia="Arial" w:hAnsi="Arial"/>
          <w:sz w:val="16"/>
          <w:szCs w:val="16"/>
          <w:b w:val="1"/>
          <w:bCs w:val="1"/>
          <w:u w:val="single" w:color="auto"/>
          <w:color w:val="0000EE"/>
        </w:rPr>
        <w:t>60</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6"/>
                <w:szCs w:val="16"/>
                <w:b w:val="1"/>
                <w:bCs w:val="1"/>
                <w:color w:val="0000EE"/>
                <w:w w:val="89"/>
              </w:rPr>
              <w:t>61</w:t>
            </w:r>
          </w:p>
        </w:tc>
        <w:tc>
          <w:tcPr>
            <w:tcW w:w="0" w:type="dxa"/>
            <w:vAlign w:val="bottom"/>
          </w:tcPr>
          <w:p>
            <w:pPr>
              <w:spacing w:after="0"/>
              <w:rPr>
                <w:sz w:val="1"/>
                <w:szCs w:val="1"/>
                <w:color w:val="auto"/>
              </w:rPr>
            </w:pPr>
          </w:p>
        </w:tc>
      </w:tr>
      <w:tr>
        <w:trPr>
          <w:trHeight w:val="275"/>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6"/>
                <w:szCs w:val="16"/>
                <w:color w:val="0000EE"/>
                <w:w w:val="89"/>
              </w:rPr>
              <w:t>61</w:t>
            </w:r>
          </w:p>
        </w:tc>
        <w:tc>
          <w:tcPr>
            <w:tcW w:w="0" w:type="dxa"/>
            <w:vAlign w:val="bottom"/>
          </w:tcPr>
          <w:p>
            <w:pPr>
              <w:spacing w:after="0"/>
              <w:rPr>
                <w:sz w:val="1"/>
                <w:szCs w:val="1"/>
                <w:color w:val="auto"/>
              </w:rPr>
            </w:pPr>
          </w:p>
        </w:tc>
      </w:tr>
      <w:tr>
        <w:trPr>
          <w:trHeight w:val="275"/>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6"/>
                <w:szCs w:val="16"/>
                <w:color w:val="0000EE"/>
                <w:w w:val="89"/>
              </w:rPr>
              <w:t>62</w:t>
            </w:r>
          </w:p>
        </w:tc>
        <w:tc>
          <w:tcPr>
            <w:tcW w:w="0" w:type="dxa"/>
            <w:vAlign w:val="bottom"/>
          </w:tcPr>
          <w:p>
            <w:pPr>
              <w:spacing w:after="0"/>
              <w:rPr>
                <w:sz w:val="1"/>
                <w:szCs w:val="1"/>
                <w:color w:val="auto"/>
              </w:rPr>
            </w:pPr>
          </w:p>
        </w:tc>
      </w:tr>
      <w:tr>
        <w:trPr>
          <w:trHeight w:val="275"/>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6"/>
                <w:szCs w:val="16"/>
                <w:color w:val="0000EE"/>
                <w:w w:val="89"/>
              </w:rPr>
              <w:t>63</w:t>
            </w:r>
          </w:p>
        </w:tc>
        <w:tc>
          <w:tcPr>
            <w:tcW w:w="0" w:type="dxa"/>
            <w:vAlign w:val="bottom"/>
          </w:tcPr>
          <w:p>
            <w:pPr>
              <w:spacing w:after="0"/>
              <w:rPr>
                <w:sz w:val="1"/>
                <w:szCs w:val="1"/>
                <w:color w:val="auto"/>
              </w:rPr>
            </w:pPr>
          </w:p>
        </w:tc>
      </w:tr>
      <w:tr>
        <w:trPr>
          <w:trHeight w:val="275"/>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6"/>
                <w:szCs w:val="16"/>
                <w:color w:val="0000EE"/>
                <w:w w:val="89"/>
              </w:rPr>
              <w:t>64</w:t>
            </w:r>
          </w:p>
        </w:tc>
        <w:tc>
          <w:tcPr>
            <w:tcW w:w="0" w:type="dxa"/>
            <w:vAlign w:val="bottom"/>
          </w:tcPr>
          <w:p>
            <w:pPr>
              <w:spacing w:after="0"/>
              <w:rPr>
                <w:sz w:val="1"/>
                <w:szCs w:val="1"/>
                <w:color w:val="auto"/>
              </w:rPr>
            </w:pPr>
          </w:p>
        </w:tc>
      </w:tr>
      <w:tr>
        <w:trPr>
          <w:trHeight w:val="275"/>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6"/>
                <w:szCs w:val="16"/>
                <w:color w:val="0000EE"/>
                <w:w w:val="89"/>
              </w:rPr>
              <w:t>64</w:t>
            </w:r>
          </w:p>
        </w:tc>
        <w:tc>
          <w:tcPr>
            <w:tcW w:w="0" w:type="dxa"/>
            <w:vAlign w:val="bottom"/>
          </w:tcPr>
          <w:p>
            <w:pPr>
              <w:spacing w:after="0"/>
              <w:rPr>
                <w:sz w:val="1"/>
                <w:szCs w:val="1"/>
                <w:color w:val="auto"/>
              </w:rPr>
            </w:pPr>
          </w:p>
        </w:tc>
      </w:tr>
      <w:tr>
        <w:trPr>
          <w:trHeight w:val="311"/>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0000EE"/>
                <w:w w:val="89"/>
              </w:rPr>
              <w:t>65</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180" w:type="dxa"/>
            <w:vAlign w:val="bottom"/>
            <w:tcBorders>
              <w:bottom w:val="single" w:sz="8" w:color="0000EE"/>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0000EE"/>
                <w:w w:val="89"/>
              </w:rPr>
              <w:t>67</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180" w:type="dxa"/>
            <w:vAlign w:val="bottom"/>
            <w:tcBorders>
              <w:bottom w:val="single" w:sz="8" w:color="0000EE"/>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ectPr>
          <w:pgSz w:w="11900" w:h="16838" w:orient="portrait"/>
          <w:cols w:equalWidth="0" w:num="3">
            <w:col w:w="5360" w:space="220"/>
            <w:col w:w="3680" w:space="320"/>
            <w:col w:w="1360"/>
          </w:cols>
          <w:pgMar w:left="480" w:top="115" w:right="479" w:bottom="1440" w:gutter="0" w:footer="0" w:header="0"/>
        </w:sectPr>
      </w:pPr>
    </w:p>
    <w:p>
      <w:pPr>
        <w:ind w:left="960"/>
        <w:spacing w:after="0"/>
        <w:rPr>
          <w:sz w:val="20"/>
          <w:szCs w:val="20"/>
          <w:color w:val="auto"/>
        </w:rPr>
      </w:pPr>
      <w:r>
        <w:rPr>
          <w:rFonts w:ascii="Arial" w:cs="Arial" w:eastAsia="Arial" w:hAnsi="Arial"/>
          <w:sz w:val="16"/>
          <w:szCs w:val="16"/>
          <w:b w:val="1"/>
          <w:bCs w:val="1"/>
          <w:u w:val="single" w:color="auto"/>
          <w:color w:val="0000EE"/>
        </w:rPr>
        <w:t>Our Board of Directors</w:t>
      </w:r>
    </w:p>
    <w:p>
      <w:pPr>
        <w:spacing w:after="0" w:line="111" w:lineRule="exact"/>
        <w:rPr>
          <w:sz w:val="20"/>
          <w:szCs w:val="20"/>
          <w:color w:val="auto"/>
        </w:rPr>
      </w:pPr>
    </w:p>
    <w:p>
      <w:pPr>
        <w:ind w:left="960"/>
        <w:spacing w:after="0"/>
        <w:rPr>
          <w:sz w:val="20"/>
          <w:szCs w:val="20"/>
          <w:color w:val="auto"/>
        </w:rPr>
      </w:pPr>
      <w:r>
        <w:rPr>
          <w:rFonts w:ascii="Arial" w:cs="Arial" w:eastAsia="Arial" w:hAnsi="Arial"/>
          <w:sz w:val="16"/>
          <w:szCs w:val="16"/>
          <w:u w:val="single" w:color="auto"/>
          <w:color w:val="0000EE"/>
        </w:rPr>
        <w:t>Our 2024 Board Nominees</w:t>
      </w:r>
    </w:p>
    <w:p>
      <w:pPr>
        <w:spacing w:after="0" w:line="111" w:lineRule="exact"/>
        <w:rPr>
          <w:sz w:val="20"/>
          <w:szCs w:val="20"/>
          <w:color w:val="auto"/>
        </w:rPr>
      </w:pPr>
    </w:p>
    <w:p>
      <w:pPr>
        <w:ind w:left="960"/>
        <w:spacing w:after="0"/>
        <w:rPr>
          <w:sz w:val="20"/>
          <w:szCs w:val="20"/>
          <w:color w:val="auto"/>
        </w:rPr>
      </w:pPr>
      <w:r>
        <w:rPr>
          <w:rFonts w:ascii="Arial" w:cs="Arial" w:eastAsia="Arial" w:hAnsi="Arial"/>
          <w:sz w:val="16"/>
          <w:szCs w:val="16"/>
          <w:u w:val="single" w:color="auto"/>
          <w:color w:val="0000EE"/>
        </w:rPr>
        <w:t>Director Nomination Process</w:t>
      </w:r>
    </w:p>
    <w:p>
      <w:pPr>
        <w:spacing w:after="0" w:line="218" w:lineRule="exact"/>
        <w:rPr>
          <w:sz w:val="20"/>
          <w:szCs w:val="20"/>
          <w:color w:val="auto"/>
        </w:rPr>
      </w:pPr>
    </w:p>
    <w:p>
      <w:pPr>
        <w:ind w:left="960"/>
        <w:spacing w:after="0"/>
        <w:rPr>
          <w:sz w:val="20"/>
          <w:szCs w:val="20"/>
          <w:color w:val="auto"/>
        </w:rPr>
      </w:pPr>
      <w:r>
        <w:rPr>
          <w:rFonts w:ascii="Arial" w:cs="Arial" w:eastAsia="Arial" w:hAnsi="Arial"/>
          <w:sz w:val="16"/>
          <w:szCs w:val="16"/>
          <w:b w:val="1"/>
          <w:bCs w:val="1"/>
          <w:u w:val="single" w:color="auto"/>
          <w:color w:val="0000EE"/>
        </w:rPr>
        <w:t>Corporate Governance</w:t>
      </w:r>
    </w:p>
    <w:p>
      <w:pPr>
        <w:spacing w:after="0" w:line="111" w:lineRule="exact"/>
        <w:rPr>
          <w:sz w:val="20"/>
          <w:szCs w:val="20"/>
          <w:color w:val="auto"/>
        </w:rPr>
      </w:pPr>
    </w:p>
    <w:p>
      <w:pPr>
        <w:ind w:left="960"/>
        <w:spacing w:after="0"/>
        <w:rPr>
          <w:sz w:val="20"/>
          <w:szCs w:val="20"/>
          <w:color w:val="auto"/>
        </w:rPr>
      </w:pPr>
      <w:r>
        <w:rPr>
          <w:rFonts w:ascii="Arial" w:cs="Arial" w:eastAsia="Arial" w:hAnsi="Arial"/>
          <w:sz w:val="16"/>
          <w:szCs w:val="16"/>
          <w:u w:val="single" w:color="auto"/>
          <w:color w:val="0000EE"/>
        </w:rPr>
        <w:t>Corporate Governance Highlights</w:t>
      </w:r>
    </w:p>
    <w:p>
      <w:pPr>
        <w:spacing w:after="0" w:line="111" w:lineRule="exact"/>
        <w:rPr>
          <w:sz w:val="20"/>
          <w:szCs w:val="20"/>
          <w:color w:val="auto"/>
        </w:rPr>
      </w:pPr>
    </w:p>
    <w:p>
      <w:pPr>
        <w:ind w:left="960"/>
        <w:spacing w:after="0"/>
        <w:rPr>
          <w:sz w:val="20"/>
          <w:szCs w:val="20"/>
          <w:color w:val="auto"/>
        </w:rPr>
      </w:pPr>
      <w:r>
        <w:rPr>
          <w:rFonts w:ascii="Arial" w:cs="Arial" w:eastAsia="Arial" w:hAnsi="Arial"/>
          <w:sz w:val="16"/>
          <w:szCs w:val="16"/>
          <w:u w:val="single" w:color="auto"/>
          <w:color w:val="0000EE"/>
        </w:rPr>
        <w:t>Board Structure and Operations</w:t>
      </w:r>
    </w:p>
    <w:p>
      <w:pPr>
        <w:spacing w:after="0" w:line="111" w:lineRule="exact"/>
        <w:rPr>
          <w:sz w:val="20"/>
          <w:szCs w:val="20"/>
          <w:color w:val="auto"/>
        </w:rPr>
      </w:pPr>
    </w:p>
    <w:p>
      <w:pPr>
        <w:ind w:left="960"/>
        <w:spacing w:after="0"/>
        <w:rPr>
          <w:sz w:val="20"/>
          <w:szCs w:val="20"/>
          <w:color w:val="auto"/>
        </w:rPr>
      </w:pPr>
      <w:r>
        <w:rPr>
          <w:rFonts w:ascii="Arial" w:cs="Arial" w:eastAsia="Arial" w:hAnsi="Arial"/>
          <w:sz w:val="16"/>
          <w:szCs w:val="16"/>
          <w:u w:val="single" w:color="auto"/>
          <w:color w:val="0000EE"/>
        </w:rPr>
        <w:t>The Board’s Oversight Role</w:t>
      </w:r>
    </w:p>
    <w:p>
      <w:pPr>
        <w:spacing w:after="0" w:line="111" w:lineRule="exact"/>
        <w:rPr>
          <w:sz w:val="20"/>
          <w:szCs w:val="20"/>
          <w:color w:val="auto"/>
        </w:rPr>
      </w:pPr>
    </w:p>
    <w:p>
      <w:pPr>
        <w:ind w:left="960"/>
        <w:spacing w:after="0" w:line="422" w:lineRule="auto"/>
        <w:rPr>
          <w:sz w:val="20"/>
          <w:szCs w:val="20"/>
          <w:color w:val="auto"/>
        </w:rPr>
      </w:pPr>
      <w:r>
        <w:rPr>
          <w:rFonts w:ascii="Arial" w:cs="Arial" w:eastAsia="Arial" w:hAnsi="Arial"/>
          <w:sz w:val="16"/>
          <w:szCs w:val="16"/>
          <w:u w:val="single" w:color="auto"/>
          <w:color w:val="0000EE"/>
        </w:rPr>
        <w:t>Stockholder Engagement and Director Communications Other Governance Policies and Practices</w:t>
      </w:r>
    </w:p>
    <w:p>
      <w:pPr>
        <w:spacing w:after="0" w:line="20" w:lineRule="exact"/>
        <w:rPr>
          <w:sz w:val="20"/>
          <w:szCs w:val="20"/>
          <w:color w:val="auto"/>
        </w:rPr>
      </w:pPr>
      <w:r>
        <w:rPr>
          <w:sz w:val="20"/>
          <w:szCs w:val="20"/>
          <w:color w:val="auto"/>
        </w:rPr>
        <w:br w:type="column"/>
      </w:r>
    </w:p>
    <w:p>
      <w:pPr>
        <w:spacing w:after="0"/>
        <w:tabs>
          <w:tab w:leader="none" w:pos="40" w:val="left"/>
        </w:tabs>
        <w:rPr>
          <w:sz w:val="20"/>
          <w:szCs w:val="20"/>
          <w:color w:val="auto"/>
        </w:rPr>
      </w:pPr>
      <w:r>
        <w:rPr>
          <w:rFonts w:ascii="Times New Roman" w:cs="Times New Roman" w:eastAsia="Times New Roman" w:hAnsi="Times New Roman"/>
          <w:sz w:val="6"/>
          <w:szCs w:val="6"/>
          <w:color w:val="auto"/>
          <w:vertAlign w:val="superscript"/>
        </w:rPr>
        <w:t>​</w:t>
      </w:r>
      <w:r>
        <w:rPr>
          <w:sz w:val="20"/>
          <w:szCs w:val="20"/>
          <w:color w:val="auto"/>
        </w:rPr>
        <w:tab/>
      </w:r>
      <w:r>
        <w:rPr>
          <w:rFonts w:ascii="Times New Roman" w:cs="Times New Roman" w:eastAsia="Times New Roman" w:hAnsi="Times New Roman"/>
          <w:sz w:val="5"/>
          <w:szCs w:val="5"/>
          <w:color w:val="000000"/>
          <w:vertAlign w:val="superscript"/>
        </w:rPr>
        <w:t>​</w:t>
      </w:r>
      <w:r>
        <w:rPr>
          <w:rFonts w:ascii="Arial" w:cs="Arial" w:eastAsia="Arial" w:hAnsi="Arial"/>
          <w:sz w:val="11"/>
          <w:szCs w:val="11"/>
          <w:color w:val="0000EE"/>
        </w:rPr>
        <w:t xml:space="preserve">   </w:t>
      </w:r>
      <w:r>
        <w:rPr>
          <w:rFonts w:ascii="Arial" w:cs="Arial" w:eastAsia="Arial" w:hAnsi="Arial"/>
          <w:sz w:val="11"/>
          <w:szCs w:val="11"/>
          <w:u w:val="single" w:color="auto"/>
          <w:color w:val="0000EE"/>
        </w:rPr>
        <w:t>12</w:t>
      </w:r>
    </w:p>
    <w:p>
      <w:pPr>
        <w:spacing w:after="0" w:line="87" w:lineRule="exact"/>
        <w:rPr>
          <w:sz w:val="20"/>
          <w:szCs w:val="20"/>
          <w:color w:val="auto"/>
        </w:rPr>
      </w:pPr>
    </w:p>
    <w:p>
      <w:pPr>
        <w:spacing w:after="0"/>
        <w:tabs>
          <w:tab w:leader="none" w:pos="40" w:val="left"/>
          <w:tab w:leader="none" w:pos="80" w:val="left"/>
        </w:tabs>
        <w:rPr>
          <w:sz w:val="20"/>
          <w:szCs w:val="20"/>
          <w:color w:val="auto"/>
        </w:rPr>
      </w:pPr>
      <w:r>
        <w:rPr>
          <w:rFonts w:ascii="Times New Roman" w:cs="Times New Roman" w:eastAsia="Times New Roman" w:hAnsi="Times New Roman"/>
          <w:sz w:val="4"/>
          <w:szCs w:val="4"/>
          <w:color w:val="auto"/>
        </w:rPr>
        <w:t>​</w:t>
        <w:tab/>
        <w:t>​</w:t>
      </w:r>
      <w:r>
        <w:rPr>
          <w:sz w:val="20"/>
          <w:szCs w:val="20"/>
          <w:color w:val="auto"/>
        </w:rPr>
        <w:tab/>
      </w:r>
      <w:r>
        <w:rPr>
          <w:rFonts w:ascii="Arial" w:cs="Arial" w:eastAsia="Arial" w:hAnsi="Arial"/>
          <w:sz w:val="24"/>
          <w:szCs w:val="24"/>
          <w:u w:val="single" w:color="auto"/>
          <w:color w:val="0000EE"/>
          <w:vertAlign w:val="subscript"/>
        </w:rPr>
        <w:t>14</w:t>
      </w:r>
    </w:p>
    <w:p>
      <w:pPr>
        <w:spacing w:after="0" w:line="100"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6"/>
          <w:szCs w:val="6"/>
          <w:color w:val="auto"/>
          <w:vertAlign w:val="superscript"/>
        </w:rPr>
        <w:t>​</w:t>
      </w:r>
      <w:r>
        <w:rPr>
          <w:sz w:val="20"/>
          <w:szCs w:val="20"/>
          <w:color w:val="auto"/>
        </w:rPr>
        <w:tab/>
      </w:r>
      <w:r>
        <w:rPr>
          <w:rFonts w:ascii="Times New Roman" w:cs="Times New Roman" w:eastAsia="Times New Roman" w:hAnsi="Times New Roman"/>
          <w:sz w:val="5"/>
          <w:szCs w:val="5"/>
          <w:color w:val="000000"/>
          <w:vertAlign w:val="superscript"/>
        </w:rPr>
        <w:t>​</w:t>
      </w:r>
      <w:r>
        <w:rPr>
          <w:rFonts w:ascii="Arial" w:cs="Arial" w:eastAsia="Arial" w:hAnsi="Arial"/>
          <w:sz w:val="11"/>
          <w:szCs w:val="11"/>
          <w:color w:val="0000EE"/>
        </w:rPr>
        <w:t xml:space="preserve">   </w:t>
      </w:r>
      <w:r>
        <w:rPr>
          <w:rFonts w:ascii="Arial" w:cs="Arial" w:eastAsia="Arial" w:hAnsi="Arial"/>
          <w:sz w:val="11"/>
          <w:szCs w:val="11"/>
          <w:u w:val="single" w:color="auto"/>
          <w:color w:val="0000EE"/>
        </w:rPr>
        <w:t>20</w:t>
      </w:r>
    </w:p>
    <w:p>
      <w:pPr>
        <w:spacing w:after="0" w:line="87" w:lineRule="exact"/>
        <w:rPr>
          <w:sz w:val="20"/>
          <w:szCs w:val="20"/>
          <w:color w:val="auto"/>
        </w:rPr>
      </w:pPr>
    </w:p>
    <w:p>
      <w:pPr>
        <w:spacing w:after="0"/>
        <w:tabs>
          <w:tab w:leader="none" w:pos="40" w:val="left"/>
          <w:tab w:leader="none" w:pos="80" w:val="left"/>
        </w:tabs>
        <w:rPr>
          <w:sz w:val="20"/>
          <w:szCs w:val="20"/>
          <w:color w:val="auto"/>
        </w:rPr>
      </w:pPr>
      <w:r>
        <w:rPr>
          <w:rFonts w:ascii="Times New Roman" w:cs="Times New Roman" w:eastAsia="Times New Roman" w:hAnsi="Times New Roman"/>
          <w:sz w:val="4"/>
          <w:szCs w:val="4"/>
          <w:color w:val="auto"/>
        </w:rPr>
        <w:t>​</w:t>
        <w:tab/>
        <w:t>​</w:t>
      </w:r>
      <w:r>
        <w:rPr>
          <w:sz w:val="20"/>
          <w:szCs w:val="20"/>
          <w:color w:val="auto"/>
        </w:rPr>
        <w:tab/>
      </w:r>
      <w:r>
        <w:rPr>
          <w:rFonts w:ascii="Arial" w:cs="Arial" w:eastAsia="Arial" w:hAnsi="Arial"/>
          <w:sz w:val="24"/>
          <w:szCs w:val="24"/>
          <w:b w:val="1"/>
          <w:bCs w:val="1"/>
          <w:u w:val="single" w:color="auto"/>
          <w:color w:val="0000EE"/>
          <w:vertAlign w:val="subscript"/>
        </w:rPr>
        <w:t>23</w:t>
      </w:r>
    </w:p>
    <w:p>
      <w:pPr>
        <w:spacing w:after="0" w:line="207"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6"/>
          <w:szCs w:val="6"/>
          <w:color w:val="auto"/>
          <w:vertAlign w:val="superscript"/>
        </w:rPr>
        <w:t>​</w:t>
      </w:r>
      <w:r>
        <w:rPr>
          <w:sz w:val="20"/>
          <w:szCs w:val="20"/>
          <w:color w:val="auto"/>
        </w:rPr>
        <w:tab/>
      </w:r>
      <w:r>
        <w:rPr>
          <w:rFonts w:ascii="Times New Roman" w:cs="Times New Roman" w:eastAsia="Times New Roman" w:hAnsi="Times New Roman"/>
          <w:sz w:val="5"/>
          <w:szCs w:val="5"/>
          <w:color w:val="000000"/>
          <w:vertAlign w:val="superscript"/>
        </w:rPr>
        <w:t>​</w:t>
      </w:r>
      <w:r>
        <w:rPr>
          <w:rFonts w:ascii="Arial" w:cs="Arial" w:eastAsia="Arial" w:hAnsi="Arial"/>
          <w:sz w:val="11"/>
          <w:szCs w:val="11"/>
          <w:color w:val="0000EE"/>
        </w:rPr>
        <w:t xml:space="preserve">   </w:t>
      </w:r>
      <w:r>
        <w:rPr>
          <w:rFonts w:ascii="Arial" w:cs="Arial" w:eastAsia="Arial" w:hAnsi="Arial"/>
          <w:sz w:val="11"/>
          <w:szCs w:val="11"/>
          <w:u w:val="single" w:color="auto"/>
          <w:color w:val="0000EE"/>
        </w:rPr>
        <w:t>23</w:t>
      </w:r>
    </w:p>
    <w:p>
      <w:pPr>
        <w:spacing w:after="0" w:line="87" w:lineRule="exact"/>
        <w:rPr>
          <w:sz w:val="20"/>
          <w:szCs w:val="20"/>
          <w:color w:val="auto"/>
        </w:rPr>
      </w:pPr>
    </w:p>
    <w:p>
      <w:pPr>
        <w:spacing w:after="0"/>
        <w:tabs>
          <w:tab w:leader="none" w:pos="40" w:val="left"/>
          <w:tab w:leader="none" w:pos="80" w:val="left"/>
        </w:tabs>
        <w:rPr>
          <w:sz w:val="20"/>
          <w:szCs w:val="20"/>
          <w:color w:val="auto"/>
        </w:rPr>
      </w:pPr>
      <w:r>
        <w:rPr>
          <w:rFonts w:ascii="Times New Roman" w:cs="Times New Roman" w:eastAsia="Times New Roman" w:hAnsi="Times New Roman"/>
          <w:sz w:val="4"/>
          <w:szCs w:val="4"/>
          <w:color w:val="auto"/>
        </w:rPr>
        <w:t>​</w:t>
        <w:tab/>
        <w:t>​</w:t>
      </w:r>
      <w:r>
        <w:rPr>
          <w:sz w:val="20"/>
          <w:szCs w:val="20"/>
          <w:color w:val="auto"/>
        </w:rPr>
        <w:tab/>
      </w:r>
      <w:r>
        <w:rPr>
          <w:rFonts w:ascii="Arial" w:cs="Arial" w:eastAsia="Arial" w:hAnsi="Arial"/>
          <w:sz w:val="24"/>
          <w:szCs w:val="24"/>
          <w:u w:val="single" w:color="auto"/>
          <w:color w:val="0000EE"/>
          <w:vertAlign w:val="subscript"/>
        </w:rPr>
        <w:t>24</w:t>
      </w:r>
    </w:p>
    <w:p>
      <w:pPr>
        <w:spacing w:after="0" w:line="100"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6"/>
          <w:szCs w:val="6"/>
          <w:color w:val="auto"/>
          <w:vertAlign w:val="superscript"/>
        </w:rPr>
        <w:t>​</w:t>
      </w:r>
      <w:r>
        <w:rPr>
          <w:sz w:val="20"/>
          <w:szCs w:val="20"/>
          <w:color w:val="auto"/>
        </w:rPr>
        <w:tab/>
      </w:r>
      <w:r>
        <w:rPr>
          <w:rFonts w:ascii="Times New Roman" w:cs="Times New Roman" w:eastAsia="Times New Roman" w:hAnsi="Times New Roman"/>
          <w:sz w:val="5"/>
          <w:szCs w:val="5"/>
          <w:color w:val="000000"/>
          <w:vertAlign w:val="superscript"/>
        </w:rPr>
        <w:t>​</w:t>
      </w:r>
      <w:r>
        <w:rPr>
          <w:rFonts w:ascii="Arial" w:cs="Arial" w:eastAsia="Arial" w:hAnsi="Arial"/>
          <w:sz w:val="11"/>
          <w:szCs w:val="11"/>
          <w:color w:val="0000EE"/>
        </w:rPr>
        <w:t xml:space="preserve">   </w:t>
      </w:r>
      <w:r>
        <w:rPr>
          <w:rFonts w:ascii="Arial" w:cs="Arial" w:eastAsia="Arial" w:hAnsi="Arial"/>
          <w:sz w:val="11"/>
          <w:szCs w:val="11"/>
          <w:u w:val="single" w:color="auto"/>
          <w:color w:val="0000EE"/>
        </w:rPr>
        <w:t>30</w:t>
      </w:r>
    </w:p>
    <w:p>
      <w:pPr>
        <w:spacing w:after="0" w:line="168" w:lineRule="exact"/>
        <w:rPr>
          <w:sz w:val="20"/>
          <w:szCs w:val="20"/>
          <w:color w:val="auto"/>
        </w:rPr>
      </w:pPr>
    </w:p>
    <w:p>
      <w:pPr>
        <w:spacing w:after="0"/>
        <w:tabs>
          <w:tab w:leader="none" w:pos="40" w:val="left"/>
          <w:tab w:leader="none" w:pos="80" w:val="left"/>
        </w:tabs>
        <w:rPr>
          <w:sz w:val="20"/>
          <w:szCs w:val="20"/>
          <w:color w:val="auto"/>
        </w:rPr>
      </w:pPr>
      <w:r>
        <w:rPr>
          <w:rFonts w:ascii="Times New Roman" w:cs="Times New Roman" w:eastAsia="Times New Roman" w:hAnsi="Times New Roman"/>
          <w:sz w:val="4"/>
          <w:szCs w:val="4"/>
          <w:color w:val="auto"/>
        </w:rPr>
        <w:t>​</w:t>
        <w:tab/>
        <w:t>​</w:t>
      </w:r>
      <w:r>
        <w:rPr>
          <w:sz w:val="20"/>
          <w:szCs w:val="20"/>
          <w:color w:val="auto"/>
        </w:rPr>
        <w:tab/>
      </w:r>
      <w:r>
        <w:rPr>
          <w:rFonts w:ascii="Arial" w:cs="Arial" w:eastAsia="Arial" w:hAnsi="Arial"/>
          <w:sz w:val="16"/>
          <w:szCs w:val="16"/>
          <w:u w:val="single" w:color="auto"/>
          <w:color w:val="0000EE"/>
        </w:rPr>
        <w:t>33</w:t>
      </w:r>
    </w:p>
    <w:p>
      <w:pPr>
        <w:spacing w:after="0" w:line="110" w:lineRule="exact"/>
        <w:rPr>
          <w:sz w:val="20"/>
          <w:szCs w:val="20"/>
          <w:color w:val="auto"/>
        </w:rPr>
      </w:pPr>
    </w:p>
    <w:p>
      <w:pPr>
        <w:spacing w:after="0"/>
        <w:tabs>
          <w:tab w:leader="none" w:pos="40" w:val="left"/>
          <w:tab w:leader="none" w:pos="80" w:val="left"/>
        </w:tabs>
        <w:rPr>
          <w:sz w:val="20"/>
          <w:szCs w:val="20"/>
          <w:color w:val="auto"/>
        </w:rPr>
      </w:pPr>
      <w:r>
        <w:rPr>
          <w:rFonts w:ascii="Times New Roman" w:cs="Times New Roman" w:eastAsia="Times New Roman" w:hAnsi="Times New Roman"/>
          <w:sz w:val="4"/>
          <w:szCs w:val="4"/>
          <w:color w:val="auto"/>
        </w:rPr>
        <w:t>​</w:t>
        <w:tab/>
        <w:t>​</w:t>
      </w:r>
      <w:r>
        <w:rPr>
          <w:sz w:val="20"/>
          <w:szCs w:val="20"/>
          <w:color w:val="auto"/>
        </w:rPr>
        <w:tab/>
      </w:r>
      <w:r>
        <w:rPr>
          <w:rFonts w:ascii="Arial" w:cs="Arial" w:eastAsia="Arial" w:hAnsi="Arial"/>
          <w:sz w:val="16"/>
          <w:szCs w:val="16"/>
          <w:u w:val="single" w:color="auto"/>
          <w:color w:val="0000EE"/>
        </w:rPr>
        <w:t>34</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CEO Pay Ratio</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Pay Versus Performance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2023 Pay Versus Performance Table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Most Important Performance Measures for 2023</w:t>
      </w:r>
    </w:p>
    <w:p>
      <w:pPr>
        <w:spacing w:after="0" w:line="111" w:lineRule="exact"/>
        <w:rPr>
          <w:sz w:val="20"/>
          <w:szCs w:val="20"/>
          <w:color w:val="auto"/>
        </w:rPr>
      </w:pPr>
    </w:p>
    <w:p>
      <w:pPr>
        <w:ind w:right="480"/>
        <w:spacing w:after="0" w:line="282" w:lineRule="auto"/>
        <w:rPr>
          <w:sz w:val="20"/>
          <w:szCs w:val="20"/>
          <w:color w:val="auto"/>
        </w:rPr>
      </w:pPr>
      <w:r>
        <w:rPr>
          <w:rFonts w:ascii="Arial" w:cs="Arial" w:eastAsia="Arial" w:hAnsi="Arial"/>
          <w:sz w:val="16"/>
          <w:szCs w:val="16"/>
          <w:u w:val="single" w:color="auto"/>
          <w:color w:val="0000EE"/>
        </w:rPr>
        <w:t>Relationship of Compensation Actually Paid to Certain Measures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PROPOSAL 3</w:t>
      </w:r>
    </w:p>
    <w:p>
      <w:pPr>
        <w:spacing w:after="0" w:line="15" w:lineRule="exact"/>
        <w:rPr>
          <w:sz w:val="20"/>
          <w:szCs w:val="20"/>
          <w:color w:val="auto"/>
        </w:rPr>
      </w:pPr>
    </w:p>
    <w:p>
      <w:pPr>
        <w:spacing w:after="0" w:line="272" w:lineRule="auto"/>
        <w:rPr>
          <w:sz w:val="20"/>
          <w:szCs w:val="20"/>
          <w:color w:val="auto"/>
        </w:rPr>
      </w:pPr>
      <w:r>
        <w:rPr>
          <w:rFonts w:ascii="Arial" w:cs="Arial" w:eastAsia="Arial" w:hAnsi="Arial"/>
          <w:sz w:val="16"/>
          <w:szCs w:val="16"/>
          <w:b w:val="1"/>
          <w:bCs w:val="1"/>
          <w:color w:val="0000EE"/>
        </w:rPr>
        <w:t xml:space="preserve">Ratify Independent Registered Public Accounting </w:t>
      </w:r>
      <w:r>
        <w:rPr>
          <w:rFonts w:ascii="Arial" w:cs="Arial" w:eastAsia="Arial" w:hAnsi="Arial"/>
          <w:sz w:val="16"/>
          <w:szCs w:val="16"/>
          <w:b w:val="1"/>
          <w:bCs w:val="1"/>
          <w:u w:val="single" w:color="auto"/>
          <w:color w:val="0000EE"/>
        </w:rPr>
        <w:t>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977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977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6"/>
                <w:szCs w:val="16"/>
                <w:b w:val="1"/>
                <w:bCs w:val="1"/>
                <w:color w:val="0000EE"/>
                <w:w w:val="89"/>
              </w:rPr>
              <w:t>68</w:t>
            </w:r>
          </w:p>
        </w:tc>
        <w:tc>
          <w:tcPr>
            <w:tcW w:w="0" w:type="dxa"/>
            <w:vAlign w:val="bottom"/>
          </w:tcPr>
          <w:p>
            <w:pPr>
              <w:spacing w:after="0"/>
              <w:rPr>
                <w:sz w:val="1"/>
                <w:szCs w:val="1"/>
                <w:color w:val="auto"/>
              </w:rPr>
            </w:pPr>
          </w:p>
        </w:tc>
      </w:tr>
      <w:tr>
        <w:trPr>
          <w:trHeight w:val="382"/>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6"/>
                <w:szCs w:val="16"/>
                <w:b w:val="1"/>
                <w:bCs w:val="1"/>
                <w:color w:val="0000EE"/>
                <w:w w:val="89"/>
              </w:rPr>
              <w:t>70</w:t>
            </w:r>
          </w:p>
        </w:tc>
        <w:tc>
          <w:tcPr>
            <w:tcW w:w="0" w:type="dxa"/>
            <w:vAlign w:val="bottom"/>
          </w:tcPr>
          <w:p>
            <w:pPr>
              <w:spacing w:after="0"/>
              <w:rPr>
                <w:sz w:val="1"/>
                <w:szCs w:val="1"/>
                <w:color w:val="auto"/>
              </w:rPr>
            </w:pPr>
          </w:p>
        </w:tc>
      </w:tr>
      <w:tr>
        <w:trPr>
          <w:trHeight w:val="275"/>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6"/>
                <w:szCs w:val="16"/>
                <w:color w:val="0000EE"/>
                <w:w w:val="89"/>
              </w:rPr>
              <w:t>70</w:t>
            </w:r>
          </w:p>
        </w:tc>
        <w:tc>
          <w:tcPr>
            <w:tcW w:w="0" w:type="dxa"/>
            <w:vAlign w:val="bottom"/>
          </w:tcPr>
          <w:p>
            <w:pPr>
              <w:spacing w:after="0"/>
              <w:rPr>
                <w:sz w:val="1"/>
                <w:szCs w:val="1"/>
                <w:color w:val="auto"/>
              </w:rPr>
            </w:pPr>
          </w:p>
        </w:tc>
      </w:tr>
      <w:tr>
        <w:trPr>
          <w:trHeight w:val="275"/>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6"/>
                <w:szCs w:val="16"/>
                <w:color w:val="0000EE"/>
                <w:w w:val="89"/>
              </w:rPr>
              <w:t>72</w:t>
            </w:r>
          </w:p>
        </w:tc>
        <w:tc>
          <w:tcPr>
            <w:tcW w:w="0" w:type="dxa"/>
            <w:vAlign w:val="bottom"/>
          </w:tcPr>
          <w:p>
            <w:pPr>
              <w:spacing w:after="0"/>
              <w:rPr>
                <w:sz w:val="1"/>
                <w:szCs w:val="1"/>
                <w:color w:val="auto"/>
              </w:rPr>
            </w:pPr>
          </w:p>
        </w:tc>
      </w:tr>
      <w:tr>
        <w:trPr>
          <w:trHeight w:val="311"/>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0000EE"/>
                <w:w w:val="89"/>
              </w:rPr>
              <w:t>72</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180" w:type="dxa"/>
            <w:vAlign w:val="bottom"/>
            <w:tcBorders>
              <w:bottom w:val="single" w:sz="8" w:color="0000EE"/>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tab/>
        <w:t>​</w:t>
      </w:r>
    </w:p>
    <w:p>
      <w:pPr>
        <w:spacing w:after="0" w:line="217" w:lineRule="exact"/>
        <w:rPr>
          <w:sz w:val="20"/>
          <w:szCs w:val="20"/>
          <w:color w:val="auto"/>
        </w:rPr>
      </w:pPr>
    </w:p>
    <w:p>
      <w:pPr>
        <w:jc w:val="right"/>
        <w:ind w:right="1060"/>
        <w:spacing w:after="0"/>
        <w:rPr>
          <w:sz w:val="20"/>
          <w:szCs w:val="20"/>
          <w:color w:val="auto"/>
        </w:rPr>
      </w:pPr>
      <w:r>
        <w:rPr>
          <w:rFonts w:ascii="Arial" w:cs="Arial" w:eastAsia="Arial" w:hAnsi="Arial"/>
          <w:sz w:val="16"/>
          <w:szCs w:val="16"/>
          <w:b w:val="1"/>
          <w:bCs w:val="1"/>
          <w:u w:val="single" w:color="auto"/>
          <w:color w:val="0000EE"/>
        </w:rPr>
        <w:t>75</w:t>
      </w:r>
    </w:p>
    <w:p>
      <w:pPr>
        <w:spacing w:after="0" w:line="110" w:lineRule="exact"/>
        <w:rPr>
          <w:sz w:val="20"/>
          <w:szCs w:val="20"/>
          <w:color w:val="auto"/>
        </w:rPr>
      </w:pPr>
    </w:p>
    <w:p>
      <w:pPr>
        <w:sectPr>
          <w:pgSz w:w="11900" w:h="16838" w:orient="portrait"/>
          <w:cols w:equalWidth="0" w:num="4">
            <w:col w:w="4940" w:space="40"/>
            <w:col w:w="280" w:space="320"/>
            <w:col w:w="3760" w:space="240"/>
            <w:col w:w="1360"/>
          </w:cols>
          <w:pgMar w:left="480" w:top="115" w:right="479" w:bottom="1440" w:gutter="0" w:footer="0" w:header="0"/>
          <w:type w:val="continuous"/>
        </w:sectPr>
      </w:pPr>
    </w:p>
    <w:p>
      <w:pPr>
        <w:ind w:left="960"/>
        <w:spacing w:after="0"/>
        <w:rPr>
          <w:sz w:val="20"/>
          <w:szCs w:val="20"/>
          <w:color w:val="auto"/>
        </w:rPr>
      </w:pPr>
      <w:r>
        <w:rPr>
          <w:rFonts w:ascii="Arial" w:cs="Arial" w:eastAsia="Arial" w:hAnsi="Arial"/>
          <w:sz w:val="16"/>
          <w:szCs w:val="16"/>
          <w:b w:val="1"/>
          <w:bCs w:val="1"/>
          <w:u w:val="single" w:color="auto"/>
          <w:color w:val="0000EE"/>
        </w:rPr>
        <w:t>Sustainability</w:t>
      </w:r>
    </w:p>
    <w:p>
      <w:pPr>
        <w:spacing w:after="0" w:line="111" w:lineRule="exact"/>
        <w:rPr>
          <w:sz w:val="20"/>
          <w:szCs w:val="20"/>
          <w:color w:val="auto"/>
        </w:rPr>
      </w:pPr>
    </w:p>
    <w:p>
      <w:pPr>
        <w:ind w:left="960"/>
        <w:spacing w:after="0"/>
        <w:rPr>
          <w:sz w:val="20"/>
          <w:szCs w:val="20"/>
          <w:color w:val="auto"/>
        </w:rPr>
      </w:pPr>
      <w:r>
        <w:rPr>
          <w:rFonts w:ascii="Arial" w:cs="Arial" w:eastAsia="Arial" w:hAnsi="Arial"/>
          <w:sz w:val="16"/>
          <w:szCs w:val="16"/>
          <w:u w:val="single" w:color="auto"/>
          <w:color w:val="0000EE"/>
        </w:rPr>
        <w:t>Oversight of Sustainability</w:t>
      </w:r>
    </w:p>
    <w:p>
      <w:pPr>
        <w:spacing w:after="0" w:line="111" w:lineRule="exact"/>
        <w:rPr>
          <w:sz w:val="20"/>
          <w:szCs w:val="20"/>
          <w:color w:val="auto"/>
        </w:rPr>
      </w:pPr>
    </w:p>
    <w:p>
      <w:pPr>
        <w:ind w:left="960"/>
        <w:spacing w:after="0"/>
        <w:rPr>
          <w:sz w:val="20"/>
          <w:szCs w:val="20"/>
          <w:color w:val="auto"/>
        </w:rPr>
      </w:pPr>
      <w:r>
        <w:rPr>
          <w:rFonts w:ascii="Arial" w:cs="Arial" w:eastAsia="Arial" w:hAnsi="Arial"/>
          <w:sz w:val="16"/>
          <w:szCs w:val="16"/>
          <w:u w:val="single" w:color="auto"/>
          <w:color w:val="0000EE"/>
        </w:rPr>
        <w:t>Sustainability Highlights</w:t>
      </w:r>
    </w:p>
    <w:p>
      <w:pPr>
        <w:spacing w:after="0" w:line="111" w:lineRule="exact"/>
        <w:rPr>
          <w:sz w:val="20"/>
          <w:szCs w:val="20"/>
          <w:color w:val="auto"/>
        </w:rPr>
      </w:pPr>
    </w:p>
    <w:p>
      <w:pPr>
        <w:ind w:left="960"/>
        <w:spacing w:after="0"/>
        <w:rPr>
          <w:sz w:val="20"/>
          <w:szCs w:val="20"/>
          <w:color w:val="auto"/>
        </w:rPr>
      </w:pPr>
      <w:r>
        <w:rPr>
          <w:rFonts w:ascii="Arial" w:cs="Arial" w:eastAsia="Arial" w:hAnsi="Arial"/>
          <w:sz w:val="16"/>
          <w:szCs w:val="16"/>
          <w:u w:val="single" w:color="auto"/>
          <w:color w:val="0000EE"/>
        </w:rPr>
        <w:t>Progress Drives Performance</w:t>
      </w:r>
    </w:p>
    <w:p>
      <w:pPr>
        <w:spacing w:after="0" w:line="218" w:lineRule="exact"/>
        <w:rPr>
          <w:sz w:val="20"/>
          <w:szCs w:val="20"/>
          <w:color w:val="auto"/>
        </w:rPr>
      </w:pPr>
    </w:p>
    <w:p>
      <w:pPr>
        <w:ind w:left="960"/>
        <w:spacing w:after="0"/>
        <w:rPr>
          <w:sz w:val="20"/>
          <w:szCs w:val="20"/>
          <w:color w:val="auto"/>
        </w:rPr>
      </w:pPr>
      <w:r>
        <w:rPr>
          <w:rFonts w:ascii="Arial" w:cs="Arial" w:eastAsia="Arial" w:hAnsi="Arial"/>
          <w:sz w:val="16"/>
          <w:szCs w:val="16"/>
          <w:b w:val="1"/>
          <w:bCs w:val="1"/>
          <w:u w:val="single" w:color="auto"/>
          <w:color w:val="0000EE"/>
        </w:rPr>
        <w:t>Director Compensation</w:t>
      </w:r>
    </w:p>
    <w:p>
      <w:pPr>
        <w:spacing w:after="0" w:line="111" w:lineRule="exact"/>
        <w:rPr>
          <w:sz w:val="20"/>
          <w:szCs w:val="20"/>
          <w:color w:val="auto"/>
        </w:rPr>
      </w:pPr>
    </w:p>
    <w:p>
      <w:pPr>
        <w:ind w:left="960"/>
        <w:spacing w:after="0"/>
        <w:rPr>
          <w:sz w:val="20"/>
          <w:szCs w:val="20"/>
          <w:color w:val="auto"/>
        </w:rPr>
      </w:pPr>
      <w:r>
        <w:rPr>
          <w:rFonts w:ascii="Arial" w:cs="Arial" w:eastAsia="Arial" w:hAnsi="Arial"/>
          <w:sz w:val="16"/>
          <w:szCs w:val="16"/>
          <w:u w:val="single" w:color="auto"/>
          <w:color w:val="0000EE"/>
        </w:rPr>
        <w:t>Overview</w:t>
      </w:r>
    </w:p>
    <w:p>
      <w:pPr>
        <w:spacing w:after="0" w:line="111" w:lineRule="exact"/>
        <w:rPr>
          <w:sz w:val="20"/>
          <w:szCs w:val="20"/>
          <w:color w:val="auto"/>
        </w:rPr>
      </w:pPr>
    </w:p>
    <w:p>
      <w:pPr>
        <w:ind w:left="960"/>
        <w:spacing w:after="0"/>
        <w:rPr>
          <w:sz w:val="20"/>
          <w:szCs w:val="20"/>
          <w:color w:val="auto"/>
        </w:rPr>
      </w:pPr>
      <w:r>
        <w:rPr>
          <w:rFonts w:ascii="Arial" w:cs="Arial" w:eastAsia="Arial" w:hAnsi="Arial"/>
          <w:sz w:val="16"/>
          <w:szCs w:val="16"/>
          <w:u w:val="single" w:color="auto"/>
          <w:color w:val="0000EE"/>
        </w:rPr>
        <w:t>2023 Director Compensation</w:t>
      </w:r>
    </w:p>
    <w:p>
      <w:pPr>
        <w:spacing w:after="0" w:line="400" w:lineRule="exact"/>
        <w:rPr>
          <w:sz w:val="20"/>
          <w:szCs w:val="20"/>
          <w:color w:val="auto"/>
        </w:rPr>
      </w:pPr>
    </w:p>
    <w:p>
      <w:pPr>
        <w:ind w:left="960"/>
        <w:spacing w:after="0"/>
        <w:rPr>
          <w:sz w:val="20"/>
          <w:szCs w:val="20"/>
          <w:color w:val="auto"/>
        </w:rPr>
      </w:pPr>
      <w:r>
        <w:rPr>
          <w:rFonts w:ascii="Arial" w:cs="Arial" w:eastAsia="Arial" w:hAnsi="Arial"/>
          <w:sz w:val="18"/>
          <w:szCs w:val="18"/>
          <w:b w:val="1"/>
          <w:bCs w:val="1"/>
          <w:u w:val="single" w:color="auto"/>
          <w:color w:val="0000EE"/>
        </w:rPr>
        <w:t>PROPOSAL 2</w:t>
      </w:r>
    </w:p>
    <w:p>
      <w:pPr>
        <w:spacing w:after="0" w:line="15" w:lineRule="exact"/>
        <w:rPr>
          <w:sz w:val="20"/>
          <w:szCs w:val="20"/>
          <w:color w:val="auto"/>
        </w:rPr>
      </w:pPr>
    </w:p>
    <w:p>
      <w:pPr>
        <w:ind w:left="960"/>
        <w:spacing w:after="0" w:line="272" w:lineRule="auto"/>
        <w:rPr>
          <w:sz w:val="20"/>
          <w:szCs w:val="20"/>
          <w:color w:val="auto"/>
        </w:rPr>
      </w:pPr>
      <w:r>
        <w:rPr>
          <w:rFonts w:ascii="Arial" w:cs="Arial" w:eastAsia="Arial" w:hAnsi="Arial"/>
          <w:sz w:val="16"/>
          <w:szCs w:val="16"/>
          <w:b w:val="1"/>
          <w:bCs w:val="1"/>
          <w:color w:val="0000EE"/>
        </w:rPr>
        <w:t xml:space="preserve">Advisory Vote to Approve Compensation of Our </w:t>
      </w:r>
      <w:r>
        <w:rPr>
          <w:rFonts w:ascii="Arial" w:cs="Arial" w:eastAsia="Arial" w:hAnsi="Arial"/>
          <w:sz w:val="16"/>
          <w:szCs w:val="16"/>
          <w:b w:val="1"/>
          <w:bCs w:val="1"/>
          <w:u w:val="single" w:color="auto"/>
          <w:color w:val="0000EE"/>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48895</wp:posOffset>
            </wp:positionV>
            <wp:extent cx="27889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88920" cy="8255"/>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-163195</wp:posOffset>
            </wp:positionV>
            <wp:extent cx="23450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450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40" w:val="left"/>
        </w:tabs>
        <w:rPr>
          <w:sz w:val="20"/>
          <w:szCs w:val="20"/>
          <w:color w:val="auto"/>
        </w:rPr>
      </w:pPr>
      <w:r>
        <w:rPr>
          <w:rFonts w:ascii="Times New Roman" w:cs="Times New Roman" w:eastAsia="Times New Roman" w:hAnsi="Times New Roman"/>
          <w:sz w:val="6"/>
          <w:szCs w:val="6"/>
          <w:color w:val="auto"/>
          <w:vertAlign w:val="superscript"/>
        </w:rPr>
        <w:t>​</w:t>
      </w:r>
      <w:r>
        <w:rPr>
          <w:sz w:val="20"/>
          <w:szCs w:val="20"/>
          <w:color w:val="auto"/>
        </w:rPr>
        <w:tab/>
      </w:r>
      <w:r>
        <w:rPr>
          <w:rFonts w:ascii="Times New Roman" w:cs="Times New Roman" w:eastAsia="Times New Roman" w:hAnsi="Times New Roman"/>
          <w:sz w:val="5"/>
          <w:szCs w:val="5"/>
          <w:color w:val="000000"/>
          <w:vertAlign w:val="superscript"/>
        </w:rPr>
        <w:t>​</w:t>
      </w:r>
      <w:r>
        <w:rPr>
          <w:rFonts w:ascii="Arial" w:cs="Arial" w:eastAsia="Arial" w:hAnsi="Arial"/>
          <w:sz w:val="11"/>
          <w:szCs w:val="11"/>
          <w:b w:val="1"/>
          <w:bCs w:val="1"/>
          <w:color w:val="0000EE"/>
        </w:rPr>
        <w:t xml:space="preserve">   </w:t>
      </w:r>
      <w:r>
        <w:rPr>
          <w:rFonts w:ascii="Arial" w:cs="Arial" w:eastAsia="Arial" w:hAnsi="Arial"/>
          <w:sz w:val="11"/>
          <w:szCs w:val="11"/>
          <w:b w:val="1"/>
          <w:bCs w:val="1"/>
          <w:u w:val="single" w:color="auto"/>
          <w:color w:val="0000EE"/>
        </w:rPr>
        <w:t>36</w:t>
      </w:r>
    </w:p>
    <w:p>
      <w:pPr>
        <w:spacing w:after="0" w:line="168" w:lineRule="exact"/>
        <w:rPr>
          <w:sz w:val="20"/>
          <w:szCs w:val="20"/>
          <w:color w:val="auto"/>
        </w:rPr>
      </w:pPr>
    </w:p>
    <w:p>
      <w:pPr>
        <w:spacing w:after="0"/>
        <w:tabs>
          <w:tab w:leader="none" w:pos="40" w:val="left"/>
          <w:tab w:leader="none" w:pos="80" w:val="left"/>
        </w:tabs>
        <w:rPr>
          <w:sz w:val="20"/>
          <w:szCs w:val="20"/>
          <w:color w:val="auto"/>
        </w:rPr>
      </w:pPr>
      <w:r>
        <w:rPr>
          <w:rFonts w:ascii="Times New Roman" w:cs="Times New Roman" w:eastAsia="Times New Roman" w:hAnsi="Times New Roman"/>
          <w:sz w:val="4"/>
          <w:szCs w:val="4"/>
          <w:color w:val="auto"/>
        </w:rPr>
        <w:t>​</w:t>
        <w:tab/>
        <w:t>​</w:t>
      </w:r>
      <w:r>
        <w:rPr>
          <w:sz w:val="20"/>
          <w:szCs w:val="20"/>
          <w:color w:val="auto"/>
        </w:rPr>
        <w:tab/>
      </w:r>
      <w:r>
        <w:rPr>
          <w:rFonts w:ascii="Arial" w:cs="Arial" w:eastAsia="Arial" w:hAnsi="Arial"/>
          <w:sz w:val="16"/>
          <w:szCs w:val="16"/>
          <w:u w:val="single" w:color="auto"/>
          <w:color w:val="0000EE"/>
        </w:rPr>
        <w:t>36</w:t>
      </w:r>
    </w:p>
    <w:p>
      <w:pPr>
        <w:spacing w:after="0" w:line="110" w:lineRule="exact"/>
        <w:rPr>
          <w:sz w:val="20"/>
          <w:szCs w:val="20"/>
          <w:color w:val="auto"/>
        </w:rPr>
      </w:pPr>
    </w:p>
    <w:p>
      <w:pPr>
        <w:spacing w:after="0"/>
        <w:tabs>
          <w:tab w:leader="none" w:pos="40" w:val="left"/>
          <w:tab w:leader="none" w:pos="80" w:val="left"/>
        </w:tabs>
        <w:rPr>
          <w:sz w:val="20"/>
          <w:szCs w:val="20"/>
          <w:color w:val="auto"/>
        </w:rPr>
      </w:pPr>
      <w:r>
        <w:rPr>
          <w:rFonts w:ascii="Times New Roman" w:cs="Times New Roman" w:eastAsia="Times New Roman" w:hAnsi="Times New Roman"/>
          <w:sz w:val="4"/>
          <w:szCs w:val="4"/>
          <w:color w:val="auto"/>
        </w:rPr>
        <w:t>​</w:t>
        <w:tab/>
        <w:t>​</w:t>
      </w:r>
      <w:r>
        <w:rPr>
          <w:sz w:val="20"/>
          <w:szCs w:val="20"/>
          <w:color w:val="auto"/>
        </w:rPr>
        <w:tab/>
      </w:r>
      <w:r>
        <w:rPr>
          <w:rFonts w:ascii="Arial" w:cs="Arial" w:eastAsia="Arial" w:hAnsi="Arial"/>
          <w:sz w:val="16"/>
          <w:szCs w:val="16"/>
          <w:u w:val="single" w:color="auto"/>
          <w:color w:val="0000EE"/>
        </w:rPr>
        <w:t>37</w:t>
      </w:r>
    </w:p>
    <w:p>
      <w:pPr>
        <w:spacing w:after="0" w:line="29" w:lineRule="exact"/>
        <w:rPr>
          <w:sz w:val="20"/>
          <w:szCs w:val="20"/>
          <w:color w:val="auto"/>
        </w:rPr>
      </w:pPr>
    </w:p>
    <w:p>
      <w:pPr>
        <w:spacing w:after="0"/>
        <w:tabs>
          <w:tab w:leader="none" w:pos="40" w:val="left"/>
          <w:tab w:leader="none" w:pos="80" w:val="left"/>
        </w:tabs>
        <w:rPr>
          <w:sz w:val="20"/>
          <w:szCs w:val="20"/>
          <w:color w:val="auto"/>
        </w:rPr>
      </w:pPr>
      <w:r>
        <w:rPr>
          <w:rFonts w:ascii="Times New Roman" w:cs="Times New Roman" w:eastAsia="Times New Roman" w:hAnsi="Times New Roman"/>
          <w:sz w:val="4"/>
          <w:szCs w:val="4"/>
          <w:color w:val="auto"/>
        </w:rPr>
        <w:t>​</w:t>
        <w:tab/>
        <w:t>​</w:t>
      </w:r>
      <w:r>
        <w:rPr>
          <w:sz w:val="20"/>
          <w:szCs w:val="20"/>
          <w:color w:val="auto"/>
        </w:rPr>
        <w:tab/>
      </w:r>
      <w:r>
        <w:rPr>
          <w:rFonts w:ascii="Arial" w:cs="Arial" w:eastAsia="Arial" w:hAnsi="Arial"/>
          <w:sz w:val="24"/>
          <w:szCs w:val="24"/>
          <w:u w:val="single" w:color="auto"/>
          <w:color w:val="0000EE"/>
          <w:vertAlign w:val="subscript"/>
        </w:rPr>
        <w:t>38</w:t>
      </w:r>
    </w:p>
    <w:p>
      <w:pPr>
        <w:spacing w:after="0" w:line="207"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6"/>
          <w:szCs w:val="6"/>
          <w:color w:val="auto"/>
          <w:vertAlign w:val="superscript"/>
        </w:rPr>
        <w:t>​</w:t>
      </w:r>
      <w:r>
        <w:rPr>
          <w:sz w:val="20"/>
          <w:szCs w:val="20"/>
          <w:color w:val="auto"/>
        </w:rPr>
        <w:tab/>
      </w:r>
      <w:r>
        <w:rPr>
          <w:rFonts w:ascii="Times New Roman" w:cs="Times New Roman" w:eastAsia="Times New Roman" w:hAnsi="Times New Roman"/>
          <w:sz w:val="5"/>
          <w:szCs w:val="5"/>
          <w:color w:val="000000"/>
          <w:vertAlign w:val="superscript"/>
        </w:rPr>
        <w:t>​</w:t>
      </w:r>
      <w:r>
        <w:rPr>
          <w:rFonts w:ascii="Arial" w:cs="Arial" w:eastAsia="Arial" w:hAnsi="Arial"/>
          <w:sz w:val="11"/>
          <w:szCs w:val="11"/>
          <w:b w:val="1"/>
          <w:bCs w:val="1"/>
          <w:color w:val="0000EE"/>
        </w:rPr>
        <w:t xml:space="preserve">   </w:t>
      </w:r>
      <w:r>
        <w:rPr>
          <w:rFonts w:ascii="Arial" w:cs="Arial" w:eastAsia="Arial" w:hAnsi="Arial"/>
          <w:sz w:val="11"/>
          <w:szCs w:val="11"/>
          <w:b w:val="1"/>
          <w:bCs w:val="1"/>
          <w:u w:val="single" w:color="auto"/>
          <w:color w:val="0000EE"/>
        </w:rPr>
        <w:t>39</w:t>
      </w:r>
    </w:p>
    <w:p>
      <w:pPr>
        <w:spacing w:after="0" w:line="168" w:lineRule="exact"/>
        <w:rPr>
          <w:sz w:val="20"/>
          <w:szCs w:val="20"/>
          <w:color w:val="auto"/>
        </w:rPr>
      </w:pPr>
    </w:p>
    <w:p>
      <w:pPr>
        <w:spacing w:after="0"/>
        <w:tabs>
          <w:tab w:leader="none" w:pos="40" w:val="left"/>
          <w:tab w:leader="none" w:pos="80" w:val="left"/>
        </w:tabs>
        <w:rPr>
          <w:sz w:val="20"/>
          <w:szCs w:val="20"/>
          <w:color w:val="auto"/>
        </w:rPr>
      </w:pPr>
      <w:r>
        <w:rPr>
          <w:rFonts w:ascii="Times New Roman" w:cs="Times New Roman" w:eastAsia="Times New Roman" w:hAnsi="Times New Roman"/>
          <w:sz w:val="4"/>
          <w:szCs w:val="4"/>
          <w:color w:val="auto"/>
        </w:rPr>
        <w:t>​</w:t>
        <w:tab/>
        <w:t>​</w:t>
      </w:r>
      <w:r>
        <w:rPr>
          <w:sz w:val="20"/>
          <w:szCs w:val="20"/>
          <w:color w:val="auto"/>
        </w:rPr>
        <w:tab/>
      </w:r>
      <w:r>
        <w:rPr>
          <w:rFonts w:ascii="Arial" w:cs="Arial" w:eastAsia="Arial" w:hAnsi="Arial"/>
          <w:sz w:val="16"/>
          <w:szCs w:val="16"/>
          <w:u w:val="single" w:color="auto"/>
          <w:color w:val="0000EE"/>
        </w:rPr>
        <w:t>39</w:t>
      </w:r>
    </w:p>
    <w:p>
      <w:pPr>
        <w:spacing w:after="0" w:line="111"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6"/>
          <w:szCs w:val="6"/>
          <w:color w:val="auto"/>
          <w:vertAlign w:val="superscript"/>
        </w:rPr>
        <w:t>​</w:t>
      </w:r>
      <w:r>
        <w:rPr>
          <w:sz w:val="20"/>
          <w:szCs w:val="20"/>
          <w:color w:val="auto"/>
        </w:rPr>
        <w:tab/>
      </w:r>
      <w:r>
        <w:rPr>
          <w:rFonts w:ascii="Times New Roman" w:cs="Times New Roman" w:eastAsia="Times New Roman" w:hAnsi="Times New Roman"/>
          <w:sz w:val="5"/>
          <w:szCs w:val="5"/>
          <w:color w:val="000000"/>
          <w:vertAlign w:val="superscript"/>
        </w:rPr>
        <w:t>​</w:t>
      </w:r>
      <w:r>
        <w:rPr>
          <w:rFonts w:ascii="Arial" w:cs="Arial" w:eastAsia="Arial" w:hAnsi="Arial"/>
          <w:sz w:val="11"/>
          <w:szCs w:val="11"/>
          <w:color w:val="0000EE"/>
        </w:rPr>
        <w:t xml:space="preserve">   </w:t>
      </w:r>
      <w:r>
        <w:rPr>
          <w:rFonts w:ascii="Arial" w:cs="Arial" w:eastAsia="Arial" w:hAnsi="Arial"/>
          <w:sz w:val="11"/>
          <w:szCs w:val="11"/>
          <w:u w:val="single" w:color="auto"/>
          <w:color w:val="0000EE"/>
        </w:rPr>
        <w:t>39</w:t>
      </w:r>
    </w:p>
    <w:p>
      <w:pPr>
        <w:spacing w:after="0" w:line="200" w:lineRule="exact"/>
        <w:rPr>
          <w:sz w:val="20"/>
          <w:szCs w:val="20"/>
          <w:color w:val="auto"/>
        </w:rPr>
      </w:pPr>
    </w:p>
    <w:p>
      <w:pPr>
        <w:spacing w:after="0" w:line="388"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tab/>
        <w:t>​</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6"/>
          <w:szCs w:val="16"/>
          <w:b w:val="1"/>
          <w:bCs w:val="1"/>
          <w:u w:val="single" w:color="auto"/>
          <w:color w:val="0000EE"/>
        </w:rPr>
        <w:t>41</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right="900"/>
        <w:spacing w:after="0" w:line="282" w:lineRule="auto"/>
        <w:rPr>
          <w:sz w:val="20"/>
          <w:szCs w:val="20"/>
          <w:color w:val="auto"/>
        </w:rPr>
      </w:pPr>
      <w:r>
        <w:rPr>
          <w:rFonts w:ascii="Arial" w:cs="Arial" w:eastAsia="Arial" w:hAnsi="Arial"/>
          <w:sz w:val="16"/>
          <w:szCs w:val="16"/>
          <w:u w:val="single" w:color="auto"/>
          <w:color w:val="0000EE"/>
        </w:rPr>
        <w:t>Fees to the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-341630</wp:posOffset>
            </wp:positionV>
            <wp:extent cx="27889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8892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Audit Committee Pre-Approval Policies and Procedures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Audit Committee Report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Common Stock Ownership</w:t>
      </w:r>
    </w:p>
    <w:p>
      <w:pPr>
        <w:spacing w:after="0" w:line="218"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b w:val="1"/>
          <w:bCs w:val="1"/>
          <w:u w:val="single" w:color="auto"/>
          <w:color w:val="0000EE"/>
        </w:rPr>
        <w:t>Questions and Answers Relating to the Annual Meeting</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Appendix</w:t>
      </w:r>
    </w:p>
    <w:p>
      <w:pPr>
        <w:spacing w:after="0" w:line="111"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Cautionary Note About Forward-Looking Statements</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tab/>
        <w:t>​</w:t>
      </w:r>
    </w:p>
    <w:p>
      <w:pPr>
        <w:ind w:left="120"/>
        <w:spacing w:after="0"/>
        <w:rPr>
          <w:sz w:val="20"/>
          <w:szCs w:val="20"/>
          <w:color w:val="auto"/>
        </w:rPr>
      </w:pPr>
      <w:r>
        <w:rPr>
          <w:rFonts w:ascii="Arial" w:cs="Arial" w:eastAsia="Arial" w:hAnsi="Arial"/>
          <w:sz w:val="16"/>
          <w:szCs w:val="16"/>
          <w:u w:val="single" w:color="auto"/>
          <w:color w:val="0000EE"/>
        </w:rPr>
        <w:t>76</w:t>
      </w:r>
    </w:p>
    <w:p>
      <w:pPr>
        <w:ind w:left="60" w:hanging="52"/>
        <w:spacing w:after="0" w:line="200" w:lineRule="auto"/>
        <w:tabs>
          <w:tab w:leader="none" w:pos="60" w:val="left"/>
        </w:tabs>
        <w:numPr>
          <w:ilvl w:val="0"/>
          <w:numId w:val="3"/>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 xml:space="preserve">​   </w:t>
      </w:r>
      <w:r>
        <w:rPr>
          <w:rFonts w:ascii="Arial" w:cs="Arial" w:eastAsia="Arial" w:hAnsi="Arial"/>
          <w:sz w:val="32"/>
          <w:szCs w:val="32"/>
          <w:u w:val="single" w:color="auto"/>
          <w:color w:val="0000EE"/>
          <w:vertAlign w:val="subscript"/>
        </w:rPr>
        <w:t>76</w:t>
      </w:r>
    </w:p>
    <w:p>
      <w:pPr>
        <w:ind w:left="60" w:hanging="52"/>
        <w:spacing w:after="0"/>
        <w:tabs>
          <w:tab w:leader="none" w:pos="60" w:val="left"/>
        </w:tabs>
        <w:numPr>
          <w:ilvl w:val="0"/>
          <w:numId w:val="3"/>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 xml:space="preserve">​   </w:t>
      </w:r>
      <w:r>
        <w:rPr>
          <w:rFonts w:ascii="Arial" w:cs="Arial" w:eastAsia="Arial" w:hAnsi="Arial"/>
          <w:sz w:val="32"/>
          <w:szCs w:val="32"/>
          <w:b w:val="1"/>
          <w:bCs w:val="1"/>
          <w:u w:val="single" w:color="auto"/>
          <w:color w:val="0000EE"/>
          <w:vertAlign w:val="subscript"/>
        </w:rPr>
        <w:t>77</w:t>
      </w:r>
    </w:p>
    <w:p>
      <w:pPr>
        <w:spacing w:after="0" w:line="40" w:lineRule="exact"/>
        <w:rPr>
          <w:rFonts w:ascii="Times New Roman" w:cs="Times New Roman" w:eastAsia="Times New Roman" w:hAnsi="Times New Roman"/>
          <w:sz w:val="4"/>
          <w:szCs w:val="4"/>
          <w:color w:val="auto"/>
        </w:rPr>
      </w:pPr>
    </w:p>
    <w:p>
      <w:pPr>
        <w:ind w:left="60" w:hanging="52"/>
        <w:spacing w:after="0"/>
        <w:tabs>
          <w:tab w:leader="none" w:pos="60" w:val="left"/>
        </w:tabs>
        <w:numPr>
          <w:ilvl w:val="0"/>
          <w:numId w:val="3"/>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 xml:space="preserve">​   </w:t>
      </w:r>
      <w:r>
        <w:rPr>
          <w:rFonts w:ascii="Arial" w:cs="Arial" w:eastAsia="Arial" w:hAnsi="Arial"/>
          <w:sz w:val="32"/>
          <w:szCs w:val="32"/>
          <w:b w:val="1"/>
          <w:bCs w:val="1"/>
          <w:u w:val="single" w:color="auto"/>
          <w:color w:val="0000EE"/>
          <w:vertAlign w:val="subscript"/>
        </w:rPr>
        <w:t>78</w:t>
      </w:r>
    </w:p>
    <w:p>
      <w:pPr>
        <w:spacing w:after="0" w:line="325"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tab/>
        <w:t>​</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6"/>
          <w:szCs w:val="16"/>
          <w:b w:val="1"/>
          <w:bCs w:val="1"/>
          <w:u w:val="single" w:color="auto"/>
          <w:color w:val="0000EE"/>
        </w:rPr>
        <w:t>80</w:t>
      </w:r>
    </w:p>
    <w:p>
      <w:pPr>
        <w:spacing w:after="0" w:line="218" w:lineRule="exact"/>
        <w:rPr>
          <w:sz w:val="20"/>
          <w:szCs w:val="20"/>
          <w:color w:val="auto"/>
        </w:rPr>
      </w:pPr>
    </w:p>
    <w:p>
      <w:pPr>
        <w:ind w:left="60" w:hanging="52"/>
        <w:spacing w:after="0"/>
        <w:tabs>
          <w:tab w:leader="none" w:pos="60" w:val="left"/>
        </w:tabs>
        <w:numPr>
          <w:ilvl w:val="0"/>
          <w:numId w:val="4"/>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 xml:space="preserve">​   </w:t>
      </w:r>
      <w:r>
        <w:rPr>
          <w:rFonts w:ascii="Arial" w:cs="Arial" w:eastAsia="Arial" w:hAnsi="Arial"/>
          <w:sz w:val="16"/>
          <w:szCs w:val="16"/>
          <w:b w:val="1"/>
          <w:bCs w:val="1"/>
          <w:u w:val="single" w:color="auto"/>
          <w:color w:val="0000EE"/>
        </w:rPr>
        <w:t>A-1</w:t>
      </w:r>
    </w:p>
    <w:p>
      <w:pPr>
        <w:spacing w:after="0" w:line="181" w:lineRule="exact"/>
        <w:rPr>
          <w:rFonts w:ascii="Times New Roman" w:cs="Times New Roman" w:eastAsia="Times New Roman" w:hAnsi="Times New Roman"/>
          <w:sz w:val="4"/>
          <w:szCs w:val="4"/>
          <w:color w:val="auto"/>
        </w:rPr>
      </w:pPr>
    </w:p>
    <w:p>
      <w:pPr>
        <w:ind w:left="60" w:hanging="52"/>
        <w:spacing w:after="0"/>
        <w:tabs>
          <w:tab w:leader="none" w:pos="60" w:val="left"/>
        </w:tabs>
        <w:numPr>
          <w:ilvl w:val="0"/>
          <w:numId w:val="4"/>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w:t>
      </w:r>
    </w:p>
    <w:p>
      <w:pPr>
        <w:spacing w:after="0" w:line="448" w:lineRule="exact"/>
        <w:rPr>
          <w:sz w:val="20"/>
          <w:szCs w:val="20"/>
          <w:color w:val="auto"/>
        </w:rPr>
      </w:pPr>
    </w:p>
    <w:p>
      <w:pPr>
        <w:sectPr>
          <w:pgSz w:w="11900" w:h="16838" w:orient="portrait"/>
          <w:cols w:equalWidth="0" w:num="4">
            <w:col w:w="4620" w:space="360"/>
            <w:col w:w="280" w:space="320"/>
            <w:col w:w="3940" w:space="60"/>
            <w:col w:w="1360"/>
          </w:cols>
          <w:pgMar w:left="480" w:top="115" w:right="47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960" w:type="dxa"/>
            <w:vAlign w:val="bottom"/>
          </w:tcPr>
          <w:p>
            <w:pPr>
              <w:spacing w:after="0"/>
              <w:rPr>
                <w:sz w:val="16"/>
                <w:szCs w:val="16"/>
                <w:color w:val="auto"/>
              </w:rPr>
            </w:pPr>
          </w:p>
        </w:tc>
        <w:tc>
          <w:tcPr>
            <w:tcW w:w="3060" w:type="dxa"/>
            <w:vAlign w:val="bottom"/>
            <w:gridSpan w:val="6"/>
          </w:tcPr>
          <w:p>
            <w:pPr>
              <w:spacing w:after="0"/>
              <w:rPr>
                <w:sz w:val="20"/>
                <w:szCs w:val="20"/>
                <w:color w:val="auto"/>
              </w:rPr>
            </w:pPr>
            <w:r>
              <w:rPr>
                <w:rFonts w:ascii="Arial" w:cs="Arial" w:eastAsia="Arial" w:hAnsi="Arial"/>
                <w:sz w:val="16"/>
                <w:szCs w:val="16"/>
                <w:b w:val="1"/>
                <w:bCs w:val="1"/>
                <w:color w:val="0000EE"/>
                <w:w w:val="99"/>
              </w:rPr>
              <w:t>Compensation Discussion and Analysis</w:t>
            </w:r>
          </w:p>
        </w:tc>
        <w:tc>
          <w:tcPr>
            <w:tcW w:w="660" w:type="dxa"/>
            <w:vAlign w:val="bottom"/>
          </w:tcPr>
          <w:p>
            <w:pPr>
              <w:spacing w:after="0"/>
              <w:rPr>
                <w:sz w:val="16"/>
                <w:szCs w:val="16"/>
                <w:color w:val="auto"/>
              </w:rPr>
            </w:pPr>
          </w:p>
        </w:tc>
        <w:tc>
          <w:tcPr>
            <w:tcW w:w="6260" w:type="dxa"/>
            <w:vAlign w:val="bottom"/>
            <w:gridSpan w:val="3"/>
          </w:tcPr>
          <w:p>
            <w:pPr>
              <w:ind w:left="300"/>
              <w:spacing w:after="0"/>
              <w:rPr>
                <w:sz w:val="20"/>
                <w:szCs w:val="20"/>
                <w:color w:val="auto"/>
              </w:rPr>
            </w:pPr>
            <w:r>
              <w:rPr>
                <w:rFonts w:ascii="Times New Roman" w:cs="Times New Roman" w:eastAsia="Times New Roman" w:hAnsi="Times New Roman"/>
                <w:sz w:val="4"/>
                <w:szCs w:val="4"/>
                <w:color w:val="auto"/>
              </w:rPr>
              <w:t xml:space="preserve">​   ​   </w:t>
            </w:r>
            <w:r>
              <w:rPr>
                <w:rFonts w:ascii="Arial" w:cs="Arial" w:eastAsia="Arial" w:hAnsi="Arial"/>
                <w:sz w:val="16"/>
                <w:szCs w:val="16"/>
                <w:color w:val="0000EE"/>
              </w:rPr>
              <w:t>43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960" w:type="dxa"/>
            <w:vAlign w:val="bottom"/>
          </w:tcPr>
          <w:p>
            <w:pPr>
              <w:spacing w:after="0"/>
              <w:rPr>
                <w:sz w:val="23"/>
                <w:szCs w:val="23"/>
                <w:color w:val="auto"/>
              </w:rPr>
            </w:pPr>
          </w:p>
        </w:tc>
        <w:tc>
          <w:tcPr>
            <w:tcW w:w="1960" w:type="dxa"/>
            <w:vAlign w:val="bottom"/>
            <w:gridSpan w:val="5"/>
          </w:tcPr>
          <w:p>
            <w:pPr>
              <w:spacing w:after="0"/>
              <w:rPr>
                <w:sz w:val="20"/>
                <w:szCs w:val="20"/>
                <w:color w:val="auto"/>
              </w:rPr>
            </w:pPr>
            <w:r>
              <w:rPr>
                <w:rFonts w:ascii="Arial" w:cs="Arial" w:eastAsia="Arial" w:hAnsi="Arial"/>
                <w:sz w:val="16"/>
                <w:szCs w:val="16"/>
                <w:color w:val="0000EE"/>
              </w:rPr>
              <w:t>CD&amp;A Table of Contents</w:t>
            </w:r>
          </w:p>
        </w:tc>
        <w:tc>
          <w:tcPr>
            <w:tcW w:w="1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60" w:type="dxa"/>
            <w:vAlign w:val="bottom"/>
            <w:gridSpan w:val="3"/>
          </w:tcPr>
          <w:p>
            <w:pPr>
              <w:ind w:left="300"/>
              <w:spacing w:after="0"/>
              <w:rPr>
                <w:sz w:val="20"/>
                <w:szCs w:val="20"/>
                <w:color w:val="auto"/>
              </w:rPr>
            </w:pPr>
            <w:r>
              <w:rPr>
                <w:rFonts w:ascii="Times New Roman" w:cs="Times New Roman" w:eastAsia="Times New Roman" w:hAnsi="Times New Roman"/>
                <w:sz w:val="4"/>
                <w:szCs w:val="4"/>
                <w:color w:val="auto"/>
              </w:rPr>
              <w:t xml:space="preserve">​   ​   </w:t>
            </w:r>
            <w:r>
              <w:rPr>
                <w:rFonts w:ascii="Arial" w:cs="Arial" w:eastAsia="Arial" w:hAnsi="Arial"/>
                <w:sz w:val="16"/>
                <w:szCs w:val="16"/>
                <w:color w:val="0000EE"/>
              </w:rPr>
              <w:t>43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960" w:type="dxa"/>
            <w:vAlign w:val="bottom"/>
          </w:tcPr>
          <w:p>
            <w:pPr>
              <w:spacing w:after="0"/>
              <w:rPr>
                <w:sz w:val="23"/>
                <w:szCs w:val="23"/>
                <w:color w:val="auto"/>
              </w:rPr>
            </w:pPr>
          </w:p>
        </w:tc>
        <w:tc>
          <w:tcPr>
            <w:tcW w:w="1860" w:type="dxa"/>
            <w:vAlign w:val="bottom"/>
            <w:gridSpan w:val="4"/>
          </w:tcPr>
          <w:p>
            <w:pPr>
              <w:spacing w:after="0"/>
              <w:rPr>
                <w:sz w:val="20"/>
                <w:szCs w:val="20"/>
                <w:color w:val="auto"/>
              </w:rPr>
            </w:pPr>
            <w:r>
              <w:rPr>
                <w:rFonts w:ascii="Arial" w:cs="Arial" w:eastAsia="Arial" w:hAnsi="Arial"/>
                <w:sz w:val="16"/>
                <w:szCs w:val="16"/>
                <w:color w:val="0000EE"/>
                <w:w w:val="99"/>
              </w:rPr>
              <w:t>Named Executive Officers</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60" w:type="dxa"/>
            <w:vAlign w:val="bottom"/>
            <w:gridSpan w:val="3"/>
          </w:tcPr>
          <w:p>
            <w:pPr>
              <w:ind w:left="300"/>
              <w:spacing w:after="0" w:line="275" w:lineRule="exact"/>
              <w:rPr>
                <w:sz w:val="20"/>
                <w:szCs w:val="20"/>
                <w:color w:val="auto"/>
              </w:rPr>
            </w:pPr>
            <w:r>
              <w:rPr>
                <w:rFonts w:ascii="Times New Roman" w:cs="Times New Roman" w:eastAsia="Times New Roman" w:hAnsi="Times New Roman"/>
                <w:sz w:val="3"/>
                <w:szCs w:val="3"/>
                <w:color w:val="auto"/>
              </w:rPr>
              <w:t xml:space="preserve">​   ​   </w:t>
            </w:r>
            <w:r>
              <w:rPr>
                <w:rFonts w:ascii="Arial" w:cs="Arial" w:eastAsia="Arial" w:hAnsi="Arial"/>
                <w:sz w:val="31"/>
                <w:szCs w:val="31"/>
                <w:color w:val="0000EE"/>
                <w:vertAlign w:val="subscript"/>
              </w:rPr>
              <w:t>43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96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6"/>
                <w:szCs w:val="16"/>
                <w:color w:val="0000EE"/>
                <w:w w:val="99"/>
              </w:rPr>
              <w:t>Executive Summary</w:t>
            </w:r>
          </w:p>
        </w:tc>
        <w:tc>
          <w:tcPr>
            <w:tcW w:w="42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60" w:type="dxa"/>
            <w:vAlign w:val="bottom"/>
            <w:gridSpan w:val="3"/>
          </w:tcPr>
          <w:p>
            <w:pPr>
              <w:ind w:left="300"/>
              <w:spacing w:after="0"/>
              <w:rPr>
                <w:sz w:val="20"/>
                <w:szCs w:val="20"/>
                <w:color w:val="auto"/>
              </w:rPr>
            </w:pPr>
            <w:r>
              <w:rPr>
                <w:rFonts w:ascii="Times New Roman" w:cs="Times New Roman" w:eastAsia="Times New Roman" w:hAnsi="Times New Roman"/>
                <w:sz w:val="4"/>
                <w:szCs w:val="4"/>
                <w:color w:val="auto"/>
              </w:rPr>
              <w:t xml:space="preserve">​   ​   </w:t>
            </w:r>
            <w:r>
              <w:rPr>
                <w:rFonts w:ascii="Arial" w:cs="Arial" w:eastAsia="Arial" w:hAnsi="Arial"/>
                <w:sz w:val="16"/>
                <w:szCs w:val="16"/>
                <w:color w:val="0000EE"/>
              </w:rPr>
              <w:t>44</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96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rPr>
              <w:t>4</w:t>
            </w:r>
          </w:p>
        </w:tc>
        <w:tc>
          <w:tcPr>
            <w:tcW w:w="1240" w:type="dxa"/>
            <w:vAlign w:val="bottom"/>
            <w:gridSpan w:val="4"/>
            <w:vMerge w:val="restart"/>
          </w:tcPr>
          <w:p>
            <w:pPr>
              <w:ind w:left="660"/>
              <w:spacing w:after="0"/>
              <w:rPr>
                <w:sz w:val="20"/>
                <w:szCs w:val="20"/>
                <w:color w:val="auto"/>
              </w:rPr>
            </w:pPr>
            <w:r>
              <w:rPr>
                <w:rFonts w:ascii="Arial" w:cs="Arial" w:eastAsia="Arial" w:hAnsi="Arial"/>
                <w:sz w:val="14"/>
                <w:szCs w:val="14"/>
                <w:color w:val="auto"/>
                <w:w w:val="91"/>
              </w:rPr>
              <w:t xml:space="preserve">      </w:t>
            </w:r>
            <w:r>
              <w:rPr>
                <w:rFonts w:ascii="Arial" w:cs="Arial" w:eastAsia="Arial" w:hAnsi="Arial"/>
                <w:sz w:val="24"/>
                <w:szCs w:val="24"/>
                <w:color w:val="636466"/>
                <w:w w:val="91"/>
              </w:rPr>
              <w:t>/</w:t>
            </w:r>
            <w:r>
              <w:rPr>
                <w:rFonts w:ascii="Arial" w:cs="Arial" w:eastAsia="Arial" w:hAnsi="Arial"/>
                <w:sz w:val="28"/>
                <w:szCs w:val="28"/>
                <w:color w:val="auto"/>
                <w:w w:val="91"/>
                <w:vertAlign w:val="superscript"/>
              </w:rPr>
              <w:t xml:space="preserve">    </w:t>
            </w:r>
          </w:p>
        </w:tc>
        <w:tc>
          <w:tcPr>
            <w:tcW w:w="1760" w:type="dxa"/>
            <w:vAlign w:val="bottom"/>
            <w:gridSpan w:val="2"/>
            <w:vMerge w:val="restart"/>
          </w:tcPr>
          <w:p>
            <w:pPr>
              <w:ind w:left="60"/>
              <w:spacing w:after="0"/>
              <w:rPr>
                <w:sz w:val="20"/>
                <w:szCs w:val="20"/>
                <w:color w:val="auto"/>
              </w:rPr>
            </w:pPr>
            <w:r>
              <w:rPr>
                <w:rFonts w:ascii="Arial" w:cs="Arial" w:eastAsia="Arial" w:hAnsi="Arial"/>
                <w:sz w:val="14"/>
                <w:szCs w:val="14"/>
                <w:color w:val="auto"/>
              </w:rPr>
              <w:t>2024 Proxy Statement</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9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40" w:type="dxa"/>
            <w:vAlign w:val="bottom"/>
            <w:gridSpan w:val="4"/>
            <w:vMerge w:val="continue"/>
          </w:tcPr>
          <w:p>
            <w:pPr>
              <w:spacing w:after="0"/>
              <w:rPr>
                <w:sz w:val="23"/>
                <w:szCs w:val="23"/>
                <w:color w:val="auto"/>
              </w:rPr>
            </w:pPr>
          </w:p>
        </w:tc>
        <w:tc>
          <w:tcPr>
            <w:tcW w:w="1760" w:type="dxa"/>
            <w:vAlign w:val="bottom"/>
            <w:gridSpan w:val="2"/>
            <w:vMerge w:val="continue"/>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9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-407670</wp:posOffset>
            </wp:positionV>
            <wp:extent cx="501650" cy="170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type w:val="continuous"/>
        </w:sectPr>
      </w:pPr>
    </w:p>
    <w:bookmarkStart w:id="7" w:name="page8"/>
    <w:bookmarkEnd w:id="7"/>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ind w:left="960"/>
        <w:spacing w:after="0"/>
        <w:rPr>
          <w:sz w:val="20"/>
          <w:szCs w:val="20"/>
          <w:color w:val="auto"/>
        </w:rPr>
      </w:pPr>
      <w:r>
        <w:rPr>
          <w:rFonts w:ascii="Arial" w:cs="Arial" w:eastAsia="Arial" w:hAnsi="Arial"/>
          <w:sz w:val="43"/>
          <w:szCs w:val="43"/>
          <w:color w:val="E02826"/>
        </w:rPr>
        <w:t>Company Overview</w:t>
      </w:r>
    </w:p>
    <w:p>
      <w:pPr>
        <w:spacing w:after="0" w:line="398"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REVOLUTIONIZING THE WAY THE WORLD MOVES FOR FUTURE GENERATIONS</w:t>
      </w:r>
    </w:p>
    <w:p>
      <w:pPr>
        <w:spacing w:after="0" w:line="266" w:lineRule="exact"/>
        <w:rPr>
          <w:sz w:val="20"/>
          <w:szCs w:val="20"/>
          <w:color w:val="auto"/>
        </w:rPr>
      </w:pPr>
    </w:p>
    <w:p>
      <w:pPr>
        <w:ind w:left="960" w:right="1060"/>
        <w:spacing w:after="0" w:line="254" w:lineRule="auto"/>
        <w:rPr>
          <w:sz w:val="20"/>
          <w:szCs w:val="20"/>
          <w:color w:val="auto"/>
        </w:rPr>
      </w:pPr>
      <w:r>
        <w:rPr>
          <w:rFonts w:ascii="Arial" w:cs="Arial" w:eastAsia="Arial" w:hAnsi="Arial"/>
          <w:sz w:val="16"/>
          <w:szCs w:val="16"/>
          <w:color w:val="auto"/>
        </w:rPr>
        <w:t>Wabtec is a global provider of value-added, technology-based locomotives, equipment, systems, and services for the freight rail and passenger transit industries, as well as the mining, marine and industrial markets. Drawing on more than 150 years of experience, we are leading the way in safety, efficiency, reliability, innovation, and productivity. Whether it’s freight, transit, ports, logistics, mining, industrial, or marine, our expertise, technologies, and people together – accelerate the future of transportation.</w:t>
      </w:r>
    </w:p>
    <w:p>
      <w:pPr>
        <w:spacing w:after="0" w:line="16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207010</wp:posOffset>
            </wp:positionV>
            <wp:extent cx="5713730" cy="2653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13730" cy="2653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xml:space="preserve">  </w:t>
      </w:r>
    </w:p>
    <w:p>
      <w:pPr>
        <w:spacing w:after="0" w:line="19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104775</wp:posOffset>
            </wp:positionV>
            <wp:extent cx="5713730" cy="391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13730" cy="391160"/>
                    </a:xfrm>
                    <a:prstGeom prst="rect">
                      <a:avLst/>
                    </a:prstGeom>
                    <a:noFill/>
                  </pic:spPr>
                </pic:pic>
              </a:graphicData>
            </a:graphic>
          </wp:anchor>
        </w:drawing>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FFFFFF"/>
        </w:rPr>
        <w:t>DRIVERS OF PORTFOLIO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238760</wp:posOffset>
            </wp:positionV>
            <wp:extent cx="8255" cy="6800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68008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455"/>
        </w:trPr>
        <w:tc>
          <w:tcPr>
            <w:tcW w:w="980" w:type="dxa"/>
            <w:vAlign w:val="bottom"/>
          </w:tcPr>
          <w:p>
            <w:pPr>
              <w:spacing w:after="0"/>
              <w:rPr>
                <w:sz w:val="24"/>
                <w:szCs w:val="24"/>
                <w:color w:val="auto"/>
              </w:rPr>
            </w:pPr>
          </w:p>
        </w:tc>
        <w:tc>
          <w:tcPr>
            <w:tcW w:w="1620" w:type="dxa"/>
            <w:vAlign w:val="bottom"/>
          </w:tcPr>
          <w:p>
            <w:pPr>
              <w:ind w:left="40"/>
              <w:spacing w:after="0"/>
              <w:rPr>
                <w:sz w:val="20"/>
                <w:szCs w:val="20"/>
                <w:color w:val="auto"/>
              </w:rPr>
            </w:pPr>
            <w:r>
              <w:rPr>
                <w:rFonts w:ascii="Arial" w:cs="Arial" w:eastAsia="Arial" w:hAnsi="Arial"/>
                <w:sz w:val="16"/>
                <w:szCs w:val="16"/>
                <w:color w:val="auto"/>
              </w:rPr>
              <w:t>Accelerate</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4C4C4C"/>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580" w:type="dxa"/>
            <w:vAlign w:val="bottom"/>
          </w:tcPr>
          <w:p>
            <w:pPr>
              <w:ind w:left="200"/>
              <w:spacing w:after="0"/>
              <w:rPr>
                <w:sz w:val="20"/>
                <w:szCs w:val="20"/>
                <w:color w:val="auto"/>
              </w:rPr>
            </w:pPr>
            <w:r>
              <w:rPr>
                <w:rFonts w:ascii="Arial" w:cs="Arial" w:eastAsia="Arial" w:hAnsi="Arial"/>
                <w:sz w:val="16"/>
                <w:szCs w:val="16"/>
                <w:color w:val="auto"/>
              </w:rPr>
              <w:t>Grow and refresh</w:t>
            </w:r>
          </w:p>
        </w:tc>
        <w:tc>
          <w:tcPr>
            <w:tcW w:w="2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4C4C4C"/>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520" w:type="dxa"/>
            <w:vAlign w:val="bottom"/>
          </w:tcPr>
          <w:p>
            <w:pPr>
              <w:ind w:left="200"/>
              <w:spacing w:after="0"/>
              <w:rPr>
                <w:sz w:val="20"/>
                <w:szCs w:val="20"/>
                <w:color w:val="auto"/>
              </w:rPr>
            </w:pPr>
            <w:r>
              <w:rPr>
                <w:rFonts w:ascii="Arial" w:cs="Arial" w:eastAsia="Arial" w:hAnsi="Arial"/>
                <w:sz w:val="16"/>
                <w:szCs w:val="16"/>
                <w:color w:val="auto"/>
              </w:rPr>
              <w:t>Lead</w:t>
            </w:r>
          </w:p>
        </w:tc>
        <w:tc>
          <w:tcPr>
            <w:tcW w:w="2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4C4C4C"/>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800" w:type="dxa"/>
            <w:vAlign w:val="bottom"/>
          </w:tcPr>
          <w:p>
            <w:pPr>
              <w:ind w:left="200"/>
              <w:spacing w:after="0"/>
              <w:rPr>
                <w:sz w:val="20"/>
                <w:szCs w:val="20"/>
                <w:color w:val="auto"/>
              </w:rPr>
            </w:pPr>
            <w:r>
              <w:rPr>
                <w:rFonts w:ascii="Arial" w:cs="Arial" w:eastAsia="Arial" w:hAnsi="Arial"/>
                <w:sz w:val="16"/>
                <w:szCs w:val="16"/>
                <w:color w:val="auto"/>
              </w:rPr>
              <w:t xml:space="preserve">Expand high-margin </w:t>
            </w:r>
            <w:r>
              <w:rPr>
                <w:rFonts w:ascii="Times New Roman" w:cs="Times New Roman" w:eastAsia="Times New Roman" w:hAnsi="Times New Roman"/>
                <w:sz w:val="3"/>
                <w:szCs w:val="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500" w:type="dxa"/>
            <w:vAlign w:val="bottom"/>
          </w:tcPr>
          <w:p>
            <w:pPr>
              <w:ind w:left="160"/>
              <w:spacing w:after="0"/>
              <w:rPr>
                <w:sz w:val="20"/>
                <w:szCs w:val="20"/>
                <w:color w:val="auto"/>
              </w:rPr>
            </w:pPr>
            <w:r>
              <w:rPr>
                <w:rFonts w:ascii="Arial" w:cs="Arial" w:eastAsia="Arial" w:hAnsi="Arial"/>
                <w:sz w:val="16"/>
                <w:szCs w:val="16"/>
                <w:color w:val="auto"/>
              </w:rPr>
              <w:t>Drive continuous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7"/>
        </w:trPr>
        <w:tc>
          <w:tcPr>
            <w:tcW w:w="980" w:type="dxa"/>
            <w:vAlign w:val="bottom"/>
          </w:tcPr>
          <w:p>
            <w:pPr>
              <w:spacing w:after="0"/>
              <w:rPr>
                <w:sz w:val="16"/>
                <w:szCs w:val="16"/>
                <w:color w:val="auto"/>
              </w:rPr>
            </w:pPr>
          </w:p>
        </w:tc>
        <w:tc>
          <w:tcPr>
            <w:tcW w:w="1620" w:type="dxa"/>
            <w:vAlign w:val="bottom"/>
          </w:tcPr>
          <w:p>
            <w:pPr>
              <w:ind w:left="40"/>
              <w:spacing w:after="0"/>
              <w:rPr>
                <w:sz w:val="20"/>
                <w:szCs w:val="20"/>
                <w:color w:val="auto"/>
              </w:rPr>
            </w:pPr>
            <w:r>
              <w:rPr>
                <w:rFonts w:ascii="Arial" w:cs="Arial" w:eastAsia="Arial" w:hAnsi="Arial"/>
                <w:sz w:val="16"/>
                <w:szCs w:val="16"/>
                <w:color w:val="auto"/>
              </w:rPr>
              <w:t>innovation of scalable</w:t>
            </w:r>
          </w:p>
        </w:tc>
        <w:tc>
          <w:tcPr>
            <w:tcW w:w="120" w:type="dxa"/>
            <w:vAlign w:val="bottom"/>
          </w:tcPr>
          <w:p>
            <w:pPr>
              <w:spacing w:after="0"/>
              <w:rPr>
                <w:sz w:val="16"/>
                <w:szCs w:val="16"/>
                <w:color w:val="auto"/>
              </w:rPr>
            </w:pPr>
          </w:p>
        </w:tc>
        <w:tc>
          <w:tcPr>
            <w:tcW w:w="20" w:type="dxa"/>
            <w:vAlign w:val="bottom"/>
            <w:shd w:val="clear" w:color="auto" w:fill="4C4C4C"/>
          </w:tcPr>
          <w:p>
            <w:pPr>
              <w:spacing w:after="0"/>
              <w:rPr>
                <w:sz w:val="16"/>
                <w:szCs w:val="16"/>
                <w:color w:val="auto"/>
              </w:rPr>
            </w:pPr>
          </w:p>
        </w:tc>
        <w:tc>
          <w:tcPr>
            <w:tcW w:w="1580" w:type="dxa"/>
            <w:vAlign w:val="bottom"/>
          </w:tcPr>
          <w:p>
            <w:pPr>
              <w:ind w:left="200"/>
              <w:spacing w:after="0"/>
              <w:rPr>
                <w:sz w:val="20"/>
                <w:szCs w:val="20"/>
                <w:color w:val="auto"/>
              </w:rPr>
            </w:pPr>
            <w:r>
              <w:rPr>
                <w:rFonts w:ascii="Arial" w:cs="Arial" w:eastAsia="Arial" w:hAnsi="Arial"/>
                <w:sz w:val="16"/>
                <w:szCs w:val="16"/>
                <w:color w:val="auto"/>
              </w:rPr>
              <w:t>expansive global</w:t>
            </w:r>
          </w:p>
        </w:tc>
        <w:tc>
          <w:tcPr>
            <w:tcW w:w="220" w:type="dxa"/>
            <w:vAlign w:val="bottom"/>
          </w:tcPr>
          <w:p>
            <w:pPr>
              <w:spacing w:after="0"/>
              <w:rPr>
                <w:sz w:val="16"/>
                <w:szCs w:val="16"/>
                <w:color w:val="auto"/>
              </w:rPr>
            </w:pPr>
          </w:p>
        </w:tc>
        <w:tc>
          <w:tcPr>
            <w:tcW w:w="20" w:type="dxa"/>
            <w:vAlign w:val="bottom"/>
            <w:shd w:val="clear" w:color="auto" w:fill="4C4C4C"/>
          </w:tcPr>
          <w:p>
            <w:pPr>
              <w:spacing w:after="0"/>
              <w:rPr>
                <w:sz w:val="16"/>
                <w:szCs w:val="16"/>
                <w:color w:val="auto"/>
              </w:rPr>
            </w:pPr>
          </w:p>
        </w:tc>
        <w:tc>
          <w:tcPr>
            <w:tcW w:w="1520" w:type="dxa"/>
            <w:vAlign w:val="bottom"/>
          </w:tcPr>
          <w:p>
            <w:pPr>
              <w:ind w:left="200"/>
              <w:spacing w:after="0"/>
              <w:rPr>
                <w:sz w:val="20"/>
                <w:szCs w:val="20"/>
                <w:color w:val="auto"/>
              </w:rPr>
            </w:pPr>
            <w:r>
              <w:rPr>
                <w:rFonts w:ascii="Arial" w:cs="Arial" w:eastAsia="Arial" w:hAnsi="Arial"/>
                <w:sz w:val="16"/>
                <w:szCs w:val="16"/>
                <w:color w:val="auto"/>
              </w:rPr>
              <w:t>decarbonization</w:t>
            </w:r>
          </w:p>
        </w:tc>
        <w:tc>
          <w:tcPr>
            <w:tcW w:w="280" w:type="dxa"/>
            <w:vAlign w:val="bottom"/>
          </w:tcPr>
          <w:p>
            <w:pPr>
              <w:spacing w:after="0"/>
              <w:rPr>
                <w:sz w:val="16"/>
                <w:szCs w:val="16"/>
                <w:color w:val="auto"/>
              </w:rPr>
            </w:pPr>
          </w:p>
        </w:tc>
        <w:tc>
          <w:tcPr>
            <w:tcW w:w="20" w:type="dxa"/>
            <w:vAlign w:val="bottom"/>
            <w:shd w:val="clear" w:color="auto" w:fill="4C4C4C"/>
          </w:tcPr>
          <w:p>
            <w:pPr>
              <w:spacing w:after="0"/>
              <w:rPr>
                <w:sz w:val="16"/>
                <w:szCs w:val="16"/>
                <w:color w:val="auto"/>
              </w:rPr>
            </w:pPr>
          </w:p>
        </w:tc>
        <w:tc>
          <w:tcPr>
            <w:tcW w:w="1800" w:type="dxa"/>
            <w:vAlign w:val="bottom"/>
          </w:tcPr>
          <w:p>
            <w:pPr>
              <w:ind w:left="200"/>
              <w:spacing w:after="0"/>
              <w:rPr>
                <w:sz w:val="20"/>
                <w:szCs w:val="20"/>
                <w:color w:val="auto"/>
              </w:rPr>
            </w:pPr>
            <w:r>
              <w:rPr>
                <w:rFonts w:ascii="Arial" w:cs="Arial" w:eastAsia="Arial" w:hAnsi="Arial"/>
                <w:sz w:val="16"/>
                <w:szCs w:val="16"/>
                <w:color w:val="auto"/>
              </w:rPr>
              <w:t>recurring revenue</w:t>
            </w:r>
          </w:p>
        </w:tc>
        <w:tc>
          <w:tcPr>
            <w:tcW w:w="80" w:type="dxa"/>
            <w:vAlign w:val="bottom"/>
          </w:tcPr>
          <w:p>
            <w:pPr>
              <w:spacing w:after="0"/>
              <w:rPr>
                <w:sz w:val="16"/>
                <w:szCs w:val="16"/>
                <w:color w:val="auto"/>
              </w:rPr>
            </w:pPr>
          </w:p>
        </w:tc>
        <w:tc>
          <w:tcPr>
            <w:tcW w:w="1500" w:type="dxa"/>
            <w:vAlign w:val="bottom"/>
          </w:tcPr>
          <w:p>
            <w:pPr>
              <w:ind w:left="160"/>
              <w:spacing w:after="0"/>
              <w:rPr>
                <w:sz w:val="20"/>
                <w:szCs w:val="20"/>
                <w:color w:val="auto"/>
              </w:rPr>
            </w:pPr>
            <w:r>
              <w:rPr>
                <w:rFonts w:ascii="Arial" w:cs="Arial" w:eastAsia="Arial" w:hAnsi="Arial"/>
                <w:sz w:val="16"/>
                <w:szCs w:val="16"/>
                <w:color w:val="auto"/>
              </w:rPr>
              <w:t>operational</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3"/>
        </w:trPr>
        <w:tc>
          <w:tcPr>
            <w:tcW w:w="980" w:type="dxa"/>
            <w:vAlign w:val="bottom"/>
          </w:tcPr>
          <w:p>
            <w:pPr>
              <w:spacing w:after="0"/>
              <w:rPr>
                <w:sz w:val="18"/>
                <w:szCs w:val="18"/>
                <w:color w:val="auto"/>
              </w:rPr>
            </w:pPr>
          </w:p>
        </w:tc>
        <w:tc>
          <w:tcPr>
            <w:tcW w:w="1620" w:type="dxa"/>
            <w:vAlign w:val="bottom"/>
          </w:tcPr>
          <w:p>
            <w:pPr>
              <w:ind w:left="40"/>
              <w:spacing w:after="0"/>
              <w:rPr>
                <w:sz w:val="20"/>
                <w:szCs w:val="20"/>
                <w:color w:val="auto"/>
              </w:rPr>
            </w:pPr>
            <w:r>
              <w:rPr>
                <w:rFonts w:ascii="Arial" w:cs="Arial" w:eastAsia="Arial" w:hAnsi="Arial"/>
                <w:sz w:val="16"/>
                <w:szCs w:val="16"/>
                <w:color w:val="auto"/>
              </w:rPr>
              <w:t>technologies</w:t>
            </w:r>
          </w:p>
        </w:tc>
        <w:tc>
          <w:tcPr>
            <w:tcW w:w="120" w:type="dxa"/>
            <w:vAlign w:val="bottom"/>
          </w:tcPr>
          <w:p>
            <w:pPr>
              <w:spacing w:after="0"/>
              <w:rPr>
                <w:sz w:val="18"/>
                <w:szCs w:val="18"/>
                <w:color w:val="auto"/>
              </w:rPr>
            </w:pPr>
          </w:p>
        </w:tc>
        <w:tc>
          <w:tcPr>
            <w:tcW w:w="20" w:type="dxa"/>
            <w:vAlign w:val="bottom"/>
            <w:shd w:val="clear" w:color="auto" w:fill="4C4C4C"/>
          </w:tcPr>
          <w:p>
            <w:pPr>
              <w:spacing w:after="0"/>
              <w:rPr>
                <w:sz w:val="18"/>
                <w:szCs w:val="18"/>
                <w:color w:val="auto"/>
              </w:rPr>
            </w:pPr>
          </w:p>
        </w:tc>
        <w:tc>
          <w:tcPr>
            <w:tcW w:w="1580" w:type="dxa"/>
            <w:vAlign w:val="bottom"/>
          </w:tcPr>
          <w:p>
            <w:pPr>
              <w:ind w:left="200"/>
              <w:spacing w:after="0"/>
              <w:rPr>
                <w:sz w:val="20"/>
                <w:szCs w:val="20"/>
                <w:color w:val="auto"/>
              </w:rPr>
            </w:pPr>
            <w:r>
              <w:rPr>
                <w:rFonts w:ascii="Arial" w:cs="Arial" w:eastAsia="Arial" w:hAnsi="Arial"/>
                <w:sz w:val="16"/>
                <w:szCs w:val="16"/>
                <w:color w:val="auto"/>
              </w:rPr>
              <w:t>installed base</w:t>
            </w:r>
          </w:p>
        </w:tc>
        <w:tc>
          <w:tcPr>
            <w:tcW w:w="220" w:type="dxa"/>
            <w:vAlign w:val="bottom"/>
          </w:tcPr>
          <w:p>
            <w:pPr>
              <w:spacing w:after="0"/>
              <w:rPr>
                <w:sz w:val="18"/>
                <w:szCs w:val="18"/>
                <w:color w:val="auto"/>
              </w:rPr>
            </w:pPr>
          </w:p>
        </w:tc>
        <w:tc>
          <w:tcPr>
            <w:tcW w:w="20" w:type="dxa"/>
            <w:vAlign w:val="bottom"/>
            <w:shd w:val="clear" w:color="auto" w:fill="4C4C4C"/>
          </w:tcPr>
          <w:p>
            <w:pPr>
              <w:spacing w:after="0"/>
              <w:rPr>
                <w:sz w:val="18"/>
                <w:szCs w:val="18"/>
                <w:color w:val="auto"/>
              </w:rPr>
            </w:pPr>
          </w:p>
        </w:tc>
        <w:tc>
          <w:tcPr>
            <w:tcW w:w="1520" w:type="dxa"/>
            <w:vAlign w:val="bottom"/>
          </w:tcPr>
          <w:p>
            <w:pPr>
              <w:ind w:left="200"/>
              <w:spacing w:after="0"/>
              <w:rPr>
                <w:sz w:val="20"/>
                <w:szCs w:val="20"/>
                <w:color w:val="auto"/>
              </w:rPr>
            </w:pPr>
            <w:r>
              <w:rPr>
                <w:rFonts w:ascii="Arial" w:cs="Arial" w:eastAsia="Arial" w:hAnsi="Arial"/>
                <w:sz w:val="16"/>
                <w:szCs w:val="16"/>
                <w:color w:val="auto"/>
              </w:rPr>
              <w:t>of rail</w:t>
            </w:r>
          </w:p>
        </w:tc>
        <w:tc>
          <w:tcPr>
            <w:tcW w:w="280" w:type="dxa"/>
            <w:vAlign w:val="bottom"/>
          </w:tcPr>
          <w:p>
            <w:pPr>
              <w:spacing w:after="0"/>
              <w:rPr>
                <w:sz w:val="18"/>
                <w:szCs w:val="18"/>
                <w:color w:val="auto"/>
              </w:rPr>
            </w:pPr>
          </w:p>
        </w:tc>
        <w:tc>
          <w:tcPr>
            <w:tcW w:w="20" w:type="dxa"/>
            <w:vAlign w:val="bottom"/>
            <w:shd w:val="clear" w:color="auto" w:fill="4C4C4C"/>
          </w:tcPr>
          <w:p>
            <w:pPr>
              <w:spacing w:after="0"/>
              <w:rPr>
                <w:sz w:val="18"/>
                <w:szCs w:val="18"/>
                <w:color w:val="auto"/>
              </w:rPr>
            </w:pPr>
          </w:p>
        </w:tc>
        <w:tc>
          <w:tcPr>
            <w:tcW w:w="1800" w:type="dxa"/>
            <w:vAlign w:val="bottom"/>
          </w:tcPr>
          <w:p>
            <w:pPr>
              <w:ind w:left="200"/>
              <w:spacing w:after="0"/>
              <w:rPr>
                <w:sz w:val="20"/>
                <w:szCs w:val="20"/>
                <w:color w:val="auto"/>
              </w:rPr>
            </w:pPr>
            <w:r>
              <w:rPr>
                <w:rFonts w:ascii="Arial" w:cs="Arial" w:eastAsia="Arial" w:hAnsi="Arial"/>
                <w:sz w:val="16"/>
                <w:szCs w:val="16"/>
                <w:color w:val="auto"/>
              </w:rPr>
              <w:t>streams</w:t>
            </w:r>
          </w:p>
        </w:tc>
        <w:tc>
          <w:tcPr>
            <w:tcW w:w="80" w:type="dxa"/>
            <w:vAlign w:val="bottom"/>
          </w:tcPr>
          <w:p>
            <w:pPr>
              <w:spacing w:after="0"/>
              <w:rPr>
                <w:sz w:val="18"/>
                <w:szCs w:val="18"/>
                <w:color w:val="auto"/>
              </w:rPr>
            </w:pPr>
          </w:p>
        </w:tc>
        <w:tc>
          <w:tcPr>
            <w:tcW w:w="1500" w:type="dxa"/>
            <w:vAlign w:val="bottom"/>
          </w:tcPr>
          <w:p>
            <w:pPr>
              <w:ind w:left="160"/>
              <w:spacing w:after="0"/>
              <w:rPr>
                <w:sz w:val="20"/>
                <w:szCs w:val="20"/>
                <w:color w:val="auto"/>
              </w:rPr>
            </w:pPr>
            <w:r>
              <w:rPr>
                <w:rFonts w:ascii="Arial" w:cs="Arial" w:eastAsia="Arial" w:hAnsi="Arial"/>
                <w:sz w:val="16"/>
                <w:szCs w:val="16"/>
                <w:color w:val="auto"/>
              </w:rPr>
              <w:t>improvement</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2"/>
        </w:trPr>
        <w:tc>
          <w:tcPr>
            <w:tcW w:w="980" w:type="dxa"/>
            <w:vAlign w:val="bottom"/>
          </w:tcPr>
          <w:p>
            <w:pPr>
              <w:spacing w:after="0"/>
              <w:rPr>
                <w:sz w:val="17"/>
                <w:szCs w:val="17"/>
                <w:color w:val="auto"/>
              </w:rPr>
            </w:pPr>
          </w:p>
        </w:tc>
        <w:tc>
          <w:tcPr>
            <w:tcW w:w="1620" w:type="dxa"/>
            <w:vAlign w:val="bottom"/>
            <w:tcBorders>
              <w:bottom w:val="single" w:sz="8" w:color="4C4C4C"/>
            </w:tcBorders>
          </w:tcPr>
          <w:p>
            <w:pPr>
              <w:spacing w:after="0"/>
              <w:rPr>
                <w:sz w:val="17"/>
                <w:szCs w:val="17"/>
                <w:color w:val="auto"/>
              </w:rPr>
            </w:pPr>
          </w:p>
        </w:tc>
        <w:tc>
          <w:tcPr>
            <w:tcW w:w="120" w:type="dxa"/>
            <w:vAlign w:val="bottom"/>
            <w:tcBorders>
              <w:bottom w:val="single" w:sz="8" w:color="4C4C4C"/>
            </w:tcBorders>
          </w:tcPr>
          <w:p>
            <w:pPr>
              <w:spacing w:after="0"/>
              <w:rPr>
                <w:sz w:val="17"/>
                <w:szCs w:val="17"/>
                <w:color w:val="auto"/>
              </w:rPr>
            </w:pPr>
          </w:p>
        </w:tc>
        <w:tc>
          <w:tcPr>
            <w:tcW w:w="20" w:type="dxa"/>
            <w:vAlign w:val="bottom"/>
            <w:tcBorders>
              <w:bottom w:val="single" w:sz="8" w:color="4C4C4C"/>
            </w:tcBorders>
            <w:shd w:val="clear" w:color="auto" w:fill="4C4C4C"/>
          </w:tcPr>
          <w:p>
            <w:pPr>
              <w:spacing w:after="0"/>
              <w:rPr>
                <w:sz w:val="17"/>
                <w:szCs w:val="17"/>
                <w:color w:val="auto"/>
              </w:rPr>
            </w:pPr>
          </w:p>
        </w:tc>
        <w:tc>
          <w:tcPr>
            <w:tcW w:w="1580" w:type="dxa"/>
            <w:vAlign w:val="bottom"/>
            <w:tcBorders>
              <w:bottom w:val="single" w:sz="8" w:color="4C4C4C"/>
            </w:tcBorders>
          </w:tcPr>
          <w:p>
            <w:pPr>
              <w:spacing w:after="0"/>
              <w:rPr>
                <w:sz w:val="17"/>
                <w:szCs w:val="17"/>
                <w:color w:val="auto"/>
              </w:rPr>
            </w:pPr>
          </w:p>
        </w:tc>
        <w:tc>
          <w:tcPr>
            <w:tcW w:w="220" w:type="dxa"/>
            <w:vAlign w:val="bottom"/>
            <w:tcBorders>
              <w:bottom w:val="single" w:sz="8" w:color="4C4C4C"/>
            </w:tcBorders>
          </w:tcPr>
          <w:p>
            <w:pPr>
              <w:spacing w:after="0"/>
              <w:rPr>
                <w:sz w:val="17"/>
                <w:szCs w:val="17"/>
                <w:color w:val="auto"/>
              </w:rPr>
            </w:pPr>
          </w:p>
        </w:tc>
        <w:tc>
          <w:tcPr>
            <w:tcW w:w="20" w:type="dxa"/>
            <w:vAlign w:val="bottom"/>
            <w:tcBorders>
              <w:bottom w:val="single" w:sz="8" w:color="4C4C4C"/>
            </w:tcBorders>
            <w:shd w:val="clear" w:color="auto" w:fill="4C4C4C"/>
          </w:tcPr>
          <w:p>
            <w:pPr>
              <w:spacing w:after="0"/>
              <w:rPr>
                <w:sz w:val="17"/>
                <w:szCs w:val="17"/>
                <w:color w:val="auto"/>
              </w:rPr>
            </w:pPr>
          </w:p>
        </w:tc>
        <w:tc>
          <w:tcPr>
            <w:tcW w:w="1520" w:type="dxa"/>
            <w:vAlign w:val="bottom"/>
            <w:tcBorders>
              <w:bottom w:val="single" w:sz="8" w:color="4C4C4C"/>
            </w:tcBorders>
          </w:tcPr>
          <w:p>
            <w:pPr>
              <w:spacing w:after="0"/>
              <w:rPr>
                <w:sz w:val="17"/>
                <w:szCs w:val="17"/>
                <w:color w:val="auto"/>
              </w:rPr>
            </w:pPr>
          </w:p>
        </w:tc>
        <w:tc>
          <w:tcPr>
            <w:tcW w:w="280" w:type="dxa"/>
            <w:vAlign w:val="bottom"/>
            <w:tcBorders>
              <w:bottom w:val="single" w:sz="8" w:color="4C4C4C"/>
            </w:tcBorders>
          </w:tcPr>
          <w:p>
            <w:pPr>
              <w:spacing w:after="0"/>
              <w:rPr>
                <w:sz w:val="17"/>
                <w:szCs w:val="17"/>
                <w:color w:val="auto"/>
              </w:rPr>
            </w:pPr>
          </w:p>
        </w:tc>
        <w:tc>
          <w:tcPr>
            <w:tcW w:w="20" w:type="dxa"/>
            <w:vAlign w:val="bottom"/>
            <w:tcBorders>
              <w:bottom w:val="single" w:sz="8" w:color="4C4C4C"/>
            </w:tcBorders>
            <w:shd w:val="clear" w:color="auto" w:fill="4C4C4C"/>
          </w:tcPr>
          <w:p>
            <w:pPr>
              <w:spacing w:after="0"/>
              <w:rPr>
                <w:sz w:val="17"/>
                <w:szCs w:val="17"/>
                <w:color w:val="auto"/>
              </w:rPr>
            </w:pPr>
          </w:p>
        </w:tc>
        <w:tc>
          <w:tcPr>
            <w:tcW w:w="1800" w:type="dxa"/>
            <w:vAlign w:val="bottom"/>
            <w:tcBorders>
              <w:bottom w:val="single" w:sz="8" w:color="4C4C4C"/>
            </w:tcBorders>
          </w:tcPr>
          <w:p>
            <w:pPr>
              <w:spacing w:after="0"/>
              <w:rPr>
                <w:sz w:val="17"/>
                <w:szCs w:val="17"/>
                <w:color w:val="auto"/>
              </w:rPr>
            </w:pPr>
          </w:p>
        </w:tc>
        <w:tc>
          <w:tcPr>
            <w:tcW w:w="80" w:type="dxa"/>
            <w:vAlign w:val="bottom"/>
            <w:tcBorders>
              <w:bottom w:val="single" w:sz="8" w:color="4C4C4C"/>
            </w:tcBorders>
          </w:tcPr>
          <w:p>
            <w:pPr>
              <w:spacing w:after="0"/>
              <w:rPr>
                <w:sz w:val="17"/>
                <w:szCs w:val="17"/>
                <w:color w:val="auto"/>
              </w:rPr>
            </w:pPr>
          </w:p>
        </w:tc>
        <w:tc>
          <w:tcPr>
            <w:tcW w:w="1500" w:type="dxa"/>
            <w:vAlign w:val="bottom"/>
            <w:tcBorders>
              <w:bottom w:val="single" w:sz="8" w:color="4C4C4C"/>
            </w:tcBorders>
          </w:tcPr>
          <w:p>
            <w:pPr>
              <w:spacing w:after="0"/>
              <w:rPr>
                <w:sz w:val="17"/>
                <w:szCs w:val="17"/>
                <w:color w:val="auto"/>
              </w:rPr>
            </w:pPr>
          </w:p>
        </w:tc>
        <w:tc>
          <w:tcPr>
            <w:tcW w:w="200" w:type="dxa"/>
            <w:vAlign w:val="bottom"/>
            <w:tcBorders>
              <w:bottom w:val="single" w:sz="8" w:color="4C4C4C"/>
            </w:tcBorders>
          </w:tcPr>
          <w:p>
            <w:pPr>
              <w:spacing w:after="0"/>
              <w:rPr>
                <w:sz w:val="17"/>
                <w:szCs w:val="17"/>
                <w:color w:val="auto"/>
              </w:rPr>
            </w:pPr>
          </w:p>
        </w:tc>
        <w:tc>
          <w:tcPr>
            <w:tcW w:w="980" w:type="dxa"/>
            <w:vAlign w:val="bottom"/>
          </w:tcPr>
          <w:p>
            <w:pPr>
              <w:spacing w:after="0"/>
              <w:rPr>
                <w:sz w:val="17"/>
                <w:szCs w:val="17"/>
                <w:color w:val="auto"/>
              </w:rPr>
            </w:pPr>
          </w:p>
        </w:tc>
      </w:tr>
      <w:tr>
        <w:trPr>
          <w:trHeight w:val="555"/>
        </w:trPr>
        <w:tc>
          <w:tcPr>
            <w:tcW w:w="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gridSpan w:val="2"/>
          </w:tcPr>
          <w:p>
            <w:pPr>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p>
        </w:tc>
        <w:tc>
          <w:tcPr>
            <w:tcW w:w="1500" w:type="dxa"/>
            <w:vAlign w:val="bottom"/>
          </w:tcPr>
          <w:p>
            <w:pPr>
              <w:ind w:left="80"/>
              <w:spacing w:after="0"/>
              <w:rPr>
                <w:sz w:val="20"/>
                <w:szCs w:val="20"/>
                <w:color w:val="auto"/>
              </w:rPr>
            </w:pPr>
            <w:r>
              <w:rPr>
                <w:rFonts w:ascii="Arial" w:cs="Arial" w:eastAsia="Arial" w:hAnsi="Arial"/>
                <w:sz w:val="25"/>
                <w:szCs w:val="25"/>
                <w:color w:val="636466"/>
              </w:rPr>
              <w:t>/</w:t>
            </w:r>
            <w:r>
              <w:rPr>
                <w:rFonts w:ascii="Arial" w:cs="Arial" w:eastAsia="Arial" w:hAnsi="Arial"/>
                <w:sz w:val="25"/>
                <w:szCs w:val="25"/>
                <w:color w:val="000000"/>
              </w:rPr>
              <w:t xml:space="preserve"> </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980" w:type="dxa"/>
            <w:vAlign w:val="bottom"/>
          </w:tcPr>
          <w:p>
            <w:pPr>
              <w:spacing w:after="0"/>
              <w:rPr>
                <w:sz w:val="24"/>
                <w:szCs w:val="24"/>
                <w:color w:val="auto"/>
              </w:rPr>
            </w:pPr>
          </w:p>
        </w:tc>
      </w:tr>
      <w:tr>
        <w:trPr>
          <w:trHeight w:val="342"/>
        </w:trPr>
        <w:tc>
          <w:tcPr>
            <w:tcW w:w="9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-407670</wp:posOffset>
            </wp:positionV>
            <wp:extent cx="501650" cy="170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Arial" w:cs="Arial" w:eastAsia="Arial" w:hAnsi="Arial"/>
          <w:sz w:val="43"/>
          <w:szCs w:val="43"/>
          <w:color w:val="E02826"/>
        </w:rPr>
        <w:t>2023 Performance Snapshot</w:t>
      </w:r>
    </w:p>
    <w:p>
      <w:pPr>
        <w:spacing w:after="0" w:line="358" w:lineRule="exact"/>
        <w:rPr>
          <w:sz w:val="20"/>
          <w:szCs w:val="20"/>
          <w:color w:val="auto"/>
        </w:rPr>
      </w:pPr>
    </w:p>
    <w:p>
      <w:pPr>
        <w:spacing w:after="0"/>
        <w:rPr>
          <w:sz w:val="20"/>
          <w:szCs w:val="20"/>
          <w:color w:val="auto"/>
        </w:rPr>
      </w:pPr>
      <w:r>
        <w:rPr>
          <w:rFonts w:ascii="Arial" w:cs="Arial" w:eastAsia="Arial" w:hAnsi="Arial"/>
          <w:sz w:val="29"/>
          <w:szCs w:val="29"/>
          <w:color w:val="636466"/>
        </w:rPr>
        <w:t>Financial and Business Highlights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348"/>
        </w:trPr>
        <w:tc>
          <w:tcPr>
            <w:tcW w:w="1340" w:type="dxa"/>
            <w:vAlign w:val="bottom"/>
            <w:vMerge w:val="restart"/>
            <w:shd w:val="clear" w:color="auto" w:fill="0C426A"/>
          </w:tcPr>
          <w:p>
            <w:pPr>
              <w:ind w:left="40"/>
              <w:spacing w:after="0"/>
              <w:rPr>
                <w:sz w:val="20"/>
                <w:szCs w:val="20"/>
                <w:color w:val="auto"/>
              </w:rPr>
            </w:pPr>
            <w:r>
              <w:rPr>
                <w:rFonts w:ascii="Arial" w:cs="Arial" w:eastAsia="Arial" w:hAnsi="Arial"/>
                <w:sz w:val="21"/>
                <w:szCs w:val="21"/>
                <w:b w:val="1"/>
                <w:bCs w:val="1"/>
                <w:color w:val="FFFFFF"/>
              </w:rPr>
              <w:t>Sales</w:t>
            </w:r>
          </w:p>
        </w:tc>
        <w:tc>
          <w:tcPr>
            <w:tcW w:w="880" w:type="dxa"/>
            <w:vAlign w:val="bottom"/>
            <w:shd w:val="clear" w:color="auto" w:fill="0C426A"/>
          </w:tcPr>
          <w:p>
            <w:pPr>
              <w:ind w:left="760"/>
              <w:spacing w:after="0"/>
              <w:rPr>
                <w:sz w:val="20"/>
                <w:szCs w:val="20"/>
                <w:color w:val="auto"/>
              </w:rPr>
            </w:pPr>
            <w:r>
              <w:rPr>
                <w:rFonts w:ascii="Times New Roman" w:cs="Times New Roman" w:eastAsia="Times New Roman" w:hAnsi="Times New Roman"/>
                <w:sz w:val="4"/>
                <w:szCs w:val="4"/>
                <w:color w:val="auto"/>
              </w:rPr>
              <w:t>​​</w:t>
            </w:r>
          </w:p>
        </w:tc>
        <w:tc>
          <w:tcPr>
            <w:tcW w:w="2000" w:type="dxa"/>
            <w:vAlign w:val="bottom"/>
            <w:vMerge w:val="restart"/>
            <w:shd w:val="clear" w:color="auto" w:fill="0C426A"/>
          </w:tcPr>
          <w:p>
            <w:pPr>
              <w:ind w:left="40"/>
              <w:spacing w:after="0"/>
              <w:rPr>
                <w:sz w:val="20"/>
                <w:szCs w:val="20"/>
                <w:color w:val="auto"/>
              </w:rPr>
            </w:pPr>
            <w:r>
              <w:rPr>
                <w:rFonts w:ascii="Arial" w:cs="Arial" w:eastAsia="Arial" w:hAnsi="Arial"/>
                <w:sz w:val="21"/>
                <w:szCs w:val="21"/>
                <w:b w:val="1"/>
                <w:bCs w:val="1"/>
                <w:color w:val="FFFFFF"/>
              </w:rPr>
              <w:t>Operating Margin</w:t>
            </w:r>
          </w:p>
        </w:tc>
        <w:tc>
          <w:tcPr>
            <w:tcW w:w="300" w:type="dxa"/>
            <w:vAlign w:val="bottom"/>
            <w:shd w:val="clear" w:color="auto" w:fill="0C426A"/>
          </w:tcPr>
          <w:p>
            <w:pPr>
              <w:ind w:left="18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2080" w:type="dxa"/>
            <w:vAlign w:val="bottom"/>
            <w:vMerge w:val="restart"/>
            <w:shd w:val="clear" w:color="auto" w:fill="0C426A"/>
          </w:tcPr>
          <w:p>
            <w:pPr>
              <w:ind w:left="40"/>
              <w:spacing w:after="0"/>
              <w:rPr>
                <w:sz w:val="20"/>
                <w:szCs w:val="20"/>
                <w:color w:val="auto"/>
              </w:rPr>
            </w:pPr>
            <w:r>
              <w:rPr>
                <w:rFonts w:ascii="Arial" w:cs="Arial" w:eastAsia="Arial" w:hAnsi="Arial"/>
                <w:sz w:val="21"/>
                <w:szCs w:val="21"/>
                <w:b w:val="1"/>
                <w:bCs w:val="1"/>
                <w:color w:val="FFFFFF"/>
              </w:rPr>
              <w:t>​Earnings per Share</w:t>
            </w:r>
          </w:p>
        </w:tc>
        <w:tc>
          <w:tcPr>
            <w:tcW w:w="200" w:type="dxa"/>
            <w:vAlign w:val="bottom"/>
            <w:shd w:val="clear" w:color="auto" w:fill="0C426A"/>
          </w:tcPr>
          <w:p>
            <w:pPr>
              <w:ind w:left="8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2180" w:type="dxa"/>
            <w:vAlign w:val="bottom"/>
            <w:shd w:val="clear" w:color="auto" w:fill="0C426A"/>
          </w:tcPr>
          <w:p>
            <w:pPr>
              <w:ind w:left="40"/>
              <w:spacing w:after="0"/>
              <w:rPr>
                <w:sz w:val="20"/>
                <w:szCs w:val="20"/>
                <w:color w:val="auto"/>
              </w:rPr>
            </w:pPr>
            <w:r>
              <w:rPr>
                <w:rFonts w:ascii="Arial" w:cs="Arial" w:eastAsia="Arial" w:hAnsi="Arial"/>
                <w:sz w:val="21"/>
                <w:szCs w:val="21"/>
                <w:b w:val="1"/>
                <w:bCs w:val="1"/>
                <w:color w:val="FFFFFF"/>
              </w:rPr>
              <w:t>Cash Flow</w:t>
            </w:r>
          </w:p>
        </w:tc>
        <w:tc>
          <w:tcPr>
            <w:tcW w:w="0" w:type="dxa"/>
            <w:vAlign w:val="bottom"/>
          </w:tcPr>
          <w:p>
            <w:pPr>
              <w:spacing w:after="0"/>
              <w:rPr>
                <w:sz w:val="1"/>
                <w:szCs w:val="1"/>
                <w:color w:val="auto"/>
              </w:rPr>
            </w:pPr>
          </w:p>
        </w:tc>
      </w:tr>
      <w:tr>
        <w:trPr>
          <w:trHeight w:val="296"/>
        </w:trPr>
        <w:tc>
          <w:tcPr>
            <w:tcW w:w="1340" w:type="dxa"/>
            <w:vAlign w:val="bottom"/>
            <w:vMerge w:val="continue"/>
            <w:shd w:val="clear" w:color="auto" w:fill="0C426A"/>
          </w:tcPr>
          <w:p>
            <w:pPr>
              <w:spacing w:after="0"/>
              <w:rPr>
                <w:sz w:val="24"/>
                <w:szCs w:val="24"/>
                <w:color w:val="auto"/>
              </w:rPr>
            </w:pPr>
          </w:p>
        </w:tc>
        <w:tc>
          <w:tcPr>
            <w:tcW w:w="880" w:type="dxa"/>
            <w:vAlign w:val="bottom"/>
            <w:shd w:val="clear" w:color="auto" w:fill="0C426A"/>
          </w:tcPr>
          <w:p>
            <w:pPr>
              <w:spacing w:after="0"/>
              <w:rPr>
                <w:sz w:val="24"/>
                <w:szCs w:val="24"/>
                <w:color w:val="auto"/>
              </w:rPr>
            </w:pPr>
          </w:p>
        </w:tc>
        <w:tc>
          <w:tcPr>
            <w:tcW w:w="2000" w:type="dxa"/>
            <w:vAlign w:val="bottom"/>
            <w:vMerge w:val="continue"/>
            <w:shd w:val="clear" w:color="auto" w:fill="0C426A"/>
          </w:tcPr>
          <w:p>
            <w:pPr>
              <w:spacing w:after="0"/>
              <w:rPr>
                <w:sz w:val="24"/>
                <w:szCs w:val="24"/>
                <w:color w:val="auto"/>
              </w:rPr>
            </w:pPr>
          </w:p>
        </w:tc>
        <w:tc>
          <w:tcPr>
            <w:tcW w:w="300" w:type="dxa"/>
            <w:vAlign w:val="bottom"/>
            <w:shd w:val="clear" w:color="auto" w:fill="0C426A"/>
          </w:tcPr>
          <w:p>
            <w:pPr>
              <w:spacing w:after="0"/>
              <w:rPr>
                <w:sz w:val="24"/>
                <w:szCs w:val="24"/>
                <w:color w:val="auto"/>
              </w:rPr>
            </w:pPr>
          </w:p>
        </w:tc>
        <w:tc>
          <w:tcPr>
            <w:tcW w:w="2080" w:type="dxa"/>
            <w:vAlign w:val="bottom"/>
            <w:vMerge w:val="continue"/>
            <w:shd w:val="clear" w:color="auto" w:fill="0C426A"/>
          </w:tcPr>
          <w:p>
            <w:pPr>
              <w:spacing w:after="0"/>
              <w:rPr>
                <w:sz w:val="24"/>
                <w:szCs w:val="24"/>
                <w:color w:val="auto"/>
              </w:rPr>
            </w:pPr>
          </w:p>
        </w:tc>
        <w:tc>
          <w:tcPr>
            <w:tcW w:w="200" w:type="dxa"/>
            <w:vAlign w:val="bottom"/>
            <w:shd w:val="clear" w:color="auto" w:fill="0C426A"/>
          </w:tcPr>
          <w:p>
            <w:pPr>
              <w:spacing w:after="0"/>
              <w:rPr>
                <w:sz w:val="24"/>
                <w:szCs w:val="24"/>
                <w:color w:val="auto"/>
              </w:rPr>
            </w:pPr>
          </w:p>
        </w:tc>
        <w:tc>
          <w:tcPr>
            <w:tcW w:w="2180" w:type="dxa"/>
            <w:vAlign w:val="bottom"/>
            <w:shd w:val="clear" w:color="auto" w:fill="0C426A"/>
          </w:tcPr>
          <w:p>
            <w:pPr>
              <w:ind w:left="40"/>
              <w:spacing w:after="0"/>
              <w:rPr>
                <w:sz w:val="20"/>
                <w:szCs w:val="20"/>
                <w:color w:val="auto"/>
              </w:rPr>
            </w:pPr>
            <w:r>
              <w:rPr>
                <w:rFonts w:ascii="Arial" w:cs="Arial" w:eastAsia="Arial" w:hAnsi="Arial"/>
                <w:sz w:val="21"/>
                <w:szCs w:val="21"/>
                <w:b w:val="1"/>
                <w:bCs w:val="1"/>
                <w:color w:val="FFFFFF"/>
              </w:rPr>
              <w:t>from Operations</w:t>
            </w:r>
          </w:p>
        </w:tc>
        <w:tc>
          <w:tcPr>
            <w:tcW w:w="0" w:type="dxa"/>
            <w:vAlign w:val="bottom"/>
          </w:tcPr>
          <w:p>
            <w:pPr>
              <w:spacing w:after="0"/>
              <w:rPr>
                <w:sz w:val="1"/>
                <w:szCs w:val="1"/>
                <w:color w:val="auto"/>
              </w:rPr>
            </w:pPr>
          </w:p>
        </w:tc>
      </w:tr>
      <w:tr>
        <w:trPr>
          <w:trHeight w:val="52"/>
        </w:trPr>
        <w:tc>
          <w:tcPr>
            <w:tcW w:w="1340" w:type="dxa"/>
            <w:vAlign w:val="bottom"/>
            <w:shd w:val="clear" w:color="auto" w:fill="0C426A"/>
          </w:tcPr>
          <w:p>
            <w:pPr>
              <w:spacing w:after="0"/>
              <w:rPr>
                <w:sz w:val="4"/>
                <w:szCs w:val="4"/>
                <w:color w:val="auto"/>
              </w:rPr>
            </w:pPr>
          </w:p>
        </w:tc>
        <w:tc>
          <w:tcPr>
            <w:tcW w:w="880" w:type="dxa"/>
            <w:vAlign w:val="bottom"/>
            <w:shd w:val="clear" w:color="auto" w:fill="0C426A"/>
          </w:tcPr>
          <w:p>
            <w:pPr>
              <w:spacing w:after="0"/>
              <w:rPr>
                <w:sz w:val="4"/>
                <w:szCs w:val="4"/>
                <w:color w:val="auto"/>
              </w:rPr>
            </w:pPr>
          </w:p>
        </w:tc>
        <w:tc>
          <w:tcPr>
            <w:tcW w:w="2000" w:type="dxa"/>
            <w:vAlign w:val="bottom"/>
            <w:shd w:val="clear" w:color="auto" w:fill="0C426A"/>
          </w:tcPr>
          <w:p>
            <w:pPr>
              <w:spacing w:after="0"/>
              <w:rPr>
                <w:sz w:val="4"/>
                <w:szCs w:val="4"/>
                <w:color w:val="auto"/>
              </w:rPr>
            </w:pPr>
          </w:p>
        </w:tc>
        <w:tc>
          <w:tcPr>
            <w:tcW w:w="300" w:type="dxa"/>
            <w:vAlign w:val="bottom"/>
            <w:shd w:val="clear" w:color="auto" w:fill="0C426A"/>
          </w:tcPr>
          <w:p>
            <w:pPr>
              <w:spacing w:after="0"/>
              <w:rPr>
                <w:sz w:val="4"/>
                <w:szCs w:val="4"/>
                <w:color w:val="auto"/>
              </w:rPr>
            </w:pPr>
          </w:p>
        </w:tc>
        <w:tc>
          <w:tcPr>
            <w:tcW w:w="2080" w:type="dxa"/>
            <w:vAlign w:val="bottom"/>
            <w:shd w:val="clear" w:color="auto" w:fill="0C426A"/>
          </w:tcPr>
          <w:p>
            <w:pPr>
              <w:spacing w:after="0"/>
              <w:rPr>
                <w:sz w:val="4"/>
                <w:szCs w:val="4"/>
                <w:color w:val="auto"/>
              </w:rPr>
            </w:pPr>
          </w:p>
        </w:tc>
        <w:tc>
          <w:tcPr>
            <w:tcW w:w="200" w:type="dxa"/>
            <w:vAlign w:val="bottom"/>
            <w:shd w:val="clear" w:color="auto" w:fill="0C426A"/>
          </w:tcPr>
          <w:p>
            <w:pPr>
              <w:spacing w:after="0"/>
              <w:rPr>
                <w:sz w:val="4"/>
                <w:szCs w:val="4"/>
                <w:color w:val="auto"/>
              </w:rPr>
            </w:pPr>
          </w:p>
        </w:tc>
        <w:tc>
          <w:tcPr>
            <w:tcW w:w="2180" w:type="dxa"/>
            <w:vAlign w:val="bottom"/>
            <w:shd w:val="clear" w:color="auto" w:fill="0C426A"/>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135890</wp:posOffset>
            </wp:positionV>
            <wp:extent cx="5713730" cy="16497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13730" cy="1649730"/>
                    </a:xfrm>
                    <a:prstGeom prst="rect">
                      <a:avLst/>
                    </a:prstGeom>
                    <a:noFill/>
                  </pic:spPr>
                </pic:pic>
              </a:graphicData>
            </a:graphic>
          </wp:anchor>
        </w:drawing>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915"/>
        </w:trPr>
        <w:tc>
          <w:tcPr>
            <w:tcW w:w="1740" w:type="dxa"/>
            <w:vAlign w:val="bottom"/>
          </w:tcPr>
          <w:p>
            <w:pPr>
              <w:ind w:left="40"/>
              <w:spacing w:after="0"/>
              <w:rPr>
                <w:sz w:val="20"/>
                <w:szCs w:val="20"/>
                <w:color w:val="auto"/>
              </w:rPr>
            </w:pPr>
            <w:r>
              <w:rPr>
                <w:rFonts w:ascii="Arial" w:cs="Arial" w:eastAsia="Arial" w:hAnsi="Arial"/>
                <w:sz w:val="43"/>
                <w:szCs w:val="43"/>
                <w:color w:val="0C426A"/>
              </w:rPr>
              <w:t>$9.68B</w:t>
            </w:r>
          </w:p>
        </w:tc>
        <w:tc>
          <w:tcPr>
            <w:tcW w:w="440" w:type="dxa"/>
            <w:vAlign w:val="bottom"/>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1760" w:type="dxa"/>
            <w:vAlign w:val="bottom"/>
          </w:tcPr>
          <w:p>
            <w:pPr>
              <w:ind w:left="20"/>
              <w:spacing w:after="0"/>
              <w:rPr>
                <w:sz w:val="20"/>
                <w:szCs w:val="20"/>
                <w:color w:val="auto"/>
              </w:rPr>
            </w:pPr>
            <w:r>
              <w:rPr>
                <w:rFonts w:ascii="Times New Roman" w:cs="Times New Roman" w:eastAsia="Times New Roman" w:hAnsi="Times New Roman"/>
                <w:sz w:val="4"/>
                <w:szCs w:val="4"/>
                <w:color w:val="auto"/>
              </w:rPr>
              <w:t xml:space="preserve">​   </w:t>
            </w:r>
            <w:r>
              <w:rPr>
                <w:rFonts w:ascii="Arial" w:cs="Arial" w:eastAsia="Arial" w:hAnsi="Arial"/>
                <w:sz w:val="42"/>
                <w:szCs w:val="42"/>
                <w:color w:val="0C426A"/>
              </w:rPr>
              <w:t>13.1%</w:t>
            </w:r>
          </w:p>
        </w:tc>
        <w:tc>
          <w:tcPr>
            <w:tcW w:w="540" w:type="dxa"/>
            <w:vAlign w:val="bottom"/>
          </w:tcPr>
          <w:p>
            <w:pPr>
              <w:ind w:left="460"/>
              <w:spacing w:after="0"/>
              <w:rPr>
                <w:sz w:val="20"/>
                <w:szCs w:val="20"/>
                <w:color w:val="auto"/>
              </w:rPr>
            </w:pPr>
            <w:r>
              <w:rPr>
                <w:rFonts w:ascii="Times New Roman" w:cs="Times New Roman" w:eastAsia="Times New Roman" w:hAnsi="Times New Roman"/>
                <w:sz w:val="4"/>
                <w:szCs w:val="4"/>
                <w:color w:val="auto"/>
              </w:rPr>
              <w:t>​</w:t>
            </w:r>
          </w:p>
        </w:tc>
        <w:tc>
          <w:tcPr>
            <w:tcW w:w="1680" w:type="dxa"/>
            <w:vAlign w:val="bottom"/>
          </w:tcPr>
          <w:p>
            <w:pPr>
              <w:spacing w:after="0"/>
              <w:rPr>
                <w:sz w:val="20"/>
                <w:szCs w:val="20"/>
                <w:color w:val="auto"/>
              </w:rPr>
            </w:pPr>
            <w:r>
              <w:rPr>
                <w:rFonts w:ascii="Times New Roman" w:cs="Times New Roman" w:eastAsia="Times New Roman" w:hAnsi="Times New Roman"/>
                <w:sz w:val="4"/>
                <w:szCs w:val="4"/>
                <w:color w:val="auto"/>
              </w:rPr>
              <w:t xml:space="preserve">​   </w:t>
            </w:r>
            <w:r>
              <w:rPr>
                <w:rFonts w:ascii="Arial" w:cs="Arial" w:eastAsia="Arial" w:hAnsi="Arial"/>
                <w:sz w:val="42"/>
                <w:szCs w:val="42"/>
                <w:color w:val="0C426A"/>
              </w:rPr>
              <w:t>$4.53</w:t>
            </w:r>
          </w:p>
        </w:tc>
        <w:tc>
          <w:tcPr>
            <w:tcW w:w="600" w:type="dxa"/>
            <w:vAlign w:val="bottom"/>
          </w:tcPr>
          <w:p>
            <w:pPr>
              <w:ind w:left="52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160" w:type="dxa"/>
            <w:vAlign w:val="bottom"/>
          </w:tcPr>
          <w:p>
            <w:pPr>
              <w:ind w:left="20"/>
              <w:spacing w:after="0"/>
              <w:rPr>
                <w:sz w:val="20"/>
                <w:szCs w:val="20"/>
                <w:color w:val="auto"/>
              </w:rPr>
            </w:pPr>
            <w:r>
              <w:rPr>
                <w:rFonts w:ascii="Arial" w:cs="Arial" w:eastAsia="Arial" w:hAnsi="Arial"/>
                <w:sz w:val="43"/>
                <w:szCs w:val="43"/>
                <w:color w:val="0C426A"/>
              </w:rPr>
              <w:t>$1.2B</w:t>
            </w:r>
          </w:p>
        </w:tc>
      </w:tr>
      <w:tr>
        <w:trPr>
          <w:trHeight w:val="276"/>
        </w:trPr>
        <w:tc>
          <w:tcPr>
            <w:tcW w:w="1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60" w:type="dxa"/>
            <w:vAlign w:val="bottom"/>
          </w:tcPr>
          <w:p>
            <w:pPr>
              <w:ind w:left="80"/>
              <w:spacing w:after="0"/>
              <w:rPr>
                <w:sz w:val="20"/>
                <w:szCs w:val="20"/>
                <w:color w:val="auto"/>
              </w:rPr>
            </w:pPr>
            <w:r>
              <w:rPr>
                <w:rFonts w:ascii="Arial" w:cs="Arial" w:eastAsia="Arial" w:hAnsi="Arial"/>
                <w:sz w:val="16"/>
                <w:szCs w:val="16"/>
                <w:color w:val="auto"/>
              </w:rPr>
              <w:t>GAAP</w:t>
            </w:r>
          </w:p>
        </w:tc>
        <w:tc>
          <w:tcPr>
            <w:tcW w:w="540" w:type="dxa"/>
            <w:vAlign w:val="bottom"/>
          </w:tcPr>
          <w:p>
            <w:pPr>
              <w:spacing w:after="0"/>
              <w:rPr>
                <w:sz w:val="23"/>
                <w:szCs w:val="23"/>
                <w:color w:val="auto"/>
              </w:rPr>
            </w:pPr>
          </w:p>
        </w:tc>
        <w:tc>
          <w:tcPr>
            <w:tcW w:w="1680" w:type="dxa"/>
            <w:vAlign w:val="bottom"/>
          </w:tcPr>
          <w:p>
            <w:pPr>
              <w:ind w:left="80"/>
              <w:spacing w:after="0"/>
              <w:rPr>
                <w:sz w:val="20"/>
                <w:szCs w:val="20"/>
                <w:color w:val="auto"/>
              </w:rPr>
            </w:pPr>
            <w:r>
              <w:rPr>
                <w:rFonts w:ascii="Arial" w:cs="Arial" w:eastAsia="Arial" w:hAnsi="Arial"/>
                <w:sz w:val="16"/>
                <w:szCs w:val="16"/>
                <w:color w:val="auto"/>
              </w:rPr>
              <w:t>GAAP</w:t>
            </w: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160" w:type="dxa"/>
            <w:vAlign w:val="bottom"/>
          </w:tcPr>
          <w:p>
            <w:pPr>
              <w:spacing w:after="0"/>
              <w:rPr>
                <w:sz w:val="23"/>
                <w:szCs w:val="23"/>
                <w:color w:val="auto"/>
              </w:rPr>
            </w:pPr>
          </w:p>
        </w:tc>
      </w:tr>
      <w:tr>
        <w:trPr>
          <w:trHeight w:val="95"/>
        </w:trPr>
        <w:tc>
          <w:tcPr>
            <w:tcW w:w="2180" w:type="dxa"/>
            <w:vAlign w:val="bottom"/>
            <w:tcBorders>
              <w:bottom w:val="single" w:sz="8" w:color="808080"/>
            </w:tcBorders>
            <w:gridSpan w:val="2"/>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r>
      <w:tr>
        <w:trPr>
          <w:trHeight w:val="908"/>
        </w:trPr>
        <w:tc>
          <w:tcPr>
            <w:tcW w:w="2180" w:type="dxa"/>
            <w:vAlign w:val="bottom"/>
            <w:gridSpan w:val="2"/>
          </w:tcPr>
          <w:p>
            <w:pPr>
              <w:ind w:left="40"/>
              <w:spacing w:after="0"/>
              <w:rPr>
                <w:sz w:val="20"/>
                <w:szCs w:val="20"/>
                <w:color w:val="auto"/>
              </w:rPr>
            </w:pPr>
            <w:r>
              <w:rPr>
                <w:rFonts w:ascii="Arial" w:cs="Arial" w:eastAsia="Arial" w:hAnsi="Arial"/>
                <w:sz w:val="43"/>
                <w:szCs w:val="43"/>
                <w:color w:val="0C426A"/>
              </w:rPr>
              <w:t xml:space="preserve">Up 15.7% </w:t>
            </w:r>
            <w:r>
              <w:rPr>
                <w:rFonts w:ascii="Times New Roman" w:cs="Times New Roman" w:eastAsia="Times New Roman" w:hAnsi="Times New Roman"/>
                <w:sz w:val="3"/>
                <w:szCs w:val="3"/>
                <w:color w:val="000000"/>
              </w:rPr>
              <w:t>​</w:t>
            </w:r>
          </w:p>
        </w:tc>
        <w:tc>
          <w:tcPr>
            <w:tcW w:w="1760" w:type="dxa"/>
            <w:vAlign w:val="bottom"/>
          </w:tcPr>
          <w:p>
            <w:pPr>
              <w:ind w:left="20"/>
              <w:spacing w:after="0"/>
              <w:rPr>
                <w:sz w:val="20"/>
                <w:szCs w:val="20"/>
                <w:color w:val="auto"/>
              </w:rPr>
            </w:pPr>
            <w:r>
              <w:rPr>
                <w:rFonts w:ascii="Times New Roman" w:cs="Times New Roman" w:eastAsia="Times New Roman" w:hAnsi="Times New Roman"/>
                <w:sz w:val="4"/>
                <w:szCs w:val="4"/>
                <w:color w:val="auto"/>
              </w:rPr>
              <w:t xml:space="preserve">​   </w:t>
            </w:r>
            <w:r>
              <w:rPr>
                <w:rFonts w:ascii="Arial" w:cs="Arial" w:eastAsia="Arial" w:hAnsi="Arial"/>
                <w:sz w:val="42"/>
                <w:szCs w:val="42"/>
                <w:color w:val="0C426A"/>
              </w:rPr>
              <w:t>17.0%</w:t>
            </w:r>
          </w:p>
        </w:tc>
        <w:tc>
          <w:tcPr>
            <w:tcW w:w="540" w:type="dxa"/>
            <w:vAlign w:val="bottom"/>
          </w:tcPr>
          <w:p>
            <w:pPr>
              <w:ind w:left="460"/>
              <w:spacing w:after="0"/>
              <w:rPr>
                <w:sz w:val="20"/>
                <w:szCs w:val="20"/>
                <w:color w:val="auto"/>
              </w:rPr>
            </w:pPr>
            <w:r>
              <w:rPr>
                <w:rFonts w:ascii="Times New Roman" w:cs="Times New Roman" w:eastAsia="Times New Roman" w:hAnsi="Times New Roman"/>
                <w:sz w:val="4"/>
                <w:szCs w:val="4"/>
                <w:color w:val="auto"/>
              </w:rPr>
              <w:t>​</w:t>
            </w:r>
          </w:p>
        </w:tc>
        <w:tc>
          <w:tcPr>
            <w:tcW w:w="1680" w:type="dxa"/>
            <w:vAlign w:val="bottom"/>
          </w:tcPr>
          <w:p>
            <w:pPr>
              <w:spacing w:after="0"/>
              <w:rPr>
                <w:sz w:val="20"/>
                <w:szCs w:val="20"/>
                <w:color w:val="auto"/>
              </w:rPr>
            </w:pPr>
            <w:r>
              <w:rPr>
                <w:rFonts w:ascii="Times New Roman" w:cs="Times New Roman" w:eastAsia="Times New Roman" w:hAnsi="Times New Roman"/>
                <w:sz w:val="4"/>
                <w:szCs w:val="4"/>
                <w:color w:val="auto"/>
              </w:rPr>
              <w:t xml:space="preserve">​   </w:t>
            </w:r>
            <w:r>
              <w:rPr>
                <w:rFonts w:ascii="Arial" w:cs="Arial" w:eastAsia="Arial" w:hAnsi="Arial"/>
                <w:sz w:val="42"/>
                <w:szCs w:val="42"/>
                <w:color w:val="0C426A"/>
              </w:rPr>
              <w:t>$5.92</w:t>
            </w:r>
          </w:p>
        </w:tc>
        <w:tc>
          <w:tcPr>
            <w:tcW w:w="600" w:type="dxa"/>
            <w:vAlign w:val="bottom"/>
          </w:tcPr>
          <w:p>
            <w:pPr>
              <w:ind w:left="52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160" w:type="dxa"/>
            <w:vAlign w:val="bottom"/>
          </w:tcPr>
          <w:p>
            <w:pPr>
              <w:spacing w:after="0"/>
              <w:rPr>
                <w:sz w:val="24"/>
                <w:szCs w:val="24"/>
                <w:color w:val="auto"/>
              </w:rPr>
            </w:pPr>
          </w:p>
        </w:tc>
      </w:tr>
      <w:tr>
        <w:trPr>
          <w:trHeight w:val="343"/>
        </w:trPr>
        <w:tc>
          <w:tcPr>
            <w:tcW w:w="1740" w:type="dxa"/>
            <w:vAlign w:val="bottom"/>
          </w:tcPr>
          <w:p>
            <w:pPr>
              <w:ind w:left="40"/>
              <w:spacing w:after="0"/>
              <w:rPr>
                <w:sz w:val="20"/>
                <w:szCs w:val="20"/>
                <w:color w:val="auto"/>
              </w:rPr>
            </w:pPr>
            <w:r>
              <w:rPr>
                <w:rFonts w:ascii="Arial" w:cs="Arial" w:eastAsia="Arial" w:hAnsi="Arial"/>
                <w:sz w:val="16"/>
                <w:szCs w:val="16"/>
                <w:color w:val="auto"/>
              </w:rPr>
              <w:t>Year over Year</w:t>
            </w:r>
          </w:p>
        </w:tc>
        <w:tc>
          <w:tcPr>
            <w:tcW w:w="440" w:type="dxa"/>
            <w:vAlign w:val="bottom"/>
          </w:tcPr>
          <w:p>
            <w:pPr>
              <w:spacing w:after="0"/>
              <w:rPr>
                <w:sz w:val="24"/>
                <w:szCs w:val="24"/>
                <w:color w:val="auto"/>
              </w:rPr>
            </w:pPr>
          </w:p>
        </w:tc>
        <w:tc>
          <w:tcPr>
            <w:tcW w:w="1760" w:type="dxa"/>
            <w:vAlign w:val="bottom"/>
          </w:tcPr>
          <w:p>
            <w:pPr>
              <w:ind w:left="80"/>
              <w:spacing w:after="0"/>
              <w:rPr>
                <w:sz w:val="20"/>
                <w:szCs w:val="20"/>
                <w:color w:val="auto"/>
              </w:rPr>
            </w:pPr>
            <w:r>
              <w:rPr>
                <w:rFonts w:ascii="Arial" w:cs="Arial" w:eastAsia="Arial" w:hAnsi="Arial"/>
                <w:sz w:val="16"/>
                <w:szCs w:val="16"/>
                <w:color w:val="auto"/>
              </w:rPr>
              <w:t>Adjusted</w:t>
            </w:r>
            <w:r>
              <w:rPr>
                <w:rFonts w:ascii="Arial" w:cs="Arial" w:eastAsia="Arial" w:hAnsi="Arial"/>
                <w:sz w:val="20"/>
                <w:szCs w:val="20"/>
                <w:color w:val="auto"/>
                <w:vertAlign w:val="superscript"/>
              </w:rPr>
              <w:t>(1)</w:t>
            </w:r>
          </w:p>
        </w:tc>
        <w:tc>
          <w:tcPr>
            <w:tcW w:w="540" w:type="dxa"/>
            <w:vAlign w:val="bottom"/>
          </w:tcPr>
          <w:p>
            <w:pPr>
              <w:spacing w:after="0"/>
              <w:rPr>
                <w:sz w:val="24"/>
                <w:szCs w:val="24"/>
                <w:color w:val="auto"/>
              </w:rPr>
            </w:pPr>
          </w:p>
        </w:tc>
        <w:tc>
          <w:tcPr>
            <w:tcW w:w="1680" w:type="dxa"/>
            <w:vAlign w:val="bottom"/>
          </w:tcPr>
          <w:p>
            <w:pPr>
              <w:ind w:left="80"/>
              <w:spacing w:after="0"/>
              <w:rPr>
                <w:sz w:val="20"/>
                <w:szCs w:val="20"/>
                <w:color w:val="auto"/>
              </w:rPr>
            </w:pPr>
            <w:r>
              <w:rPr>
                <w:rFonts w:ascii="Arial" w:cs="Arial" w:eastAsia="Arial" w:hAnsi="Arial"/>
                <w:sz w:val="16"/>
                <w:szCs w:val="16"/>
                <w:color w:val="auto"/>
              </w:rPr>
              <w:t>Adjusted</w:t>
            </w:r>
            <w:r>
              <w:rPr>
                <w:rFonts w:ascii="Arial" w:cs="Arial" w:eastAsia="Arial" w:hAnsi="Arial"/>
                <w:sz w:val="20"/>
                <w:szCs w:val="20"/>
                <w:color w:val="auto"/>
                <w:vertAlign w:val="superscript"/>
              </w:rPr>
              <w:t>(1)</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line="192" w:lineRule="exact"/>
        <w:rPr>
          <w:sz w:val="20"/>
          <w:szCs w:val="20"/>
          <w:color w:val="auto"/>
        </w:rPr>
      </w:pPr>
    </w:p>
    <w:p>
      <w:pPr>
        <w:ind w:left="360" w:right="139" w:hanging="355"/>
        <w:spacing w:after="0" w:line="208" w:lineRule="auto"/>
        <w:tabs>
          <w:tab w:leader="none" w:pos="360" w:val="left"/>
        </w:tabs>
        <w:numPr>
          <w:ilvl w:val="0"/>
          <w:numId w:val="5"/>
        </w:numPr>
        <w:rPr>
          <w:rFonts w:ascii="Arial" w:cs="Arial" w:eastAsia="Arial" w:hAnsi="Arial"/>
          <w:sz w:val="21"/>
          <w:szCs w:val="21"/>
          <w:color w:val="auto"/>
          <w:vertAlign w:val="superscript"/>
        </w:rPr>
      </w:pPr>
      <w:r>
        <w:rPr>
          <w:rFonts w:ascii="Arial" w:cs="Arial" w:eastAsia="Arial" w:hAnsi="Arial"/>
          <w:sz w:val="14"/>
          <w:szCs w:val="14"/>
          <w:color w:val="auto"/>
        </w:rPr>
        <w:t>Please refer to the Appendix to this Proxy Statement for a description and reconciliation of these non-GAAP financial measures relative to reported GAAP financial measures.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636466"/>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131445</wp:posOffset>
            </wp:positionV>
            <wp:extent cx="5721985" cy="16325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21985" cy="1632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5713730" cy="527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13730" cy="527050"/>
                    </a:xfrm>
                    <a:prstGeom prst="rect">
                      <a:avLst/>
                    </a:prstGeom>
                    <a:noFill/>
                  </pic:spPr>
                </pic:pic>
              </a:graphicData>
            </a:graphic>
          </wp:anchor>
        </w:drawing>
      </w:r>
    </w:p>
    <w:p>
      <w:pPr>
        <w:spacing w:after="0" w:line="37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Read more about our sustainability highlights in the Sustainability Highlights section on page </w:t>
      </w:r>
      <w:r>
        <w:rPr>
          <w:rFonts w:ascii="Arial" w:cs="Arial" w:eastAsia="Arial" w:hAnsi="Arial"/>
          <w:sz w:val="16"/>
          <w:szCs w:val="16"/>
          <w:u w:val="single" w:color="auto"/>
          <w:color w:val="0000EE"/>
        </w:rPr>
        <w:t>37</w:t>
      </w:r>
      <w:r>
        <w:rPr>
          <w:rFonts w:ascii="Arial" w:cs="Arial" w:eastAsia="Arial" w:hAnsi="Arial"/>
          <w:sz w:val="16"/>
          <w:szCs w:val="16"/>
          <w:color w:val="auto"/>
        </w:rPr>
        <w:t>.</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720" w:type="dxa"/>
            <w:vAlign w:val="bottom"/>
          </w:tcPr>
          <w:p>
            <w:pPr>
              <w:jc w:val="right"/>
              <w:ind w:right="569"/>
              <w:spacing w:after="0"/>
              <w:rPr>
                <w:sz w:val="20"/>
                <w:szCs w:val="20"/>
                <w:color w:val="auto"/>
              </w:rPr>
            </w:pPr>
            <w:r>
              <w:rPr>
                <w:rFonts w:ascii="Arial" w:cs="Arial" w:eastAsia="Arial" w:hAnsi="Arial"/>
                <w:sz w:val="14"/>
                <w:szCs w:val="14"/>
                <w:b w:val="1"/>
                <w:bCs w:val="1"/>
                <w:color w:val="auto"/>
                <w:w w:val="76"/>
              </w:rPr>
              <w:t>6</w:t>
            </w:r>
          </w:p>
        </w:tc>
        <w:tc>
          <w:tcPr>
            <w:tcW w:w="880" w:type="dxa"/>
            <w:vAlign w:val="bottom"/>
            <w:vMerge w:val="restart"/>
          </w:tcPr>
          <w:p>
            <w:pPr>
              <w:ind w:left="66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179070</wp:posOffset>
            </wp:positionV>
            <wp:extent cx="693801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9" w:name="page10"/>
    <w:bookmarkEnd w:id="9"/>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ind w:left="960"/>
        <w:spacing w:after="0"/>
        <w:rPr>
          <w:sz w:val="20"/>
          <w:szCs w:val="20"/>
          <w:color w:val="auto"/>
        </w:rPr>
      </w:pPr>
      <w:r>
        <w:rPr>
          <w:rFonts w:ascii="Arial" w:cs="Arial" w:eastAsia="Arial" w:hAnsi="Arial"/>
          <w:sz w:val="43"/>
          <w:szCs w:val="43"/>
          <w:color w:val="E02826"/>
        </w:rPr>
        <w:t>Proxy Statement Summary</w:t>
      </w:r>
    </w:p>
    <w:p>
      <w:pPr>
        <w:spacing w:after="0" w:line="243" w:lineRule="exact"/>
        <w:rPr>
          <w:sz w:val="20"/>
          <w:szCs w:val="20"/>
          <w:color w:val="auto"/>
        </w:rPr>
      </w:pPr>
    </w:p>
    <w:p>
      <w:pPr>
        <w:ind w:left="960" w:right="1040"/>
        <w:spacing w:after="0" w:line="293" w:lineRule="auto"/>
        <w:rPr>
          <w:sz w:val="20"/>
          <w:szCs w:val="20"/>
          <w:color w:val="auto"/>
        </w:rPr>
      </w:pPr>
      <w:r>
        <w:rPr>
          <w:rFonts w:ascii="Arial" w:cs="Arial" w:eastAsia="Arial" w:hAnsi="Arial"/>
          <w:sz w:val="16"/>
          <w:szCs w:val="16"/>
          <w:b w:val="1"/>
          <w:bCs w:val="1"/>
          <w:color w:val="auto"/>
        </w:rPr>
        <w:t>This proxy statement summary highlights certain information contained in this Proxy Statement. You should read the entire Proxy Statement and the 2023 Annual Report carefully before you vote.</w:t>
      </w:r>
    </w:p>
    <w:p>
      <w:pPr>
        <w:spacing w:after="0" w:line="336" w:lineRule="exact"/>
        <w:rPr>
          <w:sz w:val="20"/>
          <w:szCs w:val="20"/>
          <w:color w:val="auto"/>
        </w:rPr>
      </w:pPr>
    </w:p>
    <w:p>
      <w:pPr>
        <w:ind w:left="960"/>
        <w:spacing w:after="0"/>
        <w:rPr>
          <w:sz w:val="20"/>
          <w:szCs w:val="20"/>
          <w:color w:val="auto"/>
        </w:rPr>
      </w:pPr>
      <w:r>
        <w:rPr>
          <w:rFonts w:ascii="Arial" w:cs="Arial" w:eastAsia="Arial" w:hAnsi="Arial"/>
          <w:sz w:val="29"/>
          <w:szCs w:val="29"/>
          <w:color w:val="636466"/>
        </w:rPr>
        <w:t>Voting Roadmap</w:t>
      </w:r>
    </w:p>
    <w:p>
      <w:pPr>
        <w:spacing w:after="0" w:line="207" w:lineRule="exact"/>
        <w:rPr>
          <w:sz w:val="20"/>
          <w:szCs w:val="20"/>
          <w:color w:val="auto"/>
        </w:rPr>
      </w:pPr>
    </w:p>
    <w:p>
      <w:pPr>
        <w:ind w:left="960"/>
        <w:spacing w:after="0"/>
        <w:rPr>
          <w:sz w:val="20"/>
          <w:szCs w:val="20"/>
          <w:color w:val="auto"/>
        </w:rPr>
      </w:pPr>
      <w:r>
        <w:rPr>
          <w:rFonts w:ascii="Arial" w:cs="Arial" w:eastAsia="Arial" w:hAnsi="Arial"/>
          <w:sz w:val="16"/>
          <w:szCs w:val="16"/>
          <w:color w:val="auto"/>
        </w:rPr>
        <w:t>Stockholders will be asked to vote on the following matters at the 2024 Annual Meeting: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6900" w:type="dxa"/>
            <w:vAlign w:val="bottom"/>
            <w:gridSpan w:val="12"/>
            <w:vMerge w:val="restart"/>
          </w:tcPr>
          <w:p>
            <w:pPr>
              <w:spacing w:after="0"/>
              <w:rPr>
                <w:sz w:val="20"/>
                <w:szCs w:val="20"/>
                <w:color w:val="auto"/>
              </w:rPr>
            </w:pPr>
            <w:r>
              <w:rPr>
                <w:rFonts w:ascii="Arial" w:cs="Arial" w:eastAsia="Arial" w:hAnsi="Arial"/>
                <w:sz w:val="14"/>
                <w:szCs w:val="14"/>
                <w:b w:val="1"/>
                <w:bCs w:val="1"/>
                <w:color w:val="auto"/>
              </w:rPr>
              <w:t>Proposals</w:t>
            </w: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5"/>
          </w:tcPr>
          <w:p>
            <w:pPr>
              <w:ind w:left="100"/>
              <w:spacing w:after="0"/>
              <w:rPr>
                <w:sz w:val="20"/>
                <w:szCs w:val="20"/>
                <w:color w:val="auto"/>
              </w:rPr>
            </w:pPr>
            <w:r>
              <w:rPr>
                <w:rFonts w:ascii="Arial" w:cs="Arial" w:eastAsia="Arial" w:hAnsi="Arial"/>
                <w:sz w:val="14"/>
                <w:szCs w:val="14"/>
                <w:b w:val="1"/>
                <w:bCs w:val="1"/>
                <w:color w:val="auto"/>
              </w:rPr>
              <w:t>Board</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rPr>
              <w:t>Page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960" w:type="dxa"/>
            <w:vAlign w:val="bottom"/>
          </w:tcPr>
          <w:p>
            <w:pPr>
              <w:spacing w:after="0"/>
              <w:rPr>
                <w:sz w:val="16"/>
                <w:szCs w:val="16"/>
                <w:color w:val="auto"/>
              </w:rPr>
            </w:pPr>
          </w:p>
        </w:tc>
        <w:tc>
          <w:tcPr>
            <w:tcW w:w="6900" w:type="dxa"/>
            <w:vAlign w:val="bottom"/>
            <w:gridSpan w:val="12"/>
            <w:vMerge w:val="continue"/>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rPr>
              <w:t>Recommendation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5"/>
            <w:vMerge w:val="continue"/>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9"/>
        </w:trPr>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0C426A"/>
            </w:tcBorders>
          </w:tcPr>
          <w:p>
            <w:pPr>
              <w:spacing w:after="0"/>
              <w:rPr>
                <w:sz w:val="8"/>
                <w:szCs w:val="8"/>
                <w:color w:val="auto"/>
              </w:rPr>
            </w:pPr>
          </w:p>
        </w:tc>
        <w:tc>
          <w:tcPr>
            <w:tcW w:w="20" w:type="dxa"/>
            <w:vAlign w:val="bottom"/>
            <w:tcBorders>
              <w:bottom w:val="single" w:sz="8" w:color="0C426A"/>
            </w:tcBorders>
          </w:tcPr>
          <w:p>
            <w:pPr>
              <w:spacing w:after="0"/>
              <w:rPr>
                <w:sz w:val="8"/>
                <w:szCs w:val="8"/>
                <w:color w:val="auto"/>
              </w:rPr>
            </w:pPr>
          </w:p>
        </w:tc>
        <w:tc>
          <w:tcPr>
            <w:tcW w:w="40" w:type="dxa"/>
            <w:vAlign w:val="bottom"/>
            <w:tcBorders>
              <w:bottom w:val="single" w:sz="8" w:color="0C426A"/>
            </w:tcBorders>
          </w:tcPr>
          <w:p>
            <w:pPr>
              <w:spacing w:after="0"/>
              <w:rPr>
                <w:sz w:val="8"/>
                <w:szCs w:val="8"/>
                <w:color w:val="auto"/>
              </w:rPr>
            </w:pPr>
          </w:p>
        </w:tc>
        <w:tc>
          <w:tcPr>
            <w:tcW w:w="120" w:type="dxa"/>
            <w:vAlign w:val="bottom"/>
            <w:tcBorders>
              <w:bottom w:val="single" w:sz="8" w:color="0C426A"/>
            </w:tcBorders>
          </w:tcPr>
          <w:p>
            <w:pPr>
              <w:spacing w:after="0"/>
              <w:rPr>
                <w:sz w:val="8"/>
                <w:szCs w:val="8"/>
                <w:color w:val="auto"/>
              </w:rPr>
            </w:pPr>
          </w:p>
        </w:tc>
        <w:tc>
          <w:tcPr>
            <w:tcW w:w="20" w:type="dxa"/>
            <w:vAlign w:val="bottom"/>
            <w:tcBorders>
              <w:bottom w:val="single" w:sz="8" w:color="0C426A"/>
            </w:tcBorders>
          </w:tcPr>
          <w:p>
            <w:pPr>
              <w:spacing w:after="0"/>
              <w:rPr>
                <w:sz w:val="8"/>
                <w:szCs w:val="8"/>
                <w:color w:val="auto"/>
              </w:rPr>
            </w:pPr>
          </w:p>
        </w:tc>
        <w:tc>
          <w:tcPr>
            <w:tcW w:w="1020" w:type="dxa"/>
            <w:vAlign w:val="bottom"/>
            <w:tcBorders>
              <w:bottom w:val="single" w:sz="8" w:color="0C426A"/>
            </w:tcBorders>
          </w:tcPr>
          <w:p>
            <w:pPr>
              <w:spacing w:after="0"/>
              <w:rPr>
                <w:sz w:val="8"/>
                <w:szCs w:val="8"/>
                <w:color w:val="auto"/>
              </w:rPr>
            </w:pPr>
          </w:p>
        </w:tc>
        <w:tc>
          <w:tcPr>
            <w:tcW w:w="1720" w:type="dxa"/>
            <w:vAlign w:val="bottom"/>
            <w:tcBorders>
              <w:bottom w:val="single" w:sz="8" w:color="0C426A"/>
            </w:tcBorders>
          </w:tcPr>
          <w:p>
            <w:pPr>
              <w:spacing w:after="0"/>
              <w:rPr>
                <w:sz w:val="8"/>
                <w:szCs w:val="8"/>
                <w:color w:val="auto"/>
              </w:rPr>
            </w:pPr>
          </w:p>
        </w:tc>
        <w:tc>
          <w:tcPr>
            <w:tcW w:w="1600" w:type="dxa"/>
            <w:vAlign w:val="bottom"/>
            <w:tcBorders>
              <w:bottom w:val="single" w:sz="8" w:color="0C426A"/>
            </w:tcBorders>
          </w:tcPr>
          <w:p>
            <w:pPr>
              <w:spacing w:after="0"/>
              <w:rPr>
                <w:sz w:val="8"/>
                <w:szCs w:val="8"/>
                <w:color w:val="auto"/>
              </w:rPr>
            </w:pPr>
          </w:p>
        </w:tc>
        <w:tc>
          <w:tcPr>
            <w:tcW w:w="1400" w:type="dxa"/>
            <w:vAlign w:val="bottom"/>
            <w:tcBorders>
              <w:bottom w:val="single" w:sz="8" w:color="0C426A"/>
            </w:tcBorders>
          </w:tcPr>
          <w:p>
            <w:pPr>
              <w:spacing w:after="0"/>
              <w:rPr>
                <w:sz w:val="8"/>
                <w:szCs w:val="8"/>
                <w:color w:val="auto"/>
              </w:rPr>
            </w:pPr>
          </w:p>
        </w:tc>
        <w:tc>
          <w:tcPr>
            <w:tcW w:w="60" w:type="dxa"/>
            <w:vAlign w:val="bottom"/>
            <w:tcBorders>
              <w:bottom w:val="single" w:sz="8" w:color="0C426A"/>
            </w:tcBorders>
          </w:tcPr>
          <w:p>
            <w:pPr>
              <w:spacing w:after="0"/>
              <w:rPr>
                <w:sz w:val="8"/>
                <w:szCs w:val="8"/>
                <w:color w:val="auto"/>
              </w:rPr>
            </w:pPr>
          </w:p>
        </w:tc>
        <w:tc>
          <w:tcPr>
            <w:tcW w:w="700" w:type="dxa"/>
            <w:vAlign w:val="bottom"/>
            <w:tcBorders>
              <w:bottom w:val="single" w:sz="8" w:color="0C426A"/>
            </w:tcBorders>
          </w:tcPr>
          <w:p>
            <w:pPr>
              <w:spacing w:after="0"/>
              <w:rPr>
                <w:sz w:val="8"/>
                <w:szCs w:val="8"/>
                <w:color w:val="auto"/>
              </w:rPr>
            </w:pPr>
          </w:p>
        </w:tc>
        <w:tc>
          <w:tcPr>
            <w:tcW w:w="60" w:type="dxa"/>
            <w:vAlign w:val="bottom"/>
            <w:tcBorders>
              <w:bottom w:val="single" w:sz="8" w:color="0C426A"/>
            </w:tcBorders>
          </w:tcPr>
          <w:p>
            <w:pPr>
              <w:spacing w:after="0"/>
              <w:rPr>
                <w:sz w:val="8"/>
                <w:szCs w:val="8"/>
                <w:color w:val="auto"/>
              </w:rPr>
            </w:pPr>
          </w:p>
        </w:tc>
        <w:tc>
          <w:tcPr>
            <w:tcW w:w="240" w:type="dxa"/>
            <w:vAlign w:val="bottom"/>
            <w:tcBorders>
              <w:bottom w:val="single" w:sz="8" w:color="0C426A"/>
            </w:tcBorders>
          </w:tcPr>
          <w:p>
            <w:pPr>
              <w:spacing w:after="0"/>
              <w:rPr>
                <w:sz w:val="8"/>
                <w:szCs w:val="8"/>
                <w:color w:val="auto"/>
              </w:rPr>
            </w:pPr>
          </w:p>
        </w:tc>
        <w:tc>
          <w:tcPr>
            <w:tcW w:w="220" w:type="dxa"/>
            <w:vAlign w:val="bottom"/>
            <w:tcBorders>
              <w:bottom w:val="single" w:sz="8" w:color="0C426A"/>
            </w:tcBorders>
          </w:tcPr>
          <w:p>
            <w:pPr>
              <w:spacing w:after="0"/>
              <w:rPr>
                <w:sz w:val="8"/>
                <w:szCs w:val="8"/>
                <w:color w:val="auto"/>
              </w:rPr>
            </w:pPr>
          </w:p>
        </w:tc>
        <w:tc>
          <w:tcPr>
            <w:tcW w:w="40" w:type="dxa"/>
            <w:vAlign w:val="bottom"/>
            <w:tcBorders>
              <w:bottom w:val="single" w:sz="8" w:color="0C426A"/>
            </w:tcBorders>
          </w:tcPr>
          <w:p>
            <w:pPr>
              <w:spacing w:after="0"/>
              <w:rPr>
                <w:sz w:val="8"/>
                <w:szCs w:val="8"/>
                <w:color w:val="auto"/>
              </w:rPr>
            </w:pPr>
          </w:p>
        </w:tc>
        <w:tc>
          <w:tcPr>
            <w:tcW w:w="160" w:type="dxa"/>
            <w:vAlign w:val="bottom"/>
            <w:tcBorders>
              <w:bottom w:val="single" w:sz="8" w:color="0C426A"/>
            </w:tcBorders>
          </w:tcPr>
          <w:p>
            <w:pPr>
              <w:spacing w:after="0"/>
              <w:rPr>
                <w:sz w:val="8"/>
                <w:szCs w:val="8"/>
                <w:color w:val="auto"/>
              </w:rPr>
            </w:pPr>
          </w:p>
        </w:tc>
        <w:tc>
          <w:tcPr>
            <w:tcW w:w="340" w:type="dxa"/>
            <w:vAlign w:val="bottom"/>
            <w:tcBorders>
              <w:bottom w:val="single" w:sz="8" w:color="0C426A"/>
            </w:tcBorders>
          </w:tcPr>
          <w:p>
            <w:pPr>
              <w:spacing w:after="0"/>
              <w:rPr>
                <w:sz w:val="8"/>
                <w:szCs w:val="8"/>
                <w:color w:val="auto"/>
              </w:rPr>
            </w:pPr>
          </w:p>
        </w:tc>
        <w:tc>
          <w:tcPr>
            <w:tcW w:w="160" w:type="dxa"/>
            <w:vAlign w:val="bottom"/>
            <w:tcBorders>
              <w:bottom w:val="single" w:sz="8" w:color="0C426A"/>
            </w:tcBorders>
          </w:tcPr>
          <w:p>
            <w:pPr>
              <w:spacing w:after="0"/>
              <w:rPr>
                <w:sz w:val="8"/>
                <w:szCs w:val="8"/>
                <w:color w:val="auto"/>
              </w:rPr>
            </w:pPr>
          </w:p>
        </w:tc>
        <w:tc>
          <w:tcPr>
            <w:tcW w:w="40" w:type="dxa"/>
            <w:vAlign w:val="bottom"/>
            <w:tcBorders>
              <w:bottom w:val="single" w:sz="8" w:color="0C426A"/>
            </w:tcBorders>
          </w:tcPr>
          <w:p>
            <w:pPr>
              <w:spacing w:after="0"/>
              <w:rPr>
                <w:sz w:val="8"/>
                <w:szCs w:val="8"/>
                <w:color w:val="auto"/>
              </w:rPr>
            </w:pPr>
          </w:p>
        </w:tc>
        <w:tc>
          <w:tcPr>
            <w:tcW w:w="280" w:type="dxa"/>
            <w:vAlign w:val="bottom"/>
            <w:tcBorders>
              <w:bottom w:val="single" w:sz="8" w:color="0C426A"/>
            </w:tcBorders>
          </w:tcPr>
          <w:p>
            <w:pPr>
              <w:spacing w:after="0"/>
              <w:rPr>
                <w:sz w:val="8"/>
                <w:szCs w:val="8"/>
                <w:color w:val="auto"/>
              </w:rPr>
            </w:pPr>
          </w:p>
        </w:tc>
        <w:tc>
          <w:tcPr>
            <w:tcW w:w="100" w:type="dxa"/>
            <w:vAlign w:val="bottom"/>
            <w:tcBorders>
              <w:bottom w:val="single" w:sz="8" w:color="0C426A"/>
            </w:tcBorders>
          </w:tcPr>
          <w:p>
            <w:pPr>
              <w:spacing w:after="0"/>
              <w:rPr>
                <w:sz w:val="8"/>
                <w:szCs w:val="8"/>
                <w:color w:val="auto"/>
              </w:rPr>
            </w:pPr>
          </w:p>
        </w:tc>
        <w:tc>
          <w:tcPr>
            <w:tcW w:w="80" w:type="dxa"/>
            <w:vAlign w:val="bottom"/>
            <w:tcBorders>
              <w:bottom w:val="single" w:sz="8" w:color="0C426A"/>
            </w:tcBorders>
          </w:tcPr>
          <w:p>
            <w:pPr>
              <w:spacing w:after="0"/>
              <w:rPr>
                <w:sz w:val="8"/>
                <w:szCs w:val="8"/>
                <w:color w:val="auto"/>
              </w:rPr>
            </w:pPr>
          </w:p>
        </w:tc>
        <w:tc>
          <w:tcPr>
            <w:tcW w:w="120" w:type="dxa"/>
            <w:vAlign w:val="bottom"/>
            <w:tcBorders>
              <w:bottom w:val="single" w:sz="8" w:color="0C426A"/>
            </w:tcBorders>
          </w:tcPr>
          <w:p>
            <w:pPr>
              <w:spacing w:after="0"/>
              <w:rPr>
                <w:sz w:val="8"/>
                <w:szCs w:val="8"/>
                <w:color w:val="auto"/>
              </w:rPr>
            </w:pPr>
          </w:p>
        </w:tc>
        <w:tc>
          <w:tcPr>
            <w:tcW w:w="20" w:type="dxa"/>
            <w:vAlign w:val="bottom"/>
            <w:tcBorders>
              <w:bottom w:val="single" w:sz="8" w:color="0C426A"/>
            </w:tcBorders>
          </w:tcPr>
          <w:p>
            <w:pPr>
              <w:spacing w:after="0"/>
              <w:rPr>
                <w:sz w:val="8"/>
                <w:szCs w:val="8"/>
                <w:color w:val="auto"/>
              </w:rPr>
            </w:pPr>
          </w:p>
        </w:tc>
        <w:tc>
          <w:tcPr>
            <w:tcW w:w="160" w:type="dxa"/>
            <w:vAlign w:val="bottom"/>
            <w:tcBorders>
              <w:bottom w:val="single" w:sz="8" w:color="0C426A"/>
            </w:tcBorders>
          </w:tcPr>
          <w:p>
            <w:pPr>
              <w:spacing w:after="0"/>
              <w:rPr>
                <w:sz w:val="8"/>
                <w:szCs w:val="8"/>
                <w:color w:val="auto"/>
              </w:rPr>
            </w:pPr>
          </w:p>
        </w:tc>
        <w:tc>
          <w:tcPr>
            <w:tcW w:w="20" w:type="dxa"/>
            <w:vAlign w:val="bottom"/>
            <w:tcBorders>
              <w:bottom w:val="single" w:sz="8" w:color="0C426A"/>
            </w:tcBorders>
          </w:tcPr>
          <w:p>
            <w:pPr>
              <w:spacing w:after="0"/>
              <w:rPr>
                <w:sz w:val="8"/>
                <w:szCs w:val="8"/>
                <w:color w:val="auto"/>
              </w:rPr>
            </w:pPr>
          </w:p>
        </w:tc>
        <w:tc>
          <w:tcPr>
            <w:tcW w:w="60" w:type="dxa"/>
            <w:vAlign w:val="bottom"/>
            <w:tcBorders>
              <w:bottom w:val="single" w:sz="8" w:color="0C426A"/>
            </w:tcBorders>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1180" w:type="dxa"/>
            <w:vAlign w:val="bottom"/>
            <w:gridSpan w:val="4"/>
            <w:vMerge w:val="restart"/>
          </w:tcPr>
          <w:p>
            <w:pPr>
              <w:ind w:left="960"/>
              <w:spacing w:after="0"/>
              <w:rPr>
                <w:sz w:val="20"/>
                <w:szCs w:val="20"/>
                <w:color w:val="auto"/>
              </w:rPr>
            </w:pPr>
            <w:r>
              <w:rPr>
                <w:rFonts w:ascii="Arial" w:cs="Arial" w:eastAsia="Arial" w:hAnsi="Arial"/>
                <w:sz w:val="36"/>
                <w:szCs w:val="36"/>
                <w:color w:val="0000EE"/>
                <w:w w:val="99"/>
              </w:rPr>
              <w:t>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tcPr>
          <w:p>
            <w:pPr>
              <w:spacing w:after="0"/>
              <w:rPr>
                <w:sz w:val="24"/>
                <w:szCs w:val="24"/>
                <w:color w:val="auto"/>
              </w:rPr>
            </w:pPr>
          </w:p>
        </w:tc>
        <w:tc>
          <w:tcPr>
            <w:tcW w:w="4340" w:type="dxa"/>
            <w:vAlign w:val="bottom"/>
            <w:gridSpan w:val="3"/>
            <w:vMerge w:val="restart"/>
          </w:tcPr>
          <w:p>
            <w:pPr>
              <w:spacing w:after="0"/>
              <w:rPr>
                <w:sz w:val="20"/>
                <w:szCs w:val="20"/>
                <w:color w:val="auto"/>
              </w:rPr>
            </w:pPr>
            <w:r>
              <w:rPr>
                <w:rFonts w:ascii="Arial" w:cs="Arial" w:eastAsia="Arial" w:hAnsi="Arial"/>
                <w:sz w:val="16"/>
                <w:szCs w:val="16"/>
                <w:color w:val="0000EE"/>
                <w:w w:val="99"/>
              </w:rPr>
              <w:t>Elect three directors for a term of three years expiring in 2027</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vMerge w:val="restart"/>
          </w:tcPr>
          <w:p>
            <w:pPr>
              <w:spacing w:after="0"/>
              <w:rPr>
                <w:sz w:val="24"/>
                <w:szCs w:val="24"/>
                <w:color w:val="auto"/>
              </w:rPr>
            </w:pPr>
          </w:p>
        </w:tc>
        <w:tc>
          <w:tcPr>
            <w:tcW w:w="740" w:type="dxa"/>
            <w:vAlign w:val="bottom"/>
            <w:tcBorders>
              <w:bottom w:val="single" w:sz="8" w:color="0000EE"/>
            </w:tcBorders>
            <w:gridSpan w:val="5"/>
          </w:tcPr>
          <w:p>
            <w:pPr>
              <w:jc w:val="center"/>
              <w:spacing w:after="0"/>
              <w:rPr>
                <w:sz w:val="20"/>
                <w:szCs w:val="20"/>
                <w:color w:val="auto"/>
              </w:rPr>
            </w:pPr>
            <w:r>
              <w:rPr>
                <w:rFonts w:ascii="Arial" w:cs="Arial" w:eastAsia="Arial" w:hAnsi="Arial"/>
                <w:sz w:val="16"/>
                <w:szCs w:val="16"/>
                <w:color w:val="0000EE"/>
                <w:w w:val="99"/>
              </w:rPr>
              <w:t>FOR Each</w:t>
            </w:r>
          </w:p>
        </w:tc>
        <w:tc>
          <w:tcPr>
            <w:tcW w:w="280" w:type="dxa"/>
            <w:vAlign w:val="bottom"/>
          </w:tcPr>
          <w:p>
            <w:pPr>
              <w:spacing w:after="0"/>
              <w:rPr>
                <w:sz w:val="24"/>
                <w:szCs w:val="24"/>
                <w:color w:val="auto"/>
              </w:rPr>
            </w:pP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vMerge w:val="restart"/>
          </w:tcPr>
          <w:p>
            <w:pPr>
              <w:jc w:val="center"/>
              <w:spacing w:after="0"/>
              <w:rPr>
                <w:sz w:val="20"/>
                <w:szCs w:val="20"/>
                <w:color w:val="auto"/>
              </w:rPr>
            </w:pPr>
            <w:r>
              <w:rPr>
                <w:rFonts w:ascii="Arial" w:cs="Arial" w:eastAsia="Arial" w:hAnsi="Arial"/>
                <w:sz w:val="16"/>
                <w:szCs w:val="16"/>
                <w:color w:val="0000EE"/>
                <w:w w:val="89"/>
              </w:rPr>
              <w:t>11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1180" w:type="dxa"/>
            <w:vAlign w:val="bottom"/>
            <w:gridSpan w:val="4"/>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4340" w:type="dxa"/>
            <w:vAlign w:val="bottom"/>
            <w:gridSpan w:val="3"/>
            <w:vMerge w:val="continue"/>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gridSpan w:val="5"/>
            <w:vMerge w:val="restart"/>
          </w:tcPr>
          <w:p>
            <w:pPr>
              <w:jc w:val="center"/>
              <w:ind w:right="320"/>
              <w:spacing w:after="0" w:line="141" w:lineRule="exact"/>
              <w:rPr>
                <w:sz w:val="20"/>
                <w:szCs w:val="20"/>
                <w:color w:val="auto"/>
              </w:rPr>
            </w:pPr>
            <w:r>
              <w:rPr>
                <w:rFonts w:ascii="Arial" w:cs="Arial" w:eastAsia="Arial" w:hAnsi="Arial"/>
                <w:sz w:val="16"/>
                <w:szCs w:val="16"/>
                <w:color w:val="0000EE"/>
              </w:rPr>
              <w:t>Nominee</w:t>
            </w:r>
          </w:p>
        </w:tc>
        <w:tc>
          <w:tcPr>
            <w:tcW w:w="10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9"/>
        </w:trPr>
        <w:tc>
          <w:tcPr>
            <w:tcW w:w="1180" w:type="dxa"/>
            <w:vAlign w:val="bottom"/>
            <w:gridSpan w:val="4"/>
            <w:vMerge w:val="continue"/>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4340" w:type="dxa"/>
            <w:vAlign w:val="bottom"/>
            <w:tcBorders>
              <w:bottom w:val="single" w:sz="8" w:color="0000EE"/>
            </w:tcBorders>
            <w:gridSpan w:val="3"/>
            <w:vMerge w:val="continue"/>
          </w:tcPr>
          <w:p>
            <w:pPr>
              <w:spacing w:after="0"/>
              <w:rPr>
                <w:sz w:val="3"/>
                <w:szCs w:val="3"/>
                <w:color w:val="auto"/>
              </w:rPr>
            </w:pPr>
          </w:p>
        </w:tc>
        <w:tc>
          <w:tcPr>
            <w:tcW w:w="140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700" w:type="dxa"/>
            <w:vAlign w:val="bottom"/>
            <w:vMerge w:val="restart"/>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160" w:type="dxa"/>
            <w:vAlign w:val="bottom"/>
            <w:tcBorders>
              <w:bottom w:val="single" w:sz="8" w:color="0000EE"/>
            </w:tcBorders>
            <w:vMerge w:val="continue"/>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118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98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80" w:type="dxa"/>
            <w:vAlign w:val="bottom"/>
            <w:tcBorders>
              <w:top w:val="single" w:sz="8" w:color="0000EE"/>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1720" w:type="dxa"/>
            <w:vAlign w:val="bottom"/>
            <w:tcBorders>
              <w:bottom w:val="single" w:sz="8" w:color="808080"/>
            </w:tcBorders>
          </w:tcPr>
          <w:p>
            <w:pPr>
              <w:spacing w:after="0"/>
              <w:rPr>
                <w:sz w:val="15"/>
                <w:szCs w:val="15"/>
                <w:color w:val="auto"/>
              </w:rPr>
            </w:pPr>
          </w:p>
        </w:tc>
        <w:tc>
          <w:tcPr>
            <w:tcW w:w="1600" w:type="dxa"/>
            <w:vAlign w:val="bottom"/>
            <w:tcBorders>
              <w:bottom w:val="single" w:sz="8" w:color="808080"/>
            </w:tcBorders>
          </w:tcPr>
          <w:p>
            <w:pPr>
              <w:spacing w:after="0"/>
              <w:rPr>
                <w:sz w:val="15"/>
                <w:szCs w:val="15"/>
                <w:color w:val="auto"/>
              </w:rPr>
            </w:pPr>
          </w:p>
        </w:tc>
        <w:tc>
          <w:tcPr>
            <w:tcW w:w="140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70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60" w:type="dxa"/>
            <w:vAlign w:val="bottom"/>
            <w:tcBorders>
              <w:top w:val="single" w:sz="8" w:color="0000EE"/>
              <w:bottom w:val="single" w:sz="8" w:color="808080"/>
            </w:tcBorders>
          </w:tcPr>
          <w:p>
            <w:pPr>
              <w:spacing w:after="0"/>
              <w:rPr>
                <w:sz w:val="15"/>
                <w:szCs w:val="15"/>
                <w:color w:val="auto"/>
              </w:rPr>
            </w:pPr>
          </w:p>
        </w:tc>
        <w:tc>
          <w:tcPr>
            <w:tcW w:w="340" w:type="dxa"/>
            <w:vAlign w:val="bottom"/>
            <w:tcBorders>
              <w:top w:val="single" w:sz="8" w:color="0000EE"/>
              <w:bottom w:val="single" w:sz="8" w:color="808080"/>
            </w:tcBorders>
          </w:tcPr>
          <w:p>
            <w:pPr>
              <w:spacing w:after="0"/>
              <w:rPr>
                <w:sz w:val="15"/>
                <w:szCs w:val="15"/>
                <w:color w:val="auto"/>
              </w:rPr>
            </w:pPr>
          </w:p>
        </w:tc>
        <w:tc>
          <w:tcPr>
            <w:tcW w:w="160" w:type="dxa"/>
            <w:vAlign w:val="bottom"/>
            <w:tcBorders>
              <w:top w:val="single" w:sz="8" w:color="0000EE"/>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1"/>
        </w:trPr>
        <w:tc>
          <w:tcPr>
            <w:tcW w:w="1180" w:type="dxa"/>
            <w:vAlign w:val="bottom"/>
            <w:gridSpan w:val="4"/>
            <w:vMerge w:val="restart"/>
          </w:tcPr>
          <w:p>
            <w:pPr>
              <w:ind w:left="960"/>
              <w:spacing w:after="0"/>
              <w:rPr>
                <w:sz w:val="20"/>
                <w:szCs w:val="20"/>
                <w:color w:val="auto"/>
              </w:rPr>
            </w:pPr>
            <w:r>
              <w:rPr>
                <w:rFonts w:ascii="Arial" w:cs="Arial" w:eastAsia="Arial" w:hAnsi="Arial"/>
                <w:sz w:val="36"/>
                <w:szCs w:val="36"/>
                <w:color w:val="0000EE"/>
                <w:w w:val="99"/>
              </w:rPr>
              <w:t>2</w:t>
            </w: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520" w:type="dxa"/>
            <w:vAlign w:val="bottom"/>
            <w:gridSpan w:val="7"/>
          </w:tcPr>
          <w:p>
            <w:pPr>
              <w:spacing w:after="0"/>
              <w:rPr>
                <w:sz w:val="20"/>
                <w:szCs w:val="20"/>
                <w:color w:val="auto"/>
              </w:rPr>
            </w:pPr>
            <w:r>
              <w:rPr>
                <w:rFonts w:ascii="Arial" w:cs="Arial" w:eastAsia="Arial" w:hAnsi="Arial"/>
                <w:sz w:val="16"/>
                <w:szCs w:val="16"/>
                <w:color w:val="0000EE"/>
              </w:rPr>
              <w:t>Advisory (Non-Binding) Resolution to Approve the 2023 Named Executive Officer</w:t>
            </w: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5"/>
          </w:tcPr>
          <w:p>
            <w:pPr>
              <w:jc w:val="center"/>
              <w:ind w:right="320"/>
              <w:spacing w:after="0"/>
              <w:rPr>
                <w:sz w:val="20"/>
                <w:szCs w:val="20"/>
                <w:color w:val="auto"/>
              </w:rPr>
            </w:pPr>
            <w:r>
              <w:rPr>
                <w:rFonts w:ascii="Arial" w:cs="Arial" w:eastAsia="Arial" w:hAnsi="Arial"/>
                <w:sz w:val="16"/>
                <w:szCs w:val="16"/>
                <w:color w:val="0000EE"/>
              </w:rPr>
              <w:t>FOR</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5"/>
          </w:tcPr>
          <w:p>
            <w:pPr>
              <w:jc w:val="center"/>
              <w:spacing w:after="0"/>
              <w:rPr>
                <w:sz w:val="20"/>
                <w:szCs w:val="20"/>
                <w:color w:val="auto"/>
              </w:rPr>
            </w:pPr>
            <w:r>
              <w:rPr>
                <w:rFonts w:ascii="Arial" w:cs="Arial" w:eastAsia="Arial" w:hAnsi="Arial"/>
                <w:sz w:val="16"/>
                <w:szCs w:val="16"/>
                <w:color w:val="0000EE"/>
              </w:rPr>
              <w:t>41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18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760" w:type="dxa"/>
            <w:vAlign w:val="bottom"/>
            <w:tcBorders>
              <w:top w:val="single" w:sz="8" w:color="0000EE"/>
              <w:bottom w:val="single" w:sz="8" w:color="0000EE"/>
            </w:tcBorders>
            <w:gridSpan w:val="5"/>
            <w:vMerge w:val="restart"/>
          </w:tcPr>
          <w:p>
            <w:pPr>
              <w:spacing w:after="0" w:line="141" w:lineRule="exact"/>
              <w:rPr>
                <w:sz w:val="20"/>
                <w:szCs w:val="20"/>
                <w:color w:val="auto"/>
              </w:rPr>
            </w:pPr>
            <w:r>
              <w:rPr>
                <w:rFonts w:ascii="Arial" w:cs="Arial" w:eastAsia="Arial" w:hAnsi="Arial"/>
                <w:sz w:val="16"/>
                <w:szCs w:val="16"/>
                <w:color w:val="0000EE"/>
              </w:rPr>
              <w:t>Compensation</w:t>
            </w: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118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760" w:type="dxa"/>
            <w:vAlign w:val="bottom"/>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80" w:type="dxa"/>
            <w:vAlign w:val="bottom"/>
            <w:tcBorders>
              <w:top w:val="single" w:sz="8" w:color="0000EE"/>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1020" w:type="dxa"/>
            <w:vAlign w:val="bottom"/>
            <w:tcBorders>
              <w:top w:val="single" w:sz="8" w:color="0000EE"/>
              <w:bottom w:val="single" w:sz="8" w:color="808080"/>
            </w:tcBorders>
          </w:tcPr>
          <w:p>
            <w:pPr>
              <w:spacing w:after="0"/>
              <w:rPr>
                <w:sz w:val="15"/>
                <w:szCs w:val="15"/>
                <w:color w:val="auto"/>
              </w:rPr>
            </w:pPr>
          </w:p>
        </w:tc>
        <w:tc>
          <w:tcPr>
            <w:tcW w:w="1720" w:type="dxa"/>
            <w:vAlign w:val="bottom"/>
            <w:tcBorders>
              <w:bottom w:val="single" w:sz="8" w:color="808080"/>
            </w:tcBorders>
          </w:tcPr>
          <w:p>
            <w:pPr>
              <w:spacing w:after="0"/>
              <w:rPr>
                <w:sz w:val="15"/>
                <w:szCs w:val="15"/>
                <w:color w:val="auto"/>
              </w:rPr>
            </w:pPr>
          </w:p>
        </w:tc>
        <w:tc>
          <w:tcPr>
            <w:tcW w:w="1600" w:type="dxa"/>
            <w:vAlign w:val="bottom"/>
            <w:tcBorders>
              <w:bottom w:val="single" w:sz="8" w:color="808080"/>
            </w:tcBorders>
          </w:tcPr>
          <w:p>
            <w:pPr>
              <w:spacing w:after="0"/>
              <w:rPr>
                <w:sz w:val="15"/>
                <w:szCs w:val="15"/>
                <w:color w:val="auto"/>
              </w:rPr>
            </w:pPr>
          </w:p>
        </w:tc>
        <w:tc>
          <w:tcPr>
            <w:tcW w:w="140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70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34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1"/>
        </w:trPr>
        <w:tc>
          <w:tcPr>
            <w:tcW w:w="1180" w:type="dxa"/>
            <w:vAlign w:val="bottom"/>
            <w:gridSpan w:val="4"/>
            <w:vMerge w:val="restart"/>
          </w:tcPr>
          <w:p>
            <w:pPr>
              <w:ind w:left="960"/>
              <w:spacing w:after="0"/>
              <w:rPr>
                <w:sz w:val="20"/>
                <w:szCs w:val="20"/>
                <w:color w:val="auto"/>
              </w:rPr>
            </w:pPr>
            <w:r>
              <w:rPr>
                <w:rFonts w:ascii="Arial" w:cs="Arial" w:eastAsia="Arial" w:hAnsi="Arial"/>
                <w:sz w:val="36"/>
                <w:szCs w:val="36"/>
                <w:color w:val="0000EE"/>
                <w:w w:val="99"/>
              </w:rPr>
              <w:t>3</w:t>
            </w: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520" w:type="dxa"/>
            <w:vAlign w:val="bottom"/>
            <w:gridSpan w:val="7"/>
          </w:tcPr>
          <w:p>
            <w:pPr>
              <w:spacing w:after="0"/>
              <w:rPr>
                <w:sz w:val="20"/>
                <w:szCs w:val="20"/>
                <w:color w:val="auto"/>
              </w:rPr>
            </w:pPr>
            <w:r>
              <w:rPr>
                <w:rFonts w:ascii="Arial" w:cs="Arial" w:eastAsia="Arial" w:hAnsi="Arial"/>
                <w:sz w:val="16"/>
                <w:szCs w:val="16"/>
                <w:color w:val="0000EE"/>
              </w:rPr>
              <w:t>Ratify the appointment of Ernst &amp; Young LLP as our independent registered public</w:t>
            </w: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5"/>
          </w:tcPr>
          <w:p>
            <w:pPr>
              <w:jc w:val="center"/>
              <w:ind w:right="320"/>
              <w:spacing w:after="0"/>
              <w:rPr>
                <w:sz w:val="20"/>
                <w:szCs w:val="20"/>
                <w:color w:val="auto"/>
              </w:rPr>
            </w:pPr>
            <w:r>
              <w:rPr>
                <w:rFonts w:ascii="Arial" w:cs="Arial" w:eastAsia="Arial" w:hAnsi="Arial"/>
                <w:sz w:val="16"/>
                <w:szCs w:val="16"/>
                <w:color w:val="0000EE"/>
              </w:rPr>
              <w:t>FOR</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5"/>
          </w:tcPr>
          <w:p>
            <w:pPr>
              <w:jc w:val="center"/>
              <w:spacing w:after="0"/>
              <w:rPr>
                <w:sz w:val="20"/>
                <w:szCs w:val="20"/>
                <w:color w:val="auto"/>
              </w:rPr>
            </w:pPr>
            <w:r>
              <w:rPr>
                <w:rFonts w:ascii="Arial" w:cs="Arial" w:eastAsia="Arial" w:hAnsi="Arial"/>
                <w:sz w:val="16"/>
                <w:szCs w:val="16"/>
                <w:color w:val="0000EE"/>
              </w:rPr>
              <w:t>75</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18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20" w:type="dxa"/>
            <w:vAlign w:val="bottom"/>
            <w:tcBorders>
              <w:top w:val="single" w:sz="8" w:color="0000EE"/>
              <w:bottom w:val="single" w:sz="8" w:color="0000EE"/>
            </w:tcBorders>
            <w:gridSpan w:val="6"/>
            <w:vMerge w:val="restart"/>
          </w:tcPr>
          <w:p>
            <w:pPr>
              <w:spacing w:after="0" w:line="141" w:lineRule="exact"/>
              <w:rPr>
                <w:sz w:val="20"/>
                <w:szCs w:val="20"/>
                <w:color w:val="auto"/>
              </w:rPr>
            </w:pPr>
            <w:r>
              <w:rPr>
                <w:rFonts w:ascii="Arial" w:cs="Arial" w:eastAsia="Arial" w:hAnsi="Arial"/>
                <w:sz w:val="16"/>
                <w:szCs w:val="16"/>
                <w:color w:val="0000EE"/>
              </w:rPr>
              <w:t>accounting firm for the 2024 fiscal year</w:t>
            </w: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118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20" w:type="dxa"/>
            <w:vAlign w:val="bottom"/>
            <w:gridSpan w:val="6"/>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60" w:type="dxa"/>
            <w:vAlign w:val="bottom"/>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80" w:type="dxa"/>
            <w:vAlign w:val="bottom"/>
            <w:tcBorders>
              <w:top w:val="single" w:sz="8" w:color="0000EE"/>
              <w:bottom w:val="single" w:sz="8" w:color="0C426A"/>
            </w:tcBorders>
          </w:tcPr>
          <w:p>
            <w:pPr>
              <w:spacing w:after="0"/>
              <w:rPr>
                <w:sz w:val="12"/>
                <w:szCs w:val="12"/>
                <w:color w:val="auto"/>
              </w:rPr>
            </w:pPr>
          </w:p>
        </w:tc>
        <w:tc>
          <w:tcPr>
            <w:tcW w:w="20" w:type="dxa"/>
            <w:vAlign w:val="bottom"/>
            <w:tcBorders>
              <w:bottom w:val="single" w:sz="8" w:color="0C426A"/>
            </w:tcBorders>
          </w:tcPr>
          <w:p>
            <w:pPr>
              <w:spacing w:after="0"/>
              <w:rPr>
                <w:sz w:val="12"/>
                <w:szCs w:val="12"/>
                <w:color w:val="auto"/>
              </w:rPr>
            </w:pPr>
          </w:p>
        </w:tc>
        <w:tc>
          <w:tcPr>
            <w:tcW w:w="40" w:type="dxa"/>
            <w:vAlign w:val="bottom"/>
            <w:tcBorders>
              <w:bottom w:val="single" w:sz="8" w:color="0C426A"/>
            </w:tcBorders>
          </w:tcPr>
          <w:p>
            <w:pPr>
              <w:spacing w:after="0"/>
              <w:rPr>
                <w:sz w:val="12"/>
                <w:szCs w:val="12"/>
                <w:color w:val="auto"/>
              </w:rPr>
            </w:pPr>
          </w:p>
        </w:tc>
        <w:tc>
          <w:tcPr>
            <w:tcW w:w="120" w:type="dxa"/>
            <w:vAlign w:val="bottom"/>
            <w:tcBorders>
              <w:bottom w:val="single" w:sz="8" w:color="0C426A"/>
            </w:tcBorders>
          </w:tcPr>
          <w:p>
            <w:pPr>
              <w:spacing w:after="0"/>
              <w:rPr>
                <w:sz w:val="12"/>
                <w:szCs w:val="12"/>
                <w:color w:val="auto"/>
              </w:rPr>
            </w:pPr>
          </w:p>
        </w:tc>
        <w:tc>
          <w:tcPr>
            <w:tcW w:w="20" w:type="dxa"/>
            <w:vAlign w:val="bottom"/>
            <w:tcBorders>
              <w:bottom w:val="single" w:sz="8" w:color="0C426A"/>
            </w:tcBorders>
          </w:tcPr>
          <w:p>
            <w:pPr>
              <w:spacing w:after="0"/>
              <w:rPr>
                <w:sz w:val="12"/>
                <w:szCs w:val="12"/>
                <w:color w:val="auto"/>
              </w:rPr>
            </w:pPr>
          </w:p>
        </w:tc>
        <w:tc>
          <w:tcPr>
            <w:tcW w:w="1020" w:type="dxa"/>
            <w:vAlign w:val="bottom"/>
            <w:tcBorders>
              <w:top w:val="single" w:sz="8" w:color="0000EE"/>
              <w:bottom w:val="single" w:sz="8" w:color="0C426A"/>
            </w:tcBorders>
          </w:tcPr>
          <w:p>
            <w:pPr>
              <w:spacing w:after="0"/>
              <w:rPr>
                <w:sz w:val="12"/>
                <w:szCs w:val="12"/>
                <w:color w:val="auto"/>
              </w:rPr>
            </w:pPr>
          </w:p>
        </w:tc>
        <w:tc>
          <w:tcPr>
            <w:tcW w:w="1720" w:type="dxa"/>
            <w:vAlign w:val="bottom"/>
            <w:tcBorders>
              <w:top w:val="single" w:sz="8" w:color="0000EE"/>
              <w:bottom w:val="single" w:sz="8" w:color="0C426A"/>
            </w:tcBorders>
          </w:tcPr>
          <w:p>
            <w:pPr>
              <w:spacing w:after="0"/>
              <w:rPr>
                <w:sz w:val="12"/>
                <w:szCs w:val="12"/>
                <w:color w:val="auto"/>
              </w:rPr>
            </w:pPr>
          </w:p>
        </w:tc>
        <w:tc>
          <w:tcPr>
            <w:tcW w:w="1600" w:type="dxa"/>
            <w:vAlign w:val="bottom"/>
            <w:tcBorders>
              <w:bottom w:val="single" w:sz="8" w:color="0C426A"/>
            </w:tcBorders>
          </w:tcPr>
          <w:p>
            <w:pPr>
              <w:spacing w:after="0"/>
              <w:rPr>
                <w:sz w:val="12"/>
                <w:szCs w:val="12"/>
                <w:color w:val="auto"/>
              </w:rPr>
            </w:pPr>
          </w:p>
        </w:tc>
        <w:tc>
          <w:tcPr>
            <w:tcW w:w="1400" w:type="dxa"/>
            <w:vAlign w:val="bottom"/>
            <w:tcBorders>
              <w:bottom w:val="single" w:sz="8" w:color="0C426A"/>
            </w:tcBorders>
          </w:tcPr>
          <w:p>
            <w:pPr>
              <w:spacing w:after="0"/>
              <w:rPr>
                <w:sz w:val="12"/>
                <w:szCs w:val="12"/>
                <w:color w:val="auto"/>
              </w:rPr>
            </w:pPr>
          </w:p>
        </w:tc>
        <w:tc>
          <w:tcPr>
            <w:tcW w:w="60" w:type="dxa"/>
            <w:vAlign w:val="bottom"/>
            <w:tcBorders>
              <w:bottom w:val="single" w:sz="8" w:color="0C426A"/>
            </w:tcBorders>
          </w:tcPr>
          <w:p>
            <w:pPr>
              <w:spacing w:after="0"/>
              <w:rPr>
                <w:sz w:val="12"/>
                <w:szCs w:val="12"/>
                <w:color w:val="auto"/>
              </w:rPr>
            </w:pPr>
          </w:p>
        </w:tc>
        <w:tc>
          <w:tcPr>
            <w:tcW w:w="700" w:type="dxa"/>
            <w:vAlign w:val="bottom"/>
            <w:tcBorders>
              <w:bottom w:val="single" w:sz="8" w:color="0C426A"/>
            </w:tcBorders>
          </w:tcPr>
          <w:p>
            <w:pPr>
              <w:spacing w:after="0"/>
              <w:rPr>
                <w:sz w:val="12"/>
                <w:szCs w:val="12"/>
                <w:color w:val="auto"/>
              </w:rPr>
            </w:pPr>
          </w:p>
        </w:tc>
        <w:tc>
          <w:tcPr>
            <w:tcW w:w="60" w:type="dxa"/>
            <w:vAlign w:val="bottom"/>
            <w:tcBorders>
              <w:bottom w:val="single" w:sz="8" w:color="0C426A"/>
            </w:tcBorders>
          </w:tcPr>
          <w:p>
            <w:pPr>
              <w:spacing w:after="0"/>
              <w:rPr>
                <w:sz w:val="12"/>
                <w:szCs w:val="12"/>
                <w:color w:val="auto"/>
              </w:rPr>
            </w:pPr>
          </w:p>
        </w:tc>
        <w:tc>
          <w:tcPr>
            <w:tcW w:w="240" w:type="dxa"/>
            <w:vAlign w:val="bottom"/>
            <w:tcBorders>
              <w:bottom w:val="single" w:sz="8" w:color="0C426A"/>
            </w:tcBorders>
          </w:tcPr>
          <w:p>
            <w:pPr>
              <w:spacing w:after="0"/>
              <w:rPr>
                <w:sz w:val="12"/>
                <w:szCs w:val="12"/>
                <w:color w:val="auto"/>
              </w:rPr>
            </w:pPr>
          </w:p>
        </w:tc>
        <w:tc>
          <w:tcPr>
            <w:tcW w:w="220" w:type="dxa"/>
            <w:vAlign w:val="bottom"/>
            <w:tcBorders>
              <w:bottom w:val="single" w:sz="8" w:color="0C426A"/>
            </w:tcBorders>
          </w:tcPr>
          <w:p>
            <w:pPr>
              <w:spacing w:after="0"/>
              <w:rPr>
                <w:sz w:val="12"/>
                <w:szCs w:val="12"/>
                <w:color w:val="auto"/>
              </w:rPr>
            </w:pPr>
          </w:p>
        </w:tc>
        <w:tc>
          <w:tcPr>
            <w:tcW w:w="40" w:type="dxa"/>
            <w:vAlign w:val="bottom"/>
            <w:tcBorders>
              <w:bottom w:val="single" w:sz="8" w:color="0C426A"/>
            </w:tcBorders>
          </w:tcPr>
          <w:p>
            <w:pPr>
              <w:spacing w:after="0"/>
              <w:rPr>
                <w:sz w:val="12"/>
                <w:szCs w:val="12"/>
                <w:color w:val="auto"/>
              </w:rPr>
            </w:pPr>
          </w:p>
        </w:tc>
        <w:tc>
          <w:tcPr>
            <w:tcW w:w="160" w:type="dxa"/>
            <w:vAlign w:val="bottom"/>
            <w:tcBorders>
              <w:bottom w:val="single" w:sz="8" w:color="0C426A"/>
            </w:tcBorders>
          </w:tcPr>
          <w:p>
            <w:pPr>
              <w:spacing w:after="0"/>
              <w:rPr>
                <w:sz w:val="12"/>
                <w:szCs w:val="12"/>
                <w:color w:val="auto"/>
              </w:rPr>
            </w:pPr>
          </w:p>
        </w:tc>
        <w:tc>
          <w:tcPr>
            <w:tcW w:w="340" w:type="dxa"/>
            <w:vAlign w:val="bottom"/>
            <w:tcBorders>
              <w:bottom w:val="single" w:sz="8" w:color="0C426A"/>
            </w:tcBorders>
          </w:tcPr>
          <w:p>
            <w:pPr>
              <w:spacing w:after="0"/>
              <w:rPr>
                <w:sz w:val="12"/>
                <w:szCs w:val="12"/>
                <w:color w:val="auto"/>
              </w:rPr>
            </w:pPr>
          </w:p>
        </w:tc>
        <w:tc>
          <w:tcPr>
            <w:tcW w:w="160" w:type="dxa"/>
            <w:vAlign w:val="bottom"/>
            <w:tcBorders>
              <w:bottom w:val="single" w:sz="8" w:color="0C426A"/>
            </w:tcBorders>
          </w:tcPr>
          <w:p>
            <w:pPr>
              <w:spacing w:after="0"/>
              <w:rPr>
                <w:sz w:val="12"/>
                <w:szCs w:val="12"/>
                <w:color w:val="auto"/>
              </w:rPr>
            </w:pPr>
          </w:p>
        </w:tc>
        <w:tc>
          <w:tcPr>
            <w:tcW w:w="40" w:type="dxa"/>
            <w:vAlign w:val="bottom"/>
            <w:tcBorders>
              <w:bottom w:val="single" w:sz="8" w:color="0C426A"/>
            </w:tcBorders>
          </w:tcPr>
          <w:p>
            <w:pPr>
              <w:spacing w:after="0"/>
              <w:rPr>
                <w:sz w:val="12"/>
                <w:szCs w:val="12"/>
                <w:color w:val="auto"/>
              </w:rPr>
            </w:pPr>
          </w:p>
        </w:tc>
        <w:tc>
          <w:tcPr>
            <w:tcW w:w="280" w:type="dxa"/>
            <w:vAlign w:val="bottom"/>
            <w:tcBorders>
              <w:bottom w:val="single" w:sz="8" w:color="0C426A"/>
            </w:tcBorders>
          </w:tcPr>
          <w:p>
            <w:pPr>
              <w:spacing w:after="0"/>
              <w:rPr>
                <w:sz w:val="12"/>
                <w:szCs w:val="12"/>
                <w:color w:val="auto"/>
              </w:rPr>
            </w:pPr>
          </w:p>
        </w:tc>
        <w:tc>
          <w:tcPr>
            <w:tcW w:w="100" w:type="dxa"/>
            <w:vAlign w:val="bottom"/>
            <w:tcBorders>
              <w:bottom w:val="single" w:sz="8" w:color="0C426A"/>
            </w:tcBorders>
          </w:tcPr>
          <w:p>
            <w:pPr>
              <w:spacing w:after="0"/>
              <w:rPr>
                <w:sz w:val="12"/>
                <w:szCs w:val="12"/>
                <w:color w:val="auto"/>
              </w:rPr>
            </w:pPr>
          </w:p>
        </w:tc>
        <w:tc>
          <w:tcPr>
            <w:tcW w:w="80" w:type="dxa"/>
            <w:vAlign w:val="bottom"/>
            <w:tcBorders>
              <w:bottom w:val="single" w:sz="8" w:color="0C426A"/>
            </w:tcBorders>
          </w:tcPr>
          <w:p>
            <w:pPr>
              <w:spacing w:after="0"/>
              <w:rPr>
                <w:sz w:val="12"/>
                <w:szCs w:val="12"/>
                <w:color w:val="auto"/>
              </w:rPr>
            </w:pPr>
          </w:p>
        </w:tc>
        <w:tc>
          <w:tcPr>
            <w:tcW w:w="120" w:type="dxa"/>
            <w:vAlign w:val="bottom"/>
            <w:tcBorders>
              <w:bottom w:val="single" w:sz="8" w:color="0C426A"/>
            </w:tcBorders>
          </w:tcPr>
          <w:p>
            <w:pPr>
              <w:spacing w:after="0"/>
              <w:rPr>
                <w:sz w:val="12"/>
                <w:szCs w:val="12"/>
                <w:color w:val="auto"/>
              </w:rPr>
            </w:pPr>
          </w:p>
        </w:tc>
        <w:tc>
          <w:tcPr>
            <w:tcW w:w="20" w:type="dxa"/>
            <w:vAlign w:val="bottom"/>
            <w:tcBorders>
              <w:bottom w:val="single" w:sz="8" w:color="0C426A"/>
            </w:tcBorders>
          </w:tcPr>
          <w:p>
            <w:pPr>
              <w:spacing w:after="0"/>
              <w:rPr>
                <w:sz w:val="12"/>
                <w:szCs w:val="12"/>
                <w:color w:val="auto"/>
              </w:rPr>
            </w:pPr>
          </w:p>
        </w:tc>
        <w:tc>
          <w:tcPr>
            <w:tcW w:w="160" w:type="dxa"/>
            <w:vAlign w:val="bottom"/>
            <w:tcBorders>
              <w:bottom w:val="single" w:sz="8" w:color="0C426A"/>
            </w:tcBorders>
          </w:tcPr>
          <w:p>
            <w:pPr>
              <w:spacing w:after="0"/>
              <w:rPr>
                <w:sz w:val="12"/>
                <w:szCs w:val="12"/>
                <w:color w:val="auto"/>
              </w:rPr>
            </w:pPr>
          </w:p>
        </w:tc>
        <w:tc>
          <w:tcPr>
            <w:tcW w:w="20" w:type="dxa"/>
            <w:vAlign w:val="bottom"/>
            <w:tcBorders>
              <w:bottom w:val="single" w:sz="8" w:color="0C426A"/>
            </w:tcBorders>
          </w:tcPr>
          <w:p>
            <w:pPr>
              <w:spacing w:after="0"/>
              <w:rPr>
                <w:sz w:val="12"/>
                <w:szCs w:val="12"/>
                <w:color w:val="auto"/>
              </w:rPr>
            </w:pPr>
          </w:p>
        </w:tc>
        <w:tc>
          <w:tcPr>
            <w:tcW w:w="60" w:type="dxa"/>
            <w:vAlign w:val="bottom"/>
            <w:tcBorders>
              <w:bottom w:val="single" w:sz="8" w:color="0C426A"/>
            </w:tcBorders>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55"/>
        </w:trPr>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160" w:type="dxa"/>
            <w:vAlign w:val="bottom"/>
            <w:gridSpan w:val="3"/>
          </w:tcPr>
          <w:p>
            <w:pPr>
              <w:ind w:left="680"/>
              <w:spacing w:after="0"/>
              <w:rPr>
                <w:sz w:val="20"/>
                <w:szCs w:val="20"/>
                <w:color w:val="auto"/>
              </w:rPr>
            </w:pPr>
            <w:r>
              <w:rPr>
                <w:rFonts w:ascii="Arial" w:cs="Arial" w:eastAsia="Arial" w:hAnsi="Arial"/>
                <w:sz w:val="14"/>
                <w:szCs w:val="14"/>
                <w:color w:val="auto"/>
                <w:w w:val="95"/>
              </w:rPr>
              <w:t>2024 Proxy Statement </w:t>
            </w:r>
          </w:p>
        </w:tc>
        <w:tc>
          <w:tcPr>
            <w:tcW w:w="6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w w:val="70"/>
              </w:rPr>
              <w:t xml:space="preserve">   </w:t>
            </w:r>
            <w:r>
              <w:rPr>
                <w:rFonts w:ascii="Arial" w:cs="Arial" w:eastAsia="Arial" w:hAnsi="Arial"/>
                <w:sz w:val="24"/>
                <w:szCs w:val="24"/>
                <w:color w:val="636466"/>
                <w:w w:val="70"/>
              </w:rPr>
              <w:t xml:space="preserve"> </w:t>
            </w:r>
          </w:p>
        </w:tc>
        <w:tc>
          <w:tcPr>
            <w:tcW w:w="1240" w:type="dxa"/>
            <w:vAlign w:val="bottom"/>
            <w:gridSpan w:val="7"/>
          </w:tcPr>
          <w:p>
            <w:pPr>
              <w:ind w:left="180"/>
              <w:spacing w:after="0"/>
              <w:rPr>
                <w:sz w:val="20"/>
                <w:szCs w:val="20"/>
                <w:color w:val="auto"/>
              </w:rPr>
            </w:pPr>
            <w:r>
              <w:rPr>
                <w:rFonts w:ascii="Arial" w:cs="Arial" w:eastAsia="Arial" w:hAnsi="Arial"/>
                <w:sz w:val="25"/>
                <w:szCs w:val="25"/>
                <w:color w:val="636466"/>
              </w:rPr>
              <w:t>/</w:t>
            </w:r>
            <w:r>
              <w:rPr>
                <w:rFonts w:ascii="Arial" w:cs="Arial" w:eastAsia="Arial" w:hAnsi="Arial"/>
                <w:sz w:val="25"/>
                <w:szCs w:val="25"/>
                <w:color w:val="000000"/>
              </w:rPr>
              <w:t xml:space="preserve"> </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gridSpan w:val="5"/>
          </w:tcPr>
          <w:p>
            <w:pPr>
              <w:jc w:val="right"/>
              <w:spacing w:after="0"/>
              <w:rPr>
                <w:sz w:val="20"/>
                <w:szCs w:val="20"/>
                <w:color w:val="auto"/>
              </w:rPr>
            </w:pPr>
            <w:r>
              <w:rPr>
                <w:rFonts w:ascii="Arial" w:cs="Arial" w:eastAsia="Arial" w:hAnsi="Arial"/>
                <w:sz w:val="14"/>
                <w:szCs w:val="14"/>
                <w:b w:val="1"/>
                <w:bCs w:val="1"/>
                <w:color w:val="auto"/>
              </w:rPr>
              <w:t>7</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-415925</wp:posOffset>
            </wp:positionV>
            <wp:extent cx="501650" cy="170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Proxy Statement Summary</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424"/>
        </w:trPr>
        <w:tc>
          <w:tcPr>
            <w:tcW w:w="80" w:type="dxa"/>
            <w:vAlign w:val="bottom"/>
            <w:shd w:val="clear" w:color="auto" w:fill="E02826"/>
          </w:tcPr>
          <w:p>
            <w:pPr>
              <w:spacing w:after="0"/>
              <w:rPr>
                <w:sz w:val="24"/>
                <w:szCs w:val="24"/>
                <w:color w:val="auto"/>
              </w:rPr>
            </w:pPr>
          </w:p>
        </w:tc>
        <w:tc>
          <w:tcPr>
            <w:tcW w:w="1040" w:type="dxa"/>
            <w:vAlign w:val="bottom"/>
            <w:shd w:val="clear" w:color="auto" w:fill="0C426A"/>
          </w:tcPr>
          <w:p>
            <w:pPr>
              <w:jc w:val="center"/>
              <w:spacing w:after="0"/>
              <w:rPr>
                <w:sz w:val="20"/>
                <w:szCs w:val="20"/>
                <w:color w:val="auto"/>
              </w:rPr>
            </w:pPr>
            <w:r>
              <w:rPr>
                <w:rFonts w:ascii="Arial" w:cs="Arial" w:eastAsia="Arial" w:hAnsi="Arial"/>
                <w:sz w:val="18"/>
                <w:szCs w:val="18"/>
                <w:b w:val="1"/>
                <w:bCs w:val="1"/>
                <w:color w:val="FFFFFF"/>
                <w:w w:val="98"/>
              </w:rPr>
              <w:t>Proposal</w:t>
            </w:r>
          </w:p>
        </w:tc>
        <w:tc>
          <w:tcPr>
            <w:tcW w:w="5980" w:type="dxa"/>
            <w:vAlign w:val="bottom"/>
            <w:vMerge w:val="restart"/>
            <w:shd w:val="clear" w:color="auto" w:fill="E9EFF7"/>
          </w:tcPr>
          <w:p>
            <w:pPr>
              <w:ind w:left="220"/>
              <w:spacing w:after="0"/>
              <w:rPr>
                <w:sz w:val="20"/>
                <w:szCs w:val="20"/>
                <w:color w:val="auto"/>
              </w:rPr>
            </w:pPr>
            <w:r>
              <w:rPr>
                <w:rFonts w:ascii="Arial" w:cs="Arial" w:eastAsia="Arial" w:hAnsi="Arial"/>
                <w:sz w:val="25"/>
                <w:szCs w:val="25"/>
                <w:b w:val="1"/>
                <w:bCs w:val="1"/>
                <w:color w:val="auto"/>
              </w:rPr>
              <w:t>Election of Three Directors</w:t>
            </w:r>
          </w:p>
        </w:tc>
        <w:tc>
          <w:tcPr>
            <w:tcW w:w="620" w:type="dxa"/>
            <w:vAlign w:val="bottom"/>
            <w:shd w:val="clear" w:color="auto" w:fill="E9EFF7"/>
          </w:tcPr>
          <w:p>
            <w:pPr>
              <w:spacing w:after="0"/>
              <w:rPr>
                <w:sz w:val="24"/>
                <w:szCs w:val="24"/>
                <w:color w:val="auto"/>
              </w:rPr>
            </w:pPr>
          </w:p>
        </w:tc>
        <w:tc>
          <w:tcPr>
            <w:tcW w:w="500" w:type="dxa"/>
            <w:vAlign w:val="bottom"/>
            <w:shd w:val="clear" w:color="auto" w:fill="E9EFF7"/>
          </w:tcPr>
          <w:p>
            <w:pPr>
              <w:spacing w:after="0"/>
              <w:rPr>
                <w:sz w:val="24"/>
                <w:szCs w:val="24"/>
                <w:color w:val="auto"/>
              </w:rPr>
            </w:pPr>
          </w:p>
        </w:tc>
        <w:tc>
          <w:tcPr>
            <w:tcW w:w="220" w:type="dxa"/>
            <w:vAlign w:val="bottom"/>
            <w:shd w:val="clear" w:color="auto" w:fill="E9EFF7"/>
          </w:tcPr>
          <w:p>
            <w:pPr>
              <w:spacing w:after="0"/>
              <w:rPr>
                <w:sz w:val="24"/>
                <w:szCs w:val="24"/>
                <w:color w:val="auto"/>
              </w:rPr>
            </w:pPr>
          </w:p>
        </w:tc>
        <w:tc>
          <w:tcPr>
            <w:tcW w:w="540" w:type="dxa"/>
            <w:vAlign w:val="bottom"/>
            <w:shd w:val="clear" w:color="auto" w:fill="E9EFF7"/>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80" w:type="dxa"/>
            <w:vAlign w:val="bottom"/>
            <w:shd w:val="clear" w:color="auto" w:fill="E02826"/>
          </w:tcPr>
          <w:p>
            <w:pPr>
              <w:spacing w:after="0"/>
              <w:rPr>
                <w:sz w:val="13"/>
                <w:szCs w:val="13"/>
                <w:color w:val="auto"/>
              </w:rPr>
            </w:pPr>
          </w:p>
        </w:tc>
        <w:tc>
          <w:tcPr>
            <w:tcW w:w="1040" w:type="dxa"/>
            <w:vAlign w:val="bottom"/>
            <w:vMerge w:val="restart"/>
            <w:shd w:val="clear" w:color="auto" w:fill="0C426A"/>
          </w:tcPr>
          <w:p>
            <w:pPr>
              <w:jc w:val="right"/>
              <w:ind w:right="135"/>
              <w:spacing w:after="0"/>
              <w:rPr>
                <w:sz w:val="20"/>
                <w:szCs w:val="20"/>
                <w:color w:val="auto"/>
              </w:rPr>
            </w:pPr>
            <w:r>
              <w:rPr>
                <w:rFonts w:ascii="Arial" w:cs="Arial" w:eastAsia="Arial" w:hAnsi="Arial"/>
                <w:sz w:val="64"/>
                <w:szCs w:val="64"/>
                <w:b w:val="1"/>
                <w:bCs w:val="1"/>
                <w:color w:val="FFFFFF"/>
              </w:rPr>
              <w:t>1</w:t>
            </w:r>
          </w:p>
        </w:tc>
        <w:tc>
          <w:tcPr>
            <w:tcW w:w="5980" w:type="dxa"/>
            <w:vAlign w:val="bottom"/>
            <w:vMerge w:val="continue"/>
            <w:shd w:val="clear" w:color="auto" w:fill="E9EFF7"/>
          </w:tcPr>
          <w:p>
            <w:pPr>
              <w:spacing w:after="0"/>
              <w:rPr>
                <w:sz w:val="13"/>
                <w:szCs w:val="13"/>
                <w:color w:val="auto"/>
              </w:rPr>
            </w:pPr>
          </w:p>
        </w:tc>
        <w:tc>
          <w:tcPr>
            <w:tcW w:w="620" w:type="dxa"/>
            <w:vAlign w:val="bottom"/>
            <w:shd w:val="clear" w:color="auto" w:fill="E9EFF7"/>
          </w:tcPr>
          <w:p>
            <w:pPr>
              <w:spacing w:after="0"/>
              <w:rPr>
                <w:sz w:val="13"/>
                <w:szCs w:val="13"/>
                <w:color w:val="auto"/>
              </w:rPr>
            </w:pPr>
          </w:p>
        </w:tc>
        <w:tc>
          <w:tcPr>
            <w:tcW w:w="1260" w:type="dxa"/>
            <w:vAlign w:val="bottom"/>
            <w:gridSpan w:val="3"/>
            <w:vMerge w:val="restart"/>
            <w:shd w:val="clear" w:color="auto" w:fill="E9EFF7"/>
          </w:tcPr>
          <w:p>
            <w:pPr>
              <w:jc w:val="center"/>
              <w:ind w:right="100"/>
              <w:spacing w:after="0"/>
              <w:rPr>
                <w:sz w:val="20"/>
                <w:szCs w:val="20"/>
                <w:color w:val="auto"/>
              </w:rPr>
            </w:pPr>
            <w:r>
              <w:rPr>
                <w:rFonts w:ascii="Arial" w:cs="Arial" w:eastAsia="Arial" w:hAnsi="Arial"/>
                <w:sz w:val="21"/>
                <w:szCs w:val="21"/>
                <w:color w:val="auto"/>
              </w:rPr>
              <w:t>See page</w:t>
            </w:r>
          </w:p>
        </w:tc>
        <w:tc>
          <w:tcPr>
            <w:tcW w:w="0" w:type="dxa"/>
            <w:vAlign w:val="bottom"/>
          </w:tcPr>
          <w:p>
            <w:pPr>
              <w:spacing w:after="0"/>
              <w:rPr>
                <w:sz w:val="1"/>
                <w:szCs w:val="1"/>
                <w:color w:val="auto"/>
              </w:rPr>
            </w:pPr>
          </w:p>
        </w:tc>
      </w:tr>
      <w:tr>
        <w:trPr>
          <w:trHeight w:val="116"/>
        </w:trPr>
        <w:tc>
          <w:tcPr>
            <w:tcW w:w="80" w:type="dxa"/>
            <w:vAlign w:val="bottom"/>
            <w:shd w:val="clear" w:color="auto" w:fill="E02826"/>
          </w:tcPr>
          <w:p>
            <w:pPr>
              <w:spacing w:after="0"/>
              <w:rPr>
                <w:sz w:val="10"/>
                <w:szCs w:val="10"/>
                <w:color w:val="auto"/>
              </w:rPr>
            </w:pPr>
          </w:p>
        </w:tc>
        <w:tc>
          <w:tcPr>
            <w:tcW w:w="1040" w:type="dxa"/>
            <w:vAlign w:val="bottom"/>
            <w:vMerge w:val="continue"/>
            <w:shd w:val="clear" w:color="auto" w:fill="0C426A"/>
          </w:tcPr>
          <w:p>
            <w:pPr>
              <w:spacing w:after="0"/>
              <w:rPr>
                <w:sz w:val="10"/>
                <w:szCs w:val="10"/>
                <w:color w:val="auto"/>
              </w:rPr>
            </w:pPr>
          </w:p>
        </w:tc>
        <w:tc>
          <w:tcPr>
            <w:tcW w:w="5980" w:type="dxa"/>
            <w:vAlign w:val="bottom"/>
            <w:vMerge w:val="restart"/>
            <w:shd w:val="clear" w:color="auto" w:fill="E9EFF7"/>
          </w:tcPr>
          <w:p>
            <w:pPr>
              <w:ind w:left="460"/>
              <w:spacing w:after="0"/>
              <w:rPr>
                <w:sz w:val="20"/>
                <w:szCs w:val="20"/>
                <w:color w:val="auto"/>
              </w:rPr>
            </w:pPr>
            <w:r>
              <w:rPr>
                <w:rFonts w:ascii="Arial" w:cs="Arial" w:eastAsia="Arial" w:hAnsi="Arial"/>
                <w:sz w:val="21"/>
                <w:szCs w:val="21"/>
                <w:color w:val="auto"/>
              </w:rPr>
              <w:t xml:space="preserve">     The Board recommends a vote </w:t>
            </w:r>
            <w:r>
              <w:rPr>
                <w:rFonts w:ascii="Arial" w:cs="Arial" w:eastAsia="Arial" w:hAnsi="Arial"/>
                <w:sz w:val="21"/>
                <w:szCs w:val="21"/>
                <w:b w:val="1"/>
                <w:bCs w:val="1"/>
                <w:color w:val="4297CB"/>
              </w:rPr>
              <w:t>FOR</w:t>
            </w:r>
            <w:r>
              <w:rPr>
                <w:rFonts w:ascii="Arial" w:cs="Arial" w:eastAsia="Arial" w:hAnsi="Arial"/>
                <w:sz w:val="21"/>
                <w:szCs w:val="21"/>
                <w:color w:val="auto"/>
              </w:rPr>
              <w:t xml:space="preserve"> each director</w:t>
            </w:r>
          </w:p>
        </w:tc>
        <w:tc>
          <w:tcPr>
            <w:tcW w:w="620" w:type="dxa"/>
            <w:vAlign w:val="bottom"/>
            <w:shd w:val="clear" w:color="auto" w:fill="E9EFF7"/>
          </w:tcPr>
          <w:p>
            <w:pPr>
              <w:ind w:left="420"/>
              <w:spacing w:after="0"/>
              <w:rPr>
                <w:sz w:val="20"/>
                <w:szCs w:val="20"/>
                <w:color w:val="auto"/>
              </w:rPr>
            </w:pPr>
            <w:r>
              <w:rPr>
                <w:rFonts w:ascii="Times New Roman" w:cs="Times New Roman" w:eastAsia="Times New Roman" w:hAnsi="Times New Roman"/>
                <w:sz w:val="4"/>
                <w:szCs w:val="4"/>
                <w:color w:val="auto"/>
              </w:rPr>
              <w:t>​​</w:t>
            </w:r>
          </w:p>
        </w:tc>
        <w:tc>
          <w:tcPr>
            <w:tcW w:w="1260" w:type="dxa"/>
            <w:vAlign w:val="bottom"/>
            <w:gridSpan w:val="3"/>
            <w:vMerge w:val="continue"/>
            <w:shd w:val="clear" w:color="auto" w:fill="E9EFF7"/>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80" w:type="dxa"/>
            <w:vAlign w:val="bottom"/>
            <w:shd w:val="clear" w:color="auto" w:fill="E02826"/>
          </w:tcPr>
          <w:p>
            <w:pPr>
              <w:spacing w:after="0"/>
              <w:rPr>
                <w:sz w:val="19"/>
                <w:szCs w:val="19"/>
                <w:color w:val="auto"/>
              </w:rPr>
            </w:pPr>
          </w:p>
        </w:tc>
        <w:tc>
          <w:tcPr>
            <w:tcW w:w="1040" w:type="dxa"/>
            <w:vAlign w:val="bottom"/>
            <w:vMerge w:val="continue"/>
            <w:shd w:val="clear" w:color="auto" w:fill="0C426A"/>
          </w:tcPr>
          <w:p>
            <w:pPr>
              <w:spacing w:after="0"/>
              <w:rPr>
                <w:sz w:val="19"/>
                <w:szCs w:val="19"/>
                <w:color w:val="auto"/>
              </w:rPr>
            </w:pPr>
          </w:p>
        </w:tc>
        <w:tc>
          <w:tcPr>
            <w:tcW w:w="5980" w:type="dxa"/>
            <w:vAlign w:val="bottom"/>
            <w:vMerge w:val="continue"/>
            <w:shd w:val="clear" w:color="auto" w:fill="E9EFF7"/>
          </w:tcPr>
          <w:p>
            <w:pPr>
              <w:spacing w:after="0"/>
              <w:rPr>
                <w:sz w:val="19"/>
                <w:szCs w:val="19"/>
                <w:color w:val="auto"/>
              </w:rPr>
            </w:pPr>
          </w:p>
        </w:tc>
        <w:tc>
          <w:tcPr>
            <w:tcW w:w="620" w:type="dxa"/>
            <w:vAlign w:val="bottom"/>
            <w:shd w:val="clear" w:color="auto" w:fill="E9EFF7"/>
          </w:tcPr>
          <w:p>
            <w:pPr>
              <w:spacing w:after="0"/>
              <w:rPr>
                <w:sz w:val="19"/>
                <w:szCs w:val="19"/>
                <w:color w:val="auto"/>
              </w:rPr>
            </w:pPr>
          </w:p>
        </w:tc>
        <w:tc>
          <w:tcPr>
            <w:tcW w:w="1260" w:type="dxa"/>
            <w:vAlign w:val="bottom"/>
            <w:gridSpan w:val="3"/>
            <w:shd w:val="clear" w:color="auto" w:fill="E9EFF7"/>
          </w:tcPr>
          <w:p>
            <w:pPr>
              <w:jc w:val="right"/>
              <w:ind w:right="540"/>
              <w:spacing w:after="0" w:line="221" w:lineRule="exact"/>
              <w:rPr>
                <w:sz w:val="20"/>
                <w:szCs w:val="20"/>
                <w:color w:val="auto"/>
              </w:rPr>
            </w:pPr>
            <w:r>
              <w:rPr>
                <w:rFonts w:ascii="Arial" w:cs="Arial" w:eastAsia="Arial" w:hAnsi="Arial"/>
                <w:sz w:val="21"/>
                <w:szCs w:val="21"/>
                <w:b w:val="1"/>
                <w:bCs w:val="1"/>
                <w:color w:val="0000EE"/>
              </w:rPr>
              <w:t>11</w:t>
            </w:r>
          </w:p>
        </w:tc>
        <w:tc>
          <w:tcPr>
            <w:tcW w:w="0" w:type="dxa"/>
            <w:vAlign w:val="bottom"/>
          </w:tcPr>
          <w:p>
            <w:pPr>
              <w:spacing w:after="0"/>
              <w:rPr>
                <w:sz w:val="1"/>
                <w:szCs w:val="1"/>
                <w:color w:val="auto"/>
              </w:rPr>
            </w:pPr>
          </w:p>
        </w:tc>
      </w:tr>
      <w:tr>
        <w:trPr>
          <w:trHeight w:val="381"/>
        </w:trPr>
        <w:tc>
          <w:tcPr>
            <w:tcW w:w="80" w:type="dxa"/>
            <w:vAlign w:val="bottom"/>
            <w:tcBorders>
              <w:top w:val="single" w:sz="8" w:color="E02826"/>
            </w:tcBorders>
            <w:shd w:val="clear" w:color="auto" w:fill="E02826"/>
          </w:tcPr>
          <w:p>
            <w:pPr>
              <w:spacing w:after="0"/>
              <w:rPr>
                <w:sz w:val="24"/>
                <w:szCs w:val="24"/>
                <w:color w:val="auto"/>
              </w:rPr>
            </w:pPr>
          </w:p>
        </w:tc>
        <w:tc>
          <w:tcPr>
            <w:tcW w:w="1040" w:type="dxa"/>
            <w:vAlign w:val="bottom"/>
            <w:tcBorders>
              <w:top w:val="single" w:sz="8" w:color="0C426A"/>
            </w:tcBorders>
            <w:vMerge w:val="continue"/>
            <w:shd w:val="clear" w:color="auto" w:fill="0C426A"/>
          </w:tcPr>
          <w:p>
            <w:pPr>
              <w:spacing w:after="0"/>
              <w:rPr>
                <w:sz w:val="24"/>
                <w:szCs w:val="24"/>
                <w:color w:val="auto"/>
              </w:rPr>
            </w:pPr>
          </w:p>
        </w:tc>
        <w:tc>
          <w:tcPr>
            <w:tcW w:w="5980" w:type="dxa"/>
            <w:vAlign w:val="bottom"/>
            <w:tcBorders>
              <w:top w:val="single" w:sz="8" w:color="E9EFF7"/>
            </w:tcBorders>
            <w:shd w:val="clear" w:color="auto" w:fill="E9EFF7"/>
          </w:tcPr>
          <w:p>
            <w:pPr>
              <w:ind w:left="220"/>
              <w:spacing w:after="0"/>
              <w:rPr>
                <w:sz w:val="20"/>
                <w:szCs w:val="20"/>
                <w:color w:val="auto"/>
              </w:rPr>
            </w:pPr>
            <w:r>
              <w:rPr>
                <w:rFonts w:ascii="Arial" w:cs="Arial" w:eastAsia="Arial" w:hAnsi="Arial"/>
                <w:sz w:val="21"/>
                <w:szCs w:val="21"/>
                <w:color w:val="auto"/>
              </w:rPr>
              <w:t>nominee.</w:t>
            </w:r>
          </w:p>
        </w:tc>
        <w:tc>
          <w:tcPr>
            <w:tcW w:w="620" w:type="dxa"/>
            <w:vAlign w:val="bottom"/>
            <w:tcBorders>
              <w:top w:val="single" w:sz="8" w:color="E9EFF7"/>
            </w:tcBorders>
            <w:shd w:val="clear" w:color="auto" w:fill="E9EFF7"/>
          </w:tcPr>
          <w:p>
            <w:pPr>
              <w:spacing w:after="0"/>
              <w:rPr>
                <w:sz w:val="24"/>
                <w:szCs w:val="24"/>
                <w:color w:val="auto"/>
              </w:rPr>
            </w:pPr>
          </w:p>
        </w:tc>
        <w:tc>
          <w:tcPr>
            <w:tcW w:w="500" w:type="dxa"/>
            <w:vAlign w:val="bottom"/>
            <w:tcBorders>
              <w:top w:val="single" w:sz="8" w:color="E9EFF7"/>
            </w:tcBorders>
            <w:shd w:val="clear" w:color="auto" w:fill="E9EFF7"/>
          </w:tcPr>
          <w:p>
            <w:pPr>
              <w:spacing w:after="0"/>
              <w:rPr>
                <w:sz w:val="24"/>
                <w:szCs w:val="24"/>
                <w:color w:val="auto"/>
              </w:rPr>
            </w:pPr>
          </w:p>
        </w:tc>
        <w:tc>
          <w:tcPr>
            <w:tcW w:w="220" w:type="dxa"/>
            <w:vAlign w:val="bottom"/>
            <w:tcBorders>
              <w:top w:val="single" w:sz="8" w:color="0000EE"/>
            </w:tcBorders>
            <w:shd w:val="clear" w:color="auto" w:fill="E9EFF7"/>
          </w:tcPr>
          <w:p>
            <w:pPr>
              <w:spacing w:after="0"/>
              <w:rPr>
                <w:sz w:val="24"/>
                <w:szCs w:val="24"/>
                <w:color w:val="auto"/>
              </w:rPr>
            </w:pPr>
          </w:p>
        </w:tc>
        <w:tc>
          <w:tcPr>
            <w:tcW w:w="540" w:type="dxa"/>
            <w:vAlign w:val="bottom"/>
            <w:tcBorders>
              <w:top w:val="single" w:sz="8" w:color="E9EFF7"/>
            </w:tcBorders>
            <w:shd w:val="clear" w:color="auto" w:fill="E9EFF7"/>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E02826"/>
          </w:tcPr>
          <w:p>
            <w:pPr>
              <w:spacing w:after="0"/>
              <w:rPr>
                <w:sz w:val="10"/>
                <w:szCs w:val="10"/>
                <w:color w:val="auto"/>
              </w:rPr>
            </w:pPr>
          </w:p>
        </w:tc>
        <w:tc>
          <w:tcPr>
            <w:tcW w:w="1040" w:type="dxa"/>
            <w:vAlign w:val="bottom"/>
            <w:shd w:val="clear" w:color="auto" w:fill="0C426A"/>
          </w:tcPr>
          <w:p>
            <w:pPr>
              <w:spacing w:after="0"/>
              <w:rPr>
                <w:sz w:val="10"/>
                <w:szCs w:val="10"/>
                <w:color w:val="auto"/>
              </w:rPr>
            </w:pPr>
          </w:p>
        </w:tc>
        <w:tc>
          <w:tcPr>
            <w:tcW w:w="5980" w:type="dxa"/>
            <w:vAlign w:val="bottom"/>
            <w:shd w:val="clear" w:color="auto" w:fill="E9EFF7"/>
          </w:tcPr>
          <w:p>
            <w:pPr>
              <w:spacing w:after="0"/>
              <w:rPr>
                <w:sz w:val="10"/>
                <w:szCs w:val="10"/>
                <w:color w:val="auto"/>
              </w:rPr>
            </w:pPr>
          </w:p>
        </w:tc>
        <w:tc>
          <w:tcPr>
            <w:tcW w:w="620" w:type="dxa"/>
            <w:vAlign w:val="bottom"/>
            <w:shd w:val="clear" w:color="auto" w:fill="E9EFF7"/>
          </w:tcPr>
          <w:p>
            <w:pPr>
              <w:spacing w:after="0"/>
              <w:rPr>
                <w:sz w:val="10"/>
                <w:szCs w:val="10"/>
                <w:color w:val="auto"/>
              </w:rPr>
            </w:pPr>
          </w:p>
        </w:tc>
        <w:tc>
          <w:tcPr>
            <w:tcW w:w="500" w:type="dxa"/>
            <w:vAlign w:val="bottom"/>
            <w:shd w:val="clear" w:color="auto" w:fill="E9EFF7"/>
          </w:tcPr>
          <w:p>
            <w:pPr>
              <w:spacing w:after="0"/>
              <w:rPr>
                <w:sz w:val="10"/>
                <w:szCs w:val="10"/>
                <w:color w:val="auto"/>
              </w:rPr>
            </w:pPr>
          </w:p>
        </w:tc>
        <w:tc>
          <w:tcPr>
            <w:tcW w:w="220" w:type="dxa"/>
            <w:vAlign w:val="bottom"/>
            <w:shd w:val="clear" w:color="auto" w:fill="E9EFF7"/>
          </w:tcPr>
          <w:p>
            <w:pPr>
              <w:spacing w:after="0"/>
              <w:rPr>
                <w:sz w:val="10"/>
                <w:szCs w:val="10"/>
                <w:color w:val="auto"/>
              </w:rPr>
            </w:pPr>
          </w:p>
        </w:tc>
        <w:tc>
          <w:tcPr>
            <w:tcW w:w="540" w:type="dxa"/>
            <w:vAlign w:val="bottom"/>
            <w:shd w:val="clear" w:color="auto" w:fill="E9EFF7"/>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-492760</wp:posOffset>
            </wp:positionV>
            <wp:extent cx="161290" cy="1447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1290" cy="14478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29"/>
          <w:szCs w:val="29"/>
          <w:color w:val="636466"/>
        </w:rPr>
        <w:t>Wabtec Board of Directors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131445</wp:posOffset>
            </wp:positionV>
            <wp:extent cx="5721985" cy="52031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21985" cy="520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720" w:type="dxa"/>
            <w:vAlign w:val="bottom"/>
          </w:tcPr>
          <w:p>
            <w:pPr>
              <w:jc w:val="right"/>
              <w:ind w:right="569"/>
              <w:spacing w:after="0"/>
              <w:rPr>
                <w:sz w:val="20"/>
                <w:szCs w:val="20"/>
                <w:color w:val="auto"/>
              </w:rPr>
            </w:pPr>
            <w:r>
              <w:rPr>
                <w:rFonts w:ascii="Arial" w:cs="Arial" w:eastAsia="Arial" w:hAnsi="Arial"/>
                <w:sz w:val="14"/>
                <w:szCs w:val="14"/>
                <w:b w:val="1"/>
                <w:bCs w:val="1"/>
                <w:color w:val="auto"/>
                <w:w w:val="76"/>
              </w:rPr>
              <w:t>8</w:t>
            </w:r>
          </w:p>
        </w:tc>
        <w:tc>
          <w:tcPr>
            <w:tcW w:w="880" w:type="dxa"/>
            <w:vAlign w:val="bottom"/>
            <w:vMerge w:val="restart"/>
          </w:tcPr>
          <w:p>
            <w:pPr>
              <w:ind w:left="66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179070</wp:posOffset>
            </wp:positionV>
            <wp:extent cx="693801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11" w:name="page12"/>
    <w:bookmarkEnd w:id="11"/>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right"/>
        <w:ind w:right="980"/>
        <w:spacing w:after="0"/>
        <w:rPr>
          <w:sz w:val="20"/>
          <w:szCs w:val="20"/>
          <w:color w:val="auto"/>
        </w:rPr>
      </w:pPr>
      <w:r>
        <w:rPr>
          <w:rFonts w:ascii="Arial" w:cs="Arial" w:eastAsia="Arial" w:hAnsi="Arial"/>
          <w:sz w:val="12"/>
          <w:szCs w:val="12"/>
          <w:color w:val="auto"/>
        </w:rPr>
        <w:t>Proxy Statement Summary</w:t>
      </w:r>
    </w:p>
    <w:p>
      <w:pPr>
        <w:spacing w:after="0" w:line="169" w:lineRule="exact"/>
        <w:rPr>
          <w:sz w:val="20"/>
          <w:szCs w:val="20"/>
          <w:color w:val="auto"/>
        </w:rPr>
      </w:pPr>
    </w:p>
    <w:p>
      <w:pPr>
        <w:ind w:left="960"/>
        <w:spacing w:after="0"/>
        <w:rPr>
          <w:sz w:val="20"/>
          <w:szCs w:val="20"/>
          <w:color w:val="auto"/>
        </w:rPr>
      </w:pPr>
      <w:r>
        <w:rPr>
          <w:rFonts w:ascii="Arial" w:cs="Arial" w:eastAsia="Arial" w:hAnsi="Arial"/>
          <w:sz w:val="29"/>
          <w:szCs w:val="29"/>
          <w:color w:val="636466"/>
        </w:rPr>
        <w:t>Board Member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208280</wp:posOffset>
            </wp:positionV>
            <wp:extent cx="5611495" cy="18707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11495" cy="1870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w:t>
      </w:r>
    </w:p>
    <w:p>
      <w:pPr>
        <w:spacing w:after="0" w:line="388" w:lineRule="exact"/>
        <w:rPr>
          <w:sz w:val="20"/>
          <w:szCs w:val="20"/>
          <w:color w:val="auto"/>
        </w:rPr>
      </w:pPr>
    </w:p>
    <w:p>
      <w:pPr>
        <w:ind w:left="960"/>
        <w:spacing w:after="0"/>
        <w:rPr>
          <w:sz w:val="20"/>
          <w:szCs w:val="20"/>
          <w:color w:val="auto"/>
        </w:rPr>
      </w:pPr>
      <w:r>
        <w:rPr>
          <w:rFonts w:ascii="Arial" w:cs="Arial" w:eastAsia="Arial" w:hAnsi="Arial"/>
          <w:sz w:val="23"/>
          <w:szCs w:val="23"/>
          <w:color w:val="0C426A"/>
        </w:rPr>
        <w:t>Highly Engaged Board</w:t>
      </w:r>
    </w:p>
    <w:p>
      <w:pPr>
        <w:spacing w:after="0" w:line="87" w:lineRule="exact"/>
        <w:rPr>
          <w:sz w:val="20"/>
          <w:szCs w:val="20"/>
          <w:color w:val="auto"/>
        </w:rPr>
      </w:pPr>
    </w:p>
    <w:p>
      <w:pPr>
        <w:ind w:left="1140" w:hanging="175"/>
        <w:spacing w:after="0"/>
        <w:tabs>
          <w:tab w:leader="none" w:pos="1140" w:val="left"/>
        </w:tabs>
        <w:numPr>
          <w:ilvl w:val="0"/>
          <w:numId w:val="6"/>
        </w:numPr>
        <w:rPr>
          <w:rFonts w:ascii="Arial" w:cs="Arial" w:eastAsia="Arial" w:hAnsi="Arial"/>
          <w:sz w:val="16"/>
          <w:szCs w:val="16"/>
          <w:color w:val="4297CB"/>
        </w:rPr>
      </w:pPr>
      <w:r>
        <w:rPr>
          <w:rFonts w:ascii="Arial" w:cs="Arial" w:eastAsia="Arial" w:hAnsi="Arial"/>
          <w:sz w:val="16"/>
          <w:szCs w:val="16"/>
          <w:color w:val="auto"/>
        </w:rPr>
        <w:t>All directors attended the 2023 Annual Meeting</w:t>
      </w:r>
    </w:p>
    <w:p>
      <w:pPr>
        <w:spacing w:after="0" w:line="70" w:lineRule="exact"/>
        <w:rPr>
          <w:rFonts w:ascii="Arial" w:cs="Arial" w:eastAsia="Arial" w:hAnsi="Arial"/>
          <w:sz w:val="16"/>
          <w:szCs w:val="16"/>
          <w:color w:val="4297CB"/>
        </w:rPr>
      </w:pPr>
    </w:p>
    <w:p>
      <w:pPr>
        <w:ind w:left="1140" w:hanging="175"/>
        <w:spacing w:after="0"/>
        <w:tabs>
          <w:tab w:leader="none" w:pos="1140" w:val="left"/>
        </w:tabs>
        <w:numPr>
          <w:ilvl w:val="0"/>
          <w:numId w:val="6"/>
        </w:numPr>
        <w:rPr>
          <w:rFonts w:ascii="Arial" w:cs="Arial" w:eastAsia="Arial" w:hAnsi="Arial"/>
          <w:sz w:val="16"/>
          <w:szCs w:val="16"/>
          <w:color w:val="4297CB"/>
        </w:rPr>
      </w:pPr>
      <w:r>
        <w:rPr>
          <w:rFonts w:ascii="Arial" w:cs="Arial" w:eastAsia="Arial" w:hAnsi="Arial"/>
          <w:sz w:val="16"/>
          <w:szCs w:val="16"/>
          <w:color w:val="auto"/>
        </w:rPr>
        <w:t>All directors attended at least 75% or more of the Board and Committee meetings in 2023</w:t>
      </w:r>
    </w:p>
    <w:p>
      <w:pPr>
        <w:spacing w:after="0" w:line="83" w:lineRule="exact"/>
        <w:rPr>
          <w:rFonts w:ascii="Arial" w:cs="Arial" w:eastAsia="Arial" w:hAnsi="Arial"/>
          <w:sz w:val="16"/>
          <w:szCs w:val="16"/>
          <w:color w:val="4297CB"/>
        </w:rPr>
      </w:pPr>
    </w:p>
    <w:p>
      <w:pPr>
        <w:ind w:left="1140" w:right="1200" w:hanging="175"/>
        <w:spacing w:after="0" w:line="282" w:lineRule="auto"/>
        <w:tabs>
          <w:tab w:leader="none" w:pos="1140" w:val="left"/>
        </w:tabs>
        <w:numPr>
          <w:ilvl w:val="0"/>
          <w:numId w:val="6"/>
        </w:numPr>
        <w:rPr>
          <w:rFonts w:ascii="Arial" w:cs="Arial" w:eastAsia="Arial" w:hAnsi="Arial"/>
          <w:sz w:val="16"/>
          <w:szCs w:val="16"/>
          <w:color w:val="4297CB"/>
        </w:rPr>
      </w:pPr>
      <w:r>
        <w:rPr>
          <w:rFonts w:ascii="Arial" w:cs="Arial" w:eastAsia="Arial" w:hAnsi="Arial"/>
          <w:sz w:val="16"/>
          <w:szCs w:val="16"/>
          <w:color w:val="auto"/>
        </w:rPr>
        <w:t>Active strategy and risk oversight by the Board and Committees including: business and market risks, cybersecurity risks, human capital management, M&amp;A, and strategic transactions</w:t>
      </w:r>
    </w:p>
    <w:p>
      <w:pPr>
        <w:spacing w:after="0" w:line="86" w:lineRule="exact"/>
        <w:rPr>
          <w:sz w:val="20"/>
          <w:szCs w:val="20"/>
          <w:color w:val="auto"/>
        </w:rPr>
      </w:pPr>
    </w:p>
    <w:p>
      <w:pPr>
        <w:ind w:left="960"/>
        <w:spacing w:after="0"/>
        <w:rPr>
          <w:sz w:val="20"/>
          <w:szCs w:val="20"/>
          <w:color w:val="auto"/>
        </w:rPr>
      </w:pPr>
      <w:r>
        <w:rPr>
          <w:rFonts w:ascii="Arial" w:cs="Arial" w:eastAsia="Arial" w:hAnsi="Arial"/>
          <w:sz w:val="23"/>
          <w:szCs w:val="23"/>
          <w:color w:val="0C426A"/>
        </w:rPr>
        <w:t>Refreshment</w:t>
      </w:r>
    </w:p>
    <w:p>
      <w:pPr>
        <w:spacing w:after="0" w:line="87" w:lineRule="exact"/>
        <w:rPr>
          <w:sz w:val="20"/>
          <w:szCs w:val="20"/>
          <w:color w:val="auto"/>
        </w:rPr>
      </w:pPr>
    </w:p>
    <w:p>
      <w:pPr>
        <w:ind w:left="1140" w:hanging="175"/>
        <w:spacing w:after="0"/>
        <w:tabs>
          <w:tab w:leader="none" w:pos="1140" w:val="left"/>
        </w:tabs>
        <w:numPr>
          <w:ilvl w:val="0"/>
          <w:numId w:val="7"/>
        </w:numPr>
        <w:rPr>
          <w:rFonts w:ascii="Arial" w:cs="Arial" w:eastAsia="Arial" w:hAnsi="Arial"/>
          <w:sz w:val="16"/>
          <w:szCs w:val="16"/>
          <w:color w:val="4297CB"/>
        </w:rPr>
      </w:pPr>
      <w:r>
        <w:rPr>
          <w:rFonts w:ascii="Arial" w:cs="Arial" w:eastAsia="Arial" w:hAnsi="Arial"/>
          <w:sz w:val="16"/>
          <w:szCs w:val="16"/>
          <w:color w:val="auto"/>
        </w:rPr>
        <w:t>5 new directors appointed in the last 5 years</w:t>
      </w:r>
    </w:p>
    <w:p>
      <w:pPr>
        <w:spacing w:after="0" w:line="83" w:lineRule="exact"/>
        <w:rPr>
          <w:rFonts w:ascii="Arial" w:cs="Arial" w:eastAsia="Arial" w:hAnsi="Arial"/>
          <w:sz w:val="16"/>
          <w:szCs w:val="16"/>
          <w:color w:val="4297CB"/>
        </w:rPr>
      </w:pPr>
    </w:p>
    <w:p>
      <w:pPr>
        <w:ind w:left="1140" w:hanging="175"/>
        <w:spacing w:after="0"/>
        <w:tabs>
          <w:tab w:leader="none" w:pos="1140" w:val="left"/>
        </w:tabs>
        <w:numPr>
          <w:ilvl w:val="0"/>
          <w:numId w:val="7"/>
        </w:numPr>
        <w:rPr>
          <w:rFonts w:ascii="Arial" w:cs="Arial" w:eastAsia="Arial" w:hAnsi="Arial"/>
          <w:sz w:val="16"/>
          <w:szCs w:val="16"/>
          <w:color w:val="4297CB"/>
        </w:rPr>
      </w:pPr>
      <w:r>
        <w:rPr>
          <w:rFonts w:ascii="Arial" w:cs="Arial" w:eastAsia="Arial" w:hAnsi="Arial"/>
          <w:sz w:val="16"/>
          <w:szCs w:val="16"/>
          <w:color w:val="auto"/>
        </w:rPr>
        <w:t>33% gender diversity of the Board (up from 10% gender diversity in 2019)</w:t>
      </w:r>
    </w:p>
    <w:p>
      <w:pPr>
        <w:spacing w:after="0" w:line="70" w:lineRule="exact"/>
        <w:rPr>
          <w:rFonts w:ascii="Arial" w:cs="Arial" w:eastAsia="Arial" w:hAnsi="Arial"/>
          <w:sz w:val="16"/>
          <w:szCs w:val="16"/>
          <w:color w:val="4297CB"/>
        </w:rPr>
      </w:pPr>
    </w:p>
    <w:p>
      <w:pPr>
        <w:ind w:left="1140" w:hanging="175"/>
        <w:spacing w:after="0"/>
        <w:tabs>
          <w:tab w:leader="none" w:pos="1140" w:val="left"/>
        </w:tabs>
        <w:numPr>
          <w:ilvl w:val="0"/>
          <w:numId w:val="7"/>
        </w:numPr>
        <w:rPr>
          <w:rFonts w:ascii="Arial" w:cs="Arial" w:eastAsia="Arial" w:hAnsi="Arial"/>
          <w:sz w:val="16"/>
          <w:szCs w:val="16"/>
          <w:color w:val="4297CB"/>
        </w:rPr>
      </w:pPr>
      <w:r>
        <w:rPr>
          <w:rFonts w:ascii="Arial" w:cs="Arial" w:eastAsia="Arial" w:hAnsi="Arial"/>
          <w:sz w:val="16"/>
          <w:szCs w:val="16"/>
          <w:color w:val="auto"/>
        </w:rPr>
        <w:t>55% of directors represent diversity of gender, race or ethnicity</w:t>
      </w:r>
    </w:p>
    <w:p>
      <w:pPr>
        <w:spacing w:after="0" w:line="20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w:t>
      </w:r>
    </w:p>
    <w:p>
      <w:pPr>
        <w:spacing w:after="0" w:line="98" w:lineRule="exact"/>
        <w:rPr>
          <w:sz w:val="20"/>
          <w:szCs w:val="20"/>
          <w:color w:val="auto"/>
        </w:rPr>
      </w:pPr>
    </w:p>
    <w:tbl>
      <w:tblPr>
        <w:tblLayout w:type="fixed"/>
        <w:tblInd w:w="980" w:type="dxa"/>
        <w:tblCellMar>
          <w:top w:w="0" w:type="dxa"/>
          <w:left w:w="0" w:type="dxa"/>
          <w:bottom w:w="0" w:type="dxa"/>
          <w:right w:w="0" w:type="dxa"/>
        </w:tblCellMar>
      </w:tblPr>
      <w:tr>
        <w:trPr>
          <w:trHeight w:val="442"/>
        </w:trPr>
        <w:tc>
          <w:tcPr>
            <w:tcW w:w="80" w:type="dxa"/>
            <w:vAlign w:val="bottom"/>
            <w:shd w:val="clear" w:color="auto" w:fill="E02826"/>
          </w:tcPr>
          <w:p>
            <w:pPr>
              <w:spacing w:after="0"/>
              <w:rPr>
                <w:sz w:val="24"/>
                <w:szCs w:val="24"/>
                <w:color w:val="auto"/>
              </w:rPr>
            </w:pPr>
          </w:p>
        </w:tc>
        <w:tc>
          <w:tcPr>
            <w:tcW w:w="1040" w:type="dxa"/>
            <w:vAlign w:val="bottom"/>
            <w:shd w:val="clear" w:color="auto" w:fill="0C426A"/>
          </w:tcPr>
          <w:p>
            <w:pPr>
              <w:jc w:val="center"/>
              <w:spacing w:after="0"/>
              <w:rPr>
                <w:sz w:val="20"/>
                <w:szCs w:val="20"/>
                <w:color w:val="auto"/>
              </w:rPr>
            </w:pPr>
            <w:r>
              <w:rPr>
                <w:rFonts w:ascii="Arial" w:cs="Arial" w:eastAsia="Arial" w:hAnsi="Arial"/>
                <w:sz w:val="18"/>
                <w:szCs w:val="18"/>
                <w:b w:val="1"/>
                <w:bCs w:val="1"/>
                <w:color w:val="FFFFFF"/>
              </w:rPr>
              <w:t>Proposal</w:t>
            </w:r>
          </w:p>
        </w:tc>
        <w:tc>
          <w:tcPr>
            <w:tcW w:w="6120" w:type="dxa"/>
            <w:vAlign w:val="bottom"/>
            <w:shd w:val="clear" w:color="auto" w:fill="E9EFF7"/>
          </w:tcPr>
          <w:p>
            <w:pPr>
              <w:ind w:left="220"/>
              <w:spacing w:after="0"/>
              <w:rPr>
                <w:sz w:val="20"/>
                <w:szCs w:val="20"/>
                <w:color w:val="auto"/>
              </w:rPr>
            </w:pPr>
            <w:r>
              <w:rPr>
                <w:rFonts w:ascii="Arial" w:cs="Arial" w:eastAsia="Arial" w:hAnsi="Arial"/>
                <w:sz w:val="25"/>
                <w:szCs w:val="25"/>
                <w:b w:val="1"/>
                <w:bCs w:val="1"/>
                <w:color w:val="auto"/>
              </w:rPr>
              <w:t>Advisory Vote to Approve Compensation of our</w:t>
            </w:r>
          </w:p>
        </w:tc>
        <w:tc>
          <w:tcPr>
            <w:tcW w:w="480" w:type="dxa"/>
            <w:vAlign w:val="bottom"/>
            <w:shd w:val="clear" w:color="auto" w:fill="E9EFF7"/>
          </w:tcPr>
          <w:p>
            <w:pPr>
              <w:spacing w:after="0"/>
              <w:rPr>
                <w:sz w:val="24"/>
                <w:szCs w:val="24"/>
                <w:color w:val="auto"/>
              </w:rPr>
            </w:pPr>
          </w:p>
        </w:tc>
        <w:tc>
          <w:tcPr>
            <w:tcW w:w="500" w:type="dxa"/>
            <w:vAlign w:val="bottom"/>
            <w:shd w:val="clear" w:color="auto" w:fill="E9EFF7"/>
          </w:tcPr>
          <w:p>
            <w:pPr>
              <w:spacing w:after="0"/>
              <w:rPr>
                <w:sz w:val="24"/>
                <w:szCs w:val="24"/>
                <w:color w:val="auto"/>
              </w:rPr>
            </w:pPr>
          </w:p>
        </w:tc>
        <w:tc>
          <w:tcPr>
            <w:tcW w:w="240" w:type="dxa"/>
            <w:vAlign w:val="bottom"/>
            <w:shd w:val="clear" w:color="auto" w:fill="E9EFF7"/>
          </w:tcPr>
          <w:p>
            <w:pPr>
              <w:spacing w:after="0"/>
              <w:rPr>
                <w:sz w:val="24"/>
                <w:szCs w:val="24"/>
                <w:color w:val="auto"/>
              </w:rPr>
            </w:pPr>
          </w:p>
        </w:tc>
        <w:tc>
          <w:tcPr>
            <w:tcW w:w="520" w:type="dxa"/>
            <w:vAlign w:val="bottom"/>
            <w:shd w:val="clear" w:color="auto" w:fill="E9EFF7"/>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80" w:type="dxa"/>
            <w:vAlign w:val="bottom"/>
            <w:shd w:val="clear" w:color="auto" w:fill="E02826"/>
          </w:tcPr>
          <w:p>
            <w:pPr>
              <w:spacing w:after="0"/>
              <w:rPr>
                <w:sz w:val="24"/>
                <w:szCs w:val="24"/>
                <w:color w:val="auto"/>
              </w:rPr>
            </w:pPr>
          </w:p>
        </w:tc>
        <w:tc>
          <w:tcPr>
            <w:tcW w:w="1040" w:type="dxa"/>
            <w:vAlign w:val="bottom"/>
            <w:vMerge w:val="restart"/>
            <w:shd w:val="clear" w:color="auto" w:fill="0C426A"/>
          </w:tcPr>
          <w:p>
            <w:pPr>
              <w:jc w:val="right"/>
              <w:ind w:right="135"/>
              <w:spacing w:after="0"/>
              <w:rPr>
                <w:sz w:val="20"/>
                <w:szCs w:val="20"/>
                <w:color w:val="auto"/>
              </w:rPr>
            </w:pPr>
            <w:r>
              <w:rPr>
                <w:rFonts w:ascii="Arial" w:cs="Arial" w:eastAsia="Arial" w:hAnsi="Arial"/>
                <w:sz w:val="64"/>
                <w:szCs w:val="64"/>
                <w:b w:val="1"/>
                <w:bCs w:val="1"/>
                <w:color w:val="FFFFFF"/>
              </w:rPr>
              <w:t>2</w:t>
            </w:r>
          </w:p>
        </w:tc>
        <w:tc>
          <w:tcPr>
            <w:tcW w:w="6120" w:type="dxa"/>
            <w:vAlign w:val="bottom"/>
            <w:shd w:val="clear" w:color="auto" w:fill="E9EFF7"/>
          </w:tcPr>
          <w:p>
            <w:pPr>
              <w:ind w:left="220"/>
              <w:spacing w:after="0"/>
              <w:rPr>
                <w:sz w:val="20"/>
                <w:szCs w:val="20"/>
                <w:color w:val="auto"/>
              </w:rPr>
            </w:pPr>
            <w:r>
              <w:rPr>
                <w:rFonts w:ascii="Arial" w:cs="Arial" w:eastAsia="Arial" w:hAnsi="Arial"/>
                <w:sz w:val="25"/>
                <w:szCs w:val="25"/>
                <w:b w:val="1"/>
                <w:bCs w:val="1"/>
                <w:color w:val="auto"/>
              </w:rPr>
              <w:t>Named Executive Officers</w:t>
            </w:r>
          </w:p>
        </w:tc>
        <w:tc>
          <w:tcPr>
            <w:tcW w:w="480" w:type="dxa"/>
            <w:vAlign w:val="bottom"/>
            <w:shd w:val="clear" w:color="auto" w:fill="E9EFF7"/>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260" w:type="dxa"/>
            <w:vAlign w:val="bottom"/>
            <w:gridSpan w:val="3"/>
            <w:shd w:val="clear" w:color="auto" w:fill="E9EFF7"/>
          </w:tcPr>
          <w:p>
            <w:pPr>
              <w:jc w:val="center"/>
              <w:ind w:right="100"/>
              <w:spacing w:after="0"/>
              <w:rPr>
                <w:sz w:val="20"/>
                <w:szCs w:val="20"/>
                <w:color w:val="auto"/>
              </w:rPr>
            </w:pPr>
            <w:r>
              <w:rPr>
                <w:rFonts w:ascii="Arial" w:cs="Arial" w:eastAsia="Arial" w:hAnsi="Arial"/>
                <w:sz w:val="21"/>
                <w:szCs w:val="21"/>
                <w:color w:val="auto"/>
              </w:rPr>
              <w:t>See page</w:t>
            </w:r>
          </w:p>
        </w:tc>
        <w:tc>
          <w:tcPr>
            <w:tcW w:w="0" w:type="dxa"/>
            <w:vAlign w:val="bottom"/>
          </w:tcPr>
          <w:p>
            <w:pPr>
              <w:spacing w:after="0"/>
              <w:rPr>
                <w:sz w:val="1"/>
                <w:szCs w:val="1"/>
                <w:color w:val="auto"/>
              </w:rPr>
            </w:pPr>
          </w:p>
        </w:tc>
      </w:tr>
      <w:tr>
        <w:trPr>
          <w:trHeight w:val="161"/>
        </w:trPr>
        <w:tc>
          <w:tcPr>
            <w:tcW w:w="80" w:type="dxa"/>
            <w:vAlign w:val="bottom"/>
            <w:shd w:val="clear" w:color="auto" w:fill="E02826"/>
          </w:tcPr>
          <w:p>
            <w:pPr>
              <w:spacing w:after="0"/>
              <w:rPr>
                <w:sz w:val="13"/>
                <w:szCs w:val="13"/>
                <w:color w:val="auto"/>
              </w:rPr>
            </w:pPr>
          </w:p>
        </w:tc>
        <w:tc>
          <w:tcPr>
            <w:tcW w:w="1040" w:type="dxa"/>
            <w:vAlign w:val="bottom"/>
            <w:vMerge w:val="continue"/>
            <w:shd w:val="clear" w:color="auto" w:fill="0C426A"/>
          </w:tcPr>
          <w:p>
            <w:pPr>
              <w:spacing w:after="0"/>
              <w:rPr>
                <w:sz w:val="13"/>
                <w:szCs w:val="13"/>
                <w:color w:val="auto"/>
              </w:rPr>
            </w:pPr>
          </w:p>
        </w:tc>
        <w:tc>
          <w:tcPr>
            <w:tcW w:w="6120" w:type="dxa"/>
            <w:vAlign w:val="bottom"/>
            <w:vMerge w:val="restart"/>
            <w:shd w:val="clear" w:color="auto" w:fill="E9EFF7"/>
          </w:tcPr>
          <w:p>
            <w:pPr>
              <w:ind w:left="460"/>
              <w:spacing w:after="0"/>
              <w:rPr>
                <w:sz w:val="20"/>
                <w:szCs w:val="20"/>
                <w:color w:val="auto"/>
              </w:rPr>
            </w:pPr>
            <w:r>
              <w:rPr>
                <w:rFonts w:ascii="Arial" w:cs="Arial" w:eastAsia="Arial" w:hAnsi="Arial"/>
                <w:sz w:val="21"/>
                <w:szCs w:val="21"/>
                <w:color w:val="auto"/>
              </w:rPr>
              <w:t xml:space="preserve">     The Board recommends a vote </w:t>
            </w:r>
            <w:r>
              <w:rPr>
                <w:rFonts w:ascii="Arial" w:cs="Arial" w:eastAsia="Arial" w:hAnsi="Arial"/>
                <w:sz w:val="21"/>
                <w:szCs w:val="21"/>
                <w:b w:val="1"/>
                <w:bCs w:val="1"/>
                <w:color w:val="4297CB"/>
              </w:rPr>
              <w:t>FOR</w:t>
            </w:r>
            <w:r>
              <w:rPr>
                <w:rFonts w:ascii="Arial" w:cs="Arial" w:eastAsia="Arial" w:hAnsi="Arial"/>
                <w:sz w:val="21"/>
                <w:szCs w:val="21"/>
                <w:color w:val="auto"/>
              </w:rPr>
              <w:t xml:space="preserve"> this proposal.</w:t>
            </w:r>
          </w:p>
        </w:tc>
        <w:tc>
          <w:tcPr>
            <w:tcW w:w="480" w:type="dxa"/>
            <w:vAlign w:val="bottom"/>
            <w:shd w:val="clear" w:color="auto" w:fill="E9EFF7"/>
          </w:tcPr>
          <w:p>
            <w:pPr>
              <w:spacing w:after="0"/>
              <w:rPr>
                <w:sz w:val="13"/>
                <w:szCs w:val="13"/>
                <w:color w:val="auto"/>
              </w:rPr>
            </w:pPr>
          </w:p>
        </w:tc>
        <w:tc>
          <w:tcPr>
            <w:tcW w:w="740" w:type="dxa"/>
            <w:vAlign w:val="bottom"/>
            <w:gridSpan w:val="2"/>
            <w:shd w:val="clear" w:color="auto" w:fill="E9EFF7"/>
          </w:tcPr>
          <w:p>
            <w:pPr>
              <w:jc w:val="right"/>
              <w:spacing w:after="0" w:line="161" w:lineRule="exact"/>
              <w:rPr>
                <w:sz w:val="20"/>
                <w:szCs w:val="20"/>
                <w:color w:val="auto"/>
              </w:rPr>
            </w:pPr>
            <w:r>
              <w:rPr>
                <w:rFonts w:ascii="Arial" w:cs="Arial" w:eastAsia="Arial" w:hAnsi="Arial"/>
                <w:sz w:val="18"/>
                <w:szCs w:val="18"/>
                <w:b w:val="1"/>
                <w:bCs w:val="1"/>
                <w:color w:val="0000EE"/>
              </w:rPr>
              <w:t>41</w:t>
            </w:r>
          </w:p>
        </w:tc>
        <w:tc>
          <w:tcPr>
            <w:tcW w:w="520" w:type="dxa"/>
            <w:vAlign w:val="bottom"/>
            <w:shd w:val="clear" w:color="auto" w:fill="E9EFF7"/>
          </w:tcPr>
          <w:p>
            <w:pPr>
              <w:spacing w:after="0"/>
              <w:rPr>
                <w:sz w:val="13"/>
                <w:szCs w:val="13"/>
                <w:color w:val="auto"/>
              </w:rPr>
            </w:pPr>
          </w:p>
        </w:tc>
        <w:tc>
          <w:tcPr>
            <w:tcW w:w="0" w:type="dxa"/>
            <w:vAlign w:val="bottom"/>
          </w:tcPr>
          <w:p>
            <w:pPr>
              <w:spacing w:after="0"/>
              <w:rPr>
                <w:sz w:val="1"/>
                <w:szCs w:val="1"/>
                <w:color w:val="auto"/>
              </w:rPr>
            </w:pPr>
          </w:p>
        </w:tc>
      </w:tr>
      <w:tr>
        <w:trPr>
          <w:trHeight w:val="386"/>
        </w:trPr>
        <w:tc>
          <w:tcPr>
            <w:tcW w:w="80" w:type="dxa"/>
            <w:vAlign w:val="bottom"/>
            <w:tcBorders>
              <w:top w:val="single" w:sz="8" w:color="E02826"/>
            </w:tcBorders>
            <w:shd w:val="clear" w:color="auto" w:fill="E02826"/>
          </w:tcPr>
          <w:p>
            <w:pPr>
              <w:spacing w:after="0"/>
              <w:rPr>
                <w:sz w:val="24"/>
                <w:szCs w:val="24"/>
                <w:color w:val="auto"/>
              </w:rPr>
            </w:pPr>
          </w:p>
        </w:tc>
        <w:tc>
          <w:tcPr>
            <w:tcW w:w="1040" w:type="dxa"/>
            <w:vAlign w:val="bottom"/>
            <w:tcBorders>
              <w:top w:val="single" w:sz="8" w:color="0C426A"/>
            </w:tcBorders>
            <w:vMerge w:val="continue"/>
            <w:shd w:val="clear" w:color="auto" w:fill="0C426A"/>
          </w:tcPr>
          <w:p>
            <w:pPr>
              <w:spacing w:after="0"/>
              <w:rPr>
                <w:sz w:val="24"/>
                <w:szCs w:val="24"/>
                <w:color w:val="auto"/>
              </w:rPr>
            </w:pPr>
          </w:p>
        </w:tc>
        <w:tc>
          <w:tcPr>
            <w:tcW w:w="6120" w:type="dxa"/>
            <w:vAlign w:val="bottom"/>
            <w:tcBorders>
              <w:top w:val="single" w:sz="8" w:color="E9EFF7"/>
            </w:tcBorders>
            <w:vMerge w:val="continue"/>
            <w:shd w:val="clear" w:color="auto" w:fill="E9EFF7"/>
          </w:tcPr>
          <w:p>
            <w:pPr>
              <w:spacing w:after="0"/>
              <w:rPr>
                <w:sz w:val="24"/>
                <w:szCs w:val="24"/>
                <w:color w:val="auto"/>
              </w:rPr>
            </w:pPr>
          </w:p>
        </w:tc>
        <w:tc>
          <w:tcPr>
            <w:tcW w:w="480" w:type="dxa"/>
            <w:vAlign w:val="bottom"/>
            <w:tcBorders>
              <w:top w:val="single" w:sz="8" w:color="E9EFF7"/>
            </w:tcBorders>
            <w:shd w:val="clear" w:color="auto" w:fill="E9EFF7"/>
          </w:tcPr>
          <w:p>
            <w:pPr>
              <w:spacing w:after="0"/>
              <w:rPr>
                <w:sz w:val="24"/>
                <w:szCs w:val="24"/>
                <w:color w:val="auto"/>
              </w:rPr>
            </w:pPr>
          </w:p>
        </w:tc>
        <w:tc>
          <w:tcPr>
            <w:tcW w:w="500" w:type="dxa"/>
            <w:vAlign w:val="bottom"/>
            <w:tcBorders>
              <w:top w:val="single" w:sz="8" w:color="E9EFF7"/>
            </w:tcBorders>
            <w:shd w:val="clear" w:color="auto" w:fill="E9EFF7"/>
          </w:tcPr>
          <w:p>
            <w:pPr>
              <w:spacing w:after="0"/>
              <w:rPr>
                <w:sz w:val="24"/>
                <w:szCs w:val="24"/>
                <w:color w:val="auto"/>
              </w:rPr>
            </w:pPr>
          </w:p>
        </w:tc>
        <w:tc>
          <w:tcPr>
            <w:tcW w:w="240" w:type="dxa"/>
            <w:vAlign w:val="bottom"/>
            <w:tcBorders>
              <w:top w:val="single" w:sz="8" w:color="0000EE"/>
            </w:tcBorders>
            <w:shd w:val="clear" w:color="auto" w:fill="E9EFF7"/>
          </w:tcPr>
          <w:p>
            <w:pPr>
              <w:spacing w:after="0"/>
              <w:rPr>
                <w:sz w:val="24"/>
                <w:szCs w:val="24"/>
                <w:color w:val="auto"/>
              </w:rPr>
            </w:pPr>
          </w:p>
        </w:tc>
        <w:tc>
          <w:tcPr>
            <w:tcW w:w="520" w:type="dxa"/>
            <w:vAlign w:val="bottom"/>
            <w:tcBorders>
              <w:top w:val="single" w:sz="8" w:color="E9EFF7"/>
            </w:tcBorders>
            <w:shd w:val="clear" w:color="auto" w:fill="E9EFF7"/>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0" w:type="dxa"/>
            <w:vAlign w:val="bottom"/>
            <w:shd w:val="clear" w:color="auto" w:fill="E02826"/>
          </w:tcPr>
          <w:p>
            <w:pPr>
              <w:spacing w:after="0"/>
              <w:rPr>
                <w:sz w:val="10"/>
                <w:szCs w:val="10"/>
                <w:color w:val="auto"/>
              </w:rPr>
            </w:pPr>
          </w:p>
        </w:tc>
        <w:tc>
          <w:tcPr>
            <w:tcW w:w="1040" w:type="dxa"/>
            <w:vAlign w:val="bottom"/>
            <w:shd w:val="clear" w:color="auto" w:fill="0C426A"/>
          </w:tcPr>
          <w:p>
            <w:pPr>
              <w:spacing w:after="0"/>
              <w:rPr>
                <w:sz w:val="10"/>
                <w:szCs w:val="10"/>
                <w:color w:val="auto"/>
              </w:rPr>
            </w:pPr>
          </w:p>
        </w:tc>
        <w:tc>
          <w:tcPr>
            <w:tcW w:w="6120" w:type="dxa"/>
            <w:vAlign w:val="bottom"/>
            <w:shd w:val="clear" w:color="auto" w:fill="E9EFF7"/>
          </w:tcPr>
          <w:p>
            <w:pPr>
              <w:spacing w:after="0"/>
              <w:rPr>
                <w:sz w:val="10"/>
                <w:szCs w:val="10"/>
                <w:color w:val="auto"/>
              </w:rPr>
            </w:pPr>
          </w:p>
        </w:tc>
        <w:tc>
          <w:tcPr>
            <w:tcW w:w="480" w:type="dxa"/>
            <w:vAlign w:val="bottom"/>
            <w:shd w:val="clear" w:color="auto" w:fill="E9EFF7"/>
          </w:tcPr>
          <w:p>
            <w:pPr>
              <w:spacing w:after="0"/>
              <w:rPr>
                <w:sz w:val="10"/>
                <w:szCs w:val="10"/>
                <w:color w:val="auto"/>
              </w:rPr>
            </w:pPr>
          </w:p>
        </w:tc>
        <w:tc>
          <w:tcPr>
            <w:tcW w:w="500" w:type="dxa"/>
            <w:vAlign w:val="bottom"/>
            <w:shd w:val="clear" w:color="auto" w:fill="E9EFF7"/>
          </w:tcPr>
          <w:p>
            <w:pPr>
              <w:spacing w:after="0"/>
              <w:rPr>
                <w:sz w:val="10"/>
                <w:szCs w:val="10"/>
                <w:color w:val="auto"/>
              </w:rPr>
            </w:pPr>
          </w:p>
        </w:tc>
        <w:tc>
          <w:tcPr>
            <w:tcW w:w="240" w:type="dxa"/>
            <w:vAlign w:val="bottom"/>
            <w:shd w:val="clear" w:color="auto" w:fill="E9EFF7"/>
          </w:tcPr>
          <w:p>
            <w:pPr>
              <w:spacing w:after="0"/>
              <w:rPr>
                <w:sz w:val="10"/>
                <w:szCs w:val="10"/>
                <w:color w:val="auto"/>
              </w:rPr>
            </w:pPr>
          </w:p>
        </w:tc>
        <w:tc>
          <w:tcPr>
            <w:tcW w:w="520" w:type="dxa"/>
            <w:vAlign w:val="bottom"/>
            <w:shd w:val="clear" w:color="auto" w:fill="E9EFF7"/>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-322580</wp:posOffset>
            </wp:positionV>
            <wp:extent cx="161290" cy="1447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1290" cy="14478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960"/>
        <w:spacing w:after="0"/>
        <w:rPr>
          <w:sz w:val="20"/>
          <w:szCs w:val="20"/>
          <w:color w:val="auto"/>
        </w:rPr>
      </w:pPr>
      <w:r>
        <w:rPr>
          <w:rFonts w:ascii="Arial" w:cs="Arial" w:eastAsia="Arial" w:hAnsi="Arial"/>
          <w:sz w:val="29"/>
          <w:szCs w:val="29"/>
          <w:color w:val="636466"/>
        </w:rPr>
        <w:t>Elements of 2023 Target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63500</wp:posOffset>
            </wp:positionV>
            <wp:extent cx="5713730" cy="2552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13730" cy="255270"/>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020"/>
        <w:spacing w:after="0"/>
        <w:rPr>
          <w:sz w:val="20"/>
          <w:szCs w:val="20"/>
          <w:color w:val="auto"/>
        </w:rPr>
      </w:pPr>
      <w:r>
        <w:rPr>
          <w:rFonts w:ascii="Arial" w:cs="Arial" w:eastAsia="Arial" w:hAnsi="Arial"/>
          <w:sz w:val="15"/>
          <w:szCs w:val="15"/>
          <w:color w:val="FFFFFF"/>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-287020</wp:posOffset>
            </wp:positionV>
            <wp:extent cx="1139190" cy="493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39190" cy="4933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0" w:lineRule="exact"/>
        <w:rPr>
          <w:sz w:val="20"/>
          <w:szCs w:val="20"/>
          <w:color w:val="auto"/>
        </w:rPr>
      </w:pPr>
    </w:p>
    <w:p>
      <w:pPr>
        <w:spacing w:after="0" w:line="36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Performance Period</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Annual</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200" w:lineRule="exact"/>
        <w:rPr>
          <w:sz w:val="20"/>
          <w:szCs w:val="20"/>
          <w:color w:val="auto"/>
        </w:rPr>
      </w:pPr>
    </w:p>
    <w:p>
      <w:pPr>
        <w:spacing w:after="0" w:line="34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Performance Metrics Tied to Strategy</w:t>
      </w:r>
    </w:p>
    <w:p>
      <w:pPr>
        <w:spacing w:after="0" w:line="311" w:lineRule="exact"/>
        <w:rPr>
          <w:sz w:val="20"/>
          <w:szCs w:val="20"/>
          <w:color w:val="auto"/>
        </w:rPr>
      </w:pPr>
    </w:p>
    <w:p>
      <w:pPr>
        <w:ind w:right="1760"/>
        <w:spacing w:after="0" w:line="282" w:lineRule="auto"/>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Individual contribution to business units</w:t>
      </w:r>
      <w:r>
        <w:rPr>
          <w:rFonts w:ascii="Arial" w:cs="Arial" w:eastAsia="Arial" w:hAnsi="Arial"/>
          <w:sz w:val="16"/>
          <w:szCs w:val="16"/>
          <w:color w:val="4297CB"/>
        </w:rPr>
        <w:t xml:space="preserve"> •</w:t>
      </w:r>
      <w:r>
        <w:rPr>
          <w:rFonts w:ascii="Arial" w:cs="Arial" w:eastAsia="Arial" w:hAnsi="Arial"/>
          <w:sz w:val="16"/>
          <w:szCs w:val="16"/>
          <w:color w:val="000000"/>
        </w:rPr>
        <w:t xml:space="preserve">  Capabilities</w:t>
      </w:r>
    </w:p>
    <w:p>
      <w:pPr>
        <w:spacing w:after="0" w:line="137" w:lineRule="exact"/>
        <w:rPr>
          <w:sz w:val="20"/>
          <w:szCs w:val="20"/>
          <w:color w:val="auto"/>
        </w:rPr>
      </w:pPr>
    </w:p>
    <w:p>
      <w:pPr>
        <w:sectPr>
          <w:pgSz w:w="11900" w:h="16838" w:orient="portrait"/>
          <w:cols w:equalWidth="0" w:num="5">
            <w:col w:w="1880" w:space="460"/>
            <w:col w:w="420" w:space="420"/>
            <w:col w:w="1540" w:space="680"/>
            <w:col w:w="440" w:space="420"/>
            <w:col w:w="4680"/>
          </w:cols>
          <w:pgMar w:left="480" w:top="116" w:right="479" w:bottom="1440" w:gutter="0" w:footer="0" w:header="0"/>
          <w:type w:val="continuous"/>
        </w:sectPr>
      </w:pPr>
    </w:p>
    <w:tbl>
      <w:tblPr>
        <w:tblLayout w:type="fixed"/>
        <w:tblInd w:w="0" w:type="dxa"/>
        <w:tblCellMar>
          <w:top w:w="0" w:type="dxa"/>
          <w:left w:w="0" w:type="dxa"/>
          <w:bottom w:w="0" w:type="dxa"/>
          <w:right w:w="0" w:type="dxa"/>
        </w:tblCellMar>
      </w:tblPr>
      <w:tr>
        <w:trPr>
          <w:trHeight w:val="294"/>
        </w:trPr>
        <w:tc>
          <w:tcPr>
            <w:tcW w:w="980" w:type="dxa"/>
            <w:vAlign w:val="bottom"/>
          </w:tcPr>
          <w:p>
            <w:pPr>
              <w:spacing w:after="0"/>
              <w:rPr>
                <w:sz w:val="24"/>
                <w:szCs w:val="24"/>
                <w:color w:val="auto"/>
              </w:rPr>
            </w:pPr>
          </w:p>
        </w:tc>
        <w:tc>
          <w:tcPr>
            <w:tcW w:w="1160" w:type="dxa"/>
            <w:vAlign w:val="bottom"/>
            <w:tcBorders>
              <w:top w:val="single" w:sz="8" w:color="808080"/>
            </w:tcBorders>
            <w:vMerge w:val="restart"/>
            <w:shd w:val="clear" w:color="auto" w:fill="0C426A"/>
          </w:tcPr>
          <w:p>
            <w:pPr>
              <w:ind w:left="40"/>
              <w:spacing w:after="0"/>
              <w:rPr>
                <w:sz w:val="20"/>
                <w:szCs w:val="20"/>
                <w:color w:val="auto"/>
              </w:rPr>
            </w:pPr>
            <w:r>
              <w:rPr>
                <w:rFonts w:ascii="Arial" w:cs="Arial" w:eastAsia="Arial" w:hAnsi="Arial"/>
                <w:sz w:val="16"/>
                <w:szCs w:val="16"/>
                <w:color w:val="FFFFFF"/>
              </w:rPr>
              <w:t>Annual Cash</w:t>
            </w:r>
          </w:p>
        </w:tc>
        <w:tc>
          <w:tcPr>
            <w:tcW w:w="420" w:type="dxa"/>
            <w:vAlign w:val="bottom"/>
            <w:tcBorders>
              <w:top w:val="single" w:sz="8" w:color="808080"/>
            </w:tcBorders>
            <w:shd w:val="clear" w:color="auto" w:fill="0C426A"/>
          </w:tcPr>
          <w:p>
            <w:pPr>
              <w:spacing w:after="0"/>
              <w:rPr>
                <w:sz w:val="24"/>
                <w:szCs w:val="24"/>
                <w:color w:val="auto"/>
              </w:rPr>
            </w:pPr>
          </w:p>
        </w:tc>
        <w:tc>
          <w:tcPr>
            <w:tcW w:w="200" w:type="dxa"/>
            <w:vAlign w:val="bottom"/>
            <w:tcBorders>
              <w:top w:val="single" w:sz="8" w:color="808080"/>
            </w:tcBorders>
            <w:shd w:val="clear" w:color="auto" w:fill="0C426A"/>
          </w:tcPr>
          <w:p>
            <w:pPr>
              <w:spacing w:after="0"/>
              <w:rPr>
                <w:sz w:val="24"/>
                <w:szCs w:val="24"/>
                <w:color w:val="auto"/>
              </w:rPr>
            </w:pPr>
          </w:p>
        </w:tc>
        <w:tc>
          <w:tcPr>
            <w:tcW w:w="220" w:type="dxa"/>
            <w:vAlign w:val="bottom"/>
            <w:tcBorders>
              <w:top w:val="single" w:sz="8" w:color="808080"/>
            </w:tcBorders>
          </w:tcPr>
          <w:p>
            <w:pPr>
              <w:spacing w:after="0"/>
              <w:rPr>
                <w:sz w:val="24"/>
                <w:szCs w:val="24"/>
                <w:color w:val="auto"/>
              </w:rPr>
            </w:pPr>
          </w:p>
        </w:tc>
        <w:tc>
          <w:tcPr>
            <w:tcW w:w="1740" w:type="dxa"/>
            <w:vAlign w:val="bottom"/>
            <w:tcBorders>
              <w:top w:val="single" w:sz="8" w:color="808080"/>
            </w:tcBorders>
          </w:tcPr>
          <w:p>
            <w:pPr>
              <w:ind w:left="200"/>
              <w:spacing w:after="0"/>
              <w:rPr>
                <w:sz w:val="20"/>
                <w:szCs w:val="20"/>
                <w:color w:val="auto"/>
              </w:rPr>
            </w:pPr>
            <w:r>
              <w:rPr>
                <w:rFonts w:ascii="Arial" w:cs="Arial" w:eastAsia="Arial" w:hAnsi="Arial"/>
                <w:sz w:val="16"/>
                <w:szCs w:val="16"/>
                <w:color w:val="auto"/>
              </w:rPr>
              <w:t> </w:t>
            </w:r>
          </w:p>
        </w:tc>
        <w:tc>
          <w:tcPr>
            <w:tcW w:w="900" w:type="dxa"/>
            <w:vAlign w:val="bottom"/>
            <w:tcBorders>
              <w:top w:val="single" w:sz="8" w:color="808080"/>
            </w:tcBorders>
          </w:tcPr>
          <w:p>
            <w:pPr>
              <w:spacing w:after="0"/>
              <w:rPr>
                <w:sz w:val="24"/>
                <w:szCs w:val="24"/>
                <w:color w:val="auto"/>
              </w:rPr>
            </w:pPr>
          </w:p>
        </w:tc>
        <w:tc>
          <w:tcPr>
            <w:tcW w:w="420" w:type="dxa"/>
            <w:vAlign w:val="bottom"/>
            <w:tcBorders>
              <w:top w:val="single" w:sz="8" w:color="808080"/>
            </w:tcBorders>
          </w:tcPr>
          <w:p>
            <w:pPr>
              <w:spacing w:after="0"/>
              <w:rPr>
                <w:sz w:val="24"/>
                <w:szCs w:val="24"/>
                <w:color w:val="auto"/>
              </w:rPr>
            </w:pPr>
          </w:p>
        </w:tc>
        <w:tc>
          <w:tcPr>
            <w:tcW w:w="3820" w:type="dxa"/>
            <w:vAlign w:val="bottom"/>
            <w:tcBorders>
              <w:top w:val="single" w:sz="8" w:color="808080"/>
            </w:tcBorders>
          </w:tcPr>
          <w:p>
            <w:pPr>
              <w:ind w:left="22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Earnings Per Share</w:t>
            </w:r>
          </w:p>
        </w:tc>
        <w:tc>
          <w:tcPr>
            <w:tcW w:w="100" w:type="dxa"/>
            <w:vAlign w:val="bottom"/>
            <w:tcBorders>
              <w:top w:val="single" w:sz="8" w:color="808080"/>
            </w:tcBorders>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80" w:type="dxa"/>
            <w:vAlign w:val="bottom"/>
          </w:tcPr>
          <w:p>
            <w:pPr>
              <w:spacing w:after="0"/>
              <w:rPr>
                <w:sz w:val="8"/>
                <w:szCs w:val="8"/>
                <w:color w:val="auto"/>
              </w:rPr>
            </w:pPr>
          </w:p>
        </w:tc>
        <w:tc>
          <w:tcPr>
            <w:tcW w:w="1160" w:type="dxa"/>
            <w:vAlign w:val="bottom"/>
            <w:vMerge w:val="continue"/>
            <w:shd w:val="clear" w:color="auto" w:fill="0C426A"/>
          </w:tcPr>
          <w:p>
            <w:pPr>
              <w:spacing w:after="0"/>
              <w:rPr>
                <w:sz w:val="8"/>
                <w:szCs w:val="8"/>
                <w:color w:val="auto"/>
              </w:rPr>
            </w:pPr>
          </w:p>
        </w:tc>
        <w:tc>
          <w:tcPr>
            <w:tcW w:w="420" w:type="dxa"/>
            <w:vAlign w:val="bottom"/>
            <w:shd w:val="clear" w:color="auto" w:fill="0C426A"/>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shd w:val="clear" w:color="auto" w:fill="0C426A"/>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spacing w:after="0"/>
              <w:rPr>
                <w:sz w:val="8"/>
                <w:szCs w:val="8"/>
                <w:color w:val="auto"/>
              </w:rPr>
            </w:pPr>
          </w:p>
        </w:tc>
        <w:tc>
          <w:tcPr>
            <w:tcW w:w="1740" w:type="dxa"/>
            <w:vAlign w:val="bottom"/>
            <w:vMerge w:val="restart"/>
          </w:tcPr>
          <w:p>
            <w:pPr>
              <w:ind w:left="200"/>
              <w:spacing w:after="0"/>
              <w:rPr>
                <w:sz w:val="20"/>
                <w:szCs w:val="20"/>
                <w:color w:val="auto"/>
              </w:rPr>
            </w:pPr>
            <w:r>
              <w:rPr>
                <w:rFonts w:ascii="Arial" w:cs="Arial" w:eastAsia="Arial" w:hAnsi="Arial"/>
                <w:sz w:val="16"/>
                <w:szCs w:val="16"/>
                <w:color w:val="auto"/>
              </w:rPr>
              <w:t>Annual</w:t>
            </w:r>
          </w:p>
        </w:tc>
        <w:tc>
          <w:tcPr>
            <w:tcW w:w="900" w:type="dxa"/>
            <w:vAlign w:val="bottom"/>
          </w:tcPr>
          <w:p>
            <w:pPr>
              <w:ind w:left="68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3820" w:type="dxa"/>
            <w:vAlign w:val="bottom"/>
            <w:vMerge w:val="restart"/>
          </w:tcPr>
          <w:p>
            <w:pPr>
              <w:ind w:left="22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Cash Conversion</w:t>
            </w: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980" w:type="dxa"/>
            <w:vAlign w:val="bottom"/>
          </w:tcPr>
          <w:p>
            <w:pPr>
              <w:spacing w:after="0"/>
              <w:rPr>
                <w:sz w:val="8"/>
                <w:szCs w:val="8"/>
                <w:color w:val="auto"/>
              </w:rPr>
            </w:pPr>
          </w:p>
        </w:tc>
        <w:tc>
          <w:tcPr>
            <w:tcW w:w="1160" w:type="dxa"/>
            <w:vAlign w:val="bottom"/>
            <w:vMerge w:val="restart"/>
            <w:shd w:val="clear" w:color="auto" w:fill="0C426A"/>
          </w:tcPr>
          <w:p>
            <w:pPr>
              <w:ind w:left="40"/>
              <w:spacing w:after="0"/>
              <w:rPr>
                <w:sz w:val="20"/>
                <w:szCs w:val="20"/>
                <w:color w:val="auto"/>
              </w:rPr>
            </w:pPr>
            <w:r>
              <w:rPr>
                <w:rFonts w:ascii="Arial" w:cs="Arial" w:eastAsia="Arial" w:hAnsi="Arial"/>
                <w:sz w:val="16"/>
                <w:szCs w:val="16"/>
                <w:color w:val="FFFFFF"/>
              </w:rPr>
              <w:t>Incentive</w:t>
            </w:r>
          </w:p>
        </w:tc>
        <w:tc>
          <w:tcPr>
            <w:tcW w:w="420" w:type="dxa"/>
            <w:vAlign w:val="bottom"/>
            <w:shd w:val="clear" w:color="auto" w:fill="0C426A"/>
          </w:tcPr>
          <w:p>
            <w:pPr>
              <w:spacing w:after="0"/>
              <w:rPr>
                <w:sz w:val="8"/>
                <w:szCs w:val="8"/>
                <w:color w:val="auto"/>
              </w:rPr>
            </w:pPr>
          </w:p>
        </w:tc>
        <w:tc>
          <w:tcPr>
            <w:tcW w:w="200" w:type="dxa"/>
            <w:vAlign w:val="bottom"/>
            <w:shd w:val="clear" w:color="auto" w:fill="0C426A"/>
          </w:tcPr>
          <w:p>
            <w:pPr>
              <w:spacing w:after="0"/>
              <w:rPr>
                <w:sz w:val="8"/>
                <w:szCs w:val="8"/>
                <w:color w:val="auto"/>
              </w:rPr>
            </w:pPr>
          </w:p>
        </w:tc>
        <w:tc>
          <w:tcPr>
            <w:tcW w:w="22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80" w:type="dxa"/>
            <w:vAlign w:val="bottom"/>
          </w:tcPr>
          <w:p>
            <w:pPr>
              <w:spacing w:after="0"/>
              <w:rPr>
                <w:sz w:val="10"/>
                <w:szCs w:val="10"/>
                <w:color w:val="auto"/>
              </w:rPr>
            </w:pPr>
          </w:p>
        </w:tc>
        <w:tc>
          <w:tcPr>
            <w:tcW w:w="1160" w:type="dxa"/>
            <w:vAlign w:val="bottom"/>
            <w:vMerge w:val="continue"/>
            <w:shd w:val="clear" w:color="auto" w:fill="0C426A"/>
          </w:tcPr>
          <w:p>
            <w:pPr>
              <w:spacing w:after="0"/>
              <w:rPr>
                <w:sz w:val="10"/>
                <w:szCs w:val="10"/>
                <w:color w:val="auto"/>
              </w:rPr>
            </w:pPr>
          </w:p>
        </w:tc>
        <w:tc>
          <w:tcPr>
            <w:tcW w:w="420" w:type="dxa"/>
            <w:vAlign w:val="bottom"/>
            <w:shd w:val="clear" w:color="auto" w:fill="0C426A"/>
          </w:tcPr>
          <w:p>
            <w:pPr>
              <w:spacing w:after="0"/>
              <w:rPr>
                <w:sz w:val="10"/>
                <w:szCs w:val="10"/>
                <w:color w:val="auto"/>
              </w:rPr>
            </w:pPr>
          </w:p>
        </w:tc>
        <w:tc>
          <w:tcPr>
            <w:tcW w:w="200" w:type="dxa"/>
            <w:vAlign w:val="bottom"/>
            <w:shd w:val="clear" w:color="auto" w:fill="0C426A"/>
          </w:tcPr>
          <w:p>
            <w:pPr>
              <w:spacing w:after="0"/>
              <w:rPr>
                <w:sz w:val="10"/>
                <w:szCs w:val="10"/>
                <w:color w:val="auto"/>
              </w:rPr>
            </w:pPr>
          </w:p>
        </w:tc>
        <w:tc>
          <w:tcPr>
            <w:tcW w:w="220" w:type="dxa"/>
            <w:vAlign w:val="bottom"/>
          </w:tcPr>
          <w:p>
            <w:pPr>
              <w:spacing w:after="0"/>
              <w:rPr>
                <w:sz w:val="10"/>
                <w:szCs w:val="10"/>
                <w:color w:val="auto"/>
              </w:rPr>
            </w:pPr>
          </w:p>
        </w:tc>
        <w:tc>
          <w:tcPr>
            <w:tcW w:w="1740" w:type="dxa"/>
            <w:vAlign w:val="bottom"/>
            <w:vMerge w:val="restart"/>
          </w:tcPr>
          <w:p>
            <w:pPr>
              <w:ind w:left="200"/>
              <w:spacing w:after="0"/>
              <w:rPr>
                <w:sz w:val="20"/>
                <w:szCs w:val="20"/>
                <w:color w:val="auto"/>
              </w:rPr>
            </w:pPr>
            <w:r>
              <w:rPr>
                <w:rFonts w:ascii="Arial" w:cs="Arial" w:eastAsia="Arial" w:hAnsi="Arial"/>
                <w:sz w:val="16"/>
                <w:szCs w:val="16"/>
                <w:color w:val="auto"/>
              </w:rPr>
              <w:t> </w:t>
            </w:r>
          </w:p>
        </w:tc>
        <w:tc>
          <w:tcPr>
            <w:tcW w:w="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20" w:type="dxa"/>
            <w:vAlign w:val="bottom"/>
            <w:vMerge w:val="restart"/>
          </w:tcPr>
          <w:p>
            <w:pPr>
              <w:ind w:left="22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Personal performance modifier</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980" w:type="dxa"/>
            <w:vAlign w:val="bottom"/>
          </w:tcPr>
          <w:p>
            <w:pPr>
              <w:spacing w:after="0"/>
              <w:rPr>
                <w:sz w:val="8"/>
                <w:szCs w:val="8"/>
                <w:color w:val="auto"/>
              </w:rPr>
            </w:pPr>
          </w:p>
        </w:tc>
        <w:tc>
          <w:tcPr>
            <w:tcW w:w="1160" w:type="dxa"/>
            <w:vAlign w:val="bottom"/>
            <w:shd w:val="clear" w:color="auto" w:fill="0C426A"/>
          </w:tcPr>
          <w:p>
            <w:pPr>
              <w:spacing w:after="0"/>
              <w:rPr>
                <w:sz w:val="8"/>
                <w:szCs w:val="8"/>
                <w:color w:val="auto"/>
              </w:rPr>
            </w:pPr>
          </w:p>
        </w:tc>
        <w:tc>
          <w:tcPr>
            <w:tcW w:w="420" w:type="dxa"/>
            <w:vAlign w:val="bottom"/>
            <w:shd w:val="clear" w:color="auto" w:fill="0C426A"/>
          </w:tcPr>
          <w:p>
            <w:pPr>
              <w:spacing w:after="0"/>
              <w:rPr>
                <w:sz w:val="8"/>
                <w:szCs w:val="8"/>
                <w:color w:val="auto"/>
              </w:rPr>
            </w:pPr>
          </w:p>
        </w:tc>
        <w:tc>
          <w:tcPr>
            <w:tcW w:w="200" w:type="dxa"/>
            <w:vAlign w:val="bottom"/>
            <w:shd w:val="clear" w:color="auto" w:fill="0C426A"/>
          </w:tcPr>
          <w:p>
            <w:pPr>
              <w:spacing w:after="0"/>
              <w:rPr>
                <w:sz w:val="8"/>
                <w:szCs w:val="8"/>
                <w:color w:val="auto"/>
              </w:rPr>
            </w:pPr>
          </w:p>
        </w:tc>
        <w:tc>
          <w:tcPr>
            <w:tcW w:w="22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1160" w:type="dxa"/>
            <w:vAlign w:val="bottom"/>
            <w:tcBorders>
              <w:bottom w:val="single" w:sz="8" w:color="808080"/>
            </w:tcBorders>
            <w:shd w:val="clear" w:color="auto" w:fill="0C426A"/>
          </w:tcPr>
          <w:p>
            <w:pPr>
              <w:spacing w:after="0"/>
              <w:rPr>
                <w:sz w:val="8"/>
                <w:szCs w:val="8"/>
                <w:color w:val="auto"/>
              </w:rPr>
            </w:pPr>
          </w:p>
        </w:tc>
        <w:tc>
          <w:tcPr>
            <w:tcW w:w="420" w:type="dxa"/>
            <w:vAlign w:val="bottom"/>
            <w:tcBorders>
              <w:bottom w:val="single" w:sz="8" w:color="808080"/>
            </w:tcBorders>
            <w:shd w:val="clear" w:color="auto" w:fill="0C426A"/>
          </w:tcPr>
          <w:p>
            <w:pPr>
              <w:spacing w:after="0"/>
              <w:rPr>
                <w:sz w:val="8"/>
                <w:szCs w:val="8"/>
                <w:color w:val="auto"/>
              </w:rPr>
            </w:pPr>
          </w:p>
        </w:tc>
        <w:tc>
          <w:tcPr>
            <w:tcW w:w="200" w:type="dxa"/>
            <w:vAlign w:val="bottom"/>
            <w:tcBorders>
              <w:bottom w:val="single" w:sz="8" w:color="808080"/>
            </w:tcBorders>
            <w:shd w:val="clear" w:color="auto" w:fill="0C426A"/>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980" w:type="dxa"/>
            <w:vAlign w:val="bottom"/>
          </w:tcPr>
          <w:p>
            <w:pPr>
              <w:spacing w:after="0"/>
              <w:rPr>
                <w:sz w:val="23"/>
                <w:szCs w:val="23"/>
                <w:color w:val="auto"/>
              </w:rPr>
            </w:pPr>
          </w:p>
        </w:tc>
        <w:tc>
          <w:tcPr>
            <w:tcW w:w="1160" w:type="dxa"/>
            <w:vAlign w:val="bottom"/>
            <w:shd w:val="clear" w:color="auto" w:fill="808080"/>
          </w:tcPr>
          <w:p>
            <w:pPr>
              <w:ind w:left="40"/>
              <w:spacing w:after="0"/>
              <w:rPr>
                <w:sz w:val="20"/>
                <w:szCs w:val="20"/>
                <w:color w:val="auto"/>
              </w:rPr>
            </w:pPr>
            <w:r>
              <w:rPr>
                <w:rFonts w:ascii="Arial" w:cs="Arial" w:eastAsia="Arial" w:hAnsi="Arial"/>
                <w:sz w:val="16"/>
                <w:szCs w:val="16"/>
                <w:color w:val="FFFFFF"/>
              </w:rPr>
              <w:t>Long-Term</w:t>
            </w:r>
          </w:p>
        </w:tc>
        <w:tc>
          <w:tcPr>
            <w:tcW w:w="420" w:type="dxa"/>
            <w:vAlign w:val="bottom"/>
            <w:shd w:val="clear" w:color="auto" w:fill="808080"/>
          </w:tcPr>
          <w:p>
            <w:pPr>
              <w:spacing w:after="0"/>
              <w:rPr>
                <w:sz w:val="23"/>
                <w:szCs w:val="23"/>
                <w:color w:val="auto"/>
              </w:rPr>
            </w:pPr>
          </w:p>
        </w:tc>
        <w:tc>
          <w:tcPr>
            <w:tcW w:w="200" w:type="dxa"/>
            <w:vAlign w:val="bottom"/>
            <w:shd w:val="clear" w:color="auto" w:fill="808080"/>
          </w:tcPr>
          <w:p>
            <w:pPr>
              <w:spacing w:after="0"/>
              <w:rPr>
                <w:sz w:val="23"/>
                <w:szCs w:val="23"/>
                <w:color w:val="auto"/>
              </w:rPr>
            </w:pPr>
          </w:p>
        </w:tc>
        <w:tc>
          <w:tcPr>
            <w:tcW w:w="220" w:type="dxa"/>
            <w:vAlign w:val="bottom"/>
          </w:tcPr>
          <w:p>
            <w:pPr>
              <w:spacing w:after="0"/>
              <w:rPr>
                <w:sz w:val="23"/>
                <w:szCs w:val="23"/>
                <w:color w:val="auto"/>
              </w:rPr>
            </w:pPr>
          </w:p>
        </w:tc>
        <w:tc>
          <w:tcPr>
            <w:tcW w:w="1740" w:type="dxa"/>
            <w:vAlign w:val="bottom"/>
          </w:tcPr>
          <w:p>
            <w:pPr>
              <w:ind w:left="200"/>
              <w:spacing w:after="0"/>
              <w:rPr>
                <w:sz w:val="20"/>
                <w:szCs w:val="20"/>
                <w:color w:val="auto"/>
              </w:rPr>
            </w:pPr>
            <w:r>
              <w:rPr>
                <w:rFonts w:ascii="Arial" w:cs="Arial" w:eastAsia="Arial" w:hAnsi="Arial"/>
                <w:sz w:val="16"/>
                <w:szCs w:val="16"/>
                <w:color w:val="auto"/>
              </w:rPr>
              <w:t> </w:t>
            </w: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20" w:type="dxa"/>
            <w:vAlign w:val="bottom"/>
          </w:tcPr>
          <w:p>
            <w:pPr>
              <w:ind w:left="22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3-year average annual return on invested capital</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1160" w:type="dxa"/>
            <w:vAlign w:val="bottom"/>
            <w:shd w:val="clear" w:color="auto" w:fill="808080"/>
          </w:tcPr>
          <w:p>
            <w:pPr>
              <w:ind w:left="40"/>
              <w:spacing w:after="0" w:line="108" w:lineRule="exact"/>
              <w:rPr>
                <w:sz w:val="20"/>
                <w:szCs w:val="20"/>
                <w:color w:val="auto"/>
              </w:rPr>
            </w:pPr>
            <w:r>
              <w:rPr>
                <w:rFonts w:ascii="Arial" w:cs="Arial" w:eastAsia="Arial" w:hAnsi="Arial"/>
                <w:sz w:val="12"/>
                <w:szCs w:val="12"/>
                <w:color w:val="FFFFFF"/>
              </w:rPr>
              <w:t>Equity</w:t>
            </w:r>
          </w:p>
        </w:tc>
        <w:tc>
          <w:tcPr>
            <w:tcW w:w="420" w:type="dxa"/>
            <w:vAlign w:val="bottom"/>
            <w:shd w:val="clear" w:color="auto" w:fill="808080"/>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shd w:val="clear" w:color="auto" w:fill="808080"/>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spacing w:after="0"/>
              <w:rPr>
                <w:sz w:val="10"/>
                <w:szCs w:val="10"/>
                <w:color w:val="auto"/>
              </w:rPr>
            </w:pPr>
          </w:p>
        </w:tc>
        <w:tc>
          <w:tcPr>
            <w:tcW w:w="1740" w:type="dxa"/>
            <w:vAlign w:val="bottom"/>
          </w:tcPr>
          <w:p>
            <w:pPr>
              <w:ind w:left="200"/>
              <w:spacing w:after="0" w:line="108" w:lineRule="exact"/>
              <w:rPr>
                <w:sz w:val="20"/>
                <w:szCs w:val="20"/>
                <w:color w:val="auto"/>
              </w:rPr>
            </w:pPr>
            <w:r>
              <w:rPr>
                <w:rFonts w:ascii="Arial" w:cs="Arial" w:eastAsia="Arial" w:hAnsi="Arial"/>
                <w:sz w:val="12"/>
                <w:szCs w:val="12"/>
                <w:color w:val="auto"/>
              </w:rPr>
              <w:t>Three years</w:t>
            </w:r>
          </w:p>
        </w:tc>
        <w:tc>
          <w:tcPr>
            <w:tcW w:w="900" w:type="dxa"/>
            <w:vAlign w:val="bottom"/>
          </w:tcPr>
          <w:p>
            <w:pPr>
              <w:ind w:left="68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3820" w:type="dxa"/>
            <w:vAlign w:val="bottom"/>
          </w:tcPr>
          <w:p>
            <w:pPr>
              <w:ind w:left="220"/>
              <w:spacing w:after="0" w:line="108" w:lineRule="exact"/>
              <w:rPr>
                <w:sz w:val="20"/>
                <w:szCs w:val="20"/>
                <w:color w:val="auto"/>
              </w:rPr>
            </w:pPr>
            <w:r>
              <w:rPr>
                <w:rFonts w:ascii="Arial" w:cs="Arial" w:eastAsia="Arial" w:hAnsi="Arial"/>
                <w:sz w:val="12"/>
                <w:szCs w:val="12"/>
                <w:color w:val="4297CB"/>
              </w:rPr>
              <w:t>•</w:t>
            </w:r>
            <w:r>
              <w:rPr>
                <w:rFonts w:ascii="Arial" w:cs="Arial" w:eastAsia="Arial" w:hAnsi="Arial"/>
                <w:sz w:val="12"/>
                <w:szCs w:val="12"/>
                <w:color w:val="000000"/>
              </w:rPr>
              <w:t xml:space="preserve">  3-year average annual cash conversion</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tcPr>
          <w:p>
            <w:pPr>
              <w:spacing w:after="0"/>
              <w:rPr>
                <w:sz w:val="24"/>
                <w:szCs w:val="24"/>
                <w:color w:val="auto"/>
              </w:rPr>
            </w:pPr>
          </w:p>
        </w:tc>
        <w:tc>
          <w:tcPr>
            <w:tcW w:w="1160" w:type="dxa"/>
            <w:vAlign w:val="bottom"/>
            <w:shd w:val="clear" w:color="auto" w:fill="808080"/>
          </w:tcPr>
          <w:p>
            <w:pPr>
              <w:ind w:left="40"/>
              <w:spacing w:after="0"/>
              <w:rPr>
                <w:sz w:val="20"/>
                <w:szCs w:val="20"/>
                <w:color w:val="auto"/>
              </w:rPr>
            </w:pPr>
            <w:r>
              <w:rPr>
                <w:rFonts w:ascii="Arial" w:cs="Arial" w:eastAsia="Arial" w:hAnsi="Arial"/>
                <w:sz w:val="16"/>
                <w:szCs w:val="16"/>
                <w:color w:val="FFFFFF"/>
              </w:rPr>
              <w:t>Incentives</w:t>
            </w:r>
          </w:p>
        </w:tc>
        <w:tc>
          <w:tcPr>
            <w:tcW w:w="420" w:type="dxa"/>
            <w:vAlign w:val="bottom"/>
            <w:shd w:val="clear" w:color="auto" w:fill="808080"/>
          </w:tcPr>
          <w:p>
            <w:pPr>
              <w:spacing w:after="0"/>
              <w:rPr>
                <w:sz w:val="24"/>
                <w:szCs w:val="24"/>
                <w:color w:val="auto"/>
              </w:rPr>
            </w:pPr>
          </w:p>
        </w:tc>
        <w:tc>
          <w:tcPr>
            <w:tcW w:w="200" w:type="dxa"/>
            <w:vAlign w:val="bottom"/>
            <w:shd w:val="clear" w:color="auto" w:fill="808080"/>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ind w:left="200"/>
              <w:spacing w:after="0"/>
              <w:rPr>
                <w:sz w:val="20"/>
                <w:szCs w:val="20"/>
                <w:color w:val="auto"/>
              </w:rPr>
            </w:pPr>
            <w:r>
              <w:rPr>
                <w:rFonts w:ascii="Arial" w:cs="Arial" w:eastAsia="Arial" w:hAnsi="Arial"/>
                <w:sz w:val="16"/>
                <w:szCs w:val="16"/>
                <w:color w:val="auto"/>
              </w:rPr>
              <w:t> </w:t>
            </w: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20" w:type="dxa"/>
            <w:vAlign w:val="bottom"/>
          </w:tcPr>
          <w:p>
            <w:pPr>
              <w:ind w:left="22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Relative stockholder return modifier</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1160" w:type="dxa"/>
            <w:vAlign w:val="bottom"/>
            <w:tcBorders>
              <w:bottom w:val="single" w:sz="8" w:color="auto"/>
            </w:tcBorders>
            <w:shd w:val="clear" w:color="auto" w:fill="808080"/>
          </w:tcPr>
          <w:p>
            <w:pPr>
              <w:spacing w:after="0"/>
              <w:rPr>
                <w:sz w:val="8"/>
                <w:szCs w:val="8"/>
                <w:color w:val="auto"/>
              </w:rPr>
            </w:pPr>
          </w:p>
        </w:tc>
        <w:tc>
          <w:tcPr>
            <w:tcW w:w="420" w:type="dxa"/>
            <w:vAlign w:val="bottom"/>
            <w:tcBorders>
              <w:bottom w:val="single" w:sz="8" w:color="auto"/>
            </w:tcBorders>
            <w:shd w:val="clear" w:color="auto" w:fill="808080"/>
          </w:tcPr>
          <w:p>
            <w:pPr>
              <w:spacing w:after="0"/>
              <w:rPr>
                <w:sz w:val="8"/>
                <w:szCs w:val="8"/>
                <w:color w:val="auto"/>
              </w:rPr>
            </w:pPr>
          </w:p>
        </w:tc>
        <w:tc>
          <w:tcPr>
            <w:tcW w:w="200" w:type="dxa"/>
            <w:vAlign w:val="bottom"/>
            <w:tcBorders>
              <w:bottom w:val="single" w:sz="8" w:color="auto"/>
            </w:tcBorders>
            <w:shd w:val="clear" w:color="auto" w:fill="808080"/>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5"/>
        </w:trPr>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20" w:type="dxa"/>
            <w:vAlign w:val="bottom"/>
          </w:tcPr>
          <w:p>
            <w:pPr>
              <w:ind w:left="34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9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-415925</wp:posOffset>
            </wp:positionV>
            <wp:extent cx="501650" cy="170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Proxy Statement Summary</w:t>
      </w:r>
    </w:p>
    <w:p>
      <w:pPr>
        <w:spacing w:after="0" w:line="169" w:lineRule="exact"/>
        <w:rPr>
          <w:sz w:val="20"/>
          <w:szCs w:val="20"/>
          <w:color w:val="auto"/>
        </w:rPr>
      </w:pPr>
    </w:p>
    <w:p>
      <w:pPr>
        <w:spacing w:after="0"/>
        <w:rPr>
          <w:sz w:val="20"/>
          <w:szCs w:val="20"/>
          <w:color w:val="auto"/>
        </w:rPr>
      </w:pPr>
      <w:r>
        <w:rPr>
          <w:rFonts w:ascii="Arial" w:cs="Arial" w:eastAsia="Arial" w:hAnsi="Arial"/>
          <w:sz w:val="29"/>
          <w:szCs w:val="29"/>
          <w:color w:val="636466"/>
        </w:rPr>
        <w:t>CEO and NEO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200025</wp:posOffset>
            </wp:positionV>
            <wp:extent cx="5483860" cy="15557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83860" cy="155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455"/>
        </w:trPr>
        <w:tc>
          <w:tcPr>
            <w:tcW w:w="80" w:type="dxa"/>
            <w:vAlign w:val="bottom"/>
            <w:shd w:val="clear" w:color="auto" w:fill="E02826"/>
          </w:tcPr>
          <w:p>
            <w:pPr>
              <w:spacing w:after="0"/>
              <w:rPr>
                <w:sz w:val="24"/>
                <w:szCs w:val="24"/>
                <w:color w:val="auto"/>
              </w:rPr>
            </w:pPr>
          </w:p>
        </w:tc>
        <w:tc>
          <w:tcPr>
            <w:tcW w:w="1040" w:type="dxa"/>
            <w:vAlign w:val="bottom"/>
            <w:shd w:val="clear" w:color="auto" w:fill="0C426A"/>
          </w:tcPr>
          <w:p>
            <w:pPr>
              <w:jc w:val="center"/>
              <w:spacing w:after="0"/>
              <w:rPr>
                <w:sz w:val="20"/>
                <w:szCs w:val="20"/>
                <w:color w:val="auto"/>
              </w:rPr>
            </w:pPr>
            <w:r>
              <w:rPr>
                <w:rFonts w:ascii="Arial" w:cs="Arial" w:eastAsia="Arial" w:hAnsi="Arial"/>
                <w:sz w:val="18"/>
                <w:szCs w:val="18"/>
                <w:b w:val="1"/>
                <w:bCs w:val="1"/>
                <w:color w:val="FFFFFF"/>
              </w:rPr>
              <w:t>Proposal</w:t>
            </w:r>
          </w:p>
        </w:tc>
        <w:tc>
          <w:tcPr>
            <w:tcW w:w="6600" w:type="dxa"/>
            <w:vAlign w:val="bottom"/>
            <w:gridSpan w:val="2"/>
            <w:shd w:val="clear" w:color="auto" w:fill="E9EFF7"/>
          </w:tcPr>
          <w:p>
            <w:pPr>
              <w:ind w:left="220"/>
              <w:spacing w:after="0"/>
              <w:rPr>
                <w:sz w:val="20"/>
                <w:szCs w:val="20"/>
                <w:color w:val="auto"/>
              </w:rPr>
            </w:pPr>
            <w:r>
              <w:rPr>
                <w:rFonts w:ascii="Arial" w:cs="Arial" w:eastAsia="Arial" w:hAnsi="Arial"/>
                <w:sz w:val="25"/>
                <w:szCs w:val="25"/>
                <w:b w:val="1"/>
                <w:bCs w:val="1"/>
                <w:color w:val="auto"/>
              </w:rPr>
              <w:t>Ratify Independent Registered Public Accounting</w:t>
            </w:r>
          </w:p>
        </w:tc>
        <w:tc>
          <w:tcPr>
            <w:tcW w:w="500" w:type="dxa"/>
            <w:vAlign w:val="bottom"/>
            <w:shd w:val="clear" w:color="auto" w:fill="E9EFF7"/>
          </w:tcPr>
          <w:p>
            <w:pPr>
              <w:spacing w:after="0"/>
              <w:rPr>
                <w:sz w:val="24"/>
                <w:szCs w:val="24"/>
                <w:color w:val="auto"/>
              </w:rPr>
            </w:pPr>
          </w:p>
        </w:tc>
        <w:tc>
          <w:tcPr>
            <w:tcW w:w="240" w:type="dxa"/>
            <w:vAlign w:val="bottom"/>
            <w:shd w:val="clear" w:color="auto" w:fill="E9EFF7"/>
          </w:tcPr>
          <w:p>
            <w:pPr>
              <w:spacing w:after="0"/>
              <w:rPr>
                <w:sz w:val="24"/>
                <w:szCs w:val="24"/>
                <w:color w:val="auto"/>
              </w:rPr>
            </w:pPr>
          </w:p>
        </w:tc>
        <w:tc>
          <w:tcPr>
            <w:tcW w:w="520" w:type="dxa"/>
            <w:vAlign w:val="bottom"/>
            <w:shd w:val="clear" w:color="auto" w:fill="E9EFF7"/>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80" w:type="dxa"/>
            <w:vAlign w:val="bottom"/>
            <w:shd w:val="clear" w:color="auto" w:fill="E02826"/>
          </w:tcPr>
          <w:p>
            <w:pPr>
              <w:spacing w:after="0"/>
              <w:rPr>
                <w:sz w:val="24"/>
                <w:szCs w:val="24"/>
                <w:color w:val="auto"/>
              </w:rPr>
            </w:pPr>
          </w:p>
        </w:tc>
        <w:tc>
          <w:tcPr>
            <w:tcW w:w="1040" w:type="dxa"/>
            <w:vAlign w:val="bottom"/>
            <w:vMerge w:val="restart"/>
            <w:shd w:val="clear" w:color="auto" w:fill="0C426A"/>
          </w:tcPr>
          <w:p>
            <w:pPr>
              <w:jc w:val="right"/>
              <w:ind w:right="135"/>
              <w:spacing w:after="0"/>
              <w:rPr>
                <w:sz w:val="20"/>
                <w:szCs w:val="20"/>
                <w:color w:val="auto"/>
              </w:rPr>
            </w:pPr>
            <w:r>
              <w:rPr>
                <w:rFonts w:ascii="Arial" w:cs="Arial" w:eastAsia="Arial" w:hAnsi="Arial"/>
                <w:sz w:val="64"/>
                <w:szCs w:val="64"/>
                <w:b w:val="1"/>
                <w:bCs w:val="1"/>
                <w:color w:val="FFFFFF"/>
              </w:rPr>
              <w:t>3</w:t>
            </w:r>
          </w:p>
        </w:tc>
        <w:tc>
          <w:tcPr>
            <w:tcW w:w="760" w:type="dxa"/>
            <w:vAlign w:val="bottom"/>
            <w:shd w:val="clear" w:color="auto" w:fill="E9EFF7"/>
          </w:tcPr>
          <w:p>
            <w:pPr>
              <w:ind w:left="220"/>
              <w:spacing w:after="0"/>
              <w:rPr>
                <w:sz w:val="20"/>
                <w:szCs w:val="20"/>
                <w:color w:val="auto"/>
              </w:rPr>
            </w:pPr>
            <w:r>
              <w:rPr>
                <w:rFonts w:ascii="Arial" w:cs="Arial" w:eastAsia="Arial" w:hAnsi="Arial"/>
                <w:sz w:val="25"/>
                <w:szCs w:val="25"/>
                <w:b w:val="1"/>
                <w:bCs w:val="1"/>
                <w:color w:val="auto"/>
                <w:w w:val="95"/>
              </w:rPr>
              <w:t>Firm</w:t>
            </w:r>
          </w:p>
        </w:tc>
        <w:tc>
          <w:tcPr>
            <w:tcW w:w="5840" w:type="dxa"/>
            <w:vAlign w:val="bottom"/>
            <w:shd w:val="clear" w:color="auto" w:fill="E9EFF7"/>
          </w:tcPr>
          <w:p>
            <w:pPr>
              <w:ind w:left="5640"/>
              <w:spacing w:after="0"/>
              <w:rPr>
                <w:sz w:val="20"/>
                <w:szCs w:val="20"/>
                <w:color w:val="auto"/>
              </w:rPr>
            </w:pPr>
            <w:r>
              <w:rPr>
                <w:rFonts w:ascii="Times New Roman" w:cs="Times New Roman" w:eastAsia="Times New Roman" w:hAnsi="Times New Roman"/>
                <w:sz w:val="4"/>
                <w:szCs w:val="4"/>
                <w:color w:val="auto"/>
              </w:rPr>
              <w:t>​​</w:t>
            </w:r>
          </w:p>
        </w:tc>
        <w:tc>
          <w:tcPr>
            <w:tcW w:w="1260" w:type="dxa"/>
            <w:vAlign w:val="bottom"/>
            <w:gridSpan w:val="3"/>
            <w:shd w:val="clear" w:color="auto" w:fill="E9EFF7"/>
          </w:tcPr>
          <w:p>
            <w:pPr>
              <w:jc w:val="center"/>
              <w:ind w:right="100"/>
              <w:spacing w:after="0"/>
              <w:rPr>
                <w:sz w:val="20"/>
                <w:szCs w:val="20"/>
                <w:color w:val="auto"/>
              </w:rPr>
            </w:pPr>
            <w:r>
              <w:rPr>
                <w:rFonts w:ascii="Arial" w:cs="Arial" w:eastAsia="Arial" w:hAnsi="Arial"/>
                <w:sz w:val="21"/>
                <w:szCs w:val="21"/>
                <w:color w:val="auto"/>
              </w:rPr>
              <w:t>See page</w:t>
            </w:r>
          </w:p>
        </w:tc>
        <w:tc>
          <w:tcPr>
            <w:tcW w:w="0" w:type="dxa"/>
            <w:vAlign w:val="bottom"/>
          </w:tcPr>
          <w:p>
            <w:pPr>
              <w:spacing w:after="0"/>
              <w:rPr>
                <w:sz w:val="1"/>
                <w:szCs w:val="1"/>
                <w:color w:val="auto"/>
              </w:rPr>
            </w:pPr>
          </w:p>
        </w:tc>
      </w:tr>
      <w:tr>
        <w:trPr>
          <w:trHeight w:val="161"/>
        </w:trPr>
        <w:tc>
          <w:tcPr>
            <w:tcW w:w="80" w:type="dxa"/>
            <w:vAlign w:val="bottom"/>
            <w:shd w:val="clear" w:color="auto" w:fill="E02826"/>
          </w:tcPr>
          <w:p>
            <w:pPr>
              <w:spacing w:after="0"/>
              <w:rPr>
                <w:sz w:val="13"/>
                <w:szCs w:val="13"/>
                <w:color w:val="auto"/>
              </w:rPr>
            </w:pPr>
          </w:p>
        </w:tc>
        <w:tc>
          <w:tcPr>
            <w:tcW w:w="1040" w:type="dxa"/>
            <w:vAlign w:val="bottom"/>
            <w:vMerge w:val="continue"/>
            <w:shd w:val="clear" w:color="auto" w:fill="0C426A"/>
          </w:tcPr>
          <w:p>
            <w:pPr>
              <w:spacing w:after="0"/>
              <w:rPr>
                <w:sz w:val="13"/>
                <w:szCs w:val="13"/>
                <w:color w:val="auto"/>
              </w:rPr>
            </w:pPr>
          </w:p>
        </w:tc>
        <w:tc>
          <w:tcPr>
            <w:tcW w:w="760" w:type="dxa"/>
            <w:vAlign w:val="bottom"/>
            <w:vMerge w:val="restart"/>
            <w:shd w:val="clear" w:color="auto" w:fill="E9EFF7"/>
          </w:tcPr>
          <w:p>
            <w:pPr>
              <w:ind w:left="460"/>
              <w:spacing w:after="0"/>
              <w:rPr>
                <w:sz w:val="20"/>
                <w:szCs w:val="20"/>
                <w:color w:val="auto"/>
              </w:rPr>
            </w:pPr>
            <w:r>
              <w:rPr>
                <w:rFonts w:ascii="Arial" w:cs="Arial" w:eastAsia="Arial" w:hAnsi="Arial"/>
                <w:sz w:val="21"/>
                <w:szCs w:val="21"/>
                <w:color w:val="auto"/>
              </w:rPr>
              <w:t xml:space="preserve">   </w:t>
            </w:r>
          </w:p>
        </w:tc>
        <w:tc>
          <w:tcPr>
            <w:tcW w:w="5840" w:type="dxa"/>
            <w:vAlign w:val="bottom"/>
            <w:vMerge w:val="restart"/>
            <w:shd w:val="clear" w:color="auto" w:fill="E9EFF7"/>
          </w:tcPr>
          <w:p>
            <w:pPr>
              <w:ind w:left="20"/>
              <w:spacing w:after="0"/>
              <w:rPr>
                <w:sz w:val="20"/>
                <w:szCs w:val="20"/>
                <w:color w:val="auto"/>
              </w:rPr>
            </w:pPr>
            <w:r>
              <w:rPr>
                <w:rFonts w:ascii="Arial" w:cs="Arial" w:eastAsia="Arial" w:hAnsi="Arial"/>
                <w:sz w:val="21"/>
                <w:szCs w:val="21"/>
                <w:color w:val="auto"/>
              </w:rPr>
              <w:t xml:space="preserve">The Board recommends a vote </w:t>
            </w:r>
            <w:r>
              <w:rPr>
                <w:rFonts w:ascii="Arial" w:cs="Arial" w:eastAsia="Arial" w:hAnsi="Arial"/>
                <w:sz w:val="21"/>
                <w:szCs w:val="21"/>
                <w:b w:val="1"/>
                <w:bCs w:val="1"/>
                <w:color w:val="4297CB"/>
              </w:rPr>
              <w:t>FOR</w:t>
            </w:r>
            <w:r>
              <w:rPr>
                <w:rFonts w:ascii="Arial" w:cs="Arial" w:eastAsia="Arial" w:hAnsi="Arial"/>
                <w:sz w:val="21"/>
                <w:szCs w:val="21"/>
                <w:color w:val="auto"/>
              </w:rPr>
              <w:t xml:space="preserve"> this proposal.</w:t>
            </w:r>
          </w:p>
        </w:tc>
        <w:tc>
          <w:tcPr>
            <w:tcW w:w="740" w:type="dxa"/>
            <w:vAlign w:val="bottom"/>
            <w:gridSpan w:val="2"/>
            <w:shd w:val="clear" w:color="auto" w:fill="E9EFF7"/>
          </w:tcPr>
          <w:p>
            <w:pPr>
              <w:jc w:val="right"/>
              <w:spacing w:after="0" w:line="161" w:lineRule="exact"/>
              <w:rPr>
                <w:sz w:val="20"/>
                <w:szCs w:val="20"/>
                <w:color w:val="auto"/>
              </w:rPr>
            </w:pPr>
            <w:r>
              <w:rPr>
                <w:rFonts w:ascii="Arial" w:cs="Arial" w:eastAsia="Arial" w:hAnsi="Arial"/>
                <w:sz w:val="18"/>
                <w:szCs w:val="18"/>
                <w:b w:val="1"/>
                <w:bCs w:val="1"/>
                <w:color w:val="0000EE"/>
              </w:rPr>
              <w:t>75</w:t>
            </w:r>
          </w:p>
        </w:tc>
        <w:tc>
          <w:tcPr>
            <w:tcW w:w="520" w:type="dxa"/>
            <w:vAlign w:val="bottom"/>
            <w:shd w:val="clear" w:color="auto" w:fill="E9EFF7"/>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80" w:type="dxa"/>
            <w:vAlign w:val="bottom"/>
            <w:tcBorders>
              <w:top w:val="single" w:sz="8" w:color="E02826"/>
            </w:tcBorders>
            <w:shd w:val="clear" w:color="auto" w:fill="E02826"/>
          </w:tcPr>
          <w:p>
            <w:pPr>
              <w:spacing w:after="0"/>
              <w:rPr>
                <w:sz w:val="24"/>
                <w:szCs w:val="24"/>
                <w:color w:val="auto"/>
              </w:rPr>
            </w:pPr>
          </w:p>
        </w:tc>
        <w:tc>
          <w:tcPr>
            <w:tcW w:w="1040" w:type="dxa"/>
            <w:vAlign w:val="bottom"/>
            <w:tcBorders>
              <w:top w:val="single" w:sz="8" w:color="0C426A"/>
            </w:tcBorders>
            <w:vMerge w:val="continue"/>
            <w:shd w:val="clear" w:color="auto" w:fill="0C426A"/>
          </w:tcPr>
          <w:p>
            <w:pPr>
              <w:spacing w:after="0"/>
              <w:rPr>
                <w:sz w:val="24"/>
                <w:szCs w:val="24"/>
                <w:color w:val="auto"/>
              </w:rPr>
            </w:pPr>
          </w:p>
        </w:tc>
        <w:tc>
          <w:tcPr>
            <w:tcW w:w="760" w:type="dxa"/>
            <w:vAlign w:val="bottom"/>
            <w:tcBorders>
              <w:top w:val="single" w:sz="8" w:color="E9EFF7"/>
            </w:tcBorders>
            <w:vMerge w:val="continue"/>
            <w:shd w:val="clear" w:color="auto" w:fill="E9EFF7"/>
          </w:tcPr>
          <w:p>
            <w:pPr>
              <w:spacing w:after="0"/>
              <w:rPr>
                <w:sz w:val="24"/>
                <w:szCs w:val="24"/>
                <w:color w:val="auto"/>
              </w:rPr>
            </w:pPr>
          </w:p>
        </w:tc>
        <w:tc>
          <w:tcPr>
            <w:tcW w:w="5840" w:type="dxa"/>
            <w:vAlign w:val="bottom"/>
            <w:tcBorders>
              <w:top w:val="single" w:sz="8" w:color="E9EFF7"/>
            </w:tcBorders>
            <w:vMerge w:val="continue"/>
            <w:shd w:val="clear" w:color="auto" w:fill="E9EFF7"/>
          </w:tcPr>
          <w:p>
            <w:pPr>
              <w:spacing w:after="0"/>
              <w:rPr>
                <w:sz w:val="24"/>
                <w:szCs w:val="24"/>
                <w:color w:val="auto"/>
              </w:rPr>
            </w:pPr>
          </w:p>
        </w:tc>
        <w:tc>
          <w:tcPr>
            <w:tcW w:w="500" w:type="dxa"/>
            <w:vAlign w:val="bottom"/>
            <w:tcBorders>
              <w:top w:val="single" w:sz="8" w:color="E9EFF7"/>
            </w:tcBorders>
            <w:shd w:val="clear" w:color="auto" w:fill="E9EFF7"/>
          </w:tcPr>
          <w:p>
            <w:pPr>
              <w:spacing w:after="0"/>
              <w:rPr>
                <w:sz w:val="24"/>
                <w:szCs w:val="24"/>
                <w:color w:val="auto"/>
              </w:rPr>
            </w:pPr>
          </w:p>
        </w:tc>
        <w:tc>
          <w:tcPr>
            <w:tcW w:w="240" w:type="dxa"/>
            <w:vAlign w:val="bottom"/>
            <w:tcBorders>
              <w:top w:val="single" w:sz="8" w:color="0000EE"/>
            </w:tcBorders>
            <w:shd w:val="clear" w:color="auto" w:fill="E9EFF7"/>
          </w:tcPr>
          <w:p>
            <w:pPr>
              <w:spacing w:after="0"/>
              <w:rPr>
                <w:sz w:val="24"/>
                <w:szCs w:val="24"/>
                <w:color w:val="auto"/>
              </w:rPr>
            </w:pPr>
          </w:p>
        </w:tc>
        <w:tc>
          <w:tcPr>
            <w:tcW w:w="520" w:type="dxa"/>
            <w:vAlign w:val="bottom"/>
            <w:tcBorders>
              <w:top w:val="single" w:sz="8" w:color="E9EFF7"/>
            </w:tcBorders>
            <w:shd w:val="clear" w:color="auto" w:fill="E9EFF7"/>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80" w:type="dxa"/>
            <w:vAlign w:val="bottom"/>
            <w:shd w:val="clear" w:color="auto" w:fill="E02826"/>
          </w:tcPr>
          <w:p>
            <w:pPr>
              <w:spacing w:after="0"/>
              <w:rPr>
                <w:sz w:val="7"/>
                <w:szCs w:val="7"/>
                <w:color w:val="auto"/>
              </w:rPr>
            </w:pPr>
          </w:p>
        </w:tc>
        <w:tc>
          <w:tcPr>
            <w:tcW w:w="1040" w:type="dxa"/>
            <w:vAlign w:val="bottom"/>
            <w:shd w:val="clear" w:color="auto" w:fill="0C426A"/>
          </w:tcPr>
          <w:p>
            <w:pPr>
              <w:spacing w:after="0"/>
              <w:rPr>
                <w:sz w:val="7"/>
                <w:szCs w:val="7"/>
                <w:color w:val="auto"/>
              </w:rPr>
            </w:pPr>
          </w:p>
        </w:tc>
        <w:tc>
          <w:tcPr>
            <w:tcW w:w="760" w:type="dxa"/>
            <w:vAlign w:val="bottom"/>
            <w:shd w:val="clear" w:color="auto" w:fill="E9EFF7"/>
          </w:tcPr>
          <w:p>
            <w:pPr>
              <w:spacing w:after="0"/>
              <w:rPr>
                <w:sz w:val="7"/>
                <w:szCs w:val="7"/>
                <w:color w:val="auto"/>
              </w:rPr>
            </w:pPr>
          </w:p>
        </w:tc>
        <w:tc>
          <w:tcPr>
            <w:tcW w:w="5840" w:type="dxa"/>
            <w:vAlign w:val="bottom"/>
            <w:shd w:val="clear" w:color="auto" w:fill="E9EFF7"/>
          </w:tcPr>
          <w:p>
            <w:pPr>
              <w:spacing w:after="0"/>
              <w:rPr>
                <w:sz w:val="7"/>
                <w:szCs w:val="7"/>
                <w:color w:val="auto"/>
              </w:rPr>
            </w:pPr>
          </w:p>
        </w:tc>
        <w:tc>
          <w:tcPr>
            <w:tcW w:w="500" w:type="dxa"/>
            <w:vAlign w:val="bottom"/>
            <w:shd w:val="clear" w:color="auto" w:fill="E9EFF7"/>
          </w:tcPr>
          <w:p>
            <w:pPr>
              <w:spacing w:after="0"/>
              <w:rPr>
                <w:sz w:val="7"/>
                <w:szCs w:val="7"/>
                <w:color w:val="auto"/>
              </w:rPr>
            </w:pPr>
          </w:p>
        </w:tc>
        <w:tc>
          <w:tcPr>
            <w:tcW w:w="240" w:type="dxa"/>
            <w:vAlign w:val="bottom"/>
            <w:shd w:val="clear" w:color="auto" w:fill="E9EFF7"/>
          </w:tcPr>
          <w:p>
            <w:pPr>
              <w:spacing w:after="0"/>
              <w:rPr>
                <w:sz w:val="7"/>
                <w:szCs w:val="7"/>
                <w:color w:val="auto"/>
              </w:rPr>
            </w:pPr>
          </w:p>
        </w:tc>
        <w:tc>
          <w:tcPr>
            <w:tcW w:w="520" w:type="dxa"/>
            <w:vAlign w:val="bottom"/>
            <w:shd w:val="clear" w:color="auto" w:fill="E9EFF7"/>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-322580</wp:posOffset>
            </wp:positionV>
            <wp:extent cx="161290" cy="1447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1290" cy="144780"/>
                    </a:xfrm>
                    <a:prstGeom prst="rect">
                      <a:avLst/>
                    </a:prstGeom>
                    <a:noFill/>
                  </pic:spPr>
                </pic:pic>
              </a:graphicData>
            </a:graphic>
          </wp:anchor>
        </w:drawing>
      </w:r>
    </w:p>
    <w:p>
      <w:pPr>
        <w:spacing w:after="0" w:line="341" w:lineRule="exact"/>
        <w:rPr>
          <w:sz w:val="20"/>
          <w:szCs w:val="20"/>
          <w:color w:val="auto"/>
        </w:rPr>
      </w:pPr>
    </w:p>
    <w:p>
      <w:pPr>
        <w:ind w:right="159"/>
        <w:spacing w:after="0" w:line="252" w:lineRule="auto"/>
        <w:rPr>
          <w:sz w:val="20"/>
          <w:szCs w:val="20"/>
          <w:color w:val="auto"/>
        </w:rPr>
      </w:pPr>
      <w:r>
        <w:rPr>
          <w:rFonts w:ascii="Arial" w:cs="Arial" w:eastAsia="Arial" w:hAnsi="Arial"/>
          <w:sz w:val="16"/>
          <w:szCs w:val="16"/>
          <w:color w:val="auto"/>
        </w:rPr>
        <w:t>The Audit Committee recommends ratification of its appointment of Ernst &amp; Young LLP as the independent registered public accounting firm to audit our financial statements as of and for the fiscal year ending December 31, 2024. Ernst &amp; Young LLP served as the independent registered public accounting firm to audit our financial statements as of and for the fiscal year ended December 31, 2023 and has served as the Company’s independent registered public accounting firm since 2002. The Audit Committee and the Board of Directors believe that the continued retention of Ernst &amp; Young LLP as the Company’s independent registered public accounting firm is in the best interests of the Company and its stakeholders.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760" w:type="dxa"/>
            <w:vAlign w:val="bottom"/>
          </w:tcPr>
          <w:p>
            <w:pPr>
              <w:jc w:val="right"/>
              <w:ind w:right="529"/>
              <w:spacing w:after="0"/>
              <w:rPr>
                <w:sz w:val="20"/>
                <w:szCs w:val="20"/>
                <w:color w:val="auto"/>
              </w:rPr>
            </w:pPr>
            <w:r>
              <w:rPr>
                <w:rFonts w:ascii="Arial" w:cs="Arial" w:eastAsia="Arial" w:hAnsi="Arial"/>
                <w:sz w:val="14"/>
                <w:szCs w:val="14"/>
                <w:b w:val="1"/>
                <w:bCs w:val="1"/>
                <w:color w:val="auto"/>
                <w:w w:val="89"/>
              </w:rPr>
              <w:t>10</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170180</wp:posOffset>
            </wp:positionV>
            <wp:extent cx="693801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13" w:name="page14"/>
    <w:bookmarkEnd w:id="13"/>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100330</wp:posOffset>
            </wp:positionV>
            <wp:extent cx="5713730" cy="10629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13730" cy="1062990"/>
                    </a:xfrm>
                    <a:prstGeom prst="rect">
                      <a:avLst/>
                    </a:prstGeom>
                    <a:noFill/>
                  </pic:spPr>
                </pic:pic>
              </a:graphicData>
            </a:graphic>
          </wp:anchor>
        </w:drawing>
      </w:r>
    </w:p>
    <w:p>
      <w:pPr>
        <w:spacing w:after="0" w:line="333"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FFFFFF"/>
        </w:rPr>
        <w:t>Proposal</w:t>
      </w:r>
    </w:p>
    <w:p>
      <w:pPr>
        <w:ind w:left="2320" w:hanging="974"/>
        <w:spacing w:after="0" w:line="181" w:lineRule="auto"/>
        <w:tabs>
          <w:tab w:leader="none" w:pos="2320" w:val="left"/>
        </w:tabs>
        <w:numPr>
          <w:ilvl w:val="0"/>
          <w:numId w:val="8"/>
        </w:numPr>
        <w:rPr>
          <w:rFonts w:ascii="Arial" w:cs="Arial" w:eastAsia="Arial" w:hAnsi="Arial"/>
          <w:sz w:val="82"/>
          <w:szCs w:val="82"/>
          <w:b w:val="1"/>
          <w:bCs w:val="1"/>
          <w:color w:val="FFFFFF"/>
        </w:rPr>
      </w:pPr>
      <w:r>
        <w:rPr>
          <w:rFonts w:ascii="Arial" w:cs="Arial" w:eastAsia="Arial" w:hAnsi="Arial"/>
          <w:sz w:val="43"/>
          <w:szCs w:val="43"/>
          <w:color w:val="0C426A"/>
        </w:rPr>
        <w:t>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960" w:right="1000"/>
        <w:spacing w:after="0" w:line="252" w:lineRule="auto"/>
        <w:rPr>
          <w:sz w:val="20"/>
          <w:szCs w:val="20"/>
          <w:color w:val="auto"/>
        </w:rPr>
      </w:pPr>
      <w:r>
        <w:rPr>
          <w:rFonts w:ascii="Arial" w:cs="Arial" w:eastAsia="Arial" w:hAnsi="Arial"/>
          <w:sz w:val="16"/>
          <w:szCs w:val="16"/>
          <w:color w:val="auto"/>
        </w:rPr>
        <w:t xml:space="preserve">Wabtec’s Board of Directors currently has nine members. The Board is divided into three classes whose terms of office end in successive years. Linda A. Harty, Brian P. Hehir, and Beverley A. Babcock are incumbent directors whose terms of office are expiring and have been nominated to serve for new terms ending in 2027. All nominations were made by the Governance and Sustainability Committee (the “Governance Committee”), as further described on page </w:t>
      </w:r>
      <w:r>
        <w:rPr>
          <w:rFonts w:ascii="Arial" w:cs="Arial" w:eastAsia="Arial" w:hAnsi="Arial"/>
          <w:sz w:val="16"/>
          <w:szCs w:val="16"/>
          <w:u w:val="single" w:color="auto"/>
          <w:color w:val="0000EE"/>
        </w:rPr>
        <w:t>25</w:t>
      </w:r>
      <w:r>
        <w:rPr>
          <w:rFonts w:ascii="Arial" w:cs="Arial" w:eastAsia="Arial" w:hAnsi="Arial"/>
          <w:sz w:val="16"/>
          <w:szCs w:val="16"/>
          <w:color w:val="auto"/>
        </w:rPr>
        <w:t>, and approved by the entire Board of Directors. The Governance Committee is engaged in an ongoing board refreshment process consistent with the process set forth in its charter.</w:t>
      </w:r>
    </w:p>
    <w:p>
      <w:pPr>
        <w:spacing w:after="0" w:line="376" w:lineRule="exact"/>
        <w:rPr>
          <w:sz w:val="20"/>
          <w:szCs w:val="20"/>
          <w:color w:val="auto"/>
        </w:rPr>
      </w:pPr>
    </w:p>
    <w:p>
      <w:pPr>
        <w:ind w:left="960"/>
        <w:spacing w:after="0"/>
        <w:rPr>
          <w:sz w:val="20"/>
          <w:szCs w:val="20"/>
          <w:color w:val="auto"/>
        </w:rPr>
      </w:pPr>
      <w:r>
        <w:rPr>
          <w:rFonts w:ascii="Arial" w:cs="Arial" w:eastAsia="Arial" w:hAnsi="Arial"/>
          <w:sz w:val="29"/>
          <w:szCs w:val="29"/>
          <w:color w:val="636466"/>
        </w:rPr>
        <w:t>Majority Voting for Directors and Vote Required</w:t>
      </w:r>
    </w:p>
    <w:p>
      <w:pPr>
        <w:spacing w:after="0" w:line="180" w:lineRule="exact"/>
        <w:rPr>
          <w:sz w:val="20"/>
          <w:szCs w:val="20"/>
          <w:color w:val="auto"/>
        </w:rPr>
      </w:pPr>
    </w:p>
    <w:p>
      <w:pPr>
        <w:ind w:left="960" w:right="1000"/>
        <w:spacing w:after="0" w:line="250" w:lineRule="auto"/>
        <w:rPr>
          <w:sz w:val="20"/>
          <w:szCs w:val="20"/>
          <w:color w:val="auto"/>
        </w:rPr>
      </w:pPr>
      <w:r>
        <w:rPr>
          <w:rFonts w:ascii="Arial" w:cs="Arial" w:eastAsia="Arial" w:hAnsi="Arial"/>
          <w:sz w:val="16"/>
          <w:szCs w:val="16"/>
          <w:color w:val="auto"/>
        </w:rPr>
        <w:t>Under our amended and restated by-laws, each director is elected by the majority of the votes cast at the Annual Meeting in an uncontested election (i.e., an election where the number of nominees is not greater than the number of directors to be elected). For this purpose, a “majority of the votes cast” means that the number of shares voted “for” a director’s election exceeds 50 percent of the number of votes cast with respect to that director’s election. Votes “cast” exclude abstentions and broker non-votes. In a contested election (i.e., in the event the number of director nominees for election at a meeting of stockholders exceeds the number of directors to be elected at that meeting), each director to be so elected will be elected by a plurality of the votes cast. Each director nominee has agreed to provide a letter of resignation to the Board should such nominee fail to receive the required number of votes. The Board may accept such resignation at its discretion.</w:t>
      </w:r>
    </w:p>
    <w:p>
      <w:pPr>
        <w:spacing w:after="0" w:line="127" w:lineRule="exact"/>
        <w:rPr>
          <w:sz w:val="20"/>
          <w:szCs w:val="20"/>
          <w:color w:val="auto"/>
        </w:rPr>
      </w:pPr>
    </w:p>
    <w:p>
      <w:pPr>
        <w:ind w:left="960" w:right="1080"/>
        <w:spacing w:after="0" w:line="282" w:lineRule="auto"/>
        <w:rPr>
          <w:sz w:val="20"/>
          <w:szCs w:val="20"/>
          <w:color w:val="auto"/>
        </w:rPr>
      </w:pPr>
      <w:r>
        <w:rPr>
          <w:rFonts w:ascii="Arial" w:cs="Arial" w:eastAsia="Arial" w:hAnsi="Arial"/>
          <w:sz w:val="16"/>
          <w:szCs w:val="16"/>
          <w:color w:val="auto"/>
        </w:rPr>
        <w:t>Your proxy will be voted “for” the election of these nominees unless you vote “against” a nominee. If any nominee is unable or unwilling to stand for election, your proxy authorizes us to vote for a replacement nominee if the Board names one.</w:t>
      </w:r>
    </w:p>
    <w:p>
      <w:pPr>
        <w:spacing w:after="0" w:line="103" w:lineRule="exact"/>
        <w:rPr>
          <w:sz w:val="20"/>
          <w:szCs w:val="20"/>
          <w:color w:val="auto"/>
        </w:rPr>
      </w:pPr>
    </w:p>
    <w:p>
      <w:pPr>
        <w:ind w:left="960" w:right="1220"/>
        <w:spacing w:after="0" w:line="282" w:lineRule="auto"/>
        <w:rPr>
          <w:sz w:val="20"/>
          <w:szCs w:val="20"/>
          <w:color w:val="auto"/>
        </w:rPr>
      </w:pPr>
      <w:r>
        <w:rPr>
          <w:rFonts w:ascii="Arial" w:cs="Arial" w:eastAsia="Arial" w:hAnsi="Arial"/>
          <w:sz w:val="16"/>
          <w:szCs w:val="16"/>
          <w:color w:val="auto"/>
        </w:rPr>
        <w:t xml:space="preserve">See the guidelines set forth on page </w:t>
      </w:r>
      <w:r>
        <w:rPr>
          <w:rFonts w:ascii="Arial" w:cs="Arial" w:eastAsia="Arial" w:hAnsi="Arial"/>
          <w:sz w:val="16"/>
          <w:szCs w:val="16"/>
          <w:u w:val="single" w:color="auto"/>
          <w:color w:val="0000EE"/>
        </w:rPr>
        <w:t>11</w:t>
      </w:r>
      <w:r>
        <w:rPr>
          <w:rFonts w:ascii="Arial" w:cs="Arial" w:eastAsia="Arial" w:hAnsi="Arial"/>
          <w:sz w:val="16"/>
          <w:szCs w:val="16"/>
          <w:color w:val="auto"/>
        </w:rPr>
        <w:t xml:space="preserve"> regarding the election of directors by the vote of the majority of the votes cast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15240</wp:posOffset>
            </wp:positionV>
            <wp:extent cx="5713730" cy="7480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13730" cy="748030"/>
                    </a:xfrm>
                    <a:prstGeom prst="rect">
                      <a:avLst/>
                    </a:prstGeom>
                    <a:noFill/>
                  </pic:spPr>
                </pic:pic>
              </a:graphicData>
            </a:graphic>
          </wp:anchor>
        </w:drawing>
      </w:r>
    </w:p>
    <w:p>
      <w:pPr>
        <w:spacing w:after="0" w:line="323" w:lineRule="exact"/>
        <w:rPr>
          <w:sz w:val="20"/>
          <w:szCs w:val="20"/>
          <w:color w:val="auto"/>
        </w:rPr>
      </w:pPr>
    </w:p>
    <w:p>
      <w:pPr>
        <w:ind w:left="1820" w:right="1020" w:hanging="105"/>
        <w:spacing w:after="0" w:line="336" w:lineRule="auto"/>
        <w:tabs>
          <w:tab w:leader="none" w:pos="1814" w:val="left"/>
        </w:tabs>
        <w:numPr>
          <w:ilvl w:val="0"/>
          <w:numId w:val="9"/>
        </w:numPr>
        <w:rPr>
          <w:rFonts w:ascii="Arial" w:cs="Arial" w:eastAsia="Arial" w:hAnsi="Arial"/>
          <w:sz w:val="19"/>
          <w:szCs w:val="19"/>
          <w:color w:val="auto"/>
        </w:rPr>
      </w:pPr>
      <w:r>
        <w:rPr>
          <w:rFonts w:ascii="Arial" w:cs="Arial" w:eastAsia="Arial" w:hAnsi="Arial"/>
          <w:sz w:val="19"/>
          <w:szCs w:val="19"/>
          <w:color w:val="auto"/>
        </w:rPr>
        <w:t xml:space="preserve">The Board recommends you vote </w:t>
      </w:r>
      <w:r>
        <w:rPr>
          <w:rFonts w:ascii="Arial" w:cs="Arial" w:eastAsia="Arial" w:hAnsi="Arial"/>
          <w:sz w:val="19"/>
          <w:szCs w:val="19"/>
          <w:b w:val="1"/>
          <w:bCs w:val="1"/>
          <w:color w:val="4297CB"/>
        </w:rPr>
        <w:t>FOR</w:t>
      </w:r>
      <w:r>
        <w:rPr>
          <w:rFonts w:ascii="Arial" w:cs="Arial" w:eastAsia="Arial" w:hAnsi="Arial"/>
          <w:sz w:val="19"/>
          <w:szCs w:val="19"/>
          <w:color w:val="auto"/>
        </w:rPr>
        <w:t xml:space="preserve"> each of the following director nominees; Linda A. Harty, Brian P. Hehir, and Beverley A. Babcock.</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9140" w:type="dxa"/>
            <w:vAlign w:val="bottom"/>
          </w:tcPr>
          <w:p>
            <w:pPr>
              <w:ind w:left="636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800" w:type="dxa"/>
            <w:vAlign w:val="bottom"/>
          </w:tcPr>
          <w:p>
            <w:pPr>
              <w:jc w:val="right"/>
              <w:ind w:right="909"/>
              <w:spacing w:after="0"/>
              <w:rPr>
                <w:sz w:val="20"/>
                <w:szCs w:val="20"/>
                <w:color w:val="auto"/>
              </w:rPr>
            </w:pPr>
            <w:r>
              <w:rPr>
                <w:rFonts w:ascii="Arial" w:cs="Arial" w:eastAsia="Arial" w:hAnsi="Arial"/>
                <w:sz w:val="14"/>
                <w:szCs w:val="14"/>
                <w:b w:val="1"/>
                <w:bCs w:val="1"/>
                <w:color w:val="auto"/>
              </w:rPr>
              <w:t>11</w:t>
            </w:r>
          </w:p>
        </w:tc>
      </w:tr>
      <w:tr>
        <w:trPr>
          <w:trHeight w:val="355"/>
        </w:trPr>
        <w:tc>
          <w:tcPr>
            <w:tcW w:w="9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-415925</wp:posOffset>
            </wp:positionV>
            <wp:extent cx="501650" cy="170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Proposal 1: Election of Directors</w:t>
      </w:r>
    </w:p>
    <w:p>
      <w:pPr>
        <w:spacing w:after="0" w:line="254" w:lineRule="exact"/>
        <w:rPr>
          <w:sz w:val="20"/>
          <w:szCs w:val="20"/>
          <w:color w:val="auto"/>
        </w:rPr>
      </w:pPr>
    </w:p>
    <w:p>
      <w:pPr>
        <w:spacing w:after="0"/>
        <w:rPr>
          <w:sz w:val="20"/>
          <w:szCs w:val="20"/>
          <w:color w:val="auto"/>
        </w:rPr>
      </w:pPr>
      <w:r>
        <w:rPr>
          <w:rFonts w:ascii="Arial" w:cs="Arial" w:eastAsia="Arial" w:hAnsi="Arial"/>
          <w:sz w:val="42"/>
          <w:szCs w:val="42"/>
          <w:color w:val="E02826"/>
        </w:rPr>
        <w:t>Our Board of Directors</w:t>
      </w:r>
    </w:p>
    <w:p>
      <w:pPr>
        <w:spacing w:after="0" w:line="357" w:lineRule="exact"/>
        <w:rPr>
          <w:sz w:val="20"/>
          <w:szCs w:val="20"/>
          <w:color w:val="auto"/>
        </w:rPr>
      </w:pPr>
    </w:p>
    <w:p>
      <w:pPr>
        <w:spacing w:after="0"/>
        <w:rPr>
          <w:sz w:val="20"/>
          <w:szCs w:val="20"/>
          <w:color w:val="auto"/>
        </w:rPr>
      </w:pPr>
      <w:r>
        <w:rPr>
          <w:rFonts w:ascii="Arial" w:cs="Arial" w:eastAsia="Arial" w:hAnsi="Arial"/>
          <w:sz w:val="29"/>
          <w:szCs w:val="29"/>
          <w:color w:val="636466"/>
        </w:rPr>
        <w:t>Board 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5721985" cy="64274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21985" cy="6427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760" w:type="dxa"/>
            <w:vAlign w:val="bottom"/>
          </w:tcPr>
          <w:p>
            <w:pPr>
              <w:jc w:val="right"/>
              <w:ind w:right="529"/>
              <w:spacing w:after="0"/>
              <w:rPr>
                <w:sz w:val="20"/>
                <w:szCs w:val="20"/>
                <w:color w:val="auto"/>
              </w:rPr>
            </w:pPr>
            <w:r>
              <w:rPr>
                <w:rFonts w:ascii="Arial" w:cs="Arial" w:eastAsia="Arial" w:hAnsi="Arial"/>
                <w:sz w:val="14"/>
                <w:szCs w:val="14"/>
                <w:b w:val="1"/>
                <w:bCs w:val="1"/>
                <w:color w:val="auto"/>
                <w:w w:val="89"/>
              </w:rPr>
              <w:t>12</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170180</wp:posOffset>
            </wp:positionV>
            <wp:extent cx="693801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15" w:name="page16"/>
    <w:bookmarkEnd w:id="15"/>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8180"/>
        <w:spacing w:after="0"/>
        <w:rPr>
          <w:sz w:val="20"/>
          <w:szCs w:val="20"/>
          <w:color w:val="auto"/>
        </w:rPr>
      </w:pPr>
      <w:r>
        <w:rPr>
          <w:rFonts w:ascii="Arial" w:cs="Arial" w:eastAsia="Arial" w:hAnsi="Arial"/>
          <w:sz w:val="12"/>
          <w:szCs w:val="12"/>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76835</wp:posOffset>
            </wp:positionV>
            <wp:extent cx="5721985" cy="37325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21985" cy="3732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9140" w:type="dxa"/>
            <w:vAlign w:val="bottom"/>
          </w:tcPr>
          <w:p>
            <w:pPr>
              <w:ind w:left="636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800" w:type="dxa"/>
            <w:vAlign w:val="bottom"/>
          </w:tcPr>
          <w:p>
            <w:pPr>
              <w:jc w:val="right"/>
              <w:ind w:right="909"/>
              <w:spacing w:after="0"/>
              <w:rPr>
                <w:sz w:val="20"/>
                <w:szCs w:val="20"/>
                <w:color w:val="auto"/>
              </w:rPr>
            </w:pPr>
            <w:r>
              <w:rPr>
                <w:rFonts w:ascii="Arial" w:cs="Arial" w:eastAsia="Arial" w:hAnsi="Arial"/>
                <w:sz w:val="14"/>
                <w:szCs w:val="14"/>
                <w:b w:val="1"/>
                <w:bCs w:val="1"/>
                <w:color w:val="auto"/>
              </w:rPr>
              <w:t>13</w:t>
            </w:r>
          </w:p>
        </w:tc>
      </w:tr>
      <w:tr>
        <w:trPr>
          <w:trHeight w:val="355"/>
        </w:trPr>
        <w:tc>
          <w:tcPr>
            <w:tcW w:w="9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-407670</wp:posOffset>
            </wp:positionV>
            <wp:extent cx="501650" cy="170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sectPr>
      </w:pPr>
    </w:p>
    <w:bookmarkStart w:id="16" w:name="page17"/>
    <w:bookmarkEnd w:id="16"/>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960"/>
        <w:spacing w:after="0"/>
        <w:rPr>
          <w:sz w:val="20"/>
          <w:szCs w:val="20"/>
          <w:color w:val="auto"/>
        </w:rPr>
      </w:pPr>
      <w:r>
        <w:rPr>
          <w:rFonts w:ascii="Arial" w:cs="Arial" w:eastAsia="Arial" w:hAnsi="Arial"/>
          <w:sz w:val="12"/>
          <w:szCs w:val="12"/>
          <w:color w:val="auto"/>
        </w:rPr>
        <w:t>Proposal 1: Election of Directors</w:t>
      </w:r>
    </w:p>
    <w:p>
      <w:pPr>
        <w:spacing w:after="0" w:line="169" w:lineRule="exact"/>
        <w:rPr>
          <w:sz w:val="20"/>
          <w:szCs w:val="20"/>
          <w:color w:val="auto"/>
        </w:rPr>
      </w:pPr>
    </w:p>
    <w:p>
      <w:pPr>
        <w:ind w:left="960"/>
        <w:spacing w:after="0"/>
        <w:rPr>
          <w:sz w:val="20"/>
          <w:szCs w:val="20"/>
          <w:color w:val="auto"/>
        </w:rPr>
      </w:pPr>
      <w:r>
        <w:rPr>
          <w:rFonts w:ascii="Arial" w:cs="Arial" w:eastAsia="Arial" w:hAnsi="Arial"/>
          <w:sz w:val="29"/>
          <w:szCs w:val="29"/>
          <w:color w:val="636466"/>
        </w:rPr>
        <w:t>Biographies of our Directors</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23"/>
          <w:szCs w:val="23"/>
          <w:color w:val="0C426A"/>
        </w:rPr>
        <w:t>Director Nominees to Serve for Three-Year Term</w:t>
      </w:r>
    </w:p>
    <w:p>
      <w:pPr>
        <w:spacing w:after="0" w:line="181" w:lineRule="exact"/>
        <w:rPr>
          <w:sz w:val="20"/>
          <w:szCs w:val="20"/>
          <w:color w:val="auto"/>
        </w:rPr>
      </w:pPr>
    </w:p>
    <w:p>
      <w:pPr>
        <w:ind w:left="960" w:right="1060"/>
        <w:spacing w:after="0" w:line="263" w:lineRule="auto"/>
        <w:rPr>
          <w:sz w:val="20"/>
          <w:szCs w:val="20"/>
          <w:color w:val="auto"/>
        </w:rPr>
      </w:pPr>
      <w:r>
        <w:rPr>
          <w:rFonts w:ascii="Arial" w:cs="Arial" w:eastAsia="Arial" w:hAnsi="Arial"/>
          <w:sz w:val="16"/>
          <w:szCs w:val="16"/>
          <w:color w:val="auto"/>
        </w:rPr>
        <w:t>The biographical information below highlights the specific experience, qualifications, attributes, and background that led the Board to conclude that each director nominee should serve on the Board. The Governance Committee and the Board also determined that each director nominee possesses certain intangible attributes and skills and is qualified to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2453640</wp:posOffset>
            </wp:positionH>
            <wp:positionV relativeFrom="paragraph">
              <wp:posOffset>143510</wp:posOffset>
            </wp:positionV>
            <wp:extent cx="8255" cy="37071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3707130"/>
                    </a:xfrm>
                    <a:prstGeom prst="rect">
                      <a:avLst/>
                    </a:prstGeom>
                    <a:noFill/>
                  </pic:spPr>
                </pic:pic>
              </a:graphicData>
            </a:graphic>
          </wp:anchor>
        </w:drawing>
      </w:r>
    </w:p>
    <w:p>
      <w:pPr>
        <w:spacing w:after="0" w:line="396" w:lineRule="exact"/>
        <w:rPr>
          <w:sz w:val="20"/>
          <w:szCs w:val="20"/>
          <w:color w:val="auto"/>
        </w:rPr>
      </w:pPr>
    </w:p>
    <w:tbl>
      <w:tblPr>
        <w:tblLayout w:type="fixed"/>
        <w:tblInd w:w="960" w:type="dxa"/>
        <w:tblCellMar>
          <w:top w:w="0" w:type="dxa"/>
          <w:left w:w="0" w:type="dxa"/>
          <w:bottom w:w="0" w:type="dxa"/>
          <w:right w:w="0" w:type="dxa"/>
        </w:tblCellMar>
      </w:tblPr>
      <w:tr>
        <w:trPr>
          <w:trHeight w:val="264"/>
        </w:trPr>
        <w:tc>
          <w:tcPr>
            <w:tcW w:w="2780" w:type="dxa"/>
            <w:vAlign w:val="bottom"/>
          </w:tcPr>
          <w:p>
            <w:pPr>
              <w:spacing w:after="0"/>
              <w:rPr>
                <w:sz w:val="20"/>
                <w:szCs w:val="20"/>
                <w:color w:val="auto"/>
              </w:rPr>
            </w:pPr>
            <w:r>
              <w:rPr>
                <w:rFonts w:ascii="Arial" w:cs="Arial" w:eastAsia="Arial" w:hAnsi="Arial"/>
                <w:sz w:val="23"/>
                <w:szCs w:val="23"/>
                <w:b w:val="1"/>
                <w:bCs w:val="1"/>
                <w:color w:val="0C426A"/>
              </w:rPr>
              <w:t>Linda A. Harty</w:t>
            </w:r>
          </w:p>
        </w:tc>
        <w:tc>
          <w:tcPr>
            <w:tcW w:w="240" w:type="dxa"/>
            <w:vAlign w:val="bottom"/>
          </w:tcPr>
          <w:p>
            <w:pPr>
              <w:spacing w:after="0"/>
              <w:rPr>
                <w:sz w:val="22"/>
                <w:szCs w:val="22"/>
                <w:color w:val="auto"/>
              </w:rPr>
            </w:pPr>
          </w:p>
        </w:tc>
        <w:tc>
          <w:tcPr>
            <w:tcW w:w="5960" w:type="dxa"/>
            <w:vAlign w:val="bottom"/>
          </w:tcPr>
          <w:p>
            <w:pPr>
              <w:ind w:left="120"/>
              <w:spacing w:after="0"/>
              <w:rPr>
                <w:sz w:val="20"/>
                <w:szCs w:val="20"/>
                <w:color w:val="auto"/>
              </w:rPr>
            </w:pPr>
            <w:r>
              <w:rPr>
                <w:rFonts w:ascii="Arial" w:cs="Arial" w:eastAsia="Arial" w:hAnsi="Arial"/>
                <w:sz w:val="16"/>
                <w:szCs w:val="16"/>
                <w:color w:val="0C426A"/>
              </w:rPr>
              <w:t>Biographical Information</w:t>
            </w:r>
          </w:p>
        </w:tc>
        <w:tc>
          <w:tcPr>
            <w:tcW w:w="0" w:type="dxa"/>
            <w:vAlign w:val="bottom"/>
          </w:tcPr>
          <w:p>
            <w:pPr>
              <w:spacing w:after="0"/>
              <w:rPr>
                <w:sz w:val="1"/>
                <w:szCs w:val="1"/>
                <w:color w:val="auto"/>
              </w:rPr>
            </w:pPr>
          </w:p>
        </w:tc>
      </w:tr>
      <w:tr>
        <w:trPr>
          <w:trHeight w:val="187"/>
        </w:trPr>
        <w:tc>
          <w:tcPr>
            <w:tcW w:w="2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960" w:type="dxa"/>
            <w:vAlign w:val="bottom"/>
          </w:tcPr>
          <w:p>
            <w:pPr>
              <w:ind w:left="120"/>
              <w:spacing w:after="0"/>
              <w:rPr>
                <w:sz w:val="20"/>
                <w:szCs w:val="20"/>
                <w:color w:val="auto"/>
              </w:rPr>
            </w:pPr>
            <w:r>
              <w:rPr>
                <w:rFonts w:ascii="Arial" w:cs="Arial" w:eastAsia="Arial" w:hAnsi="Arial"/>
                <w:sz w:val="16"/>
                <w:szCs w:val="16"/>
                <w:color w:val="4297CB"/>
                <w:w w:val="99"/>
              </w:rPr>
              <w:t>•</w:t>
            </w:r>
            <w:r>
              <w:rPr>
                <w:rFonts w:ascii="Arial" w:cs="Arial" w:eastAsia="Arial" w:hAnsi="Arial"/>
                <w:sz w:val="16"/>
                <w:szCs w:val="16"/>
                <w:color w:val="000000"/>
                <w:w w:val="99"/>
              </w:rPr>
              <w:t xml:space="preserve">  Vice President, Finance &amp; Treasurer of Medtronic, plc, a global leader in medical</w:t>
            </w:r>
          </w:p>
        </w:tc>
        <w:tc>
          <w:tcPr>
            <w:tcW w:w="0" w:type="dxa"/>
            <w:vAlign w:val="bottom"/>
          </w:tcPr>
          <w:p>
            <w:pPr>
              <w:spacing w:after="0"/>
              <w:rPr>
                <w:sz w:val="1"/>
                <w:szCs w:val="1"/>
                <w:color w:val="auto"/>
              </w:rPr>
            </w:pPr>
          </w:p>
        </w:tc>
      </w:tr>
      <w:tr>
        <w:trPr>
          <w:trHeight w:val="213"/>
        </w:trPr>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960" w:type="dxa"/>
            <w:vAlign w:val="bottom"/>
          </w:tcPr>
          <w:p>
            <w:pPr>
              <w:ind w:left="280"/>
              <w:spacing w:after="0"/>
              <w:rPr>
                <w:sz w:val="20"/>
                <w:szCs w:val="20"/>
                <w:color w:val="auto"/>
              </w:rPr>
            </w:pPr>
            <w:r>
              <w:rPr>
                <w:rFonts w:ascii="Arial" w:cs="Arial" w:eastAsia="Arial" w:hAnsi="Arial"/>
                <w:sz w:val="16"/>
                <w:szCs w:val="16"/>
                <w:color w:val="auto"/>
              </w:rPr>
              <w:t>technology services and solutions from February 2010 to April 2017.</w:t>
            </w:r>
          </w:p>
        </w:tc>
        <w:tc>
          <w:tcPr>
            <w:tcW w:w="0" w:type="dxa"/>
            <w:vAlign w:val="bottom"/>
          </w:tcPr>
          <w:p>
            <w:pPr>
              <w:spacing w:after="0"/>
              <w:rPr>
                <w:sz w:val="1"/>
                <w:szCs w:val="1"/>
                <w:color w:val="auto"/>
              </w:rPr>
            </w:pPr>
          </w:p>
        </w:tc>
      </w:tr>
      <w:tr>
        <w:trPr>
          <w:trHeight w:val="242"/>
        </w:trPr>
        <w:tc>
          <w:tcPr>
            <w:tcW w:w="2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960" w:type="dxa"/>
            <w:vAlign w:val="bottom"/>
          </w:tcPr>
          <w:p>
            <w:pPr>
              <w:ind w:left="120"/>
              <w:spacing w:after="0"/>
              <w:rPr>
                <w:sz w:val="20"/>
                <w:szCs w:val="20"/>
                <w:color w:val="auto"/>
              </w:rPr>
            </w:pPr>
            <w:r>
              <w:rPr>
                <w:rFonts w:ascii="Arial" w:cs="Arial" w:eastAsia="Arial" w:hAnsi="Arial"/>
                <w:sz w:val="16"/>
                <w:szCs w:val="16"/>
                <w:color w:val="4297CB"/>
                <w:w w:val="99"/>
              </w:rPr>
              <w:t>•</w:t>
            </w:r>
            <w:r>
              <w:rPr>
                <w:rFonts w:ascii="Arial" w:cs="Arial" w:eastAsia="Arial" w:hAnsi="Arial"/>
                <w:sz w:val="16"/>
                <w:szCs w:val="16"/>
                <w:color w:val="000000"/>
                <w:w w:val="99"/>
              </w:rPr>
              <w:t xml:space="preserve">  Prior to 2010, Ms. Harty held executive and management positions with Cardinal</w:t>
            </w:r>
          </w:p>
        </w:tc>
        <w:tc>
          <w:tcPr>
            <w:tcW w:w="0" w:type="dxa"/>
            <w:vAlign w:val="bottom"/>
          </w:tcPr>
          <w:p>
            <w:pPr>
              <w:spacing w:after="0"/>
              <w:rPr>
                <w:sz w:val="1"/>
                <w:szCs w:val="1"/>
                <w:color w:val="auto"/>
              </w:rPr>
            </w:pPr>
          </w:p>
        </w:tc>
      </w:tr>
      <w:tr>
        <w:trPr>
          <w:trHeight w:val="213"/>
        </w:trPr>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960" w:type="dxa"/>
            <w:vAlign w:val="bottom"/>
          </w:tcPr>
          <w:p>
            <w:pPr>
              <w:ind w:left="280"/>
              <w:spacing w:after="0"/>
              <w:rPr>
                <w:sz w:val="20"/>
                <w:szCs w:val="20"/>
                <w:color w:val="auto"/>
              </w:rPr>
            </w:pPr>
            <w:r>
              <w:rPr>
                <w:rFonts w:ascii="Arial" w:cs="Arial" w:eastAsia="Arial" w:hAnsi="Arial"/>
                <w:sz w:val="16"/>
                <w:szCs w:val="16"/>
                <w:color w:val="auto"/>
              </w:rPr>
              <w:t>Health, RTM Restaurant Group, BellSouth, ConAgra Foods and Kimberly-Clark.</w:t>
            </w:r>
          </w:p>
        </w:tc>
        <w:tc>
          <w:tcPr>
            <w:tcW w:w="0" w:type="dxa"/>
            <w:vAlign w:val="bottom"/>
          </w:tcPr>
          <w:p>
            <w:pPr>
              <w:spacing w:after="0"/>
              <w:rPr>
                <w:sz w:val="1"/>
                <w:szCs w:val="1"/>
                <w:color w:val="auto"/>
              </w:rPr>
            </w:pPr>
          </w:p>
        </w:tc>
      </w:tr>
      <w:tr>
        <w:trPr>
          <w:trHeight w:val="509"/>
        </w:trPr>
        <w:tc>
          <w:tcPr>
            <w:tcW w:w="2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60" w:type="dxa"/>
            <w:vAlign w:val="bottom"/>
          </w:tcPr>
          <w:p>
            <w:pPr>
              <w:ind w:left="120"/>
              <w:spacing w:after="0"/>
              <w:rPr>
                <w:sz w:val="20"/>
                <w:szCs w:val="20"/>
                <w:color w:val="auto"/>
              </w:rPr>
            </w:pPr>
            <w:r>
              <w:rPr>
                <w:rFonts w:ascii="Arial" w:cs="Arial" w:eastAsia="Arial" w:hAnsi="Arial"/>
                <w:sz w:val="16"/>
                <w:szCs w:val="16"/>
                <w:color w:val="0C426A"/>
              </w:rPr>
              <w:t>Current Other Directorships</w:t>
            </w:r>
          </w:p>
        </w:tc>
        <w:tc>
          <w:tcPr>
            <w:tcW w:w="0" w:type="dxa"/>
            <w:vAlign w:val="bottom"/>
          </w:tcPr>
          <w:p>
            <w:pPr>
              <w:spacing w:after="0"/>
              <w:rPr>
                <w:sz w:val="1"/>
                <w:szCs w:val="1"/>
                <w:color w:val="auto"/>
              </w:rPr>
            </w:pPr>
          </w:p>
        </w:tc>
      </w:tr>
      <w:tr>
        <w:trPr>
          <w:trHeight w:val="228"/>
        </w:trPr>
        <w:tc>
          <w:tcPr>
            <w:tcW w:w="2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960" w:type="dxa"/>
            <w:vAlign w:val="bottom"/>
          </w:tcPr>
          <w:p>
            <w:pPr>
              <w:ind w:left="12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Member of the Board of Directors of Parker-Hannifin Corporation since 2007</w:t>
            </w:r>
          </w:p>
        </w:tc>
        <w:tc>
          <w:tcPr>
            <w:tcW w:w="0" w:type="dxa"/>
            <w:vAlign w:val="bottom"/>
          </w:tcPr>
          <w:p>
            <w:pPr>
              <w:spacing w:after="0"/>
              <w:rPr>
                <w:sz w:val="1"/>
                <w:szCs w:val="1"/>
                <w:color w:val="auto"/>
              </w:rPr>
            </w:pPr>
          </w:p>
        </w:tc>
      </w:tr>
      <w:tr>
        <w:trPr>
          <w:trHeight w:val="187"/>
        </w:trPr>
        <w:tc>
          <w:tcPr>
            <w:tcW w:w="2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960" w:type="dxa"/>
            <w:vAlign w:val="bottom"/>
          </w:tcPr>
          <w:p>
            <w:pPr>
              <w:ind w:left="280"/>
              <w:spacing w:after="0"/>
              <w:rPr>
                <w:sz w:val="20"/>
                <w:szCs w:val="20"/>
                <w:color w:val="auto"/>
              </w:rPr>
            </w:pPr>
            <w:r>
              <w:rPr>
                <w:rFonts w:ascii="Arial" w:cs="Arial" w:eastAsia="Arial" w:hAnsi="Arial"/>
                <w:sz w:val="16"/>
                <w:szCs w:val="16"/>
                <w:color w:val="auto"/>
              </w:rPr>
              <w:t>serving on the Audit Committee and as a member of the Corporate Governance</w:t>
            </w:r>
          </w:p>
        </w:tc>
        <w:tc>
          <w:tcPr>
            <w:tcW w:w="0" w:type="dxa"/>
            <w:vAlign w:val="bottom"/>
          </w:tcPr>
          <w:p>
            <w:pPr>
              <w:spacing w:after="0"/>
              <w:rPr>
                <w:sz w:val="1"/>
                <w:szCs w:val="1"/>
                <w:color w:val="auto"/>
              </w:rPr>
            </w:pPr>
          </w:p>
        </w:tc>
      </w:tr>
      <w:tr>
        <w:trPr>
          <w:trHeight w:val="213"/>
        </w:trPr>
        <w:tc>
          <w:tcPr>
            <w:tcW w:w="2780" w:type="dxa"/>
            <w:vAlign w:val="bottom"/>
            <w:vMerge w:val="restart"/>
          </w:tcPr>
          <w:p>
            <w:pPr>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18"/>
                <w:szCs w:val="18"/>
                <w:color w:val="auto"/>
              </w:rPr>
            </w:pPr>
          </w:p>
        </w:tc>
        <w:tc>
          <w:tcPr>
            <w:tcW w:w="5960" w:type="dxa"/>
            <w:vAlign w:val="bottom"/>
          </w:tcPr>
          <w:p>
            <w:pPr>
              <w:ind w:left="280"/>
              <w:spacing w:after="0"/>
              <w:rPr>
                <w:sz w:val="20"/>
                <w:szCs w:val="20"/>
                <w:color w:val="auto"/>
              </w:rPr>
            </w:pPr>
            <w:r>
              <w:rPr>
                <w:rFonts w:ascii="Arial" w:cs="Arial" w:eastAsia="Arial" w:hAnsi="Arial"/>
                <w:sz w:val="16"/>
                <w:szCs w:val="16"/>
                <w:color w:val="auto"/>
              </w:rPr>
              <w:t>Committee.</w:t>
            </w:r>
          </w:p>
        </w:tc>
        <w:tc>
          <w:tcPr>
            <w:tcW w:w="0" w:type="dxa"/>
            <w:vAlign w:val="bottom"/>
          </w:tcPr>
          <w:p>
            <w:pPr>
              <w:spacing w:after="0"/>
              <w:rPr>
                <w:sz w:val="1"/>
                <w:szCs w:val="1"/>
                <w:color w:val="auto"/>
              </w:rPr>
            </w:pPr>
          </w:p>
        </w:tc>
      </w:tr>
      <w:tr>
        <w:trPr>
          <w:trHeight w:val="134"/>
        </w:trPr>
        <w:tc>
          <w:tcPr>
            <w:tcW w:w="27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5960" w:type="dxa"/>
            <w:vAlign w:val="bottom"/>
            <w:vMerge w:val="restart"/>
          </w:tcPr>
          <w:p>
            <w:pPr>
              <w:ind w:left="12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Member of the Board of Directors of Chart Industries, Inc., since 2021, serving</w:t>
            </w:r>
          </w:p>
        </w:tc>
        <w:tc>
          <w:tcPr>
            <w:tcW w:w="0" w:type="dxa"/>
            <w:vAlign w:val="bottom"/>
          </w:tcPr>
          <w:p>
            <w:pPr>
              <w:spacing w:after="0"/>
              <w:rPr>
                <w:sz w:val="1"/>
                <w:szCs w:val="1"/>
                <w:color w:val="auto"/>
              </w:rPr>
            </w:pPr>
          </w:p>
        </w:tc>
      </w:tr>
      <w:tr>
        <w:trPr>
          <w:trHeight w:val="95"/>
        </w:trPr>
        <w:tc>
          <w:tcPr>
            <w:tcW w:w="2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780" w:type="dxa"/>
            <w:vAlign w:val="bottom"/>
          </w:tcPr>
          <w:p>
            <w:pPr>
              <w:spacing w:after="0"/>
              <w:rPr>
                <w:sz w:val="20"/>
                <w:szCs w:val="20"/>
                <w:color w:val="auto"/>
              </w:rPr>
            </w:pPr>
            <w:r>
              <w:rPr>
                <w:rFonts w:ascii="Arial" w:cs="Arial" w:eastAsia="Arial" w:hAnsi="Arial"/>
                <w:sz w:val="16"/>
                <w:szCs w:val="16"/>
                <w:color w:val="0C426A"/>
              </w:rPr>
              <w:t xml:space="preserve">Age: </w:t>
            </w:r>
            <w:r>
              <w:rPr>
                <w:rFonts w:ascii="Arial" w:cs="Arial" w:eastAsia="Arial" w:hAnsi="Arial"/>
                <w:sz w:val="16"/>
                <w:szCs w:val="16"/>
                <w:color w:val="000000"/>
              </w:rPr>
              <w:t>63</w:t>
            </w:r>
          </w:p>
        </w:tc>
        <w:tc>
          <w:tcPr>
            <w:tcW w:w="240" w:type="dxa"/>
            <w:vAlign w:val="bottom"/>
          </w:tcPr>
          <w:p>
            <w:pPr>
              <w:spacing w:after="0"/>
              <w:rPr>
                <w:sz w:val="16"/>
                <w:szCs w:val="16"/>
                <w:color w:val="auto"/>
              </w:rPr>
            </w:pPr>
          </w:p>
        </w:tc>
        <w:tc>
          <w:tcPr>
            <w:tcW w:w="5960" w:type="dxa"/>
            <w:vAlign w:val="bottom"/>
          </w:tcPr>
          <w:p>
            <w:pPr>
              <w:ind w:left="280"/>
              <w:spacing w:after="0"/>
              <w:rPr>
                <w:sz w:val="20"/>
                <w:szCs w:val="20"/>
                <w:color w:val="auto"/>
              </w:rPr>
            </w:pPr>
            <w:r>
              <w:rPr>
                <w:rFonts w:ascii="Arial" w:cs="Arial" w:eastAsia="Arial" w:hAnsi="Arial"/>
                <w:sz w:val="16"/>
                <w:szCs w:val="16"/>
                <w:color w:val="auto"/>
              </w:rPr>
              <w:t>on the Nominations and Corporate Governance Committee (Chair), Audit</w:t>
            </w:r>
          </w:p>
        </w:tc>
        <w:tc>
          <w:tcPr>
            <w:tcW w:w="0" w:type="dxa"/>
            <w:vAlign w:val="bottom"/>
          </w:tcPr>
          <w:p>
            <w:pPr>
              <w:spacing w:after="0"/>
              <w:rPr>
                <w:sz w:val="1"/>
                <w:szCs w:val="1"/>
                <w:color w:val="auto"/>
              </w:rPr>
            </w:pPr>
          </w:p>
        </w:tc>
      </w:tr>
      <w:tr>
        <w:trPr>
          <w:trHeight w:val="104"/>
        </w:trPr>
        <w:tc>
          <w:tcPr>
            <w:tcW w:w="2780" w:type="dxa"/>
            <w:vAlign w:val="bottom"/>
          </w:tcPr>
          <w:p>
            <w:pPr>
              <w:ind w:left="26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5960" w:type="dxa"/>
            <w:vAlign w:val="bottom"/>
          </w:tcPr>
          <w:p>
            <w:pPr>
              <w:ind w:left="280"/>
              <w:spacing w:after="0" w:line="94" w:lineRule="exact"/>
              <w:rPr>
                <w:sz w:val="20"/>
                <w:szCs w:val="20"/>
                <w:color w:val="auto"/>
              </w:rPr>
            </w:pPr>
            <w:r>
              <w:rPr>
                <w:rFonts w:ascii="Arial" w:cs="Arial" w:eastAsia="Arial" w:hAnsi="Arial"/>
                <w:sz w:val="10"/>
                <w:szCs w:val="10"/>
                <w:color w:val="auto"/>
              </w:rPr>
              <w:t>Committee, and formerly on the Compensation Committee.</w:t>
            </w:r>
          </w:p>
        </w:tc>
        <w:tc>
          <w:tcPr>
            <w:tcW w:w="0" w:type="dxa"/>
            <w:vAlign w:val="bottom"/>
          </w:tcPr>
          <w:p>
            <w:pPr>
              <w:spacing w:after="0"/>
              <w:rPr>
                <w:sz w:val="1"/>
                <w:szCs w:val="1"/>
                <w:color w:val="auto"/>
              </w:rPr>
            </w:pPr>
          </w:p>
        </w:tc>
      </w:tr>
      <w:tr>
        <w:trPr>
          <w:trHeight w:val="296"/>
        </w:trPr>
        <w:tc>
          <w:tcPr>
            <w:tcW w:w="2780" w:type="dxa"/>
            <w:vAlign w:val="bottom"/>
          </w:tcPr>
          <w:p>
            <w:pPr>
              <w:spacing w:after="0"/>
              <w:rPr>
                <w:sz w:val="20"/>
                <w:szCs w:val="20"/>
                <w:color w:val="auto"/>
              </w:rPr>
            </w:pPr>
            <w:r>
              <w:rPr>
                <w:rFonts w:ascii="Arial" w:cs="Arial" w:eastAsia="Arial" w:hAnsi="Arial"/>
                <w:sz w:val="16"/>
                <w:szCs w:val="16"/>
                <w:color w:val="0C426A"/>
              </w:rPr>
              <w:t xml:space="preserve">Director Since: </w:t>
            </w:r>
            <w:r>
              <w:rPr>
                <w:rFonts w:ascii="Arial" w:cs="Arial" w:eastAsia="Arial" w:hAnsi="Arial"/>
                <w:sz w:val="16"/>
                <w:szCs w:val="16"/>
                <w:color w:val="000000"/>
              </w:rPr>
              <w:t>2016</w:t>
            </w:r>
          </w:p>
        </w:tc>
        <w:tc>
          <w:tcPr>
            <w:tcW w:w="24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780" w:type="dxa"/>
            <w:vAlign w:val="bottom"/>
            <w:vMerge w:val="restart"/>
          </w:tcPr>
          <w:p>
            <w:pPr>
              <w:spacing w:after="0"/>
              <w:rPr>
                <w:sz w:val="20"/>
                <w:szCs w:val="20"/>
                <w:color w:val="auto"/>
              </w:rPr>
            </w:pPr>
            <w:r>
              <w:rPr>
                <w:rFonts w:ascii="Arial" w:cs="Arial" w:eastAsia="Arial" w:hAnsi="Arial"/>
                <w:sz w:val="16"/>
                <w:szCs w:val="16"/>
                <w:color w:val="0C426A"/>
              </w:rPr>
              <w:t>LEAD INDEPENDENT DIRECTOR</w:t>
            </w:r>
          </w:p>
        </w:tc>
        <w:tc>
          <w:tcPr>
            <w:tcW w:w="240" w:type="dxa"/>
            <w:vAlign w:val="bottom"/>
          </w:tcPr>
          <w:p>
            <w:pPr>
              <w:spacing w:after="0"/>
              <w:rPr>
                <w:sz w:val="24"/>
                <w:szCs w:val="24"/>
                <w:color w:val="auto"/>
              </w:rPr>
            </w:pPr>
          </w:p>
        </w:tc>
        <w:tc>
          <w:tcPr>
            <w:tcW w:w="5960" w:type="dxa"/>
            <w:vAlign w:val="bottom"/>
          </w:tcPr>
          <w:p>
            <w:pPr>
              <w:ind w:left="120"/>
              <w:spacing w:after="0"/>
              <w:rPr>
                <w:sz w:val="20"/>
                <w:szCs w:val="20"/>
                <w:color w:val="auto"/>
              </w:rPr>
            </w:pPr>
            <w:r>
              <w:rPr>
                <w:rFonts w:ascii="Arial" w:cs="Arial" w:eastAsia="Arial" w:hAnsi="Arial"/>
                <w:sz w:val="16"/>
                <w:szCs w:val="16"/>
                <w:color w:val="0C426A"/>
              </w:rPr>
              <w:t>Past Other Directorships</w:t>
            </w:r>
          </w:p>
        </w:tc>
        <w:tc>
          <w:tcPr>
            <w:tcW w:w="0" w:type="dxa"/>
            <w:vAlign w:val="bottom"/>
          </w:tcPr>
          <w:p>
            <w:pPr>
              <w:spacing w:after="0"/>
              <w:rPr>
                <w:sz w:val="1"/>
                <w:szCs w:val="1"/>
                <w:color w:val="auto"/>
              </w:rPr>
            </w:pPr>
          </w:p>
        </w:tc>
      </w:tr>
      <w:tr>
        <w:trPr>
          <w:trHeight w:val="54"/>
        </w:trPr>
        <w:tc>
          <w:tcPr>
            <w:tcW w:w="27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59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-1860550</wp:posOffset>
            </wp:positionV>
            <wp:extent cx="1062990" cy="10629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62990" cy="1062990"/>
                    </a:xfrm>
                    <a:prstGeom prst="rect">
                      <a:avLst/>
                    </a:prstGeom>
                    <a:noFill/>
                  </pic:spPr>
                </pic:pic>
              </a:graphicData>
            </a:graphic>
          </wp:anchor>
        </w:drawing>
      </w:r>
    </w:p>
    <w:p>
      <w:pPr>
        <w:ind w:left="410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From 2017 until March 1, 2023, served as a member of the Board of Directors of</w:t>
      </w:r>
    </w:p>
    <w:p>
      <w:pPr>
        <w:spacing w:after="0" w:line="6" w:lineRule="exact"/>
        <w:rPr>
          <w:sz w:val="20"/>
          <w:szCs w:val="20"/>
          <w:color w:val="auto"/>
        </w:rPr>
      </w:pPr>
    </w:p>
    <w:p>
      <w:pPr>
        <w:ind w:left="4260" w:right="1380" w:hanging="3288"/>
        <w:spacing w:after="0" w:line="253" w:lineRule="auto"/>
        <w:tabs>
          <w:tab w:leader="none" w:pos="4240" w:val="left"/>
        </w:tabs>
        <w:rPr>
          <w:sz w:val="20"/>
          <w:szCs w:val="20"/>
          <w:color w:val="auto"/>
        </w:rPr>
      </w:pPr>
      <w:r>
        <w:rPr>
          <w:rFonts w:ascii="Arial" w:cs="Arial" w:eastAsia="Arial" w:hAnsi="Arial"/>
          <w:sz w:val="16"/>
          <w:szCs w:val="16"/>
          <w:color w:val="0C426A"/>
        </w:rPr>
        <w:t>Audit Committee Financial Expert</w:t>
      </w:r>
      <w:r>
        <w:rPr>
          <w:sz w:val="20"/>
          <w:szCs w:val="20"/>
          <w:color w:val="auto"/>
        </w:rPr>
        <w:tab/>
      </w:r>
      <w:r>
        <w:rPr>
          <w:rFonts w:ascii="Arial" w:cs="Arial" w:eastAsia="Arial" w:hAnsi="Arial"/>
          <w:sz w:val="16"/>
          <w:szCs w:val="16"/>
          <w:color w:val="auto"/>
        </w:rPr>
        <w:t>Syneos Health and served on the Audit Committee and Compensation and Management Development Committee.</w:t>
      </w:r>
    </w:p>
    <w:tbl>
      <w:tblPr>
        <w:tblLayout w:type="fixed"/>
        <w:tblInd w:w="0" w:type="dxa"/>
        <w:tblCellMar>
          <w:top w:w="0" w:type="dxa"/>
          <w:left w:w="0" w:type="dxa"/>
          <w:bottom w:w="0" w:type="dxa"/>
          <w:right w:w="0" w:type="dxa"/>
        </w:tblCellMar>
      </w:tblPr>
      <w:tr>
        <w:trPr>
          <w:trHeight w:val="213"/>
        </w:trPr>
        <w:tc>
          <w:tcPr>
            <w:tcW w:w="2100" w:type="dxa"/>
            <w:vAlign w:val="bottom"/>
            <w:gridSpan w:val="2"/>
          </w:tcPr>
          <w:p>
            <w:pPr>
              <w:ind w:left="960"/>
              <w:spacing w:after="0"/>
              <w:rPr>
                <w:sz w:val="20"/>
                <w:szCs w:val="20"/>
                <w:color w:val="auto"/>
              </w:rPr>
            </w:pPr>
            <w:r>
              <w:rPr>
                <w:rFonts w:ascii="Arial" w:cs="Arial" w:eastAsia="Arial" w:hAnsi="Arial"/>
                <w:sz w:val="16"/>
                <w:szCs w:val="16"/>
                <w:color w:val="0C426A"/>
              </w:rPr>
              <w:t>Committees:</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100" w:type="dxa"/>
            <w:vAlign w:val="bottom"/>
            <w:gridSpan w:val="2"/>
          </w:tcPr>
          <w:p>
            <w:pPr>
              <w:ind w:left="960"/>
              <w:spacing w:after="0"/>
              <w:rPr>
                <w:sz w:val="20"/>
                <w:szCs w:val="20"/>
                <w:color w:val="auto"/>
              </w:rPr>
            </w:pPr>
            <w:r>
              <w:rPr>
                <w:rFonts w:ascii="Arial" w:cs="Arial" w:eastAsia="Arial" w:hAnsi="Arial"/>
                <w:sz w:val="16"/>
                <w:szCs w:val="16"/>
                <w:color w:val="auto"/>
              </w:rPr>
              <w:t>Audit</w:t>
            </w: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340" w:type="dxa"/>
            <w:vAlign w:val="bottom"/>
            <w:vMerge w:val="restart"/>
          </w:tcPr>
          <w:p>
            <w:pPr>
              <w:ind w:left="480"/>
              <w:spacing w:after="0"/>
              <w:rPr>
                <w:sz w:val="20"/>
                <w:szCs w:val="20"/>
                <w:color w:val="auto"/>
              </w:rPr>
            </w:pPr>
            <w:r>
              <w:rPr>
                <w:rFonts w:ascii="Arial" w:cs="Arial" w:eastAsia="Arial" w:hAnsi="Arial"/>
                <w:sz w:val="16"/>
                <w:szCs w:val="16"/>
                <w:color w:val="0C426A"/>
              </w:rPr>
              <w:t>Specific Qualifications, Attributes, Skills and Experience</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3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3620" w:type="dxa"/>
            <w:vAlign w:val="bottom"/>
            <w:gridSpan w:val="4"/>
          </w:tcPr>
          <w:p>
            <w:pPr>
              <w:ind w:left="960"/>
              <w:spacing w:after="0"/>
              <w:rPr>
                <w:sz w:val="20"/>
                <w:szCs w:val="20"/>
                <w:color w:val="auto"/>
              </w:rPr>
            </w:pPr>
            <w:r>
              <w:rPr>
                <w:rFonts w:ascii="Arial" w:cs="Arial" w:eastAsia="Arial" w:hAnsi="Arial"/>
                <w:sz w:val="16"/>
                <w:szCs w:val="16"/>
                <w:color w:val="auto"/>
              </w:rPr>
              <w:t>Governance and Sustainability</w:t>
            </w:r>
          </w:p>
        </w:tc>
        <w:tc>
          <w:tcPr>
            <w:tcW w:w="6340" w:type="dxa"/>
            <w:vAlign w:val="bottom"/>
          </w:tcPr>
          <w:p>
            <w:pPr>
              <w:ind w:left="48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Extensive financial expertise, particularly in the areas of treasury, tax, decision</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100" w:type="dxa"/>
            <w:vAlign w:val="bottom"/>
            <w:gridSpan w:val="2"/>
          </w:tcPr>
          <w:p>
            <w:pPr>
              <w:ind w:left="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C426A"/>
              </w:rPr>
              <w:t>Chair</w:t>
            </w: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340" w:type="dxa"/>
            <w:vAlign w:val="bottom"/>
          </w:tcPr>
          <w:p>
            <w:pPr>
              <w:ind w:left="640"/>
              <w:spacing w:after="0"/>
              <w:rPr>
                <w:sz w:val="20"/>
                <w:szCs w:val="20"/>
                <w:color w:val="auto"/>
              </w:rPr>
            </w:pPr>
            <w:r>
              <w:rPr>
                <w:rFonts w:ascii="Arial" w:cs="Arial" w:eastAsia="Arial" w:hAnsi="Arial"/>
                <w:sz w:val="16"/>
                <w:szCs w:val="16"/>
                <w:color w:val="auto"/>
              </w:rPr>
              <w:t>support and acquisitions in multiple complex and global industries.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9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340" w:type="dxa"/>
            <w:vAlign w:val="bottom"/>
          </w:tcPr>
          <w:p>
            <w:pPr>
              <w:ind w:left="48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Service on other public company boards.</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9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340" w:type="dxa"/>
            <w:vAlign w:val="bottom"/>
          </w:tcPr>
          <w:p>
            <w:pPr>
              <w:ind w:left="48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Certified Public Accountant (inactive).</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120" w:type="dxa"/>
            <w:vAlign w:val="bottom"/>
            <w:tcBorders>
              <w:bottom w:val="single" w:sz="8" w:color="4C4C4C"/>
            </w:tcBorders>
          </w:tcPr>
          <w:p>
            <w:pPr>
              <w:spacing w:after="0"/>
              <w:rPr>
                <w:sz w:val="10"/>
                <w:szCs w:val="10"/>
                <w:color w:val="auto"/>
              </w:rPr>
            </w:pPr>
          </w:p>
        </w:tc>
        <w:tc>
          <w:tcPr>
            <w:tcW w:w="460" w:type="dxa"/>
            <w:vAlign w:val="bottom"/>
            <w:tcBorders>
              <w:bottom w:val="single" w:sz="8" w:color="4C4C4C"/>
            </w:tcBorders>
          </w:tcPr>
          <w:p>
            <w:pPr>
              <w:spacing w:after="0"/>
              <w:rPr>
                <w:sz w:val="10"/>
                <w:szCs w:val="10"/>
                <w:color w:val="auto"/>
              </w:rPr>
            </w:pPr>
          </w:p>
        </w:tc>
        <w:tc>
          <w:tcPr>
            <w:tcW w:w="1060" w:type="dxa"/>
            <w:vAlign w:val="bottom"/>
            <w:tcBorders>
              <w:bottom w:val="single" w:sz="8" w:color="4C4C4C"/>
            </w:tcBorders>
          </w:tcPr>
          <w:p>
            <w:pPr>
              <w:spacing w:after="0"/>
              <w:rPr>
                <w:sz w:val="10"/>
                <w:szCs w:val="10"/>
                <w:color w:val="auto"/>
              </w:rPr>
            </w:pPr>
          </w:p>
        </w:tc>
        <w:tc>
          <w:tcPr>
            <w:tcW w:w="6340" w:type="dxa"/>
            <w:vAlign w:val="bottom"/>
            <w:tcBorders>
              <w:bottom w:val="single" w:sz="8" w:color="4C4C4C"/>
            </w:tcBorders>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2100" w:type="dxa"/>
            <w:vAlign w:val="bottom"/>
            <w:gridSpan w:val="2"/>
          </w:tcPr>
          <w:p>
            <w:pPr>
              <w:ind w:left="960"/>
              <w:spacing w:after="0"/>
              <w:rPr>
                <w:sz w:val="20"/>
                <w:szCs w:val="20"/>
                <w:color w:val="auto"/>
              </w:rPr>
            </w:pPr>
            <w:r>
              <w:rPr>
                <w:rFonts w:ascii="Arial" w:cs="Arial" w:eastAsia="Arial" w:hAnsi="Arial"/>
                <w:sz w:val="14"/>
                <w:szCs w:val="14"/>
                <w:b w:val="1"/>
                <w:bCs w:val="1"/>
                <w:color w:val="auto"/>
              </w:rPr>
              <w:t>14</w:t>
            </w:r>
          </w:p>
        </w:tc>
        <w:tc>
          <w:tcPr>
            <w:tcW w:w="460" w:type="dxa"/>
            <w:vAlign w:val="bottom"/>
            <w:vMerge w:val="restart"/>
          </w:tcPr>
          <w:p>
            <w:pPr>
              <w:ind w:left="240"/>
              <w:spacing w:after="0"/>
              <w:rPr>
                <w:sz w:val="20"/>
                <w:szCs w:val="20"/>
                <w:color w:val="auto"/>
              </w:rPr>
            </w:pPr>
            <w:r>
              <w:rPr>
                <w:rFonts w:ascii="Arial" w:cs="Arial" w:eastAsia="Arial" w:hAnsi="Arial"/>
                <w:sz w:val="14"/>
                <w:szCs w:val="14"/>
                <w:color w:val="auto"/>
              </w:rPr>
              <w:t xml:space="preserve">    </w:t>
            </w:r>
          </w:p>
        </w:tc>
        <w:tc>
          <w:tcPr>
            <w:tcW w:w="7400" w:type="dxa"/>
            <w:vAlign w:val="bottom"/>
            <w:gridSpan w:val="2"/>
            <w:vMerge w:val="restart"/>
          </w:tcPr>
          <w:p>
            <w:pPr>
              <w:ind w:left="60"/>
              <w:spacing w:after="0"/>
              <w:rPr>
                <w:sz w:val="20"/>
                <w:szCs w:val="20"/>
                <w:color w:val="auto"/>
              </w:rPr>
            </w:pPr>
            <w:r>
              <w:rPr>
                <w:rFonts w:ascii="Arial" w:cs="Arial" w:eastAsia="Arial" w:hAnsi="Arial"/>
                <w:sz w:val="25"/>
                <w:szCs w:val="25"/>
                <w:color w:val="636466"/>
              </w:rPr>
              <w:t>/</w:t>
            </w:r>
            <w:r>
              <w:rPr>
                <w:rFonts w:ascii="Arial" w:cs="Arial" w:eastAsia="Arial" w:hAnsi="Arial"/>
                <w:sz w:val="28"/>
                <w:szCs w:val="28"/>
                <w:color w:val="000000"/>
                <w:vertAlign w:val="subscript"/>
              </w:rPr>
              <w:t xml:space="preserve">    </w:t>
            </w:r>
            <w:r>
              <w:rPr>
                <w:rFonts w:ascii="Arial" w:cs="Arial" w:eastAsia="Arial" w:hAnsi="Arial"/>
                <w:sz w:val="25"/>
                <w:szCs w:val="25"/>
                <w:color w:val="636466"/>
              </w:rPr>
              <w:t xml:space="preserve">  </w:t>
            </w:r>
            <w:r>
              <w:rPr>
                <w:rFonts w:ascii="Arial" w:cs="Arial" w:eastAsia="Arial" w:hAnsi="Arial"/>
                <w:sz w:val="14"/>
                <w:szCs w:val="14"/>
                <w:color w:val="000000"/>
              </w:rPr>
              <w:t>2024 Proxy Statement</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740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9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6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-407670</wp:posOffset>
            </wp:positionV>
            <wp:extent cx="501650" cy="170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sectPr>
      </w:pPr>
    </w:p>
    <w:bookmarkStart w:id="17" w:name="page18"/>
    <w:bookmarkEnd w:id="17"/>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980" w:type="dxa"/>
            <w:vAlign w:val="bottom"/>
            <w:gridSpan w:val="2"/>
          </w:tcPr>
          <w:p>
            <w:pPr>
              <w:jc w:val="right"/>
              <w:spacing w:after="0"/>
              <w:rPr>
                <w:sz w:val="20"/>
                <w:szCs w:val="20"/>
                <w:color w:val="auto"/>
              </w:rPr>
            </w:pPr>
            <w:r>
              <w:rPr>
                <w:rFonts w:ascii="Arial" w:cs="Arial" w:eastAsia="Arial" w:hAnsi="Arial"/>
                <w:sz w:val="12"/>
                <w:szCs w:val="12"/>
                <w:color w:val="auto"/>
              </w:rPr>
              <w:t>Proposal 1: Election of Directors</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8"/>
        </w:trPr>
        <w:tc>
          <w:tcPr>
            <w:tcW w:w="96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23"/>
                <w:szCs w:val="23"/>
                <w:b w:val="1"/>
                <w:bCs w:val="1"/>
                <w:color w:val="0C426A"/>
              </w:rPr>
              <w:t>Brian P. Hehir</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20" w:type="dxa"/>
            <w:vAlign w:val="bottom"/>
          </w:tcPr>
          <w:p>
            <w:pPr>
              <w:ind w:left="120"/>
              <w:spacing w:after="0"/>
              <w:rPr>
                <w:sz w:val="20"/>
                <w:szCs w:val="20"/>
                <w:color w:val="auto"/>
              </w:rPr>
            </w:pPr>
            <w:r>
              <w:rPr>
                <w:rFonts w:ascii="Arial" w:cs="Arial" w:eastAsia="Arial" w:hAnsi="Arial"/>
                <w:sz w:val="16"/>
                <w:szCs w:val="16"/>
                <w:color w:val="0C426A"/>
              </w:rPr>
              <w:t>Biographical Information</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20" w:type="dxa"/>
            <w:vAlign w:val="bottom"/>
          </w:tcPr>
          <w:p>
            <w:pPr>
              <w:ind w:left="12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Vice Chairman of Investment Banking for Merrill Lynch from 1999 to 2008.</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20" w:type="dxa"/>
            <w:vAlign w:val="bottom"/>
          </w:tcPr>
          <w:p>
            <w:pPr>
              <w:ind w:left="12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Former Chair of the Georgetown University School of Nursing and Health</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20" w:type="dxa"/>
            <w:vAlign w:val="bottom"/>
          </w:tcPr>
          <w:p>
            <w:pPr>
              <w:ind w:left="280"/>
              <w:spacing w:after="0"/>
              <w:rPr>
                <w:sz w:val="20"/>
                <w:szCs w:val="20"/>
                <w:color w:val="auto"/>
              </w:rPr>
            </w:pPr>
            <w:r>
              <w:rPr>
                <w:rFonts w:ascii="Arial" w:cs="Arial" w:eastAsia="Arial" w:hAnsi="Arial"/>
                <w:sz w:val="16"/>
                <w:szCs w:val="16"/>
                <w:color w:val="auto"/>
              </w:rPr>
              <w:t>Studies Board of Visitors.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9"/>
        </w:trPr>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20" w:type="dxa"/>
            <w:vAlign w:val="bottom"/>
          </w:tcPr>
          <w:p>
            <w:pPr>
              <w:ind w:left="120"/>
              <w:spacing w:after="0"/>
              <w:rPr>
                <w:sz w:val="20"/>
                <w:szCs w:val="20"/>
                <w:color w:val="auto"/>
              </w:rPr>
            </w:pPr>
            <w:r>
              <w:rPr>
                <w:rFonts w:ascii="Arial" w:cs="Arial" w:eastAsia="Arial" w:hAnsi="Arial"/>
                <w:sz w:val="16"/>
                <w:szCs w:val="16"/>
                <w:color w:val="0C426A"/>
              </w:rPr>
              <w:t>Past Other Directorships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20" w:type="dxa"/>
            <w:vAlign w:val="bottom"/>
          </w:tcPr>
          <w:p>
            <w:pPr>
              <w:ind w:left="12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Former member of the Board of Directors of Catholic Health Services of Long</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20" w:type="dxa"/>
            <w:vAlign w:val="bottom"/>
          </w:tcPr>
          <w:p>
            <w:pPr>
              <w:ind w:left="280"/>
              <w:spacing w:after="0"/>
              <w:rPr>
                <w:sz w:val="20"/>
                <w:szCs w:val="20"/>
                <w:color w:val="auto"/>
              </w:rPr>
            </w:pPr>
            <w:r>
              <w:rPr>
                <w:rFonts w:ascii="Arial" w:cs="Arial" w:eastAsia="Arial" w:hAnsi="Arial"/>
                <w:sz w:val="16"/>
                <w:szCs w:val="16"/>
                <w:color w:val="auto"/>
              </w:rPr>
              <w:t>Island.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9"/>
        </w:trPr>
        <w:tc>
          <w:tcPr>
            <w:tcW w:w="96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6"/>
                <w:szCs w:val="16"/>
                <w:color w:val="auto"/>
              </w:rPr>
              <w:t> </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20" w:type="dxa"/>
            <w:vAlign w:val="bottom"/>
          </w:tcPr>
          <w:p>
            <w:pPr>
              <w:ind w:left="120"/>
              <w:spacing w:after="0"/>
              <w:rPr>
                <w:sz w:val="20"/>
                <w:szCs w:val="20"/>
                <w:color w:val="auto"/>
              </w:rPr>
            </w:pPr>
            <w:r>
              <w:rPr>
                <w:rFonts w:ascii="Arial" w:cs="Arial" w:eastAsia="Arial" w:hAnsi="Arial"/>
                <w:sz w:val="16"/>
                <w:szCs w:val="16"/>
                <w:color w:val="0C426A"/>
              </w:rPr>
              <w:t>Specific Qualifications, Attributes, Skills and Experience</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5820" w:type="dxa"/>
            <w:vAlign w:val="bottom"/>
          </w:tcPr>
          <w:p>
            <w:pPr>
              <w:ind w:left="120"/>
              <w:spacing w:after="0" w:line="95" w:lineRule="exact"/>
              <w:rPr>
                <w:sz w:val="20"/>
                <w:szCs w:val="20"/>
                <w:color w:val="auto"/>
              </w:rPr>
            </w:pPr>
            <w:r>
              <w:rPr>
                <w:rFonts w:ascii="Arial" w:cs="Arial" w:eastAsia="Arial" w:hAnsi="Arial"/>
                <w:sz w:val="11"/>
                <w:szCs w:val="11"/>
                <w:color w:val="4297CB"/>
              </w:rPr>
              <w:t>•</w:t>
            </w:r>
            <w:r>
              <w:rPr>
                <w:rFonts w:ascii="Arial" w:cs="Arial" w:eastAsia="Arial" w:hAnsi="Arial"/>
                <w:sz w:val="11"/>
                <w:szCs w:val="11"/>
                <w:color w:val="000000"/>
              </w:rPr>
              <w:t xml:space="preserve">  Extensive career in global financial markets with over 30 years of experience</w:t>
            </w: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Arial" w:cs="Arial" w:eastAsia="Arial" w:hAnsi="Arial"/>
                <w:sz w:val="16"/>
                <w:szCs w:val="16"/>
                <w:color w:val="0C426A"/>
              </w:rPr>
              <w:t xml:space="preserve">Age: </w:t>
            </w:r>
            <w:r>
              <w:rPr>
                <w:rFonts w:ascii="Arial" w:cs="Arial" w:eastAsia="Arial" w:hAnsi="Arial"/>
                <w:sz w:val="16"/>
                <w:szCs w:val="16"/>
                <w:color w:val="000000"/>
              </w:rPr>
              <w:t>70</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20" w:type="dxa"/>
            <w:vAlign w:val="bottom"/>
            <w:vMerge w:val="restart"/>
          </w:tcPr>
          <w:p>
            <w:pPr>
              <w:ind w:left="280"/>
              <w:spacing w:after="0"/>
              <w:rPr>
                <w:sz w:val="20"/>
                <w:szCs w:val="20"/>
                <w:color w:val="auto"/>
              </w:rPr>
            </w:pPr>
            <w:r>
              <w:rPr>
                <w:rFonts w:ascii="Arial" w:cs="Arial" w:eastAsia="Arial" w:hAnsi="Arial"/>
                <w:sz w:val="16"/>
                <w:szCs w:val="16"/>
                <w:color w:val="auto"/>
              </w:rPr>
              <w:t>working in investment banking, financing, corporate advisory services and</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Arial" w:cs="Arial" w:eastAsia="Arial" w:hAnsi="Arial"/>
                <w:sz w:val="16"/>
                <w:szCs w:val="16"/>
                <w:color w:val="0C426A"/>
              </w:rPr>
              <w:t xml:space="preserve">Director Since: </w:t>
            </w:r>
            <w:r>
              <w:rPr>
                <w:rFonts w:ascii="Arial" w:cs="Arial" w:eastAsia="Arial" w:hAnsi="Arial"/>
                <w:sz w:val="16"/>
                <w:szCs w:val="16"/>
                <w:color w:val="000000"/>
              </w:rPr>
              <w:t>2007</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20" w:type="dxa"/>
            <w:vAlign w:val="bottom"/>
          </w:tcPr>
          <w:p>
            <w:pPr>
              <w:ind w:left="280"/>
              <w:spacing w:after="0"/>
              <w:rPr>
                <w:sz w:val="20"/>
                <w:szCs w:val="20"/>
                <w:color w:val="auto"/>
              </w:rPr>
            </w:pPr>
            <w:r>
              <w:rPr>
                <w:rFonts w:ascii="Arial" w:cs="Arial" w:eastAsia="Arial" w:hAnsi="Arial"/>
                <w:sz w:val="16"/>
                <w:szCs w:val="16"/>
                <w:color w:val="auto"/>
              </w:rPr>
              <w:t>capital markets.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60" w:type="dxa"/>
            <w:vAlign w:val="bottom"/>
          </w:tcPr>
          <w:p>
            <w:pPr>
              <w:spacing w:after="0"/>
              <w:rPr>
                <w:sz w:val="18"/>
                <w:szCs w:val="18"/>
                <w:color w:val="auto"/>
              </w:rPr>
            </w:pPr>
          </w:p>
        </w:tc>
        <w:tc>
          <w:tcPr>
            <w:tcW w:w="2520" w:type="dxa"/>
            <w:vAlign w:val="bottom"/>
            <w:gridSpan w:val="2"/>
            <w:vMerge w:val="restart"/>
          </w:tcPr>
          <w:p>
            <w:pPr>
              <w:spacing w:after="0"/>
              <w:rPr>
                <w:sz w:val="20"/>
                <w:szCs w:val="20"/>
                <w:color w:val="auto"/>
              </w:rPr>
            </w:pPr>
            <w:r>
              <w:rPr>
                <w:rFonts w:ascii="Arial" w:cs="Arial" w:eastAsia="Arial" w:hAnsi="Arial"/>
                <w:sz w:val="16"/>
                <w:szCs w:val="16"/>
                <w:color w:val="0C426A"/>
              </w:rPr>
              <w:t>INDEPENDENT DIRECTOR</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20" w:type="dxa"/>
            <w:vAlign w:val="bottom"/>
          </w:tcPr>
          <w:p>
            <w:pPr>
              <w:ind w:left="12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Experience in risk management and regulatory oversight through his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25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20" w:type="dxa"/>
            <w:vAlign w:val="bottom"/>
          </w:tcPr>
          <w:p>
            <w:pPr>
              <w:ind w:left="280"/>
              <w:spacing w:after="0"/>
              <w:rPr>
                <w:sz w:val="20"/>
                <w:szCs w:val="20"/>
                <w:color w:val="auto"/>
              </w:rPr>
            </w:pPr>
            <w:r>
              <w:rPr>
                <w:rFonts w:ascii="Arial" w:cs="Arial" w:eastAsia="Arial" w:hAnsi="Arial"/>
                <w:sz w:val="16"/>
                <w:szCs w:val="16"/>
                <w:color w:val="auto"/>
              </w:rPr>
              <w:t>background in highly regulated industries.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96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6"/>
                <w:szCs w:val="16"/>
                <w:color w:val="0C426A"/>
              </w:rPr>
              <w:t>Audit Committee Financial Expert</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96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6"/>
                <w:szCs w:val="16"/>
                <w:color w:val="0C426A"/>
              </w:rPr>
              <w:t>Committees: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96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Arial" w:cs="Arial" w:eastAsia="Arial" w:hAnsi="Arial"/>
                <w:sz w:val="16"/>
                <w:szCs w:val="16"/>
                <w:color w:val="auto"/>
              </w:rPr>
              <w:t>Audit (</w:t>
            </w:r>
            <w:r>
              <w:rPr>
                <w:rFonts w:ascii="Arial" w:cs="Arial" w:eastAsia="Arial" w:hAnsi="Arial"/>
                <w:sz w:val="16"/>
                <w:szCs w:val="16"/>
                <w:color w:val="0C426A"/>
              </w:rPr>
              <w:t>Chair</w:t>
            </w: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96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Arial" w:cs="Arial" w:eastAsia="Arial" w:hAnsi="Arial"/>
                <w:sz w:val="16"/>
                <w:szCs w:val="16"/>
                <w:color w:val="auto"/>
              </w:rPr>
              <w:t>Compensation and Talent</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6"/>
                <w:szCs w:val="16"/>
                <w:color w:val="auto"/>
              </w:rPr>
              <w:t>Management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20" w:type="dxa"/>
            <w:vAlign w:val="bottom"/>
            <w:tcBorders>
              <w:bottom w:val="single" w:sz="8" w:color="4C4C4C"/>
            </w:tcBorders>
          </w:tcPr>
          <w:p>
            <w:pPr>
              <w:spacing w:after="0"/>
              <w:rPr>
                <w:sz w:val="10"/>
                <w:szCs w:val="10"/>
                <w:color w:val="auto"/>
              </w:rPr>
            </w:pPr>
          </w:p>
        </w:tc>
        <w:tc>
          <w:tcPr>
            <w:tcW w:w="2500" w:type="dxa"/>
            <w:vAlign w:val="bottom"/>
            <w:tcBorders>
              <w:bottom w:val="single" w:sz="8" w:color="4C4C4C"/>
            </w:tcBorders>
          </w:tcPr>
          <w:p>
            <w:pPr>
              <w:spacing w:after="0"/>
              <w:rPr>
                <w:sz w:val="10"/>
                <w:szCs w:val="10"/>
                <w:color w:val="auto"/>
              </w:rPr>
            </w:pPr>
          </w:p>
        </w:tc>
        <w:tc>
          <w:tcPr>
            <w:tcW w:w="380" w:type="dxa"/>
            <w:vAlign w:val="bottom"/>
            <w:tcBorders>
              <w:bottom w:val="single" w:sz="8" w:color="4C4C4C"/>
            </w:tcBorders>
          </w:tcPr>
          <w:p>
            <w:pPr>
              <w:spacing w:after="0"/>
              <w:rPr>
                <w:sz w:val="10"/>
                <w:szCs w:val="10"/>
                <w:color w:val="auto"/>
              </w:rPr>
            </w:pPr>
          </w:p>
        </w:tc>
        <w:tc>
          <w:tcPr>
            <w:tcW w:w="120" w:type="dxa"/>
            <w:vAlign w:val="bottom"/>
            <w:tcBorders>
              <w:bottom w:val="single" w:sz="8" w:color="4C4C4C"/>
            </w:tcBorders>
          </w:tcPr>
          <w:p>
            <w:pPr>
              <w:spacing w:after="0"/>
              <w:rPr>
                <w:sz w:val="10"/>
                <w:szCs w:val="10"/>
                <w:color w:val="auto"/>
              </w:rPr>
            </w:pPr>
          </w:p>
        </w:tc>
        <w:tc>
          <w:tcPr>
            <w:tcW w:w="5820" w:type="dxa"/>
            <w:vAlign w:val="bottom"/>
            <w:tcBorders>
              <w:bottom w:val="single" w:sz="8" w:color="4C4C4C"/>
            </w:tcBorders>
          </w:tcPr>
          <w:p>
            <w:pPr>
              <w:spacing w:after="0"/>
              <w:rPr>
                <w:sz w:val="10"/>
                <w:szCs w:val="10"/>
                <w:color w:val="auto"/>
              </w:rPr>
            </w:pPr>
          </w:p>
        </w:tc>
        <w:tc>
          <w:tcPr>
            <w:tcW w:w="160" w:type="dxa"/>
            <w:vAlign w:val="bottom"/>
            <w:tcBorders>
              <w:bottom w:val="single" w:sz="8" w:color="4C4C4C"/>
            </w:tcBorders>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8"/>
        </w:trPr>
        <w:tc>
          <w:tcPr>
            <w:tcW w:w="96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23"/>
                <w:szCs w:val="23"/>
                <w:b w:val="1"/>
                <w:bCs w:val="1"/>
                <w:color w:val="0C426A"/>
              </w:rPr>
              <w:t>Beverley A. Babcock</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20" w:type="dxa"/>
            <w:vAlign w:val="bottom"/>
          </w:tcPr>
          <w:p>
            <w:pPr>
              <w:ind w:left="120"/>
              <w:spacing w:after="0"/>
              <w:rPr>
                <w:sz w:val="20"/>
                <w:szCs w:val="20"/>
                <w:color w:val="auto"/>
              </w:rPr>
            </w:pPr>
            <w:r>
              <w:rPr>
                <w:rFonts w:ascii="Arial" w:cs="Arial" w:eastAsia="Arial" w:hAnsi="Arial"/>
                <w:sz w:val="16"/>
                <w:szCs w:val="16"/>
                <w:color w:val="0C426A"/>
              </w:rPr>
              <w:t>Biographical Information</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980" w:type="dxa"/>
            <w:vAlign w:val="bottom"/>
            <w:gridSpan w:val="2"/>
          </w:tcPr>
          <w:p>
            <w:pPr>
              <w:ind w:left="12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Senior Vice President Finance &amp; Administration and Controller, Imperial Oil from</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20" w:type="dxa"/>
            <w:vAlign w:val="bottom"/>
          </w:tcPr>
          <w:p>
            <w:pPr>
              <w:ind w:left="280"/>
              <w:spacing w:after="0"/>
              <w:rPr>
                <w:sz w:val="20"/>
                <w:szCs w:val="20"/>
                <w:color w:val="auto"/>
              </w:rPr>
            </w:pPr>
            <w:r>
              <w:rPr>
                <w:rFonts w:ascii="Arial" w:cs="Arial" w:eastAsia="Arial" w:hAnsi="Arial"/>
                <w:sz w:val="16"/>
                <w:szCs w:val="16"/>
                <w:color w:val="auto"/>
              </w:rPr>
              <w:t>2015 to 2018.</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20" w:type="dxa"/>
            <w:vAlign w:val="bottom"/>
          </w:tcPr>
          <w:p>
            <w:pPr>
              <w:ind w:left="12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Vice President, Corporate Financial Services, ExxonMobil from 2011 to 2015</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20" w:type="dxa"/>
            <w:vAlign w:val="bottom"/>
          </w:tcPr>
          <w:p>
            <w:pPr>
              <w:ind w:left="280"/>
              <w:spacing w:after="0"/>
              <w:rPr>
                <w:sz w:val="20"/>
                <w:szCs w:val="20"/>
                <w:color w:val="auto"/>
              </w:rPr>
            </w:pPr>
            <w:r>
              <w:rPr>
                <w:rFonts w:ascii="Arial" w:cs="Arial" w:eastAsia="Arial" w:hAnsi="Arial"/>
                <w:sz w:val="16"/>
                <w:szCs w:val="16"/>
                <w:color w:val="auto"/>
              </w:rPr>
              <w:t>and a variety of executive leadership roles at ExxonMobil including Vice</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980" w:type="dxa"/>
            <w:vAlign w:val="bottom"/>
            <w:gridSpan w:val="2"/>
          </w:tcPr>
          <w:p>
            <w:pPr>
              <w:ind w:left="280"/>
              <w:spacing w:after="0"/>
              <w:rPr>
                <w:sz w:val="20"/>
                <w:szCs w:val="20"/>
                <w:color w:val="auto"/>
              </w:rPr>
            </w:pPr>
            <w:r>
              <w:rPr>
                <w:rFonts w:ascii="Arial" w:cs="Arial" w:eastAsia="Arial" w:hAnsi="Arial"/>
                <w:sz w:val="16"/>
                <w:szCs w:val="16"/>
                <w:color w:val="auto"/>
              </w:rPr>
              <w:t>President of Corporate Financial Services and Assistant Controller from 2000 to</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20" w:type="dxa"/>
            <w:vAlign w:val="bottom"/>
          </w:tcPr>
          <w:p>
            <w:pPr>
              <w:ind w:left="280"/>
              <w:spacing w:after="0"/>
              <w:rPr>
                <w:sz w:val="20"/>
                <w:szCs w:val="20"/>
                <w:color w:val="auto"/>
              </w:rPr>
            </w:pPr>
            <w:r>
              <w:rPr>
                <w:rFonts w:ascii="Arial" w:cs="Arial" w:eastAsia="Arial" w:hAnsi="Arial"/>
                <w:sz w:val="16"/>
                <w:szCs w:val="16"/>
                <w:color w:val="auto"/>
              </w:rPr>
              <w:t>2015.</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9"/>
        </w:trPr>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20" w:type="dxa"/>
            <w:vAlign w:val="bottom"/>
          </w:tcPr>
          <w:p>
            <w:pPr>
              <w:ind w:left="120"/>
              <w:spacing w:after="0"/>
              <w:rPr>
                <w:sz w:val="20"/>
                <w:szCs w:val="20"/>
                <w:color w:val="auto"/>
              </w:rPr>
            </w:pPr>
            <w:r>
              <w:rPr>
                <w:rFonts w:ascii="Arial" w:cs="Arial" w:eastAsia="Arial" w:hAnsi="Arial"/>
                <w:sz w:val="16"/>
                <w:szCs w:val="16"/>
                <w:color w:val="0C426A"/>
              </w:rPr>
              <w:t>Current Other Directorships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60" w:type="dxa"/>
            <w:vAlign w:val="bottom"/>
          </w:tcPr>
          <w:p>
            <w:pPr>
              <w:spacing w:after="0"/>
              <w:rPr>
                <w:sz w:val="19"/>
                <w:szCs w:val="19"/>
                <w:color w:val="auto"/>
              </w:rPr>
            </w:pPr>
          </w:p>
        </w:tc>
        <w:tc>
          <w:tcPr>
            <w:tcW w:w="2520" w:type="dxa"/>
            <w:vAlign w:val="bottom"/>
            <w:gridSpan w:val="2"/>
            <w:vMerge w:val="restart"/>
          </w:tcPr>
          <w:p>
            <w:pPr>
              <w:spacing w:after="0"/>
              <w:rPr>
                <w:sz w:val="20"/>
                <w:szCs w:val="20"/>
                <w:color w:val="auto"/>
              </w:rPr>
            </w:pPr>
            <w:r>
              <w:rPr>
                <w:rFonts w:ascii="Arial" w:cs="Arial" w:eastAsia="Arial" w:hAnsi="Arial"/>
                <w:sz w:val="16"/>
                <w:szCs w:val="16"/>
                <w:color w:val="auto"/>
              </w:rPr>
              <w:t xml:space="preserve">  </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20" w:type="dxa"/>
            <w:vAlign w:val="bottom"/>
          </w:tcPr>
          <w:p>
            <w:pPr>
              <w:ind w:left="12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Member of the Board of Directors, Olin Corporation since 2019, serving on the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5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20" w:type="dxa"/>
            <w:vAlign w:val="bottom"/>
            <w:vMerge w:val="restart"/>
          </w:tcPr>
          <w:p>
            <w:pPr>
              <w:ind w:left="280"/>
              <w:spacing w:after="0"/>
              <w:rPr>
                <w:sz w:val="20"/>
                <w:szCs w:val="20"/>
                <w:color w:val="auto"/>
              </w:rPr>
            </w:pPr>
            <w:r>
              <w:rPr>
                <w:rFonts w:ascii="Arial" w:cs="Arial" w:eastAsia="Arial" w:hAnsi="Arial"/>
                <w:sz w:val="16"/>
                <w:szCs w:val="16"/>
                <w:color w:val="auto"/>
              </w:rPr>
              <w:t>Executive Committee and Audit Committee (Chair).</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2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960" w:type="dxa"/>
            <w:vAlign w:val="bottom"/>
          </w:tcPr>
          <w:p>
            <w:pPr>
              <w:spacing w:after="0"/>
              <w:rPr>
                <w:sz w:val="22"/>
                <w:szCs w:val="22"/>
                <w:color w:val="auto"/>
              </w:rPr>
            </w:pPr>
          </w:p>
        </w:tc>
        <w:tc>
          <w:tcPr>
            <w:tcW w:w="2520" w:type="dxa"/>
            <w:vAlign w:val="bottom"/>
            <w:gridSpan w:val="2"/>
          </w:tcPr>
          <w:p>
            <w:pPr>
              <w:spacing w:after="0"/>
              <w:rPr>
                <w:sz w:val="20"/>
                <w:szCs w:val="20"/>
                <w:color w:val="auto"/>
              </w:rPr>
            </w:pPr>
            <w:r>
              <w:rPr>
                <w:rFonts w:ascii="Arial" w:cs="Arial" w:eastAsia="Arial" w:hAnsi="Arial"/>
                <w:sz w:val="16"/>
                <w:szCs w:val="16"/>
                <w:color w:val="0C426A"/>
              </w:rPr>
              <w:t xml:space="preserve">Age: </w:t>
            </w:r>
            <w:r>
              <w:rPr>
                <w:rFonts w:ascii="Arial" w:cs="Arial" w:eastAsia="Arial" w:hAnsi="Arial"/>
                <w:sz w:val="16"/>
                <w:szCs w:val="16"/>
                <w:color w:val="000000"/>
              </w:rPr>
              <w:t>62</w:t>
            </w:r>
          </w:p>
        </w:tc>
        <w:tc>
          <w:tcPr>
            <w:tcW w:w="3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6100" w:type="dxa"/>
            <w:vAlign w:val="bottom"/>
            <w:gridSpan w:val="3"/>
          </w:tcPr>
          <w:p>
            <w:pPr>
              <w:ind w:left="20"/>
              <w:spacing w:after="0"/>
              <w:rPr>
                <w:sz w:val="20"/>
                <w:szCs w:val="20"/>
                <w:color w:val="auto"/>
              </w:rPr>
            </w:pPr>
            <w:r>
              <w:rPr>
                <w:rFonts w:ascii="Times New Roman" w:cs="Times New Roman" w:eastAsia="Times New Roman" w:hAnsi="Times New Roman"/>
                <w:sz w:val="7"/>
                <w:szCs w:val="7"/>
                <w:color w:val="000000"/>
                <w:w w:val="97"/>
                <w:vertAlign w:val="subscript"/>
              </w:rPr>
              <w:t>​</w:t>
            </w:r>
            <w:r>
              <w:rPr>
                <w:rFonts w:ascii="Arial" w:cs="Arial" w:eastAsia="Arial" w:hAnsi="Arial"/>
                <w:sz w:val="16"/>
                <w:szCs w:val="16"/>
                <w:color w:val="4297CB"/>
                <w:w w:val="97"/>
              </w:rPr>
              <w:t xml:space="preserve">            •</w:t>
            </w:r>
            <w:r>
              <w:rPr>
                <w:rFonts w:ascii="Arial" w:cs="Arial" w:eastAsia="Arial" w:hAnsi="Arial"/>
                <w:sz w:val="16"/>
                <w:szCs w:val="16"/>
                <w:color w:val="000000"/>
                <w:w w:val="97"/>
              </w:rPr>
              <w:t xml:space="preserve">  Member of the Board of Directors since 2018, Forte Foundation—a consortium</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2520" w:type="dxa"/>
            <w:vAlign w:val="bottom"/>
            <w:gridSpan w:val="2"/>
            <w:vMerge w:val="restart"/>
          </w:tcPr>
          <w:p>
            <w:pPr>
              <w:spacing w:after="0"/>
              <w:rPr>
                <w:sz w:val="20"/>
                <w:szCs w:val="20"/>
                <w:color w:val="auto"/>
              </w:rPr>
            </w:pPr>
            <w:r>
              <w:rPr>
                <w:rFonts w:ascii="Arial" w:cs="Arial" w:eastAsia="Arial" w:hAnsi="Arial"/>
                <w:sz w:val="16"/>
                <w:szCs w:val="16"/>
                <w:color w:val="0C426A"/>
              </w:rPr>
              <w:t xml:space="preserve">Director Since: </w:t>
            </w:r>
            <w:r>
              <w:rPr>
                <w:rFonts w:ascii="Arial" w:cs="Arial" w:eastAsia="Arial" w:hAnsi="Arial"/>
                <w:sz w:val="16"/>
                <w:szCs w:val="16"/>
                <w:color w:val="000000"/>
              </w:rPr>
              <w:t>2022</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20" w:type="dxa"/>
            <w:vAlign w:val="bottom"/>
          </w:tcPr>
          <w:p>
            <w:pPr>
              <w:ind w:left="280"/>
              <w:spacing w:after="0" w:line="174" w:lineRule="exact"/>
              <w:rPr>
                <w:sz w:val="20"/>
                <w:szCs w:val="20"/>
                <w:color w:val="auto"/>
              </w:rPr>
            </w:pPr>
            <w:r>
              <w:rPr>
                <w:rFonts w:ascii="Arial" w:cs="Arial" w:eastAsia="Arial" w:hAnsi="Arial"/>
                <w:sz w:val="16"/>
                <w:szCs w:val="16"/>
                <w:color w:val="auto"/>
              </w:rPr>
              <w:t>of leading companies and top business schools working together to launch</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25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20" w:type="dxa"/>
            <w:vAlign w:val="bottom"/>
          </w:tcPr>
          <w:p>
            <w:pPr>
              <w:ind w:left="280"/>
              <w:spacing w:after="0"/>
              <w:rPr>
                <w:sz w:val="20"/>
                <w:szCs w:val="20"/>
                <w:color w:val="auto"/>
              </w:rPr>
            </w:pPr>
            <w:r>
              <w:rPr>
                <w:rFonts w:ascii="Arial" w:cs="Arial" w:eastAsia="Arial" w:hAnsi="Arial"/>
                <w:sz w:val="16"/>
                <w:szCs w:val="16"/>
                <w:color w:val="auto"/>
              </w:rPr>
              <w:t>women into fulfilling, significant careers in business.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960" w:type="dxa"/>
            <w:vAlign w:val="bottom"/>
          </w:tcPr>
          <w:p>
            <w:pPr>
              <w:spacing w:after="0"/>
              <w:rPr>
                <w:sz w:val="22"/>
                <w:szCs w:val="22"/>
                <w:color w:val="auto"/>
              </w:rPr>
            </w:pPr>
          </w:p>
        </w:tc>
        <w:tc>
          <w:tcPr>
            <w:tcW w:w="2520" w:type="dxa"/>
            <w:vAlign w:val="bottom"/>
            <w:gridSpan w:val="2"/>
            <w:vMerge w:val="restart"/>
          </w:tcPr>
          <w:p>
            <w:pPr>
              <w:spacing w:after="0"/>
              <w:rPr>
                <w:sz w:val="20"/>
                <w:szCs w:val="20"/>
                <w:color w:val="auto"/>
              </w:rPr>
            </w:pPr>
            <w:r>
              <w:rPr>
                <w:rFonts w:ascii="Arial" w:cs="Arial" w:eastAsia="Arial" w:hAnsi="Arial"/>
                <w:sz w:val="16"/>
                <w:szCs w:val="16"/>
                <w:color w:val="0C426A"/>
              </w:rPr>
              <w:t>INDEPENDENT DIRECTOR</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20" w:type="dxa"/>
            <w:vAlign w:val="bottom"/>
          </w:tcPr>
          <w:p>
            <w:pPr>
              <w:ind w:left="12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Co-Chair Women Corporate Directors—Houston Chapter.</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960" w:type="dxa"/>
            <w:vAlign w:val="bottom"/>
          </w:tcPr>
          <w:p>
            <w:pPr>
              <w:spacing w:after="0"/>
              <w:rPr>
                <w:sz w:val="8"/>
                <w:szCs w:val="8"/>
                <w:color w:val="auto"/>
              </w:rPr>
            </w:pPr>
          </w:p>
        </w:tc>
        <w:tc>
          <w:tcPr>
            <w:tcW w:w="252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5"/>
        </w:trPr>
        <w:tc>
          <w:tcPr>
            <w:tcW w:w="96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6"/>
                <w:szCs w:val="16"/>
                <w:color w:val="0C426A"/>
              </w:rPr>
              <w:t>Audit Committee Financial Expert</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20" w:type="dxa"/>
            <w:vAlign w:val="bottom"/>
          </w:tcPr>
          <w:p>
            <w:pPr>
              <w:ind w:left="120"/>
              <w:spacing w:after="0"/>
              <w:rPr>
                <w:sz w:val="20"/>
                <w:szCs w:val="20"/>
                <w:color w:val="auto"/>
              </w:rPr>
            </w:pPr>
            <w:r>
              <w:rPr>
                <w:rFonts w:ascii="Arial" w:cs="Arial" w:eastAsia="Arial" w:hAnsi="Arial"/>
                <w:sz w:val="16"/>
                <w:szCs w:val="16"/>
                <w:color w:val="0C426A"/>
              </w:rPr>
              <w:t>Specific Qualifications, Attributes, Skills and Experience</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60" w:type="dxa"/>
            <w:vAlign w:val="bottom"/>
          </w:tcPr>
          <w:p>
            <w:pPr>
              <w:spacing w:after="0"/>
              <w:rPr>
                <w:sz w:val="19"/>
                <w:szCs w:val="19"/>
                <w:color w:val="auto"/>
              </w:rPr>
            </w:pPr>
          </w:p>
        </w:tc>
        <w:tc>
          <w:tcPr>
            <w:tcW w:w="2520" w:type="dxa"/>
            <w:vAlign w:val="bottom"/>
            <w:gridSpan w:val="2"/>
            <w:vMerge w:val="restart"/>
          </w:tcPr>
          <w:p>
            <w:pPr>
              <w:spacing w:after="0"/>
              <w:rPr>
                <w:sz w:val="20"/>
                <w:szCs w:val="20"/>
                <w:color w:val="auto"/>
              </w:rPr>
            </w:pPr>
            <w:r>
              <w:rPr>
                <w:rFonts w:ascii="Arial" w:cs="Arial" w:eastAsia="Arial" w:hAnsi="Arial"/>
                <w:sz w:val="16"/>
                <w:szCs w:val="16"/>
                <w:color w:val="0C426A"/>
              </w:rPr>
              <w:t>Committees: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20" w:type="dxa"/>
            <w:vAlign w:val="bottom"/>
          </w:tcPr>
          <w:p>
            <w:pPr>
              <w:ind w:left="12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Extensive experience in senior finance and accounting leadership positions at</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960" w:type="dxa"/>
            <w:vAlign w:val="bottom"/>
          </w:tcPr>
          <w:p>
            <w:pPr>
              <w:spacing w:after="0"/>
              <w:rPr>
                <w:sz w:val="11"/>
                <w:szCs w:val="11"/>
                <w:color w:val="auto"/>
              </w:rPr>
            </w:pPr>
          </w:p>
        </w:tc>
        <w:tc>
          <w:tcPr>
            <w:tcW w:w="252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20" w:type="dxa"/>
            <w:vAlign w:val="bottom"/>
            <w:vMerge w:val="restart"/>
          </w:tcPr>
          <w:p>
            <w:pPr>
              <w:ind w:left="280"/>
              <w:spacing w:after="0"/>
              <w:rPr>
                <w:sz w:val="20"/>
                <w:szCs w:val="20"/>
                <w:color w:val="auto"/>
              </w:rPr>
            </w:pPr>
            <w:r>
              <w:rPr>
                <w:rFonts w:ascii="Arial" w:cs="Arial" w:eastAsia="Arial" w:hAnsi="Arial"/>
                <w:sz w:val="16"/>
                <w:szCs w:val="16"/>
                <w:color w:val="auto"/>
              </w:rPr>
              <w:t>complex and global companies of significant size.</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960" w:type="dxa"/>
            <w:vAlign w:val="bottom"/>
          </w:tcPr>
          <w:p>
            <w:pPr>
              <w:spacing w:after="0"/>
              <w:rPr>
                <w:sz w:val="6"/>
                <w:szCs w:val="6"/>
                <w:color w:val="auto"/>
              </w:rPr>
            </w:pPr>
          </w:p>
        </w:tc>
        <w:tc>
          <w:tcPr>
            <w:tcW w:w="2520" w:type="dxa"/>
            <w:vAlign w:val="bottom"/>
            <w:gridSpan w:val="2"/>
            <w:vMerge w:val="restart"/>
          </w:tcPr>
          <w:p>
            <w:pPr>
              <w:spacing w:after="0"/>
              <w:rPr>
                <w:sz w:val="20"/>
                <w:szCs w:val="20"/>
                <w:color w:val="auto"/>
              </w:rPr>
            </w:pPr>
            <w:r>
              <w:rPr>
                <w:rFonts w:ascii="Arial" w:cs="Arial" w:eastAsia="Arial" w:hAnsi="Arial"/>
                <w:sz w:val="16"/>
                <w:szCs w:val="16"/>
                <w:color w:val="auto"/>
              </w:rPr>
              <w:t>Audit</w:t>
            </w: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25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20" w:type="dxa"/>
            <w:vAlign w:val="bottom"/>
            <w:vMerge w:val="restart"/>
          </w:tcPr>
          <w:p>
            <w:pPr>
              <w:ind w:left="12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Service on other public company boards.</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960" w:type="dxa"/>
            <w:vAlign w:val="bottom"/>
          </w:tcPr>
          <w:p>
            <w:pPr>
              <w:spacing w:after="0"/>
              <w:rPr>
                <w:sz w:val="8"/>
                <w:szCs w:val="8"/>
                <w:color w:val="auto"/>
              </w:rPr>
            </w:pPr>
          </w:p>
        </w:tc>
        <w:tc>
          <w:tcPr>
            <w:tcW w:w="2520" w:type="dxa"/>
            <w:vAlign w:val="bottom"/>
            <w:gridSpan w:val="2"/>
            <w:vMerge w:val="restart"/>
          </w:tcPr>
          <w:p>
            <w:pPr>
              <w:spacing w:after="0"/>
              <w:rPr>
                <w:sz w:val="20"/>
                <w:szCs w:val="20"/>
                <w:color w:val="auto"/>
              </w:rPr>
            </w:pPr>
            <w:r>
              <w:rPr>
                <w:rFonts w:ascii="Arial" w:cs="Arial" w:eastAsia="Arial" w:hAnsi="Arial"/>
                <w:sz w:val="16"/>
                <w:szCs w:val="16"/>
                <w:color w:val="auto"/>
              </w:rPr>
              <w:t>Compensation and Talent</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25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20" w:type="dxa"/>
            <w:vAlign w:val="bottom"/>
            <w:vMerge w:val="restart"/>
          </w:tcPr>
          <w:p>
            <w:pPr>
              <w:ind w:left="120"/>
              <w:spacing w:after="0"/>
              <w:rPr>
                <w:sz w:val="20"/>
                <w:szCs w:val="20"/>
                <w:color w:val="auto"/>
              </w:rPr>
            </w:pPr>
            <w:r>
              <w:rPr>
                <w:rFonts w:ascii="Arial" w:cs="Arial" w:eastAsia="Arial" w:hAnsi="Arial"/>
                <w:sz w:val="16"/>
                <w:szCs w:val="16"/>
                <w:color w:val="4297CB"/>
                <w:w w:val="99"/>
              </w:rPr>
              <w:t>•</w:t>
            </w:r>
            <w:r>
              <w:rPr>
                <w:rFonts w:ascii="Arial" w:cs="Arial" w:eastAsia="Arial" w:hAnsi="Arial"/>
                <w:sz w:val="16"/>
                <w:szCs w:val="16"/>
                <w:color w:val="000000"/>
                <w:w w:val="99"/>
              </w:rPr>
              <w:t xml:space="preserve">  Member, Good Standing of the Chartered Professional Accountants of Ontario</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960" w:type="dxa"/>
            <w:vAlign w:val="bottom"/>
          </w:tcPr>
          <w:p>
            <w:pPr>
              <w:spacing w:after="0"/>
              <w:rPr>
                <w:sz w:val="4"/>
                <w:szCs w:val="4"/>
                <w:color w:val="auto"/>
              </w:rPr>
            </w:pPr>
          </w:p>
        </w:tc>
        <w:tc>
          <w:tcPr>
            <w:tcW w:w="2520" w:type="dxa"/>
            <w:vAlign w:val="bottom"/>
            <w:gridSpan w:val="2"/>
            <w:vMerge w:val="restart"/>
          </w:tcPr>
          <w:p>
            <w:pPr>
              <w:spacing w:after="0"/>
              <w:rPr>
                <w:sz w:val="20"/>
                <w:szCs w:val="20"/>
                <w:color w:val="auto"/>
              </w:rPr>
            </w:pPr>
            <w:r>
              <w:rPr>
                <w:rFonts w:ascii="Arial" w:cs="Arial" w:eastAsia="Arial" w:hAnsi="Arial"/>
                <w:sz w:val="16"/>
                <w:szCs w:val="16"/>
                <w:color w:val="auto"/>
              </w:rPr>
              <w:t>Management</w:t>
            </w: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5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20" w:type="dxa"/>
            <w:vAlign w:val="bottom"/>
            <w:vMerge w:val="restart"/>
          </w:tcPr>
          <w:p>
            <w:pPr>
              <w:ind w:left="280"/>
              <w:spacing w:after="0"/>
              <w:rPr>
                <w:sz w:val="20"/>
                <w:szCs w:val="20"/>
                <w:color w:val="auto"/>
              </w:rPr>
            </w:pPr>
            <w:r>
              <w:rPr>
                <w:rFonts w:ascii="Arial" w:cs="Arial" w:eastAsia="Arial" w:hAnsi="Arial"/>
                <w:sz w:val="16"/>
                <w:szCs w:val="16"/>
                <w:color w:val="auto"/>
              </w:rPr>
              <w:t>and Canada.</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960" w:type="dxa"/>
            <w:vAlign w:val="bottom"/>
          </w:tcPr>
          <w:p>
            <w:pPr>
              <w:spacing w:after="0"/>
              <w:rPr>
                <w:sz w:val="4"/>
                <w:szCs w:val="4"/>
                <w:color w:val="auto"/>
              </w:rPr>
            </w:pPr>
          </w:p>
        </w:tc>
        <w:tc>
          <w:tcPr>
            <w:tcW w:w="2520" w:type="dxa"/>
            <w:vAlign w:val="bottom"/>
            <w:gridSpan w:val="2"/>
            <w:vMerge w:val="restart"/>
          </w:tcPr>
          <w:p>
            <w:pPr>
              <w:spacing w:after="0"/>
              <w:rPr>
                <w:sz w:val="20"/>
                <w:szCs w:val="20"/>
                <w:color w:val="auto"/>
              </w:rPr>
            </w:pPr>
            <w:r>
              <w:rPr>
                <w:rFonts w:ascii="Arial" w:cs="Arial" w:eastAsia="Arial" w:hAnsi="Arial"/>
                <w:sz w:val="16"/>
                <w:szCs w:val="16"/>
                <w:color w:val="auto"/>
              </w:rPr>
              <w:t>Environmental, Social and</w:t>
            </w: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25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6"/>
                <w:szCs w:val="16"/>
                <w:color w:val="auto"/>
              </w:rPr>
              <w:t>Governance Subcommittee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00" w:type="dxa"/>
            <w:vAlign w:val="bottom"/>
            <w:tcBorders>
              <w:bottom w:val="single" w:sz="8" w:color="4C4C4C"/>
            </w:tcBorders>
          </w:tcPr>
          <w:p>
            <w:pPr>
              <w:spacing w:after="0"/>
              <w:rPr>
                <w:sz w:val="10"/>
                <w:szCs w:val="10"/>
                <w:color w:val="auto"/>
              </w:rPr>
            </w:pPr>
          </w:p>
        </w:tc>
        <w:tc>
          <w:tcPr>
            <w:tcW w:w="380" w:type="dxa"/>
            <w:vAlign w:val="bottom"/>
            <w:tcBorders>
              <w:bottom w:val="single" w:sz="8" w:color="4C4C4C"/>
            </w:tcBorders>
          </w:tcPr>
          <w:p>
            <w:pPr>
              <w:spacing w:after="0"/>
              <w:rPr>
                <w:sz w:val="10"/>
                <w:szCs w:val="10"/>
                <w:color w:val="auto"/>
              </w:rPr>
            </w:pPr>
          </w:p>
        </w:tc>
        <w:tc>
          <w:tcPr>
            <w:tcW w:w="120" w:type="dxa"/>
            <w:vAlign w:val="bottom"/>
            <w:tcBorders>
              <w:bottom w:val="single" w:sz="8" w:color="4C4C4C"/>
            </w:tcBorders>
          </w:tcPr>
          <w:p>
            <w:pPr>
              <w:spacing w:after="0"/>
              <w:rPr>
                <w:sz w:val="10"/>
                <w:szCs w:val="10"/>
                <w:color w:val="auto"/>
              </w:rPr>
            </w:pPr>
          </w:p>
        </w:tc>
        <w:tc>
          <w:tcPr>
            <w:tcW w:w="5820" w:type="dxa"/>
            <w:vAlign w:val="bottom"/>
            <w:tcBorders>
              <w:bottom w:val="single" w:sz="8" w:color="4C4C4C"/>
            </w:tcBorders>
          </w:tcPr>
          <w:p>
            <w:pPr>
              <w:spacing w:after="0"/>
              <w:rPr>
                <w:sz w:val="10"/>
                <w:szCs w:val="10"/>
                <w:color w:val="auto"/>
              </w:rPr>
            </w:pPr>
          </w:p>
        </w:tc>
        <w:tc>
          <w:tcPr>
            <w:tcW w:w="160" w:type="dxa"/>
            <w:vAlign w:val="bottom"/>
            <w:tcBorders>
              <w:bottom w:val="single" w:sz="8" w:color="4C4C4C"/>
            </w:tcBorders>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5"/>
        </w:trPr>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20" w:type="dxa"/>
            <w:vAlign w:val="bottom"/>
          </w:tcPr>
          <w:p>
            <w:pPr>
              <w:ind w:left="238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w w:val="89"/>
              </w:rPr>
              <w:t>15</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2453640</wp:posOffset>
            </wp:positionH>
            <wp:positionV relativeFrom="paragraph">
              <wp:posOffset>-7617460</wp:posOffset>
            </wp:positionV>
            <wp:extent cx="8255" cy="7023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7023100"/>
                    </a:xfrm>
                    <a:prstGeom prst="rect">
                      <a:avLst/>
                    </a:prstGeom>
                    <a:noFill/>
                  </pic:spPr>
                </pic:pic>
              </a:graphicData>
            </a:graphic>
          </wp:anchor>
        </w:drawing>
        <w:drawing>
          <wp:anchor simplePos="0" relativeHeight="251657728" behindDoc="1" locked="0" layoutInCell="0" allowOverlap="1">
            <wp:simplePos x="0" y="0"/>
            <wp:positionH relativeFrom="column">
              <wp:posOffset>617220</wp:posOffset>
            </wp:positionH>
            <wp:positionV relativeFrom="paragraph">
              <wp:posOffset>-7166610</wp:posOffset>
            </wp:positionV>
            <wp:extent cx="1062990" cy="10629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62990" cy="1062990"/>
                    </a:xfrm>
                    <a:prstGeom prst="rect">
                      <a:avLst/>
                    </a:prstGeom>
                    <a:noFill/>
                  </pic:spPr>
                </pic:pic>
              </a:graphicData>
            </a:graphic>
          </wp:anchor>
        </w:drawing>
        <w:drawing>
          <wp:anchor simplePos="0" relativeHeight="251657728" behindDoc="1" locked="0" layoutInCell="0" allowOverlap="1">
            <wp:simplePos x="0" y="0"/>
            <wp:positionH relativeFrom="column">
              <wp:posOffset>617220</wp:posOffset>
            </wp:positionH>
            <wp:positionV relativeFrom="paragraph">
              <wp:posOffset>-3774440</wp:posOffset>
            </wp:positionV>
            <wp:extent cx="1062990" cy="10629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62990" cy="1062990"/>
                    </a:xfrm>
                    <a:prstGeom prst="rect">
                      <a:avLst/>
                    </a:prstGeom>
                    <a:noFill/>
                  </pic:spPr>
                </pic:pic>
              </a:graphicData>
            </a:graphic>
          </wp:anchor>
        </w:drawing>
        <w:drawing>
          <wp:anchor simplePos="0" relativeHeight="251657728" behindDoc="1" locked="0" layoutInCell="0" allowOverlap="1">
            <wp:simplePos x="0" y="0"/>
            <wp:positionH relativeFrom="column">
              <wp:posOffset>5497195</wp:posOffset>
            </wp:positionH>
            <wp:positionV relativeFrom="paragraph">
              <wp:posOffset>-415925</wp:posOffset>
            </wp:positionV>
            <wp:extent cx="501650" cy="170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sectPr>
      </w:pPr>
    </w:p>
    <w:bookmarkStart w:id="18" w:name="page19"/>
    <w:bookmarkEnd w:id="18"/>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960"/>
        <w:spacing w:after="0"/>
        <w:rPr>
          <w:sz w:val="20"/>
          <w:szCs w:val="20"/>
          <w:color w:val="auto"/>
        </w:rPr>
      </w:pPr>
      <w:r>
        <w:rPr>
          <w:rFonts w:ascii="Arial" w:cs="Arial" w:eastAsia="Arial" w:hAnsi="Arial"/>
          <w:sz w:val="12"/>
          <w:szCs w:val="12"/>
          <w:color w:val="auto"/>
        </w:rPr>
        <w:t>Proposal 1: Election of Directors</w:t>
      </w:r>
    </w:p>
    <w:p>
      <w:pPr>
        <w:spacing w:after="0" w:line="143" w:lineRule="exact"/>
        <w:rPr>
          <w:sz w:val="20"/>
          <w:szCs w:val="20"/>
          <w:color w:val="auto"/>
        </w:rPr>
      </w:pPr>
    </w:p>
    <w:p>
      <w:pPr>
        <w:ind w:left="960"/>
        <w:spacing w:after="0"/>
        <w:rPr>
          <w:sz w:val="20"/>
          <w:szCs w:val="20"/>
          <w:color w:val="auto"/>
        </w:rPr>
      </w:pPr>
      <w:r>
        <w:rPr>
          <w:rFonts w:ascii="Arial" w:cs="Arial" w:eastAsia="Arial" w:hAnsi="Arial"/>
          <w:sz w:val="23"/>
          <w:szCs w:val="23"/>
          <w:color w:val="0C426A"/>
        </w:rPr>
        <w:t>Directors Continuing in Office</w:t>
      </w:r>
    </w:p>
    <w:p>
      <w:pPr>
        <w:spacing w:after="0" w:line="181" w:lineRule="exact"/>
        <w:rPr>
          <w:sz w:val="20"/>
          <w:szCs w:val="20"/>
          <w:color w:val="auto"/>
        </w:rPr>
      </w:pPr>
    </w:p>
    <w:p>
      <w:pPr>
        <w:ind w:left="960" w:right="1180"/>
        <w:spacing w:after="0" w:line="257" w:lineRule="auto"/>
        <w:rPr>
          <w:sz w:val="20"/>
          <w:szCs w:val="20"/>
          <w:color w:val="auto"/>
        </w:rPr>
      </w:pPr>
      <w:r>
        <w:rPr>
          <w:rFonts w:ascii="Arial" w:cs="Arial" w:eastAsia="Arial" w:hAnsi="Arial"/>
          <w:sz w:val="16"/>
          <w:szCs w:val="16"/>
          <w:color w:val="auto"/>
        </w:rPr>
        <w:t>Six directors are serving terms that end after the 2024 Annual Meeting. The biographical information below highlights the specific experience, qualifications, attributes, and background that led the Board to conclude that each director should serve on the Board. The Governance Committee and the Board also determined that each director possesses certain intangible attributes and skills and is qualified to serve as a director.</w:t>
      </w:r>
    </w:p>
    <w:p>
      <w:pPr>
        <w:spacing w:after="0" w:line="346" w:lineRule="exact"/>
        <w:rPr>
          <w:sz w:val="20"/>
          <w:szCs w:val="20"/>
          <w:color w:val="auto"/>
        </w:rPr>
      </w:pPr>
    </w:p>
    <w:p>
      <w:pPr>
        <w:ind w:left="960"/>
        <w:spacing w:after="0"/>
        <w:rPr>
          <w:sz w:val="20"/>
          <w:szCs w:val="20"/>
          <w:color w:val="auto"/>
        </w:rPr>
      </w:pPr>
      <w:r>
        <w:rPr>
          <w:rFonts w:ascii="Arial" w:cs="Arial" w:eastAsia="Arial" w:hAnsi="Arial"/>
          <w:sz w:val="23"/>
          <w:szCs w:val="23"/>
          <w:color w:val="0C426A"/>
        </w:rPr>
        <w:t>Continuing Directors with Three-Year Term Expiring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2453640</wp:posOffset>
            </wp:positionH>
            <wp:positionV relativeFrom="paragraph">
              <wp:posOffset>64135</wp:posOffset>
            </wp:positionV>
            <wp:extent cx="8255" cy="29076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2907665"/>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468"/>
        </w:trPr>
        <w:tc>
          <w:tcPr>
            <w:tcW w:w="3360" w:type="dxa"/>
            <w:vAlign w:val="bottom"/>
            <w:gridSpan w:val="5"/>
          </w:tcPr>
          <w:p>
            <w:pPr>
              <w:ind w:left="960"/>
              <w:spacing w:after="0"/>
              <w:rPr>
                <w:sz w:val="20"/>
                <w:szCs w:val="20"/>
                <w:color w:val="auto"/>
              </w:rPr>
            </w:pPr>
            <w:r>
              <w:rPr>
                <w:rFonts w:ascii="Arial" w:cs="Arial" w:eastAsia="Arial" w:hAnsi="Arial"/>
                <w:sz w:val="23"/>
                <w:szCs w:val="23"/>
                <w:b w:val="1"/>
                <w:bCs w:val="1"/>
                <w:color w:val="0C426A"/>
              </w:rPr>
              <w:t>William E. Kassling</w:t>
            </w:r>
          </w:p>
        </w:tc>
        <w:tc>
          <w:tcPr>
            <w:tcW w:w="500" w:type="dxa"/>
            <w:vAlign w:val="bottom"/>
          </w:tcPr>
          <w:p>
            <w:pPr>
              <w:spacing w:after="0"/>
              <w:rPr>
                <w:sz w:val="24"/>
                <w:szCs w:val="24"/>
                <w:color w:val="auto"/>
              </w:rPr>
            </w:pPr>
          </w:p>
        </w:tc>
        <w:tc>
          <w:tcPr>
            <w:tcW w:w="6100" w:type="dxa"/>
            <w:vAlign w:val="bottom"/>
          </w:tcPr>
          <w:p>
            <w:pPr>
              <w:ind w:left="240"/>
              <w:spacing w:after="0"/>
              <w:rPr>
                <w:sz w:val="20"/>
                <w:szCs w:val="20"/>
                <w:color w:val="auto"/>
              </w:rPr>
            </w:pPr>
            <w:r>
              <w:rPr>
                <w:rFonts w:ascii="Arial" w:cs="Arial" w:eastAsia="Arial" w:hAnsi="Arial"/>
                <w:sz w:val="16"/>
                <w:szCs w:val="16"/>
                <w:color w:val="0C426A"/>
              </w:rPr>
              <w:t>Biographical Information</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00" w:type="dxa"/>
            <w:vAlign w:val="bottom"/>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Vice Chair of Wabtec since August 2020.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9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100" w:type="dxa"/>
            <w:vAlign w:val="bottom"/>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Lead Director of Wabtec from May 2013 to August 2020.</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9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100" w:type="dxa"/>
            <w:vAlign w:val="bottom"/>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Chairman of Wabtec from prior to 1997 to May 2013.</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9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100" w:type="dxa"/>
            <w:vAlign w:val="bottom"/>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Chief Executive Officer and/or President of Wabtec from prior to 1997 to May</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Arial" w:cs="Arial" w:eastAsia="Arial" w:hAnsi="Arial"/>
                <w:sz w:val="16"/>
                <w:szCs w:val="16"/>
                <w:color w:val="auto"/>
              </w:rPr>
              <w:t>2014 and from May 2004 to January 2006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9"/>
        </w:trPr>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100" w:type="dxa"/>
            <w:vAlign w:val="bottom"/>
          </w:tcPr>
          <w:p>
            <w:pPr>
              <w:ind w:left="240"/>
              <w:spacing w:after="0"/>
              <w:rPr>
                <w:sz w:val="20"/>
                <w:szCs w:val="20"/>
                <w:color w:val="auto"/>
              </w:rPr>
            </w:pPr>
            <w:r>
              <w:rPr>
                <w:rFonts w:ascii="Arial" w:cs="Arial" w:eastAsia="Arial" w:hAnsi="Arial"/>
                <w:sz w:val="16"/>
                <w:szCs w:val="16"/>
                <w:color w:val="0C426A"/>
              </w:rPr>
              <w:t>Current Other Directorships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100" w:type="dxa"/>
            <w:vAlign w:val="bottom"/>
            <w:gridSpan w:val="2"/>
          </w:tcPr>
          <w:p>
            <w:pPr>
              <w:ind w:left="960"/>
              <w:spacing w:after="0"/>
              <w:rPr>
                <w:sz w:val="20"/>
                <w:szCs w:val="20"/>
                <w:color w:val="auto"/>
              </w:rPr>
            </w:pPr>
            <w:r>
              <w:rPr>
                <w:rFonts w:ascii="Arial" w:cs="Arial" w:eastAsia="Arial" w:hAnsi="Arial"/>
                <w:sz w:val="16"/>
                <w:szCs w:val="16"/>
                <w:color w:val="auto"/>
              </w:rPr>
              <w:t> </w:t>
            </w:r>
            <w:r>
              <w:rPr>
                <w:rFonts w:ascii="Arial" w:cs="Arial" w:eastAsia="Arial" w:hAnsi="Arial"/>
                <w:sz w:val="16"/>
                <w:szCs w:val="16"/>
                <w:color w:val="0C426A"/>
              </w:rPr>
              <w:t>Age:</w:t>
            </w:r>
            <w:r>
              <w:rPr>
                <w:rFonts w:ascii="Arial" w:cs="Arial" w:eastAsia="Arial" w:hAnsi="Arial"/>
                <w:sz w:val="16"/>
                <w:szCs w:val="16"/>
                <w:color w:val="auto"/>
              </w:rPr>
              <w:t xml:space="preserve"> 80</w:t>
            </w: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0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6100" w:type="dxa"/>
            <w:vAlign w:val="bottom"/>
          </w:tcPr>
          <w:p>
            <w:pPr>
              <w:ind w:left="20"/>
              <w:spacing w:after="0"/>
              <w:rPr>
                <w:sz w:val="20"/>
                <w:szCs w:val="20"/>
                <w:color w:val="auto"/>
              </w:rPr>
            </w:pPr>
            <w:r>
              <w:rPr>
                <w:rFonts w:ascii="Times New Roman" w:cs="Times New Roman" w:eastAsia="Times New Roman" w:hAnsi="Times New Roman"/>
                <w:sz w:val="4"/>
                <w:szCs w:val="4"/>
                <w:color w:val="auto"/>
                <w:w w:val="99"/>
              </w:rPr>
              <w:t>​</w:t>
            </w:r>
            <w:r>
              <w:rPr>
                <w:rFonts w:ascii="Arial" w:cs="Arial" w:eastAsia="Arial" w:hAnsi="Arial"/>
                <w:sz w:val="16"/>
                <w:szCs w:val="16"/>
                <w:color w:val="4297CB"/>
                <w:w w:val="99"/>
              </w:rPr>
              <w:t>•</w:t>
            </w:r>
            <w:r>
              <w:rPr>
                <w:rFonts w:ascii="Arial" w:cs="Arial" w:eastAsia="Arial" w:hAnsi="Arial"/>
                <w:sz w:val="16"/>
                <w:szCs w:val="16"/>
                <w:color w:val="000000"/>
                <w:w w:val="99"/>
              </w:rPr>
              <w:t xml:space="preserve">  Member, Board of Directors, Kensington Capital Acquisition Corp. V.</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560" w:type="dxa"/>
            <w:vAlign w:val="bottom"/>
            <w:gridSpan w:val="3"/>
          </w:tcPr>
          <w:p>
            <w:pPr>
              <w:ind w:left="960"/>
              <w:spacing w:after="0"/>
              <w:rPr>
                <w:sz w:val="20"/>
                <w:szCs w:val="20"/>
                <w:color w:val="auto"/>
              </w:rPr>
            </w:pPr>
            <w:r>
              <w:rPr>
                <w:rFonts w:ascii="Arial" w:cs="Arial" w:eastAsia="Arial" w:hAnsi="Arial"/>
                <w:sz w:val="16"/>
                <w:szCs w:val="16"/>
                <w:color w:val="0C426A"/>
              </w:rPr>
              <w:t xml:space="preserve">Director Since: </w:t>
            </w:r>
            <w:r>
              <w:rPr>
                <w:rFonts w:ascii="Arial" w:cs="Arial" w:eastAsia="Arial" w:hAnsi="Arial"/>
                <w:sz w:val="16"/>
                <w:szCs w:val="16"/>
                <w:color w:val="000000"/>
              </w:rPr>
              <w:t>1990</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100" w:type="dxa"/>
            <w:vAlign w:val="bottom"/>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Director, Pittsburgh Penguins Inc., Texas Rangers, The Crosby Group, and the</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60" w:type="dxa"/>
            <w:vAlign w:val="bottom"/>
            <w:gridSpan w:val="5"/>
          </w:tcPr>
          <w:p>
            <w:pPr>
              <w:ind w:left="960"/>
              <w:spacing w:after="0"/>
              <w:rPr>
                <w:sz w:val="20"/>
                <w:szCs w:val="20"/>
                <w:color w:val="auto"/>
              </w:rPr>
            </w:pPr>
            <w:r>
              <w:rPr>
                <w:rFonts w:ascii="Arial" w:cs="Arial" w:eastAsia="Arial" w:hAnsi="Arial"/>
                <w:sz w:val="16"/>
                <w:szCs w:val="16"/>
                <w:color w:val="0C426A"/>
              </w:rPr>
              <w:t>INDEPENDENT DIRECTOR</w:t>
            </w:r>
          </w:p>
        </w:tc>
        <w:tc>
          <w:tcPr>
            <w:tcW w:w="500" w:type="dxa"/>
            <w:vAlign w:val="bottom"/>
          </w:tcPr>
          <w:p>
            <w:pPr>
              <w:spacing w:after="0"/>
              <w:rPr>
                <w:sz w:val="20"/>
                <w:szCs w:val="20"/>
                <w:color w:val="auto"/>
              </w:rPr>
            </w:pPr>
          </w:p>
        </w:tc>
        <w:tc>
          <w:tcPr>
            <w:tcW w:w="6100" w:type="dxa"/>
            <w:vAlign w:val="bottom"/>
          </w:tcPr>
          <w:p>
            <w:pPr>
              <w:ind w:left="400"/>
              <w:spacing w:after="0"/>
              <w:rPr>
                <w:sz w:val="20"/>
                <w:szCs w:val="20"/>
                <w:color w:val="auto"/>
              </w:rPr>
            </w:pPr>
            <w:r>
              <w:rPr>
                <w:rFonts w:ascii="Arial" w:cs="Arial" w:eastAsia="Arial" w:hAnsi="Arial"/>
                <w:sz w:val="16"/>
                <w:szCs w:val="16"/>
                <w:color w:val="auto"/>
              </w:rPr>
              <w:t>Wabtec Foundation.</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920" w:type="dxa"/>
            <w:vAlign w:val="bottom"/>
            <w:gridSpan w:val="4"/>
          </w:tcPr>
          <w:p>
            <w:pPr>
              <w:ind w:left="960"/>
              <w:spacing w:after="0"/>
              <w:rPr>
                <w:sz w:val="20"/>
                <w:szCs w:val="20"/>
                <w:color w:val="auto"/>
              </w:rPr>
            </w:pPr>
            <w:r>
              <w:rPr>
                <w:rFonts w:ascii="Arial" w:cs="Arial" w:eastAsia="Arial" w:hAnsi="Arial"/>
                <w:sz w:val="16"/>
                <w:szCs w:val="16"/>
                <w:color w:val="auto"/>
              </w:rPr>
              <w:t>Vice Chair of the Board</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100" w:type="dxa"/>
            <w:vAlign w:val="bottom"/>
            <w:gridSpan w:val="2"/>
          </w:tcPr>
          <w:p>
            <w:pPr>
              <w:ind w:left="960"/>
              <w:spacing w:after="0"/>
              <w:rPr>
                <w:sz w:val="20"/>
                <w:szCs w:val="20"/>
                <w:color w:val="auto"/>
              </w:rPr>
            </w:pPr>
            <w:r>
              <w:rPr>
                <w:rFonts w:ascii="Arial" w:cs="Arial" w:eastAsia="Arial" w:hAnsi="Arial"/>
                <w:sz w:val="16"/>
                <w:szCs w:val="16"/>
                <w:color w:val="0C426A"/>
              </w:rPr>
              <w:t>Committees:</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100" w:type="dxa"/>
            <w:vAlign w:val="bottom"/>
          </w:tcPr>
          <w:p>
            <w:pPr>
              <w:ind w:left="240"/>
              <w:spacing w:after="0"/>
              <w:rPr>
                <w:sz w:val="20"/>
                <w:szCs w:val="20"/>
                <w:color w:val="auto"/>
              </w:rPr>
            </w:pPr>
            <w:r>
              <w:rPr>
                <w:rFonts w:ascii="Arial" w:cs="Arial" w:eastAsia="Arial" w:hAnsi="Arial"/>
                <w:sz w:val="16"/>
                <w:szCs w:val="16"/>
                <w:color w:val="0C426A"/>
              </w:rPr>
              <w:t>Specific Qualifications, Attributes, Skills and Experience</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100" w:type="dxa"/>
            <w:vAlign w:val="bottom"/>
            <w:gridSpan w:val="2"/>
          </w:tcPr>
          <w:p>
            <w:pPr>
              <w:ind w:left="960"/>
              <w:spacing w:after="0"/>
              <w:rPr>
                <w:sz w:val="20"/>
                <w:szCs w:val="20"/>
                <w:color w:val="auto"/>
              </w:rPr>
            </w:pPr>
            <w:r>
              <w:rPr>
                <w:rFonts w:ascii="Arial" w:cs="Arial" w:eastAsia="Arial" w:hAnsi="Arial"/>
                <w:sz w:val="16"/>
                <w:szCs w:val="16"/>
                <w:color w:val="0C426A"/>
              </w:rPr>
              <w:t>None</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100" w:type="dxa"/>
            <w:vAlign w:val="bottom"/>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Extensive experience as an officer and director of Wabtec with significant rail</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100" w:type="dxa"/>
            <w:vAlign w:val="bottom"/>
          </w:tcPr>
          <w:p>
            <w:pPr>
              <w:ind w:left="400"/>
              <w:spacing w:after="0"/>
              <w:rPr>
                <w:sz w:val="20"/>
                <w:szCs w:val="20"/>
                <w:color w:val="auto"/>
              </w:rPr>
            </w:pPr>
            <w:r>
              <w:rPr>
                <w:rFonts w:ascii="Arial" w:cs="Arial" w:eastAsia="Arial" w:hAnsi="Arial"/>
                <w:sz w:val="16"/>
                <w:szCs w:val="16"/>
                <w:color w:val="auto"/>
              </w:rPr>
              <w:t>and transportation industry knowledge, expertise regarding public company</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100" w:type="dxa"/>
            <w:vAlign w:val="bottom"/>
          </w:tcPr>
          <w:p>
            <w:pPr>
              <w:ind w:left="400"/>
              <w:spacing w:after="0"/>
              <w:rPr>
                <w:sz w:val="20"/>
                <w:szCs w:val="20"/>
                <w:color w:val="auto"/>
              </w:rPr>
            </w:pPr>
            <w:r>
              <w:rPr>
                <w:rFonts w:ascii="Arial" w:cs="Arial" w:eastAsia="Arial" w:hAnsi="Arial"/>
                <w:sz w:val="16"/>
                <w:szCs w:val="16"/>
                <w:color w:val="auto"/>
              </w:rPr>
              <w:t>management, corporate governance, human capital management, strategy and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Arial" w:cs="Arial" w:eastAsia="Arial" w:hAnsi="Arial"/>
                <w:sz w:val="16"/>
                <w:szCs w:val="16"/>
                <w:color w:val="auto"/>
              </w:rPr>
              <w:t>M&amp;A.</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9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100" w:type="dxa"/>
            <w:vAlign w:val="bottom"/>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Service on other public company boards.</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120" w:type="dxa"/>
            <w:vAlign w:val="bottom"/>
            <w:tcBorders>
              <w:bottom w:val="single" w:sz="8" w:color="4C4C4C"/>
            </w:tcBorders>
          </w:tcPr>
          <w:p>
            <w:pPr>
              <w:spacing w:after="0"/>
              <w:rPr>
                <w:sz w:val="10"/>
                <w:szCs w:val="10"/>
                <w:color w:val="auto"/>
              </w:rPr>
            </w:pPr>
          </w:p>
        </w:tc>
        <w:tc>
          <w:tcPr>
            <w:tcW w:w="460" w:type="dxa"/>
            <w:vAlign w:val="bottom"/>
            <w:tcBorders>
              <w:bottom w:val="single" w:sz="8" w:color="4C4C4C"/>
            </w:tcBorders>
          </w:tcPr>
          <w:p>
            <w:pPr>
              <w:spacing w:after="0"/>
              <w:rPr>
                <w:sz w:val="10"/>
                <w:szCs w:val="10"/>
                <w:color w:val="auto"/>
              </w:rPr>
            </w:pPr>
          </w:p>
        </w:tc>
        <w:tc>
          <w:tcPr>
            <w:tcW w:w="360" w:type="dxa"/>
            <w:vAlign w:val="bottom"/>
            <w:tcBorders>
              <w:bottom w:val="single" w:sz="8" w:color="4C4C4C"/>
            </w:tcBorders>
          </w:tcPr>
          <w:p>
            <w:pPr>
              <w:spacing w:after="0"/>
              <w:rPr>
                <w:sz w:val="10"/>
                <w:szCs w:val="10"/>
                <w:color w:val="auto"/>
              </w:rPr>
            </w:pPr>
          </w:p>
        </w:tc>
        <w:tc>
          <w:tcPr>
            <w:tcW w:w="440" w:type="dxa"/>
            <w:vAlign w:val="bottom"/>
            <w:tcBorders>
              <w:bottom w:val="single" w:sz="8" w:color="4C4C4C"/>
            </w:tcBorders>
          </w:tcPr>
          <w:p>
            <w:pPr>
              <w:spacing w:after="0"/>
              <w:rPr>
                <w:sz w:val="10"/>
                <w:szCs w:val="10"/>
                <w:color w:val="auto"/>
              </w:rPr>
            </w:pPr>
          </w:p>
        </w:tc>
        <w:tc>
          <w:tcPr>
            <w:tcW w:w="500" w:type="dxa"/>
            <w:vAlign w:val="bottom"/>
            <w:tcBorders>
              <w:bottom w:val="single" w:sz="8" w:color="4C4C4C"/>
            </w:tcBorders>
          </w:tcPr>
          <w:p>
            <w:pPr>
              <w:spacing w:after="0"/>
              <w:rPr>
                <w:sz w:val="10"/>
                <w:szCs w:val="10"/>
                <w:color w:val="auto"/>
              </w:rPr>
            </w:pPr>
          </w:p>
        </w:tc>
        <w:tc>
          <w:tcPr>
            <w:tcW w:w="6100" w:type="dxa"/>
            <w:vAlign w:val="bottom"/>
            <w:tcBorders>
              <w:bottom w:val="single" w:sz="8" w:color="4C4C4C"/>
            </w:tcBorders>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2100" w:type="dxa"/>
            <w:vAlign w:val="bottom"/>
            <w:gridSpan w:val="2"/>
          </w:tcPr>
          <w:p>
            <w:pPr>
              <w:ind w:left="960"/>
              <w:spacing w:after="0"/>
              <w:rPr>
                <w:sz w:val="20"/>
                <w:szCs w:val="20"/>
                <w:color w:val="auto"/>
              </w:rPr>
            </w:pPr>
            <w:r>
              <w:rPr>
                <w:rFonts w:ascii="Arial" w:cs="Arial" w:eastAsia="Arial" w:hAnsi="Arial"/>
                <w:sz w:val="14"/>
                <w:szCs w:val="14"/>
                <w:b w:val="1"/>
                <w:bCs w:val="1"/>
                <w:color w:val="auto"/>
              </w:rPr>
              <w:t>16</w:t>
            </w:r>
          </w:p>
        </w:tc>
        <w:tc>
          <w:tcPr>
            <w:tcW w:w="460" w:type="dxa"/>
            <w:vAlign w:val="bottom"/>
            <w:vMerge w:val="restart"/>
          </w:tcPr>
          <w:p>
            <w:pPr>
              <w:ind w:left="240"/>
              <w:spacing w:after="0"/>
              <w:rPr>
                <w:sz w:val="20"/>
                <w:szCs w:val="20"/>
                <w:color w:val="auto"/>
              </w:rPr>
            </w:pPr>
            <w:r>
              <w:rPr>
                <w:rFonts w:ascii="Arial" w:cs="Arial" w:eastAsia="Arial" w:hAnsi="Arial"/>
                <w:sz w:val="14"/>
                <w:szCs w:val="14"/>
                <w:color w:val="auto"/>
              </w:rPr>
              <w:t xml:space="preserve">    </w:t>
            </w:r>
          </w:p>
        </w:tc>
        <w:tc>
          <w:tcPr>
            <w:tcW w:w="360" w:type="dxa"/>
            <w:vAlign w:val="bottom"/>
            <w:vMerge w:val="restart"/>
          </w:tcPr>
          <w:p>
            <w:pPr>
              <w:ind w:left="60"/>
              <w:spacing w:after="0"/>
              <w:rPr>
                <w:sz w:val="20"/>
                <w:szCs w:val="20"/>
                <w:color w:val="auto"/>
              </w:rPr>
            </w:pPr>
            <w:r>
              <w:rPr>
                <w:rFonts w:ascii="Arial" w:cs="Arial" w:eastAsia="Arial" w:hAnsi="Arial"/>
                <w:sz w:val="25"/>
                <w:szCs w:val="25"/>
                <w:color w:val="636466"/>
              </w:rPr>
              <w:t>/</w:t>
            </w:r>
            <w:r>
              <w:rPr>
                <w:rFonts w:ascii="Arial" w:cs="Arial" w:eastAsia="Arial" w:hAnsi="Arial"/>
                <w:sz w:val="14"/>
                <w:szCs w:val="14"/>
                <w:color w:val="000000"/>
              </w:rPr>
              <w:t xml:space="preserve">    </w:t>
            </w:r>
          </w:p>
        </w:tc>
        <w:tc>
          <w:tcPr>
            <w:tcW w:w="7040" w:type="dxa"/>
            <w:vAlign w:val="bottom"/>
            <w:gridSpan w:val="3"/>
            <w:vMerge w:val="restart"/>
          </w:tcPr>
          <w:p>
            <w:pPr>
              <w:ind w:left="60"/>
              <w:spacing w:after="0"/>
              <w:rPr>
                <w:sz w:val="20"/>
                <w:szCs w:val="20"/>
                <w:color w:val="auto"/>
              </w:rPr>
            </w:pPr>
            <w:r>
              <w:rPr>
                <w:rFonts w:ascii="Arial" w:cs="Arial" w:eastAsia="Arial" w:hAnsi="Arial"/>
                <w:sz w:val="14"/>
                <w:szCs w:val="14"/>
                <w:color w:val="auto"/>
              </w:rPr>
              <w:t>2024 Proxy Statement</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7040" w:type="dxa"/>
            <w:vAlign w:val="bottom"/>
            <w:gridSpan w:val="3"/>
            <w:vMerge w:val="continue"/>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9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-3187700</wp:posOffset>
            </wp:positionV>
            <wp:extent cx="1062990" cy="10629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62990" cy="10629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-415925</wp:posOffset>
            </wp:positionV>
            <wp:extent cx="501650" cy="170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sectPr>
      </w:pPr>
    </w:p>
    <w:bookmarkStart w:id="19" w:name="page20"/>
    <w:bookmarkEnd w:id="19"/>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100" w:type="dxa"/>
            <w:vAlign w:val="bottom"/>
            <w:gridSpan w:val="2"/>
          </w:tcPr>
          <w:p>
            <w:pPr>
              <w:jc w:val="right"/>
              <w:spacing w:after="0"/>
              <w:rPr>
                <w:sz w:val="20"/>
                <w:szCs w:val="20"/>
                <w:color w:val="auto"/>
              </w:rPr>
            </w:pPr>
            <w:r>
              <w:rPr>
                <w:rFonts w:ascii="Arial" w:cs="Arial" w:eastAsia="Arial" w:hAnsi="Arial"/>
                <w:sz w:val="12"/>
                <w:szCs w:val="12"/>
                <w:color w:val="auto"/>
              </w:rPr>
              <w:t>Proposal 1: Election of Directors</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8"/>
        </w:trPr>
        <w:tc>
          <w:tcPr>
            <w:tcW w:w="3860" w:type="dxa"/>
            <w:vAlign w:val="bottom"/>
            <w:gridSpan w:val="2"/>
          </w:tcPr>
          <w:p>
            <w:pPr>
              <w:ind w:left="960"/>
              <w:spacing w:after="0"/>
              <w:rPr>
                <w:sz w:val="20"/>
                <w:szCs w:val="20"/>
                <w:color w:val="auto"/>
              </w:rPr>
            </w:pPr>
            <w:r>
              <w:rPr>
                <w:rFonts w:ascii="Arial" w:cs="Arial" w:eastAsia="Arial" w:hAnsi="Arial"/>
                <w:sz w:val="23"/>
                <w:szCs w:val="23"/>
                <w:b w:val="1"/>
                <w:bCs w:val="1"/>
                <w:color w:val="0C426A"/>
              </w:rPr>
              <w:t>Albert J. Neupaver</w:t>
            </w:r>
          </w:p>
        </w:tc>
        <w:tc>
          <w:tcPr>
            <w:tcW w:w="5920" w:type="dxa"/>
            <w:vAlign w:val="bottom"/>
          </w:tcPr>
          <w:p>
            <w:pPr>
              <w:ind w:left="240"/>
              <w:spacing w:after="0"/>
              <w:rPr>
                <w:sz w:val="20"/>
                <w:szCs w:val="20"/>
                <w:color w:val="auto"/>
              </w:rPr>
            </w:pPr>
            <w:r>
              <w:rPr>
                <w:rFonts w:ascii="Arial" w:cs="Arial" w:eastAsia="Arial" w:hAnsi="Arial"/>
                <w:sz w:val="16"/>
                <w:szCs w:val="16"/>
                <w:color w:val="0C426A"/>
              </w:rPr>
              <w:t>Biographical Information</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9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5920" w:type="dxa"/>
            <w:vAlign w:val="bottom"/>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Chairman or Executive Chairman of the Board of Wabtec since May 2014.</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9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6100" w:type="dxa"/>
            <w:vAlign w:val="bottom"/>
            <w:gridSpan w:val="2"/>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President and Chief Executive Officer of Wabtec from February 2006 until May</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9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5920" w:type="dxa"/>
            <w:vAlign w:val="bottom"/>
          </w:tcPr>
          <w:p>
            <w:pPr>
              <w:ind w:left="400"/>
              <w:spacing w:after="0"/>
              <w:rPr>
                <w:sz w:val="20"/>
                <w:szCs w:val="20"/>
                <w:color w:val="auto"/>
              </w:rPr>
            </w:pPr>
            <w:r>
              <w:rPr>
                <w:rFonts w:ascii="Arial" w:cs="Arial" w:eastAsia="Arial" w:hAnsi="Arial"/>
                <w:sz w:val="16"/>
                <w:szCs w:val="16"/>
                <w:color w:val="auto"/>
              </w:rPr>
              <w:t>2014.</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5920" w:type="dxa"/>
            <w:vAlign w:val="bottom"/>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President of the Electromechanical Group of AMETEK, Inc. from 1998 to</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5920" w:type="dxa"/>
            <w:vAlign w:val="bottom"/>
          </w:tcPr>
          <w:p>
            <w:pPr>
              <w:ind w:left="400"/>
              <w:spacing w:after="0"/>
              <w:rPr>
                <w:sz w:val="20"/>
                <w:szCs w:val="20"/>
                <w:color w:val="auto"/>
              </w:rPr>
            </w:pPr>
            <w:r>
              <w:rPr>
                <w:rFonts w:ascii="Arial" w:cs="Arial" w:eastAsia="Arial" w:hAnsi="Arial"/>
                <w:sz w:val="16"/>
                <w:szCs w:val="16"/>
                <w:color w:val="auto"/>
              </w:rPr>
              <w:t>February 2006.</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9"/>
        </w:trPr>
        <w:tc>
          <w:tcPr>
            <w:tcW w:w="9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920" w:type="dxa"/>
            <w:vAlign w:val="bottom"/>
          </w:tcPr>
          <w:p>
            <w:pPr>
              <w:ind w:left="240"/>
              <w:spacing w:after="0"/>
              <w:rPr>
                <w:sz w:val="20"/>
                <w:szCs w:val="20"/>
                <w:color w:val="auto"/>
              </w:rPr>
            </w:pPr>
            <w:r>
              <w:rPr>
                <w:rFonts w:ascii="Arial" w:cs="Arial" w:eastAsia="Arial" w:hAnsi="Arial"/>
                <w:sz w:val="16"/>
                <w:szCs w:val="16"/>
                <w:color w:val="0C426A"/>
              </w:rPr>
              <w:t>Current Other Directorships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98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5920" w:type="dxa"/>
            <w:vAlign w:val="bottom"/>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Member of the Board of Directors Koppers Holdings Inc. since 2009.</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860" w:type="dxa"/>
            <w:vAlign w:val="bottom"/>
            <w:gridSpan w:val="2"/>
          </w:tcPr>
          <w:p>
            <w:pPr>
              <w:ind w:left="960"/>
              <w:spacing w:after="0"/>
              <w:rPr>
                <w:sz w:val="20"/>
                <w:szCs w:val="20"/>
                <w:color w:val="auto"/>
              </w:rPr>
            </w:pPr>
            <w:r>
              <w:rPr>
                <w:rFonts w:ascii="Arial" w:cs="Arial" w:eastAsia="Arial" w:hAnsi="Arial"/>
                <w:sz w:val="16"/>
                <w:szCs w:val="16"/>
                <w:color w:val="auto"/>
              </w:rPr>
              <w:t> </w:t>
            </w:r>
          </w:p>
        </w:tc>
        <w:tc>
          <w:tcPr>
            <w:tcW w:w="5920" w:type="dxa"/>
            <w:vAlign w:val="bottom"/>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Director, Carnegie Science Center, Executive Board Member of UPMC</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3860" w:type="dxa"/>
            <w:vAlign w:val="bottom"/>
            <w:gridSpan w:val="2"/>
            <w:vMerge w:val="restart"/>
          </w:tcPr>
          <w:p>
            <w:pPr>
              <w:ind w:left="960"/>
              <w:spacing w:after="0"/>
              <w:rPr>
                <w:sz w:val="20"/>
                <w:szCs w:val="20"/>
                <w:color w:val="auto"/>
              </w:rPr>
            </w:pPr>
            <w:r>
              <w:rPr>
                <w:rFonts w:ascii="Arial" w:cs="Arial" w:eastAsia="Arial" w:hAnsi="Arial"/>
                <w:sz w:val="16"/>
                <w:szCs w:val="16"/>
                <w:color w:val="0C426A"/>
              </w:rPr>
              <w:t xml:space="preserve">Age: </w:t>
            </w:r>
            <w:r>
              <w:rPr>
                <w:rFonts w:ascii="Arial" w:cs="Arial" w:eastAsia="Arial" w:hAnsi="Arial"/>
                <w:sz w:val="16"/>
                <w:szCs w:val="16"/>
                <w:color w:val="000000"/>
              </w:rPr>
              <w:t>73</w:t>
            </w:r>
          </w:p>
        </w:tc>
        <w:tc>
          <w:tcPr>
            <w:tcW w:w="5920" w:type="dxa"/>
            <w:vAlign w:val="bottom"/>
          </w:tcPr>
          <w:p>
            <w:pPr>
              <w:ind w:left="400"/>
              <w:spacing w:after="0"/>
              <w:rPr>
                <w:sz w:val="20"/>
                <w:szCs w:val="20"/>
                <w:color w:val="auto"/>
              </w:rPr>
            </w:pPr>
            <w:r>
              <w:rPr>
                <w:rFonts w:ascii="Arial" w:cs="Arial" w:eastAsia="Arial" w:hAnsi="Arial"/>
                <w:sz w:val="16"/>
                <w:szCs w:val="16"/>
                <w:color w:val="auto"/>
              </w:rPr>
              <w:t>Children’s Hospital Foundation, Board Member of Heinz History Center,</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5920" w:type="dxa"/>
            <w:vAlign w:val="bottom"/>
          </w:tcPr>
          <w:p>
            <w:pPr>
              <w:ind w:left="400"/>
              <w:spacing w:after="0"/>
              <w:rPr>
                <w:sz w:val="20"/>
                <w:szCs w:val="20"/>
                <w:color w:val="auto"/>
              </w:rPr>
            </w:pPr>
            <w:r>
              <w:rPr>
                <w:rFonts w:ascii="Arial" w:cs="Arial" w:eastAsia="Arial" w:hAnsi="Arial"/>
                <w:sz w:val="16"/>
                <w:szCs w:val="16"/>
                <w:color w:val="auto"/>
                <w:w w:val="99"/>
              </w:rPr>
              <w:t>Member of the Board of Trustees of Carnegie Museums, Director, the Wabtec</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60" w:type="dxa"/>
            <w:vAlign w:val="bottom"/>
            <w:gridSpan w:val="2"/>
            <w:vMerge w:val="restart"/>
          </w:tcPr>
          <w:p>
            <w:pPr>
              <w:ind w:left="960"/>
              <w:spacing w:after="0"/>
              <w:rPr>
                <w:sz w:val="20"/>
                <w:szCs w:val="20"/>
                <w:color w:val="auto"/>
              </w:rPr>
            </w:pPr>
            <w:r>
              <w:rPr>
                <w:rFonts w:ascii="Arial" w:cs="Arial" w:eastAsia="Arial" w:hAnsi="Arial"/>
                <w:sz w:val="16"/>
                <w:szCs w:val="16"/>
                <w:color w:val="0C426A"/>
              </w:rPr>
              <w:t xml:space="preserve">Director Since: </w:t>
            </w:r>
            <w:r>
              <w:rPr>
                <w:rFonts w:ascii="Arial" w:cs="Arial" w:eastAsia="Arial" w:hAnsi="Arial"/>
                <w:sz w:val="16"/>
                <w:szCs w:val="16"/>
                <w:color w:val="000000"/>
              </w:rPr>
              <w:t>2006</w:t>
            </w:r>
          </w:p>
        </w:tc>
        <w:tc>
          <w:tcPr>
            <w:tcW w:w="5920" w:type="dxa"/>
            <w:vAlign w:val="bottom"/>
          </w:tcPr>
          <w:p>
            <w:pPr>
              <w:ind w:left="400"/>
              <w:spacing w:after="0"/>
              <w:rPr>
                <w:sz w:val="20"/>
                <w:szCs w:val="20"/>
                <w:color w:val="auto"/>
              </w:rPr>
            </w:pPr>
            <w:r>
              <w:rPr>
                <w:rFonts w:ascii="Arial" w:cs="Arial" w:eastAsia="Arial" w:hAnsi="Arial"/>
                <w:sz w:val="16"/>
                <w:szCs w:val="16"/>
                <w:color w:val="auto"/>
              </w:rPr>
              <w:t>Foundation.</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3860" w:type="dxa"/>
            <w:vAlign w:val="bottom"/>
            <w:gridSpan w:val="2"/>
            <w:vMerge w:val="continue"/>
          </w:tcPr>
          <w:p>
            <w:pPr>
              <w:spacing w:after="0"/>
              <w:rPr>
                <w:sz w:val="6"/>
                <w:szCs w:val="6"/>
                <w:color w:val="auto"/>
              </w:rPr>
            </w:pPr>
          </w:p>
        </w:tc>
        <w:tc>
          <w:tcPr>
            <w:tcW w:w="5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2880" w:type="dxa"/>
            <w:vAlign w:val="bottom"/>
          </w:tcPr>
          <w:p>
            <w:pPr>
              <w:ind w:left="2640"/>
              <w:spacing w:after="0"/>
              <w:rPr>
                <w:sz w:val="20"/>
                <w:szCs w:val="20"/>
                <w:color w:val="auto"/>
              </w:rPr>
            </w:pPr>
            <w:r>
              <w:rPr>
                <w:rFonts w:ascii="Times New Roman" w:cs="Times New Roman" w:eastAsia="Times New Roman" w:hAnsi="Times New Roman"/>
                <w:sz w:val="4"/>
                <w:szCs w:val="4"/>
                <w:color w:val="auto"/>
              </w:rPr>
              <w:t>​</w:t>
            </w:r>
          </w:p>
        </w:tc>
        <w:tc>
          <w:tcPr>
            <w:tcW w:w="592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860" w:type="dxa"/>
            <w:vAlign w:val="bottom"/>
            <w:gridSpan w:val="2"/>
          </w:tcPr>
          <w:p>
            <w:pPr>
              <w:ind w:left="960"/>
              <w:spacing w:after="0"/>
              <w:rPr>
                <w:sz w:val="20"/>
                <w:szCs w:val="20"/>
                <w:color w:val="auto"/>
              </w:rPr>
            </w:pPr>
            <w:r>
              <w:rPr>
                <w:rFonts w:ascii="Arial" w:cs="Arial" w:eastAsia="Arial" w:hAnsi="Arial"/>
                <w:sz w:val="16"/>
                <w:szCs w:val="16"/>
                <w:color w:val="0C426A"/>
              </w:rPr>
              <w:t>INDEPENDENT DIRECTOR</w:t>
            </w:r>
          </w:p>
        </w:tc>
        <w:tc>
          <w:tcPr>
            <w:tcW w:w="5920" w:type="dxa"/>
            <w:vAlign w:val="bottom"/>
          </w:tcPr>
          <w:p>
            <w:pPr>
              <w:ind w:left="240"/>
              <w:spacing w:after="0"/>
              <w:rPr>
                <w:sz w:val="20"/>
                <w:szCs w:val="20"/>
                <w:color w:val="auto"/>
              </w:rPr>
            </w:pPr>
            <w:r>
              <w:rPr>
                <w:rFonts w:ascii="Arial" w:cs="Arial" w:eastAsia="Arial" w:hAnsi="Arial"/>
                <w:sz w:val="16"/>
                <w:szCs w:val="16"/>
                <w:color w:val="0C426A"/>
              </w:rPr>
              <w:t>Past Other Directorships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60" w:type="dxa"/>
            <w:vAlign w:val="bottom"/>
            <w:gridSpan w:val="2"/>
          </w:tcPr>
          <w:p>
            <w:pPr>
              <w:ind w:left="960"/>
              <w:spacing w:after="0"/>
              <w:rPr>
                <w:sz w:val="20"/>
                <w:szCs w:val="20"/>
                <w:color w:val="auto"/>
              </w:rPr>
            </w:pPr>
            <w:r>
              <w:rPr>
                <w:rFonts w:ascii="Arial" w:cs="Arial" w:eastAsia="Arial" w:hAnsi="Arial"/>
                <w:sz w:val="16"/>
                <w:szCs w:val="16"/>
                <w:color w:val="0C426A"/>
              </w:rPr>
              <w:t>(as of June 2023)</w:t>
            </w:r>
          </w:p>
        </w:tc>
        <w:tc>
          <w:tcPr>
            <w:tcW w:w="5920" w:type="dxa"/>
            <w:vAlign w:val="bottom"/>
            <w:vMerge w:val="restart"/>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Member of Robbins &amp; Myers, Inc. Board of Directors from January 2009 to</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3860" w:type="dxa"/>
            <w:vAlign w:val="bottom"/>
            <w:gridSpan w:val="2"/>
            <w:vMerge w:val="restart"/>
          </w:tcPr>
          <w:p>
            <w:pPr>
              <w:ind w:left="960"/>
              <w:spacing w:after="0"/>
              <w:rPr>
                <w:sz w:val="20"/>
                <w:szCs w:val="20"/>
                <w:color w:val="auto"/>
              </w:rPr>
            </w:pPr>
            <w:r>
              <w:rPr>
                <w:rFonts w:ascii="Arial" w:cs="Arial" w:eastAsia="Arial" w:hAnsi="Arial"/>
                <w:sz w:val="16"/>
                <w:szCs w:val="16"/>
                <w:color w:val="auto"/>
              </w:rPr>
              <w:t>Chairman of the Board</w:t>
            </w:r>
          </w:p>
        </w:tc>
        <w:tc>
          <w:tcPr>
            <w:tcW w:w="59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3860" w:type="dxa"/>
            <w:vAlign w:val="bottom"/>
            <w:gridSpan w:val="2"/>
            <w:vMerge w:val="continue"/>
          </w:tcPr>
          <w:p>
            <w:pPr>
              <w:spacing w:after="0"/>
              <w:rPr>
                <w:sz w:val="18"/>
                <w:szCs w:val="18"/>
                <w:color w:val="auto"/>
              </w:rPr>
            </w:pPr>
          </w:p>
        </w:tc>
        <w:tc>
          <w:tcPr>
            <w:tcW w:w="5920" w:type="dxa"/>
            <w:vAlign w:val="bottom"/>
          </w:tcPr>
          <w:p>
            <w:pPr>
              <w:ind w:left="400"/>
              <w:spacing w:after="0"/>
              <w:rPr>
                <w:sz w:val="20"/>
                <w:szCs w:val="20"/>
                <w:color w:val="auto"/>
              </w:rPr>
            </w:pPr>
            <w:r>
              <w:rPr>
                <w:rFonts w:ascii="Arial" w:cs="Arial" w:eastAsia="Arial" w:hAnsi="Arial"/>
                <w:sz w:val="16"/>
                <w:szCs w:val="16"/>
                <w:color w:val="auto"/>
              </w:rPr>
              <w:t>February 2013.</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860" w:type="dxa"/>
            <w:vAlign w:val="bottom"/>
            <w:gridSpan w:val="2"/>
            <w:vMerge w:val="restart"/>
          </w:tcPr>
          <w:p>
            <w:pPr>
              <w:ind w:left="960"/>
              <w:spacing w:after="0"/>
              <w:rPr>
                <w:sz w:val="20"/>
                <w:szCs w:val="20"/>
                <w:color w:val="auto"/>
              </w:rPr>
            </w:pPr>
            <w:r>
              <w:rPr>
                <w:rFonts w:ascii="Arial" w:cs="Arial" w:eastAsia="Arial" w:hAnsi="Arial"/>
                <w:sz w:val="16"/>
                <w:szCs w:val="16"/>
                <w:color w:val="0C426A"/>
              </w:rPr>
              <w:t>Committees:</w:t>
            </w:r>
          </w:p>
        </w:tc>
        <w:tc>
          <w:tcPr>
            <w:tcW w:w="5920" w:type="dxa"/>
            <w:vAlign w:val="bottom"/>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Member of Genesee &amp; Wyoming Inc. Board of Directors from October 2015 to</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3860" w:type="dxa"/>
            <w:vAlign w:val="bottom"/>
            <w:gridSpan w:val="2"/>
            <w:vMerge w:val="continue"/>
          </w:tcPr>
          <w:p>
            <w:pPr>
              <w:spacing w:after="0"/>
              <w:rPr>
                <w:sz w:val="8"/>
                <w:szCs w:val="8"/>
                <w:color w:val="auto"/>
              </w:rPr>
            </w:pPr>
          </w:p>
        </w:tc>
        <w:tc>
          <w:tcPr>
            <w:tcW w:w="5920" w:type="dxa"/>
            <w:vAlign w:val="bottom"/>
            <w:vMerge w:val="restart"/>
          </w:tcPr>
          <w:p>
            <w:pPr>
              <w:ind w:left="400"/>
              <w:spacing w:after="0"/>
              <w:rPr>
                <w:sz w:val="20"/>
                <w:szCs w:val="20"/>
                <w:color w:val="auto"/>
              </w:rPr>
            </w:pPr>
            <w:r>
              <w:rPr>
                <w:rFonts w:ascii="Arial" w:cs="Arial" w:eastAsia="Arial" w:hAnsi="Arial"/>
                <w:sz w:val="16"/>
                <w:szCs w:val="16"/>
                <w:color w:val="auto"/>
              </w:rPr>
              <w:t>December 2019.</w:t>
            </w: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860" w:type="dxa"/>
            <w:vAlign w:val="bottom"/>
            <w:gridSpan w:val="2"/>
            <w:vMerge w:val="restart"/>
          </w:tcPr>
          <w:p>
            <w:pPr>
              <w:ind w:left="960"/>
              <w:spacing w:after="0"/>
              <w:rPr>
                <w:sz w:val="20"/>
                <w:szCs w:val="20"/>
                <w:color w:val="auto"/>
              </w:rPr>
            </w:pPr>
            <w:r>
              <w:rPr>
                <w:rFonts w:ascii="Arial" w:cs="Arial" w:eastAsia="Arial" w:hAnsi="Arial"/>
                <w:sz w:val="16"/>
                <w:szCs w:val="16"/>
                <w:color w:val="auto"/>
              </w:rPr>
              <w:t>None</w:t>
            </w:r>
          </w:p>
        </w:tc>
        <w:tc>
          <w:tcPr>
            <w:tcW w:w="59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860" w:type="dxa"/>
            <w:vAlign w:val="bottom"/>
            <w:gridSpan w:val="2"/>
            <w:vMerge w:val="continue"/>
          </w:tcPr>
          <w:p>
            <w:pPr>
              <w:spacing w:after="0"/>
              <w:rPr>
                <w:sz w:val="8"/>
                <w:szCs w:val="8"/>
                <w:color w:val="auto"/>
              </w:rPr>
            </w:pPr>
          </w:p>
        </w:tc>
        <w:tc>
          <w:tcPr>
            <w:tcW w:w="5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5"/>
        </w:trPr>
        <w:tc>
          <w:tcPr>
            <w:tcW w:w="9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920" w:type="dxa"/>
            <w:vAlign w:val="bottom"/>
          </w:tcPr>
          <w:p>
            <w:pPr>
              <w:ind w:left="240"/>
              <w:spacing w:after="0"/>
              <w:rPr>
                <w:sz w:val="20"/>
                <w:szCs w:val="20"/>
                <w:color w:val="auto"/>
              </w:rPr>
            </w:pPr>
            <w:r>
              <w:rPr>
                <w:rFonts w:ascii="Arial" w:cs="Arial" w:eastAsia="Arial" w:hAnsi="Arial"/>
                <w:sz w:val="16"/>
                <w:szCs w:val="16"/>
                <w:color w:val="0C426A"/>
              </w:rPr>
              <w:t>Specific Qualifications, Attributes, Skills and Experience</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9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5920" w:type="dxa"/>
            <w:vAlign w:val="bottom"/>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Extensive experience as an officer and director of Wabtec with significant rail</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5920" w:type="dxa"/>
            <w:vAlign w:val="bottom"/>
          </w:tcPr>
          <w:p>
            <w:pPr>
              <w:ind w:left="400"/>
              <w:spacing w:after="0"/>
              <w:rPr>
                <w:sz w:val="20"/>
                <w:szCs w:val="20"/>
                <w:color w:val="auto"/>
              </w:rPr>
            </w:pPr>
            <w:r>
              <w:rPr>
                <w:rFonts w:ascii="Arial" w:cs="Arial" w:eastAsia="Arial" w:hAnsi="Arial"/>
                <w:sz w:val="16"/>
                <w:szCs w:val="16"/>
                <w:color w:val="auto"/>
              </w:rPr>
              <w:t>and transportation industry knowledge, expertise regarding public company</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6100" w:type="dxa"/>
            <w:vAlign w:val="bottom"/>
            <w:gridSpan w:val="2"/>
          </w:tcPr>
          <w:p>
            <w:pPr>
              <w:ind w:left="400"/>
              <w:spacing w:after="0"/>
              <w:rPr>
                <w:sz w:val="20"/>
                <w:szCs w:val="20"/>
                <w:color w:val="auto"/>
              </w:rPr>
            </w:pPr>
            <w:r>
              <w:rPr>
                <w:rFonts w:ascii="Arial" w:cs="Arial" w:eastAsia="Arial" w:hAnsi="Arial"/>
                <w:sz w:val="16"/>
                <w:szCs w:val="16"/>
                <w:color w:val="auto"/>
              </w:rPr>
              <w:t>management, corporate governance, human capital management, strategy and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9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5920" w:type="dxa"/>
            <w:vAlign w:val="bottom"/>
          </w:tcPr>
          <w:p>
            <w:pPr>
              <w:ind w:left="400"/>
              <w:spacing w:after="0"/>
              <w:rPr>
                <w:sz w:val="20"/>
                <w:szCs w:val="20"/>
                <w:color w:val="auto"/>
              </w:rPr>
            </w:pPr>
            <w:r>
              <w:rPr>
                <w:rFonts w:ascii="Arial" w:cs="Arial" w:eastAsia="Arial" w:hAnsi="Arial"/>
                <w:sz w:val="16"/>
                <w:szCs w:val="16"/>
                <w:color w:val="auto"/>
              </w:rPr>
              <w:t>M&amp;A.</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6100" w:type="dxa"/>
            <w:vAlign w:val="bottom"/>
            <w:gridSpan w:val="2"/>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Led Wabtec to unprecedented growth throughout the business cycle during his</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5920" w:type="dxa"/>
            <w:vAlign w:val="bottom"/>
          </w:tcPr>
          <w:p>
            <w:pPr>
              <w:ind w:left="400"/>
              <w:spacing w:after="0"/>
              <w:rPr>
                <w:sz w:val="20"/>
                <w:szCs w:val="20"/>
                <w:color w:val="auto"/>
              </w:rPr>
            </w:pPr>
            <w:r>
              <w:rPr>
                <w:rFonts w:ascii="Arial" w:cs="Arial" w:eastAsia="Arial" w:hAnsi="Arial"/>
                <w:sz w:val="16"/>
                <w:szCs w:val="16"/>
                <w:color w:val="auto"/>
              </w:rPr>
              <w:t>tenure in executive leadership roles at the Company.</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98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5920" w:type="dxa"/>
            <w:vAlign w:val="bottom"/>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Service on other public company boards.</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2880" w:type="dxa"/>
            <w:vAlign w:val="bottom"/>
            <w:tcBorders>
              <w:bottom w:val="single" w:sz="8" w:color="4C4C4C"/>
            </w:tcBorders>
          </w:tcPr>
          <w:p>
            <w:pPr>
              <w:spacing w:after="0"/>
              <w:rPr>
                <w:sz w:val="10"/>
                <w:szCs w:val="10"/>
                <w:color w:val="auto"/>
              </w:rPr>
            </w:pPr>
          </w:p>
        </w:tc>
        <w:tc>
          <w:tcPr>
            <w:tcW w:w="5920" w:type="dxa"/>
            <w:vAlign w:val="bottom"/>
            <w:tcBorders>
              <w:bottom w:val="single" w:sz="8" w:color="4C4C4C"/>
            </w:tcBorders>
          </w:tcPr>
          <w:p>
            <w:pPr>
              <w:spacing w:after="0"/>
              <w:rPr>
                <w:sz w:val="10"/>
                <w:szCs w:val="10"/>
                <w:color w:val="auto"/>
              </w:rPr>
            </w:pPr>
          </w:p>
        </w:tc>
        <w:tc>
          <w:tcPr>
            <w:tcW w:w="180" w:type="dxa"/>
            <w:vAlign w:val="bottom"/>
            <w:tcBorders>
              <w:bottom w:val="single" w:sz="8" w:color="4C4C4C"/>
            </w:tcBorders>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5"/>
        </w:trPr>
        <w:tc>
          <w:tcPr>
            <w:tcW w:w="9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920" w:type="dxa"/>
            <w:vAlign w:val="bottom"/>
          </w:tcPr>
          <w:p>
            <w:pPr>
              <w:ind w:left="250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2453640</wp:posOffset>
            </wp:positionH>
            <wp:positionV relativeFrom="paragraph">
              <wp:posOffset>-4853940</wp:posOffset>
            </wp:positionV>
            <wp:extent cx="8255" cy="42684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4268470"/>
                    </a:xfrm>
                    <a:prstGeom prst="rect">
                      <a:avLst/>
                    </a:prstGeom>
                    <a:noFill/>
                  </pic:spPr>
                </pic:pic>
              </a:graphicData>
            </a:graphic>
          </wp:anchor>
        </w:drawing>
        <w:drawing>
          <wp:anchor simplePos="0" relativeHeight="251657728" behindDoc="1" locked="0" layoutInCell="0" allowOverlap="1">
            <wp:simplePos x="0" y="0"/>
            <wp:positionH relativeFrom="column">
              <wp:posOffset>617220</wp:posOffset>
            </wp:positionH>
            <wp:positionV relativeFrom="paragraph">
              <wp:posOffset>-4403725</wp:posOffset>
            </wp:positionV>
            <wp:extent cx="1062990" cy="10629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62990" cy="1062990"/>
                    </a:xfrm>
                    <a:prstGeom prst="rect">
                      <a:avLst/>
                    </a:prstGeom>
                    <a:noFill/>
                  </pic:spPr>
                </pic:pic>
              </a:graphicData>
            </a:graphic>
          </wp:anchor>
        </w:drawing>
        <w:drawing>
          <wp:anchor simplePos="0" relativeHeight="251657728" behindDoc="1" locked="0" layoutInCell="0" allowOverlap="1">
            <wp:simplePos x="0" y="0"/>
            <wp:positionH relativeFrom="column">
              <wp:posOffset>5497195</wp:posOffset>
            </wp:positionH>
            <wp:positionV relativeFrom="paragraph">
              <wp:posOffset>-407670</wp:posOffset>
            </wp:positionV>
            <wp:extent cx="501650" cy="170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sectPr>
      </w:pPr>
    </w:p>
    <w:bookmarkStart w:id="20" w:name="page21"/>
    <w:bookmarkEnd w:id="20"/>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960"/>
        <w:spacing w:after="0"/>
        <w:rPr>
          <w:sz w:val="20"/>
          <w:szCs w:val="20"/>
          <w:color w:val="auto"/>
        </w:rPr>
      </w:pPr>
      <w:r>
        <w:rPr>
          <w:rFonts w:ascii="Arial" w:cs="Arial" w:eastAsia="Arial" w:hAnsi="Arial"/>
          <w:sz w:val="12"/>
          <w:szCs w:val="12"/>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2453640</wp:posOffset>
            </wp:positionH>
            <wp:positionV relativeFrom="paragraph">
              <wp:posOffset>51435</wp:posOffset>
            </wp:positionV>
            <wp:extent cx="8255" cy="3469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3469005"/>
                    </a:xfrm>
                    <a:prstGeom prst="rect">
                      <a:avLst/>
                    </a:prstGeom>
                    <a:noFill/>
                  </pic:spPr>
                </pic:pic>
              </a:graphicData>
            </a:graphic>
          </wp:anchor>
        </w:drawing>
      </w:r>
    </w:p>
    <w:p>
      <w:pPr>
        <w:spacing w:after="0" w:line="61" w:lineRule="exact"/>
        <w:rPr>
          <w:sz w:val="20"/>
          <w:szCs w:val="20"/>
          <w:color w:val="auto"/>
        </w:rPr>
      </w:pPr>
    </w:p>
    <w:tbl>
      <w:tblPr>
        <w:tblLayout w:type="fixed"/>
        <w:tblInd w:w="960" w:type="dxa"/>
        <w:tblCellMar>
          <w:top w:w="0" w:type="dxa"/>
          <w:left w:w="0" w:type="dxa"/>
          <w:bottom w:w="0" w:type="dxa"/>
          <w:right w:w="0" w:type="dxa"/>
        </w:tblCellMar>
      </w:tblPr>
      <w:tr>
        <w:trPr>
          <w:trHeight w:val="455"/>
        </w:trPr>
        <w:tc>
          <w:tcPr>
            <w:tcW w:w="2580" w:type="dxa"/>
            <w:vAlign w:val="bottom"/>
            <w:gridSpan w:val="2"/>
          </w:tcPr>
          <w:p>
            <w:pPr>
              <w:spacing w:after="0"/>
              <w:rPr>
                <w:sz w:val="20"/>
                <w:szCs w:val="20"/>
                <w:color w:val="auto"/>
              </w:rPr>
            </w:pPr>
            <w:r>
              <w:rPr>
                <w:rFonts w:ascii="Arial" w:cs="Arial" w:eastAsia="Arial" w:hAnsi="Arial"/>
                <w:sz w:val="23"/>
                <w:szCs w:val="23"/>
                <w:b w:val="1"/>
                <w:bCs w:val="1"/>
                <w:color w:val="0C426A"/>
              </w:rPr>
              <w:t>Ann R. Klee</w:t>
            </w:r>
          </w:p>
        </w:tc>
        <w:tc>
          <w:tcPr>
            <w:tcW w:w="320" w:type="dxa"/>
            <w:vAlign w:val="bottom"/>
          </w:tcPr>
          <w:p>
            <w:pPr>
              <w:spacing w:after="0"/>
              <w:rPr>
                <w:sz w:val="24"/>
                <w:szCs w:val="24"/>
                <w:color w:val="auto"/>
              </w:rPr>
            </w:pPr>
          </w:p>
        </w:tc>
        <w:tc>
          <w:tcPr>
            <w:tcW w:w="6100" w:type="dxa"/>
            <w:vAlign w:val="bottom"/>
          </w:tcPr>
          <w:p>
            <w:pPr>
              <w:ind w:left="240"/>
              <w:spacing w:after="0"/>
              <w:rPr>
                <w:sz w:val="20"/>
                <w:szCs w:val="20"/>
                <w:color w:val="auto"/>
              </w:rPr>
            </w:pPr>
            <w:r>
              <w:rPr>
                <w:rFonts w:ascii="Arial" w:cs="Arial" w:eastAsia="Arial" w:hAnsi="Arial"/>
                <w:sz w:val="16"/>
                <w:szCs w:val="16"/>
                <w:color w:val="0C426A"/>
              </w:rPr>
              <w:t>Biographical Information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100" w:type="dxa"/>
            <w:vAlign w:val="bottom"/>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Executive Vice President, Suffolk Construction Company from February 2020 to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Arial" w:cs="Arial" w:eastAsia="Arial" w:hAnsi="Arial"/>
                <w:sz w:val="16"/>
                <w:szCs w:val="16"/>
                <w:color w:val="auto"/>
              </w:rPr>
              <w:t>March 2021.</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100" w:type="dxa"/>
            <w:vAlign w:val="bottom"/>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Vice President, General Electric Company from 2008 to September 2019.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Partner and Co-Chair of the Environmental and Natural Resources Group of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Arial" w:cs="Arial" w:eastAsia="Arial" w:hAnsi="Arial"/>
                <w:sz w:val="16"/>
                <w:szCs w:val="16"/>
                <w:color w:val="auto"/>
              </w:rPr>
              <w:t>Crowell &amp; Moring LLP.</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100" w:type="dxa"/>
            <w:vAlign w:val="bottom"/>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General Counsel to the U.S. Environmental Protection Agency from 2004-2006.</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100" w:type="dxa"/>
            <w:vAlign w:val="bottom"/>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Counselor and Special Assistant to the Secretary of the U.S. Department of the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100" w:type="dxa"/>
            <w:vAlign w:val="bottom"/>
          </w:tcPr>
          <w:p>
            <w:pPr>
              <w:ind w:left="400"/>
              <w:spacing w:after="0"/>
              <w:rPr>
                <w:sz w:val="20"/>
                <w:szCs w:val="20"/>
                <w:color w:val="auto"/>
              </w:rPr>
            </w:pPr>
            <w:r>
              <w:rPr>
                <w:rFonts w:ascii="Arial" w:cs="Arial" w:eastAsia="Arial" w:hAnsi="Arial"/>
                <w:sz w:val="16"/>
                <w:szCs w:val="16"/>
                <w:color w:val="auto"/>
              </w:rPr>
              <w:t>Interior and as Chief Counsel to the U.S. Senate’s Environment and Public</w:t>
            </w:r>
          </w:p>
        </w:tc>
        <w:tc>
          <w:tcPr>
            <w:tcW w:w="0" w:type="dxa"/>
            <w:vAlign w:val="bottom"/>
          </w:tcPr>
          <w:p>
            <w:pPr>
              <w:spacing w:after="0"/>
              <w:rPr>
                <w:sz w:val="1"/>
                <w:szCs w:val="1"/>
                <w:color w:val="auto"/>
              </w:rPr>
            </w:pPr>
          </w:p>
        </w:tc>
      </w:tr>
      <w:tr>
        <w:trPr>
          <w:trHeight w:val="213"/>
        </w:trPr>
        <w:tc>
          <w:tcPr>
            <w:tcW w:w="2580" w:type="dxa"/>
            <w:vAlign w:val="bottom"/>
            <w:gridSpan w:val="2"/>
            <w:vMerge w:val="restart"/>
          </w:tcPr>
          <w:p>
            <w:pPr>
              <w:spacing w:after="0"/>
              <w:rPr>
                <w:sz w:val="20"/>
                <w:szCs w:val="20"/>
                <w:color w:val="auto"/>
              </w:rPr>
            </w:pPr>
            <w:r>
              <w:rPr>
                <w:rFonts w:ascii="Arial" w:cs="Arial" w:eastAsia="Arial" w:hAnsi="Arial"/>
                <w:sz w:val="16"/>
                <w:szCs w:val="16"/>
                <w:color w:val="auto"/>
              </w:rPr>
              <w:t> </w:t>
            </w:r>
          </w:p>
        </w:tc>
        <w:tc>
          <w:tcPr>
            <w:tcW w:w="32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Arial" w:cs="Arial" w:eastAsia="Arial" w:hAnsi="Arial"/>
                <w:sz w:val="16"/>
                <w:szCs w:val="16"/>
                <w:color w:val="auto"/>
              </w:rPr>
              <w:t>Works Committee.</w:t>
            </w:r>
          </w:p>
        </w:tc>
        <w:tc>
          <w:tcPr>
            <w:tcW w:w="0" w:type="dxa"/>
            <w:vAlign w:val="bottom"/>
          </w:tcPr>
          <w:p>
            <w:pPr>
              <w:spacing w:after="0"/>
              <w:rPr>
                <w:sz w:val="1"/>
                <w:szCs w:val="1"/>
                <w:color w:val="auto"/>
              </w:rPr>
            </w:pPr>
          </w:p>
        </w:tc>
      </w:tr>
      <w:tr>
        <w:trPr>
          <w:trHeight w:val="121"/>
        </w:trPr>
        <w:tc>
          <w:tcPr>
            <w:tcW w:w="25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580" w:type="dxa"/>
            <w:vAlign w:val="bottom"/>
            <w:gridSpan w:val="2"/>
          </w:tcPr>
          <w:p>
            <w:pPr>
              <w:spacing w:after="0"/>
              <w:rPr>
                <w:sz w:val="20"/>
                <w:szCs w:val="20"/>
                <w:color w:val="auto"/>
              </w:rPr>
            </w:pPr>
            <w:r>
              <w:rPr>
                <w:rFonts w:ascii="Arial" w:cs="Arial" w:eastAsia="Arial" w:hAnsi="Arial"/>
                <w:sz w:val="16"/>
                <w:szCs w:val="16"/>
                <w:color w:val="0C426A"/>
              </w:rPr>
              <w:t xml:space="preserve">Age: </w:t>
            </w:r>
            <w:r>
              <w:rPr>
                <w:rFonts w:ascii="Arial" w:cs="Arial" w:eastAsia="Arial" w:hAnsi="Arial"/>
                <w:sz w:val="16"/>
                <w:szCs w:val="16"/>
                <w:color w:val="000000"/>
              </w:rPr>
              <w:t>62</w:t>
            </w:r>
          </w:p>
        </w:tc>
        <w:tc>
          <w:tcPr>
            <w:tcW w:w="3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6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100" w:type="dxa"/>
            <w:vAlign w:val="bottom"/>
          </w:tcPr>
          <w:p>
            <w:pPr>
              <w:ind w:left="240"/>
              <w:spacing w:after="0"/>
              <w:rPr>
                <w:sz w:val="20"/>
                <w:szCs w:val="20"/>
                <w:color w:val="auto"/>
              </w:rPr>
            </w:pPr>
            <w:r>
              <w:rPr>
                <w:rFonts w:ascii="Arial" w:cs="Arial" w:eastAsia="Arial" w:hAnsi="Arial"/>
                <w:sz w:val="16"/>
                <w:szCs w:val="16"/>
                <w:color w:val="0C426A"/>
              </w:rPr>
              <w:t>Current Other Directorships</w:t>
            </w:r>
          </w:p>
        </w:tc>
        <w:tc>
          <w:tcPr>
            <w:tcW w:w="0" w:type="dxa"/>
            <w:vAlign w:val="bottom"/>
          </w:tcPr>
          <w:p>
            <w:pPr>
              <w:spacing w:after="0"/>
              <w:rPr>
                <w:sz w:val="1"/>
                <w:szCs w:val="1"/>
                <w:color w:val="auto"/>
              </w:rPr>
            </w:pPr>
          </w:p>
        </w:tc>
      </w:tr>
      <w:tr>
        <w:trPr>
          <w:trHeight w:val="214"/>
        </w:trPr>
        <w:tc>
          <w:tcPr>
            <w:tcW w:w="2580" w:type="dxa"/>
            <w:vAlign w:val="bottom"/>
            <w:gridSpan w:val="2"/>
          </w:tcPr>
          <w:p>
            <w:pPr>
              <w:spacing w:after="0"/>
              <w:rPr>
                <w:sz w:val="20"/>
                <w:szCs w:val="20"/>
                <w:color w:val="auto"/>
              </w:rPr>
            </w:pPr>
            <w:r>
              <w:rPr>
                <w:rFonts w:ascii="Arial" w:cs="Arial" w:eastAsia="Arial" w:hAnsi="Arial"/>
                <w:sz w:val="16"/>
                <w:szCs w:val="16"/>
                <w:color w:val="0C426A"/>
              </w:rPr>
              <w:t xml:space="preserve">Director Since: </w:t>
            </w:r>
            <w:r>
              <w:rPr>
                <w:rFonts w:ascii="Arial" w:cs="Arial" w:eastAsia="Arial" w:hAnsi="Arial"/>
                <w:sz w:val="16"/>
                <w:szCs w:val="16"/>
                <w:color w:val="000000"/>
              </w:rPr>
              <w:t>2019</w:t>
            </w:r>
          </w:p>
        </w:tc>
        <w:tc>
          <w:tcPr>
            <w:tcW w:w="320" w:type="dxa"/>
            <w:vAlign w:val="bottom"/>
          </w:tcPr>
          <w:p>
            <w:pPr>
              <w:spacing w:after="0"/>
              <w:rPr>
                <w:sz w:val="18"/>
                <w:szCs w:val="18"/>
                <w:color w:val="auto"/>
              </w:rPr>
            </w:pPr>
          </w:p>
        </w:tc>
        <w:tc>
          <w:tcPr>
            <w:tcW w:w="6100" w:type="dxa"/>
            <w:vAlign w:val="bottom"/>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Member of the Board of Directors of Sotera Health Company since 2020 serving</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100" w:type="dxa"/>
            <w:vAlign w:val="bottom"/>
          </w:tcPr>
          <w:p>
            <w:pPr>
              <w:ind w:left="400"/>
              <w:spacing w:after="0"/>
              <w:rPr>
                <w:sz w:val="20"/>
                <w:szCs w:val="20"/>
                <w:color w:val="auto"/>
              </w:rPr>
            </w:pPr>
            <w:r>
              <w:rPr>
                <w:rFonts w:ascii="Arial" w:cs="Arial" w:eastAsia="Arial" w:hAnsi="Arial"/>
                <w:sz w:val="16"/>
                <w:szCs w:val="16"/>
                <w:color w:val="auto"/>
              </w:rPr>
              <w:t>on the Nominating and Corporate Governance Committee (Chair) and Audit</w:t>
            </w:r>
          </w:p>
        </w:tc>
        <w:tc>
          <w:tcPr>
            <w:tcW w:w="0" w:type="dxa"/>
            <w:vAlign w:val="bottom"/>
          </w:tcPr>
          <w:p>
            <w:pPr>
              <w:spacing w:after="0"/>
              <w:rPr>
                <w:sz w:val="1"/>
                <w:szCs w:val="1"/>
                <w:color w:val="auto"/>
              </w:rPr>
            </w:pPr>
          </w:p>
        </w:tc>
      </w:tr>
      <w:tr>
        <w:trPr>
          <w:trHeight w:val="240"/>
        </w:trPr>
        <w:tc>
          <w:tcPr>
            <w:tcW w:w="2580" w:type="dxa"/>
            <w:vAlign w:val="bottom"/>
            <w:gridSpan w:val="2"/>
          </w:tcPr>
          <w:p>
            <w:pPr>
              <w:spacing w:after="0"/>
              <w:rPr>
                <w:sz w:val="20"/>
                <w:szCs w:val="20"/>
                <w:color w:val="auto"/>
              </w:rPr>
            </w:pPr>
            <w:r>
              <w:rPr>
                <w:rFonts w:ascii="Arial" w:cs="Arial" w:eastAsia="Arial" w:hAnsi="Arial"/>
                <w:sz w:val="16"/>
                <w:szCs w:val="16"/>
                <w:color w:val="0C426A"/>
              </w:rPr>
              <w:t>INDEPENDENT DIRECTOR</w:t>
            </w:r>
          </w:p>
        </w:tc>
        <w:tc>
          <w:tcPr>
            <w:tcW w:w="320" w:type="dxa"/>
            <w:vAlign w:val="bottom"/>
          </w:tcPr>
          <w:p>
            <w:pPr>
              <w:spacing w:after="0"/>
              <w:rPr>
                <w:sz w:val="20"/>
                <w:szCs w:val="20"/>
                <w:color w:val="auto"/>
              </w:rPr>
            </w:pPr>
          </w:p>
        </w:tc>
        <w:tc>
          <w:tcPr>
            <w:tcW w:w="6100" w:type="dxa"/>
            <w:vAlign w:val="bottom"/>
          </w:tcPr>
          <w:p>
            <w:pPr>
              <w:ind w:left="400"/>
              <w:spacing w:after="0"/>
              <w:rPr>
                <w:sz w:val="20"/>
                <w:szCs w:val="20"/>
                <w:color w:val="auto"/>
              </w:rPr>
            </w:pPr>
            <w:r>
              <w:rPr>
                <w:rFonts w:ascii="Arial" w:cs="Arial" w:eastAsia="Arial" w:hAnsi="Arial"/>
                <w:sz w:val="16"/>
                <w:szCs w:val="16"/>
                <w:color w:val="auto"/>
              </w:rPr>
              <w:t>Committee.</w:t>
            </w:r>
          </w:p>
        </w:tc>
        <w:tc>
          <w:tcPr>
            <w:tcW w:w="0" w:type="dxa"/>
            <w:vAlign w:val="bottom"/>
          </w:tcPr>
          <w:p>
            <w:pPr>
              <w:spacing w:after="0"/>
              <w:rPr>
                <w:sz w:val="1"/>
                <w:szCs w:val="1"/>
                <w:color w:val="auto"/>
              </w:rPr>
            </w:pPr>
          </w:p>
        </w:tc>
      </w:tr>
      <w:tr>
        <w:trPr>
          <w:trHeight w:val="228"/>
        </w:trPr>
        <w:tc>
          <w:tcPr>
            <w:tcW w:w="2580" w:type="dxa"/>
            <w:vAlign w:val="bottom"/>
            <w:gridSpan w:val="2"/>
            <w:vMerge w:val="restart"/>
          </w:tcPr>
          <w:p>
            <w:pPr>
              <w:spacing w:after="0"/>
              <w:rPr>
                <w:sz w:val="20"/>
                <w:szCs w:val="20"/>
                <w:color w:val="auto"/>
              </w:rPr>
            </w:pPr>
            <w:r>
              <w:rPr>
                <w:rFonts w:ascii="Arial" w:cs="Arial" w:eastAsia="Arial" w:hAnsi="Arial"/>
                <w:sz w:val="16"/>
                <w:szCs w:val="16"/>
                <w:color w:val="0C426A"/>
              </w:rPr>
              <w:t>Committees:</w:t>
            </w:r>
          </w:p>
        </w:tc>
        <w:tc>
          <w:tcPr>
            <w:tcW w:w="32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Member of the Board of Directors, Center for Climate and Energy Solutions.</w:t>
            </w:r>
          </w:p>
        </w:tc>
        <w:tc>
          <w:tcPr>
            <w:tcW w:w="0" w:type="dxa"/>
            <w:vAlign w:val="bottom"/>
          </w:tcPr>
          <w:p>
            <w:pPr>
              <w:spacing w:after="0"/>
              <w:rPr>
                <w:sz w:val="1"/>
                <w:szCs w:val="1"/>
                <w:color w:val="auto"/>
              </w:rPr>
            </w:pPr>
          </w:p>
        </w:tc>
      </w:tr>
      <w:tr>
        <w:trPr>
          <w:trHeight w:val="161"/>
        </w:trPr>
        <w:tc>
          <w:tcPr>
            <w:tcW w:w="25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580" w:type="dxa"/>
            <w:vAlign w:val="bottom"/>
            <w:gridSpan w:val="2"/>
          </w:tcPr>
          <w:p>
            <w:pPr>
              <w:spacing w:after="0"/>
              <w:rPr>
                <w:sz w:val="20"/>
                <w:szCs w:val="20"/>
                <w:color w:val="auto"/>
              </w:rPr>
            </w:pPr>
            <w:r>
              <w:rPr>
                <w:rFonts w:ascii="Arial" w:cs="Arial" w:eastAsia="Arial" w:hAnsi="Arial"/>
                <w:sz w:val="16"/>
                <w:szCs w:val="16"/>
                <w:color w:val="auto"/>
              </w:rPr>
              <w:t>Compensation and Talent</w:t>
            </w:r>
          </w:p>
        </w:tc>
        <w:tc>
          <w:tcPr>
            <w:tcW w:w="320" w:type="dxa"/>
            <w:vAlign w:val="bottom"/>
          </w:tcPr>
          <w:p>
            <w:pPr>
              <w:spacing w:after="0"/>
              <w:rPr>
                <w:sz w:val="19"/>
                <w:szCs w:val="19"/>
                <w:color w:val="auto"/>
              </w:rPr>
            </w:pPr>
          </w:p>
        </w:tc>
        <w:tc>
          <w:tcPr>
            <w:tcW w:w="6100" w:type="dxa"/>
            <w:vAlign w:val="bottom"/>
            <w:vMerge w:val="restart"/>
          </w:tcPr>
          <w:p>
            <w:pPr>
              <w:ind w:left="240"/>
              <w:spacing w:after="0"/>
              <w:rPr>
                <w:sz w:val="20"/>
                <w:szCs w:val="20"/>
                <w:color w:val="auto"/>
              </w:rPr>
            </w:pPr>
            <w:r>
              <w:rPr>
                <w:rFonts w:ascii="Arial" w:cs="Arial" w:eastAsia="Arial" w:hAnsi="Arial"/>
                <w:sz w:val="16"/>
                <w:szCs w:val="16"/>
                <w:color w:val="0C426A"/>
              </w:rPr>
              <w:t>Specific Qualifications, Attributes, Skills and Experience</w:t>
            </w:r>
          </w:p>
        </w:tc>
        <w:tc>
          <w:tcPr>
            <w:tcW w:w="0" w:type="dxa"/>
            <w:vAlign w:val="bottom"/>
          </w:tcPr>
          <w:p>
            <w:pPr>
              <w:spacing w:after="0"/>
              <w:rPr>
                <w:sz w:val="1"/>
                <w:szCs w:val="1"/>
                <w:color w:val="auto"/>
              </w:rPr>
            </w:pPr>
          </w:p>
        </w:tc>
      </w:tr>
      <w:tr>
        <w:trPr>
          <w:trHeight w:val="120"/>
        </w:trPr>
        <w:tc>
          <w:tcPr>
            <w:tcW w:w="2580" w:type="dxa"/>
            <w:vAlign w:val="bottom"/>
            <w:gridSpan w:val="2"/>
            <w:vMerge w:val="restart"/>
          </w:tcPr>
          <w:p>
            <w:pPr>
              <w:spacing w:after="0"/>
              <w:rPr>
                <w:sz w:val="20"/>
                <w:szCs w:val="20"/>
                <w:color w:val="auto"/>
              </w:rPr>
            </w:pPr>
            <w:r>
              <w:rPr>
                <w:rFonts w:ascii="Arial" w:cs="Arial" w:eastAsia="Arial" w:hAnsi="Arial"/>
                <w:sz w:val="16"/>
                <w:szCs w:val="16"/>
                <w:color w:val="auto"/>
              </w:rPr>
              <w:t>Management (</w:t>
            </w:r>
            <w:r>
              <w:rPr>
                <w:rFonts w:ascii="Arial" w:cs="Arial" w:eastAsia="Arial" w:hAnsi="Arial"/>
                <w:sz w:val="16"/>
                <w:szCs w:val="16"/>
                <w:color w:val="0C426A"/>
              </w:rPr>
              <w:t>Chair</w:t>
            </w:r>
            <w:r>
              <w:rPr>
                <w:rFonts w:ascii="Arial" w:cs="Arial" w:eastAsia="Arial" w:hAnsi="Arial"/>
                <w:sz w:val="16"/>
                <w:szCs w:val="16"/>
                <w:color w:val="auto"/>
              </w:rPr>
              <w:t>)</w:t>
            </w:r>
          </w:p>
        </w:tc>
        <w:tc>
          <w:tcPr>
            <w:tcW w:w="320" w:type="dxa"/>
            <w:vAlign w:val="bottom"/>
          </w:tcPr>
          <w:p>
            <w:pPr>
              <w:spacing w:after="0"/>
              <w:rPr>
                <w:sz w:val="10"/>
                <w:szCs w:val="10"/>
                <w:color w:val="auto"/>
              </w:rPr>
            </w:pPr>
          </w:p>
        </w:tc>
        <w:tc>
          <w:tcPr>
            <w:tcW w:w="6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5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6100" w:type="dxa"/>
            <w:vAlign w:val="bottom"/>
            <w:vMerge w:val="restart"/>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Significant experience in environmental law, corporate governance and</w:t>
            </w:r>
          </w:p>
        </w:tc>
        <w:tc>
          <w:tcPr>
            <w:tcW w:w="0" w:type="dxa"/>
            <w:vAlign w:val="bottom"/>
          </w:tcPr>
          <w:p>
            <w:pPr>
              <w:spacing w:after="0"/>
              <w:rPr>
                <w:sz w:val="1"/>
                <w:szCs w:val="1"/>
                <w:color w:val="auto"/>
              </w:rPr>
            </w:pPr>
          </w:p>
        </w:tc>
      </w:tr>
      <w:tr>
        <w:trPr>
          <w:trHeight w:val="148"/>
        </w:trPr>
        <w:tc>
          <w:tcPr>
            <w:tcW w:w="2580" w:type="dxa"/>
            <w:vAlign w:val="bottom"/>
            <w:gridSpan w:val="2"/>
            <w:vMerge w:val="restart"/>
          </w:tcPr>
          <w:p>
            <w:pPr>
              <w:spacing w:after="0"/>
              <w:rPr>
                <w:sz w:val="20"/>
                <w:szCs w:val="20"/>
                <w:color w:val="auto"/>
              </w:rPr>
            </w:pPr>
            <w:r>
              <w:rPr>
                <w:rFonts w:ascii="Arial" w:cs="Arial" w:eastAsia="Arial" w:hAnsi="Arial"/>
                <w:sz w:val="16"/>
                <w:szCs w:val="16"/>
                <w:color w:val="auto"/>
              </w:rPr>
              <w:t>Environmental, Social and</w:t>
            </w:r>
          </w:p>
        </w:tc>
        <w:tc>
          <w:tcPr>
            <w:tcW w:w="320" w:type="dxa"/>
            <w:vAlign w:val="bottom"/>
          </w:tcPr>
          <w:p>
            <w:pPr>
              <w:spacing w:after="0"/>
              <w:rPr>
                <w:sz w:val="12"/>
                <w:szCs w:val="12"/>
                <w:color w:val="auto"/>
              </w:rPr>
            </w:pPr>
          </w:p>
        </w:tc>
        <w:tc>
          <w:tcPr>
            <w:tcW w:w="6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5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6100" w:type="dxa"/>
            <w:vAlign w:val="bottom"/>
            <w:vMerge w:val="restart"/>
          </w:tcPr>
          <w:p>
            <w:pPr>
              <w:ind w:left="400"/>
              <w:spacing w:after="0"/>
              <w:rPr>
                <w:sz w:val="20"/>
                <w:szCs w:val="20"/>
                <w:color w:val="auto"/>
              </w:rPr>
            </w:pPr>
            <w:r>
              <w:rPr>
                <w:rFonts w:ascii="Arial" w:cs="Arial" w:eastAsia="Arial" w:hAnsi="Arial"/>
                <w:sz w:val="16"/>
                <w:szCs w:val="16"/>
                <w:color w:val="auto"/>
              </w:rPr>
              <w:t>regulatory and compliance matters.</w:t>
            </w:r>
          </w:p>
        </w:tc>
        <w:tc>
          <w:tcPr>
            <w:tcW w:w="0" w:type="dxa"/>
            <w:vAlign w:val="bottom"/>
          </w:tcPr>
          <w:p>
            <w:pPr>
              <w:spacing w:after="0"/>
              <w:rPr>
                <w:sz w:val="1"/>
                <w:szCs w:val="1"/>
                <w:color w:val="auto"/>
              </w:rPr>
            </w:pPr>
          </w:p>
        </w:tc>
      </w:tr>
      <w:tr>
        <w:trPr>
          <w:trHeight w:val="93"/>
        </w:trPr>
        <w:tc>
          <w:tcPr>
            <w:tcW w:w="2580" w:type="dxa"/>
            <w:vAlign w:val="bottom"/>
            <w:gridSpan w:val="2"/>
            <w:vMerge w:val="restart"/>
          </w:tcPr>
          <w:p>
            <w:pPr>
              <w:spacing w:after="0"/>
              <w:rPr>
                <w:sz w:val="20"/>
                <w:szCs w:val="20"/>
                <w:color w:val="auto"/>
              </w:rPr>
            </w:pPr>
            <w:r>
              <w:rPr>
                <w:rFonts w:ascii="Arial" w:cs="Arial" w:eastAsia="Arial" w:hAnsi="Arial"/>
                <w:sz w:val="16"/>
                <w:szCs w:val="16"/>
                <w:color w:val="auto"/>
              </w:rPr>
              <w:t>Governance Subcommittee (</w:t>
            </w:r>
            <w:r>
              <w:rPr>
                <w:rFonts w:ascii="Arial" w:cs="Arial" w:eastAsia="Arial" w:hAnsi="Arial"/>
                <w:sz w:val="16"/>
                <w:szCs w:val="16"/>
                <w:color w:val="0C426A"/>
              </w:rPr>
              <w:t>Chair</w:t>
            </w:r>
            <w:r>
              <w:rPr>
                <w:rFonts w:ascii="Arial" w:cs="Arial" w:eastAsia="Arial" w:hAnsi="Arial"/>
                <w:sz w:val="16"/>
                <w:szCs w:val="16"/>
                <w:color w:val="auto"/>
              </w:rPr>
              <w:t>)</w:t>
            </w:r>
          </w:p>
        </w:tc>
        <w:tc>
          <w:tcPr>
            <w:tcW w:w="320" w:type="dxa"/>
            <w:vAlign w:val="bottom"/>
          </w:tcPr>
          <w:p>
            <w:pPr>
              <w:spacing w:after="0"/>
              <w:rPr>
                <w:sz w:val="8"/>
                <w:szCs w:val="8"/>
                <w:color w:val="auto"/>
              </w:rPr>
            </w:pPr>
          </w:p>
        </w:tc>
        <w:tc>
          <w:tcPr>
            <w:tcW w:w="6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5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6100" w:type="dxa"/>
            <w:vAlign w:val="bottom"/>
            <w:vMerge w:val="restart"/>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Industry expert in the fields of sustainability and ESG matters.</w:t>
            </w:r>
          </w:p>
        </w:tc>
        <w:tc>
          <w:tcPr>
            <w:tcW w:w="0" w:type="dxa"/>
            <w:vAlign w:val="bottom"/>
          </w:tcPr>
          <w:p>
            <w:pPr>
              <w:spacing w:after="0"/>
              <w:rPr>
                <w:sz w:val="1"/>
                <w:szCs w:val="1"/>
                <w:color w:val="auto"/>
              </w:rPr>
            </w:pPr>
          </w:p>
        </w:tc>
      </w:tr>
      <w:tr>
        <w:trPr>
          <w:trHeight w:val="134"/>
        </w:trPr>
        <w:tc>
          <w:tcPr>
            <w:tcW w:w="2580" w:type="dxa"/>
            <w:vAlign w:val="bottom"/>
            <w:gridSpan w:val="2"/>
            <w:vMerge w:val="restart"/>
          </w:tcPr>
          <w:p>
            <w:pPr>
              <w:spacing w:after="0"/>
              <w:rPr>
                <w:sz w:val="20"/>
                <w:szCs w:val="20"/>
                <w:color w:val="auto"/>
              </w:rPr>
            </w:pPr>
            <w:r>
              <w:rPr>
                <w:rFonts w:ascii="Arial" w:cs="Arial" w:eastAsia="Arial" w:hAnsi="Arial"/>
                <w:sz w:val="16"/>
                <w:szCs w:val="16"/>
                <w:color w:val="auto"/>
              </w:rPr>
              <w:t>Governance and Sustainability</w:t>
            </w:r>
          </w:p>
        </w:tc>
        <w:tc>
          <w:tcPr>
            <w:tcW w:w="320" w:type="dxa"/>
            <w:vAlign w:val="bottom"/>
          </w:tcPr>
          <w:p>
            <w:pPr>
              <w:spacing w:after="0"/>
              <w:rPr>
                <w:sz w:val="11"/>
                <w:szCs w:val="11"/>
                <w:color w:val="auto"/>
              </w:rPr>
            </w:pPr>
          </w:p>
        </w:tc>
        <w:tc>
          <w:tcPr>
            <w:tcW w:w="6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5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6100" w:type="dxa"/>
            <w:vAlign w:val="bottom"/>
            <w:vMerge w:val="restart"/>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Service on other public company boards.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60" w:type="dxa"/>
            <w:vAlign w:val="bottom"/>
            <w:tcBorders>
              <w:bottom w:val="single" w:sz="8" w:color="4C4C4C"/>
            </w:tcBorders>
          </w:tcPr>
          <w:p>
            <w:pPr>
              <w:spacing w:after="0"/>
              <w:rPr>
                <w:sz w:val="10"/>
                <w:szCs w:val="10"/>
                <w:color w:val="auto"/>
              </w:rPr>
            </w:pPr>
          </w:p>
        </w:tc>
        <w:tc>
          <w:tcPr>
            <w:tcW w:w="320" w:type="dxa"/>
            <w:vAlign w:val="bottom"/>
            <w:tcBorders>
              <w:bottom w:val="single" w:sz="8" w:color="4C4C4C"/>
            </w:tcBorders>
          </w:tcPr>
          <w:p>
            <w:pPr>
              <w:spacing w:after="0"/>
              <w:rPr>
                <w:sz w:val="10"/>
                <w:szCs w:val="10"/>
                <w:color w:val="auto"/>
              </w:rPr>
            </w:pPr>
          </w:p>
        </w:tc>
        <w:tc>
          <w:tcPr>
            <w:tcW w:w="6100" w:type="dxa"/>
            <w:vAlign w:val="bottom"/>
            <w:tcBorders>
              <w:bottom w:val="single" w:sz="8" w:color="4C4C4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-3017520</wp:posOffset>
            </wp:positionV>
            <wp:extent cx="1062990" cy="10629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62990" cy="10629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Arial" w:cs="Arial" w:eastAsia="Arial" w:hAnsi="Arial"/>
          <w:sz w:val="23"/>
          <w:szCs w:val="23"/>
          <w:color w:val="0C426A"/>
        </w:rPr>
        <w:t>Continuing Directors with Three-Year Term Expiring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2453640</wp:posOffset>
            </wp:positionH>
            <wp:positionV relativeFrom="paragraph">
              <wp:posOffset>64135</wp:posOffset>
            </wp:positionV>
            <wp:extent cx="8255" cy="27971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2797175"/>
                    </a:xfrm>
                    <a:prstGeom prst="rect">
                      <a:avLst/>
                    </a:prstGeom>
                    <a:noFill/>
                  </pic:spPr>
                </pic:pic>
              </a:graphicData>
            </a:graphic>
          </wp:anchor>
        </w:drawing>
      </w:r>
    </w:p>
    <w:p>
      <w:pPr>
        <w:spacing w:after="0" w:line="271" w:lineRule="exact"/>
        <w:rPr>
          <w:sz w:val="20"/>
          <w:szCs w:val="20"/>
          <w:color w:val="auto"/>
        </w:rPr>
      </w:pPr>
    </w:p>
    <w:tbl>
      <w:tblPr>
        <w:tblLayout w:type="fixed"/>
        <w:tblInd w:w="960" w:type="dxa"/>
        <w:tblCellMar>
          <w:top w:w="0" w:type="dxa"/>
          <w:left w:w="0" w:type="dxa"/>
          <w:bottom w:w="0" w:type="dxa"/>
          <w:right w:w="0" w:type="dxa"/>
        </w:tblCellMar>
      </w:tblPr>
      <w:tr>
        <w:trPr>
          <w:trHeight w:val="264"/>
        </w:trPr>
        <w:tc>
          <w:tcPr>
            <w:tcW w:w="2780" w:type="dxa"/>
            <w:vAlign w:val="bottom"/>
          </w:tcPr>
          <w:p>
            <w:pPr>
              <w:spacing w:after="0"/>
              <w:rPr>
                <w:sz w:val="20"/>
                <w:szCs w:val="20"/>
                <w:color w:val="auto"/>
              </w:rPr>
            </w:pPr>
            <w:r>
              <w:rPr>
                <w:rFonts w:ascii="Arial" w:cs="Arial" w:eastAsia="Arial" w:hAnsi="Arial"/>
                <w:sz w:val="23"/>
                <w:szCs w:val="23"/>
                <w:b w:val="1"/>
                <w:bCs w:val="1"/>
                <w:color w:val="0C426A"/>
              </w:rPr>
              <w:t>Rafael Santana</w:t>
            </w:r>
          </w:p>
        </w:tc>
        <w:tc>
          <w:tcPr>
            <w:tcW w:w="24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Arial" w:cs="Arial" w:eastAsia="Arial" w:hAnsi="Arial"/>
                <w:sz w:val="16"/>
                <w:szCs w:val="16"/>
                <w:color w:val="0C426A"/>
              </w:rPr>
              <w:t>Biographical Information</w:t>
            </w:r>
          </w:p>
        </w:tc>
        <w:tc>
          <w:tcPr>
            <w:tcW w:w="0" w:type="dxa"/>
            <w:vAlign w:val="bottom"/>
          </w:tcPr>
          <w:p>
            <w:pPr>
              <w:spacing w:after="0"/>
              <w:rPr>
                <w:sz w:val="1"/>
                <w:szCs w:val="1"/>
                <w:color w:val="auto"/>
              </w:rPr>
            </w:pPr>
          </w:p>
        </w:tc>
      </w:tr>
      <w:tr>
        <w:trPr>
          <w:trHeight w:val="213"/>
        </w:trPr>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ind w:left="12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President and Chief Executive Officer of Wabtec since July 2019.</w:t>
            </w:r>
          </w:p>
        </w:tc>
        <w:tc>
          <w:tcPr>
            <w:tcW w:w="0" w:type="dxa"/>
            <w:vAlign w:val="bottom"/>
          </w:tcPr>
          <w:p>
            <w:pPr>
              <w:spacing w:after="0"/>
              <w:rPr>
                <w:sz w:val="1"/>
                <w:szCs w:val="1"/>
                <w:color w:val="auto"/>
              </w:rPr>
            </w:pPr>
          </w:p>
        </w:tc>
      </w:tr>
      <w:tr>
        <w:trPr>
          <w:trHeight w:val="242"/>
        </w:trPr>
        <w:tc>
          <w:tcPr>
            <w:tcW w:w="2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0" w:type="dxa"/>
            <w:vAlign w:val="bottom"/>
          </w:tcPr>
          <w:p>
            <w:pPr>
              <w:ind w:left="12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President and Chief Executive Officer of GE Transportation, a division of</w:t>
            </w:r>
          </w:p>
        </w:tc>
        <w:tc>
          <w:tcPr>
            <w:tcW w:w="0" w:type="dxa"/>
            <w:vAlign w:val="bottom"/>
          </w:tcPr>
          <w:p>
            <w:pPr>
              <w:spacing w:after="0"/>
              <w:rPr>
                <w:sz w:val="1"/>
                <w:szCs w:val="1"/>
                <w:color w:val="auto"/>
              </w:rPr>
            </w:pPr>
          </w:p>
        </w:tc>
      </w:tr>
      <w:tr>
        <w:trPr>
          <w:trHeight w:val="213"/>
        </w:trPr>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ind w:left="280"/>
              <w:spacing w:after="0"/>
              <w:rPr>
                <w:sz w:val="20"/>
                <w:szCs w:val="20"/>
                <w:color w:val="auto"/>
              </w:rPr>
            </w:pPr>
            <w:r>
              <w:rPr>
                <w:rFonts w:ascii="Arial" w:cs="Arial" w:eastAsia="Arial" w:hAnsi="Arial"/>
                <w:sz w:val="16"/>
                <w:szCs w:val="16"/>
                <w:color w:val="auto"/>
              </w:rPr>
              <w:t>General Electric (GE) Company, from November 2017 to February 2019.</w:t>
            </w:r>
          </w:p>
        </w:tc>
        <w:tc>
          <w:tcPr>
            <w:tcW w:w="0" w:type="dxa"/>
            <w:vAlign w:val="bottom"/>
          </w:tcPr>
          <w:p>
            <w:pPr>
              <w:spacing w:after="0"/>
              <w:rPr>
                <w:sz w:val="1"/>
                <w:szCs w:val="1"/>
                <w:color w:val="auto"/>
              </w:rPr>
            </w:pPr>
          </w:p>
        </w:tc>
      </w:tr>
      <w:tr>
        <w:trPr>
          <w:trHeight w:val="228"/>
        </w:trPr>
        <w:tc>
          <w:tcPr>
            <w:tcW w:w="2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0" w:type="dxa"/>
            <w:vAlign w:val="bottom"/>
          </w:tcPr>
          <w:p>
            <w:pPr>
              <w:ind w:left="12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Mr. Santana joined GE in 2000 and held a variety of global leadership roles in</w:t>
            </w:r>
          </w:p>
        </w:tc>
        <w:tc>
          <w:tcPr>
            <w:tcW w:w="0" w:type="dxa"/>
            <w:vAlign w:val="bottom"/>
          </w:tcPr>
          <w:p>
            <w:pPr>
              <w:spacing w:after="0"/>
              <w:rPr>
                <w:sz w:val="1"/>
                <w:szCs w:val="1"/>
                <w:color w:val="auto"/>
              </w:rPr>
            </w:pPr>
          </w:p>
        </w:tc>
      </w:tr>
      <w:tr>
        <w:trPr>
          <w:trHeight w:val="213"/>
        </w:trPr>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ind w:left="280"/>
              <w:spacing w:after="0"/>
              <w:rPr>
                <w:sz w:val="20"/>
                <w:szCs w:val="20"/>
                <w:color w:val="auto"/>
              </w:rPr>
            </w:pPr>
            <w:r>
              <w:rPr>
                <w:rFonts w:ascii="Arial" w:cs="Arial" w:eastAsia="Arial" w:hAnsi="Arial"/>
                <w:sz w:val="16"/>
                <w:szCs w:val="16"/>
                <w:color w:val="auto"/>
              </w:rPr>
              <w:t>GE’s Transportation, Power, and Oil &amp; Gas businesses.</w:t>
            </w:r>
          </w:p>
        </w:tc>
        <w:tc>
          <w:tcPr>
            <w:tcW w:w="0" w:type="dxa"/>
            <w:vAlign w:val="bottom"/>
          </w:tcPr>
          <w:p>
            <w:pPr>
              <w:spacing w:after="0"/>
              <w:rPr>
                <w:sz w:val="1"/>
                <w:szCs w:val="1"/>
                <w:color w:val="auto"/>
              </w:rPr>
            </w:pPr>
          </w:p>
        </w:tc>
      </w:tr>
      <w:tr>
        <w:trPr>
          <w:trHeight w:val="509"/>
        </w:trPr>
        <w:tc>
          <w:tcPr>
            <w:tcW w:w="2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0" w:type="dxa"/>
            <w:vAlign w:val="bottom"/>
          </w:tcPr>
          <w:p>
            <w:pPr>
              <w:ind w:left="120"/>
              <w:spacing w:after="0"/>
              <w:rPr>
                <w:sz w:val="20"/>
                <w:szCs w:val="20"/>
                <w:color w:val="auto"/>
              </w:rPr>
            </w:pPr>
            <w:r>
              <w:rPr>
                <w:rFonts w:ascii="Arial" w:cs="Arial" w:eastAsia="Arial" w:hAnsi="Arial"/>
                <w:sz w:val="16"/>
                <w:szCs w:val="16"/>
                <w:color w:val="0C426A"/>
              </w:rPr>
              <w:t>Current Other Directorships</w:t>
            </w:r>
          </w:p>
        </w:tc>
        <w:tc>
          <w:tcPr>
            <w:tcW w:w="0" w:type="dxa"/>
            <w:vAlign w:val="bottom"/>
          </w:tcPr>
          <w:p>
            <w:pPr>
              <w:spacing w:after="0"/>
              <w:rPr>
                <w:sz w:val="1"/>
                <w:szCs w:val="1"/>
                <w:color w:val="auto"/>
              </w:rPr>
            </w:pPr>
          </w:p>
        </w:tc>
      </w:tr>
      <w:tr>
        <w:trPr>
          <w:trHeight w:val="172"/>
        </w:trPr>
        <w:tc>
          <w:tcPr>
            <w:tcW w:w="2780" w:type="dxa"/>
            <w:vAlign w:val="bottom"/>
          </w:tcPr>
          <w:p>
            <w:pPr>
              <w:ind w:left="26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5800" w:type="dxa"/>
            <w:vAlign w:val="bottom"/>
            <w:vMerge w:val="restart"/>
          </w:tcPr>
          <w:p>
            <w:pPr>
              <w:ind w:left="12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Member of the Board of Directors of Travelers Insurance since 2022.</w:t>
            </w:r>
          </w:p>
        </w:tc>
        <w:tc>
          <w:tcPr>
            <w:tcW w:w="0" w:type="dxa"/>
            <w:vAlign w:val="bottom"/>
          </w:tcPr>
          <w:p>
            <w:pPr>
              <w:spacing w:after="0"/>
              <w:rPr>
                <w:sz w:val="1"/>
                <w:szCs w:val="1"/>
                <w:color w:val="auto"/>
              </w:rPr>
            </w:pPr>
          </w:p>
        </w:tc>
      </w:tr>
      <w:tr>
        <w:trPr>
          <w:trHeight w:val="82"/>
        </w:trPr>
        <w:tc>
          <w:tcPr>
            <w:tcW w:w="2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780" w:type="dxa"/>
            <w:vAlign w:val="bottom"/>
          </w:tcPr>
          <w:p>
            <w:pPr>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22"/>
                <w:szCs w:val="22"/>
                <w:color w:val="auto"/>
              </w:rPr>
            </w:pPr>
          </w:p>
        </w:tc>
        <w:tc>
          <w:tcPr>
            <w:tcW w:w="5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780" w:type="dxa"/>
            <w:vAlign w:val="bottom"/>
            <w:vMerge w:val="restart"/>
          </w:tcPr>
          <w:p>
            <w:pPr>
              <w:spacing w:after="0"/>
              <w:rPr>
                <w:sz w:val="20"/>
                <w:szCs w:val="20"/>
                <w:color w:val="auto"/>
              </w:rPr>
            </w:pPr>
            <w:r>
              <w:rPr>
                <w:rFonts w:ascii="Arial" w:cs="Arial" w:eastAsia="Arial" w:hAnsi="Arial"/>
                <w:sz w:val="16"/>
                <w:szCs w:val="16"/>
                <w:color w:val="0C426A"/>
              </w:rPr>
              <w:t xml:space="preserve">Age: </w:t>
            </w:r>
            <w:r>
              <w:rPr>
                <w:rFonts w:ascii="Arial" w:cs="Arial" w:eastAsia="Arial" w:hAnsi="Arial"/>
                <w:sz w:val="16"/>
                <w:szCs w:val="16"/>
                <w:color w:val="000000"/>
              </w:rPr>
              <w:t>52</w:t>
            </w:r>
          </w:p>
        </w:tc>
        <w:tc>
          <w:tcPr>
            <w:tcW w:w="240" w:type="dxa"/>
            <w:vAlign w:val="bottom"/>
          </w:tcPr>
          <w:p>
            <w:pPr>
              <w:spacing w:after="0"/>
              <w:rPr>
                <w:sz w:val="22"/>
                <w:szCs w:val="22"/>
                <w:color w:val="auto"/>
              </w:rPr>
            </w:pPr>
          </w:p>
        </w:tc>
        <w:tc>
          <w:tcPr>
            <w:tcW w:w="5800" w:type="dxa"/>
            <w:vAlign w:val="bottom"/>
          </w:tcPr>
          <w:p>
            <w:pPr>
              <w:ind w:left="120"/>
              <w:spacing w:after="0"/>
              <w:rPr>
                <w:sz w:val="20"/>
                <w:szCs w:val="20"/>
                <w:color w:val="auto"/>
              </w:rPr>
            </w:pPr>
            <w:r>
              <w:rPr>
                <w:rFonts w:ascii="Arial" w:cs="Arial" w:eastAsia="Arial" w:hAnsi="Arial"/>
                <w:sz w:val="16"/>
                <w:szCs w:val="16"/>
                <w:color w:val="0C426A"/>
              </w:rPr>
              <w:t>Specific Qualifications, Attributes, Skills and Experience</w:t>
            </w:r>
          </w:p>
        </w:tc>
        <w:tc>
          <w:tcPr>
            <w:tcW w:w="0" w:type="dxa"/>
            <w:vAlign w:val="bottom"/>
          </w:tcPr>
          <w:p>
            <w:pPr>
              <w:spacing w:after="0"/>
              <w:rPr>
                <w:sz w:val="1"/>
                <w:szCs w:val="1"/>
                <w:color w:val="auto"/>
              </w:rPr>
            </w:pPr>
          </w:p>
        </w:tc>
      </w:tr>
      <w:tr>
        <w:trPr>
          <w:trHeight w:val="80"/>
        </w:trPr>
        <w:tc>
          <w:tcPr>
            <w:tcW w:w="27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5800" w:type="dxa"/>
            <w:vAlign w:val="bottom"/>
            <w:vMerge w:val="restart"/>
          </w:tcPr>
          <w:p>
            <w:pPr>
              <w:ind w:left="120"/>
              <w:spacing w:after="0"/>
              <w:rPr>
                <w:sz w:val="20"/>
                <w:szCs w:val="20"/>
                <w:color w:val="auto"/>
              </w:rPr>
            </w:pPr>
            <w:r>
              <w:rPr>
                <w:rFonts w:ascii="Arial" w:cs="Arial" w:eastAsia="Arial" w:hAnsi="Arial"/>
                <w:sz w:val="16"/>
                <w:szCs w:val="16"/>
                <w:color w:val="4297CB"/>
                <w:w w:val="99"/>
              </w:rPr>
              <w:t>•</w:t>
            </w:r>
            <w:r>
              <w:rPr>
                <w:rFonts w:ascii="Arial" w:cs="Arial" w:eastAsia="Arial" w:hAnsi="Arial"/>
                <w:sz w:val="16"/>
                <w:szCs w:val="16"/>
                <w:color w:val="000000"/>
                <w:w w:val="99"/>
              </w:rPr>
              <w:t xml:space="preserve">  25 years of global executive leadership experience in Fortune 300 companies.</w:t>
            </w:r>
          </w:p>
        </w:tc>
        <w:tc>
          <w:tcPr>
            <w:tcW w:w="0" w:type="dxa"/>
            <w:vAlign w:val="bottom"/>
          </w:tcPr>
          <w:p>
            <w:pPr>
              <w:spacing w:after="0"/>
              <w:rPr>
                <w:sz w:val="1"/>
                <w:szCs w:val="1"/>
                <w:color w:val="auto"/>
              </w:rPr>
            </w:pPr>
          </w:p>
        </w:tc>
      </w:tr>
      <w:tr>
        <w:trPr>
          <w:trHeight w:val="187"/>
        </w:trPr>
        <w:tc>
          <w:tcPr>
            <w:tcW w:w="2780" w:type="dxa"/>
            <w:vAlign w:val="bottom"/>
            <w:vMerge w:val="restart"/>
          </w:tcPr>
          <w:p>
            <w:pPr>
              <w:spacing w:after="0"/>
              <w:rPr>
                <w:sz w:val="20"/>
                <w:szCs w:val="20"/>
                <w:color w:val="auto"/>
              </w:rPr>
            </w:pPr>
            <w:r>
              <w:rPr>
                <w:rFonts w:ascii="Arial" w:cs="Arial" w:eastAsia="Arial" w:hAnsi="Arial"/>
                <w:sz w:val="16"/>
                <w:szCs w:val="16"/>
                <w:color w:val="0C426A"/>
              </w:rPr>
              <w:t xml:space="preserve">Director Since: </w:t>
            </w:r>
            <w:r>
              <w:rPr>
                <w:rFonts w:ascii="Arial" w:cs="Arial" w:eastAsia="Arial" w:hAnsi="Arial"/>
                <w:sz w:val="16"/>
                <w:szCs w:val="16"/>
                <w:color w:val="000000"/>
              </w:rPr>
              <w:t>2019</w:t>
            </w:r>
          </w:p>
        </w:tc>
        <w:tc>
          <w:tcPr>
            <w:tcW w:w="240" w:type="dxa"/>
            <w:vAlign w:val="bottom"/>
          </w:tcPr>
          <w:p>
            <w:pPr>
              <w:spacing w:after="0"/>
              <w:rPr>
                <w:sz w:val="16"/>
                <w:szCs w:val="16"/>
                <w:color w:val="auto"/>
              </w:rPr>
            </w:pPr>
          </w:p>
        </w:tc>
        <w:tc>
          <w:tcPr>
            <w:tcW w:w="5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7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5800" w:type="dxa"/>
            <w:vAlign w:val="bottom"/>
            <w:vMerge w:val="restart"/>
          </w:tcPr>
          <w:p>
            <w:pPr>
              <w:ind w:left="12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Extensive experience with international operations, product management,</w:t>
            </w:r>
          </w:p>
        </w:tc>
        <w:tc>
          <w:tcPr>
            <w:tcW w:w="0" w:type="dxa"/>
            <w:vAlign w:val="bottom"/>
          </w:tcPr>
          <w:p>
            <w:pPr>
              <w:spacing w:after="0"/>
              <w:rPr>
                <w:sz w:val="1"/>
                <w:szCs w:val="1"/>
                <w:color w:val="auto"/>
              </w:rPr>
            </w:pPr>
          </w:p>
        </w:tc>
      </w:tr>
      <w:tr>
        <w:trPr>
          <w:trHeight w:val="95"/>
        </w:trPr>
        <w:tc>
          <w:tcPr>
            <w:tcW w:w="2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780" w:type="dxa"/>
            <w:vAlign w:val="bottom"/>
            <w:vMerge w:val="restart"/>
          </w:tcPr>
          <w:p>
            <w:pPr>
              <w:spacing w:after="0"/>
              <w:rPr>
                <w:sz w:val="20"/>
                <w:szCs w:val="20"/>
                <w:color w:val="auto"/>
              </w:rPr>
            </w:pPr>
            <w:r>
              <w:rPr>
                <w:rFonts w:ascii="Arial" w:cs="Arial" w:eastAsia="Arial" w:hAnsi="Arial"/>
                <w:sz w:val="16"/>
                <w:szCs w:val="16"/>
                <w:color w:val="0C426A"/>
              </w:rPr>
              <w:t>CHIEF EXECUTIVE OFFICER</w:t>
            </w:r>
          </w:p>
        </w:tc>
        <w:tc>
          <w:tcPr>
            <w:tcW w:w="240" w:type="dxa"/>
            <w:vAlign w:val="bottom"/>
          </w:tcPr>
          <w:p>
            <w:pPr>
              <w:spacing w:after="0"/>
              <w:rPr>
                <w:sz w:val="16"/>
                <w:szCs w:val="16"/>
                <w:color w:val="auto"/>
              </w:rPr>
            </w:pPr>
          </w:p>
        </w:tc>
        <w:tc>
          <w:tcPr>
            <w:tcW w:w="5800" w:type="dxa"/>
            <w:vAlign w:val="bottom"/>
          </w:tcPr>
          <w:p>
            <w:pPr>
              <w:ind w:left="280"/>
              <w:spacing w:after="0"/>
              <w:rPr>
                <w:sz w:val="20"/>
                <w:szCs w:val="20"/>
                <w:color w:val="auto"/>
              </w:rPr>
            </w:pPr>
            <w:r>
              <w:rPr>
                <w:rFonts w:ascii="Arial" w:cs="Arial" w:eastAsia="Arial" w:hAnsi="Arial"/>
                <w:sz w:val="16"/>
                <w:szCs w:val="16"/>
                <w:color w:val="auto"/>
              </w:rPr>
              <w:t>human capital management, commercial expertise, expertise regarding public</w:t>
            </w:r>
          </w:p>
        </w:tc>
        <w:tc>
          <w:tcPr>
            <w:tcW w:w="0" w:type="dxa"/>
            <w:vAlign w:val="bottom"/>
          </w:tcPr>
          <w:p>
            <w:pPr>
              <w:spacing w:after="0"/>
              <w:rPr>
                <w:sz w:val="1"/>
                <w:szCs w:val="1"/>
                <w:color w:val="auto"/>
              </w:rPr>
            </w:pPr>
          </w:p>
        </w:tc>
      </w:tr>
      <w:tr>
        <w:trPr>
          <w:trHeight w:val="106"/>
        </w:trPr>
        <w:tc>
          <w:tcPr>
            <w:tcW w:w="27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800" w:type="dxa"/>
            <w:vAlign w:val="bottom"/>
            <w:vMerge w:val="restart"/>
          </w:tcPr>
          <w:p>
            <w:pPr>
              <w:ind w:left="280"/>
              <w:spacing w:after="0"/>
              <w:rPr>
                <w:sz w:val="20"/>
                <w:szCs w:val="20"/>
                <w:color w:val="auto"/>
              </w:rPr>
            </w:pPr>
            <w:r>
              <w:rPr>
                <w:rFonts w:ascii="Arial" w:cs="Arial" w:eastAsia="Arial" w:hAnsi="Arial"/>
                <w:sz w:val="16"/>
                <w:szCs w:val="16"/>
                <w:color w:val="auto"/>
              </w:rPr>
              <w:t>company management, corporate governance, strategy and M&amp;A.</w:t>
            </w:r>
          </w:p>
        </w:tc>
        <w:tc>
          <w:tcPr>
            <w:tcW w:w="0" w:type="dxa"/>
            <w:vAlign w:val="bottom"/>
          </w:tcPr>
          <w:p>
            <w:pPr>
              <w:spacing w:after="0"/>
              <w:rPr>
                <w:sz w:val="1"/>
                <w:szCs w:val="1"/>
                <w:color w:val="auto"/>
              </w:rPr>
            </w:pPr>
          </w:p>
        </w:tc>
      </w:tr>
      <w:tr>
        <w:trPr>
          <w:trHeight w:val="107"/>
        </w:trPr>
        <w:tc>
          <w:tcPr>
            <w:tcW w:w="2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-1919605</wp:posOffset>
            </wp:positionV>
            <wp:extent cx="1062990" cy="10629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62990" cy="10629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0" w:type="dxa"/>
            <w:vAlign w:val="bottom"/>
          </w:tcPr>
          <w:p>
            <w:pPr>
              <w:spacing w:after="0"/>
              <w:rPr>
                <w:sz w:val="16"/>
                <w:szCs w:val="16"/>
                <w:color w:val="auto"/>
              </w:rPr>
            </w:pPr>
          </w:p>
        </w:tc>
        <w:tc>
          <w:tcPr>
            <w:tcW w:w="1140" w:type="dxa"/>
            <w:vAlign w:val="bottom"/>
          </w:tcPr>
          <w:p>
            <w:pPr>
              <w:spacing w:after="0"/>
              <w:rPr>
                <w:sz w:val="20"/>
                <w:szCs w:val="20"/>
                <w:color w:val="auto"/>
              </w:rPr>
            </w:pPr>
            <w:r>
              <w:rPr>
                <w:rFonts w:ascii="Arial" w:cs="Arial" w:eastAsia="Arial" w:hAnsi="Arial"/>
                <w:sz w:val="16"/>
                <w:szCs w:val="16"/>
                <w:color w:val="0C426A"/>
              </w:rPr>
              <w:t>Committees:</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180" w:type="dxa"/>
            <w:vAlign w:val="bottom"/>
          </w:tcPr>
          <w:p>
            <w:pPr>
              <w:ind w:left="132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Deep understanding of the transportation and rail industry with more than</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1140" w:type="dxa"/>
            <w:vAlign w:val="bottom"/>
            <w:vMerge w:val="restart"/>
          </w:tcPr>
          <w:p>
            <w:pPr>
              <w:spacing w:after="0"/>
              <w:rPr>
                <w:sz w:val="20"/>
                <w:szCs w:val="20"/>
                <w:color w:val="auto"/>
              </w:rPr>
            </w:pPr>
            <w:r>
              <w:rPr>
                <w:rFonts w:ascii="Arial" w:cs="Arial" w:eastAsia="Arial" w:hAnsi="Arial"/>
                <w:sz w:val="16"/>
                <w:szCs w:val="16"/>
                <w:color w:val="auto"/>
              </w:rPr>
              <w:t>None</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180" w:type="dxa"/>
            <w:vAlign w:val="bottom"/>
          </w:tcPr>
          <w:p>
            <w:pPr>
              <w:ind w:left="1480"/>
              <w:spacing w:after="0"/>
              <w:rPr>
                <w:sz w:val="20"/>
                <w:szCs w:val="20"/>
                <w:color w:val="auto"/>
              </w:rPr>
            </w:pPr>
            <w:r>
              <w:rPr>
                <w:rFonts w:ascii="Arial" w:cs="Arial" w:eastAsia="Arial" w:hAnsi="Arial"/>
                <w:sz w:val="16"/>
                <w:szCs w:val="16"/>
                <w:color w:val="auto"/>
              </w:rPr>
              <w:t>10 years of experience in the sector.</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96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1140" w:type="dxa"/>
            <w:vAlign w:val="bottom"/>
            <w:tcBorders>
              <w:bottom w:val="single" w:sz="8" w:color="4C4C4C"/>
            </w:tcBorders>
          </w:tcPr>
          <w:p>
            <w:pPr>
              <w:spacing w:after="0"/>
              <w:rPr>
                <w:sz w:val="10"/>
                <w:szCs w:val="10"/>
                <w:color w:val="auto"/>
              </w:rPr>
            </w:pPr>
          </w:p>
        </w:tc>
        <w:tc>
          <w:tcPr>
            <w:tcW w:w="460" w:type="dxa"/>
            <w:vAlign w:val="bottom"/>
            <w:tcBorders>
              <w:bottom w:val="single" w:sz="8" w:color="4C4C4C"/>
            </w:tcBorders>
          </w:tcPr>
          <w:p>
            <w:pPr>
              <w:spacing w:after="0"/>
              <w:rPr>
                <w:sz w:val="10"/>
                <w:szCs w:val="10"/>
                <w:color w:val="auto"/>
              </w:rPr>
            </w:pPr>
          </w:p>
        </w:tc>
        <w:tc>
          <w:tcPr>
            <w:tcW w:w="220" w:type="dxa"/>
            <w:vAlign w:val="bottom"/>
            <w:tcBorders>
              <w:bottom w:val="single" w:sz="8" w:color="4C4C4C"/>
            </w:tcBorders>
          </w:tcPr>
          <w:p>
            <w:pPr>
              <w:spacing w:after="0"/>
              <w:rPr>
                <w:sz w:val="10"/>
                <w:szCs w:val="10"/>
                <w:color w:val="auto"/>
              </w:rPr>
            </w:pPr>
          </w:p>
        </w:tc>
        <w:tc>
          <w:tcPr>
            <w:tcW w:w="7180" w:type="dxa"/>
            <w:vAlign w:val="bottom"/>
            <w:tcBorders>
              <w:bottom w:val="single" w:sz="8" w:color="4C4C4C"/>
            </w:tcBorders>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96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b w:val="1"/>
                <w:bCs w:val="1"/>
                <w:color w:val="auto"/>
              </w:rPr>
              <w:t>18</w:t>
            </w:r>
          </w:p>
        </w:tc>
        <w:tc>
          <w:tcPr>
            <w:tcW w:w="460" w:type="dxa"/>
            <w:vAlign w:val="bottom"/>
            <w:vMerge w:val="restart"/>
          </w:tcPr>
          <w:p>
            <w:pPr>
              <w:ind w:left="240"/>
              <w:spacing w:after="0"/>
              <w:rPr>
                <w:sz w:val="20"/>
                <w:szCs w:val="20"/>
                <w:color w:val="auto"/>
              </w:rPr>
            </w:pPr>
            <w:r>
              <w:rPr>
                <w:rFonts w:ascii="Arial" w:cs="Arial" w:eastAsia="Arial" w:hAnsi="Arial"/>
                <w:sz w:val="14"/>
                <w:szCs w:val="14"/>
                <w:color w:val="auto"/>
              </w:rPr>
              <w:t xml:space="preserve">    </w:t>
            </w:r>
          </w:p>
        </w:tc>
        <w:tc>
          <w:tcPr>
            <w:tcW w:w="220" w:type="dxa"/>
            <w:vAlign w:val="bottom"/>
            <w:vMerge w:val="restart"/>
          </w:tcPr>
          <w:p>
            <w:pPr>
              <w:ind w:left="60"/>
              <w:spacing w:after="0"/>
              <w:rPr>
                <w:sz w:val="20"/>
                <w:szCs w:val="20"/>
                <w:color w:val="auto"/>
              </w:rPr>
            </w:pPr>
            <w:r>
              <w:rPr>
                <w:rFonts w:ascii="Arial" w:cs="Arial" w:eastAsia="Arial" w:hAnsi="Arial"/>
                <w:sz w:val="25"/>
                <w:szCs w:val="25"/>
                <w:color w:val="636466"/>
              </w:rPr>
              <w:t>/</w:t>
            </w:r>
            <w:r>
              <w:rPr>
                <w:rFonts w:ascii="Arial" w:cs="Arial" w:eastAsia="Arial" w:hAnsi="Arial"/>
                <w:sz w:val="14"/>
                <w:szCs w:val="14"/>
                <w:color w:val="000000"/>
              </w:rPr>
              <w:t xml:space="preserve"> </w:t>
            </w:r>
          </w:p>
        </w:tc>
        <w:tc>
          <w:tcPr>
            <w:tcW w:w="7180" w:type="dxa"/>
            <w:vAlign w:val="bottom"/>
            <w:vMerge w:val="restart"/>
          </w:tcPr>
          <w:p>
            <w:pPr>
              <w:ind w:left="60"/>
              <w:spacing w:after="0"/>
              <w:rPr>
                <w:sz w:val="20"/>
                <w:szCs w:val="20"/>
                <w:color w:val="auto"/>
              </w:rPr>
            </w:pPr>
            <w:r>
              <w:rPr>
                <w:rFonts w:ascii="Arial" w:cs="Arial" w:eastAsia="Arial" w:hAnsi="Arial"/>
                <w:sz w:val="28"/>
                <w:szCs w:val="28"/>
                <w:color w:val="auto"/>
                <w:vertAlign w:val="subscript"/>
              </w:rPr>
              <w:t xml:space="preserve"> </w:t>
            </w:r>
            <w:r>
              <w:rPr>
                <w:rFonts w:ascii="Arial" w:cs="Arial" w:eastAsia="Arial" w:hAnsi="Arial"/>
                <w:sz w:val="14"/>
                <w:szCs w:val="14"/>
                <w:color w:val="auto"/>
              </w:rPr>
              <w:t xml:space="preserve">  2024 Proxy Statement</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71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9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-407670</wp:posOffset>
            </wp:positionV>
            <wp:extent cx="501650" cy="170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21" w:name="page22"/>
    <w:bookmarkEnd w:id="21"/>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100" w:type="dxa"/>
            <w:vAlign w:val="bottom"/>
            <w:gridSpan w:val="2"/>
          </w:tcPr>
          <w:p>
            <w:pPr>
              <w:jc w:val="right"/>
              <w:spacing w:after="0"/>
              <w:rPr>
                <w:sz w:val="20"/>
                <w:szCs w:val="20"/>
                <w:color w:val="auto"/>
              </w:rPr>
            </w:pPr>
            <w:r>
              <w:rPr>
                <w:rFonts w:ascii="Arial" w:cs="Arial" w:eastAsia="Arial" w:hAnsi="Arial"/>
                <w:sz w:val="12"/>
                <w:szCs w:val="12"/>
                <w:color w:val="auto"/>
              </w:rPr>
              <w:t>Proposal 1: Election of Directors</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8"/>
        </w:trPr>
        <w:tc>
          <w:tcPr>
            <w:tcW w:w="96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23"/>
                <w:szCs w:val="23"/>
                <w:b w:val="1"/>
                <w:bCs w:val="1"/>
                <w:color w:val="0C426A"/>
              </w:rPr>
              <w:t>Lee C. Banks</w:t>
            </w:r>
          </w:p>
        </w:tc>
        <w:tc>
          <w:tcPr>
            <w:tcW w:w="380" w:type="dxa"/>
            <w:vAlign w:val="bottom"/>
          </w:tcPr>
          <w:p>
            <w:pPr>
              <w:spacing w:after="0"/>
              <w:rPr>
                <w:sz w:val="24"/>
                <w:szCs w:val="24"/>
                <w:color w:val="auto"/>
              </w:rPr>
            </w:pPr>
          </w:p>
        </w:tc>
        <w:tc>
          <w:tcPr>
            <w:tcW w:w="5940" w:type="dxa"/>
            <w:vAlign w:val="bottom"/>
          </w:tcPr>
          <w:p>
            <w:pPr>
              <w:ind w:left="240"/>
              <w:spacing w:after="0"/>
              <w:rPr>
                <w:sz w:val="20"/>
                <w:szCs w:val="20"/>
                <w:color w:val="auto"/>
              </w:rPr>
            </w:pPr>
            <w:r>
              <w:rPr>
                <w:rFonts w:ascii="Arial" w:cs="Arial" w:eastAsia="Arial" w:hAnsi="Arial"/>
                <w:sz w:val="16"/>
                <w:szCs w:val="16"/>
                <w:color w:val="0C426A"/>
              </w:rPr>
              <w:t>Biographical Information</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940" w:type="dxa"/>
            <w:vAlign w:val="bottom"/>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Vice Chairman and President of Parker-Hannifin Corporation from</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940" w:type="dxa"/>
            <w:vAlign w:val="bottom"/>
          </w:tcPr>
          <w:p>
            <w:pPr>
              <w:ind w:left="400"/>
              <w:spacing w:after="0"/>
              <w:rPr>
                <w:sz w:val="20"/>
                <w:szCs w:val="20"/>
                <w:color w:val="auto"/>
              </w:rPr>
            </w:pPr>
            <w:r>
              <w:rPr>
                <w:rFonts w:ascii="Arial" w:cs="Arial" w:eastAsia="Arial" w:hAnsi="Arial"/>
                <w:sz w:val="16"/>
                <w:szCs w:val="16"/>
                <w:color w:val="auto"/>
              </w:rPr>
              <w:t>August 2021 through retirement in December 2023.</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940" w:type="dxa"/>
            <w:vAlign w:val="bottom"/>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President and Chief Operating Officer of Parker-Hannifin from February 2015</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940" w:type="dxa"/>
            <w:vAlign w:val="bottom"/>
          </w:tcPr>
          <w:p>
            <w:pPr>
              <w:ind w:left="400"/>
              <w:spacing w:after="0"/>
              <w:rPr>
                <w:sz w:val="20"/>
                <w:szCs w:val="20"/>
                <w:color w:val="auto"/>
              </w:rPr>
            </w:pPr>
            <w:r>
              <w:rPr>
                <w:rFonts w:ascii="Arial" w:cs="Arial" w:eastAsia="Arial" w:hAnsi="Arial"/>
                <w:sz w:val="16"/>
                <w:szCs w:val="16"/>
                <w:color w:val="auto"/>
              </w:rPr>
              <w:t>to August 2021.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100" w:type="dxa"/>
            <w:vAlign w:val="bottom"/>
            <w:gridSpan w:val="2"/>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Executive Vice President and Operating Officer of Parker-Hannifin from 2008 to</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940" w:type="dxa"/>
            <w:vAlign w:val="bottom"/>
          </w:tcPr>
          <w:p>
            <w:pPr>
              <w:ind w:left="400"/>
              <w:spacing w:after="0"/>
              <w:rPr>
                <w:sz w:val="20"/>
                <w:szCs w:val="20"/>
                <w:color w:val="auto"/>
              </w:rPr>
            </w:pPr>
            <w:r>
              <w:rPr>
                <w:rFonts w:ascii="Arial" w:cs="Arial" w:eastAsia="Arial" w:hAnsi="Arial"/>
                <w:sz w:val="16"/>
                <w:szCs w:val="16"/>
                <w:color w:val="auto"/>
                <w:w w:val="99"/>
              </w:rPr>
              <w:t>2015 and Senior Vice President and Operating Officer of Parker-Hannifin from</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940" w:type="dxa"/>
            <w:vAlign w:val="bottom"/>
          </w:tcPr>
          <w:p>
            <w:pPr>
              <w:ind w:left="400"/>
              <w:spacing w:after="0"/>
              <w:rPr>
                <w:sz w:val="20"/>
                <w:szCs w:val="20"/>
                <w:color w:val="auto"/>
              </w:rPr>
            </w:pPr>
            <w:r>
              <w:rPr>
                <w:rFonts w:ascii="Arial" w:cs="Arial" w:eastAsia="Arial" w:hAnsi="Arial"/>
                <w:sz w:val="16"/>
                <w:szCs w:val="16"/>
                <w:color w:val="auto"/>
              </w:rPr>
              <w:t>2006 to 2008.</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1"/>
        </w:trPr>
        <w:tc>
          <w:tcPr>
            <w:tcW w:w="960" w:type="dxa"/>
            <w:vAlign w:val="bottom"/>
          </w:tcPr>
          <w:p>
            <w:pPr>
              <w:spacing w:after="0"/>
              <w:rPr>
                <w:sz w:val="24"/>
                <w:szCs w:val="24"/>
                <w:color w:val="auto"/>
              </w:rPr>
            </w:pPr>
          </w:p>
        </w:tc>
        <w:tc>
          <w:tcPr>
            <w:tcW w:w="2520" w:type="dxa"/>
            <w:vAlign w:val="bottom"/>
            <w:gridSpan w:val="2"/>
            <w:vMerge w:val="restart"/>
          </w:tcPr>
          <w:p>
            <w:pPr>
              <w:spacing w:after="0"/>
              <w:rPr>
                <w:sz w:val="20"/>
                <w:szCs w:val="20"/>
                <w:color w:val="auto"/>
              </w:rPr>
            </w:pPr>
            <w:r>
              <w:rPr>
                <w:rFonts w:ascii="Arial" w:cs="Arial" w:eastAsia="Arial" w:hAnsi="Arial"/>
                <w:sz w:val="16"/>
                <w:szCs w:val="16"/>
                <w:color w:val="auto"/>
              </w:rPr>
              <w:t> </w:t>
            </w:r>
          </w:p>
        </w:tc>
        <w:tc>
          <w:tcPr>
            <w:tcW w:w="380" w:type="dxa"/>
            <w:vAlign w:val="bottom"/>
          </w:tcPr>
          <w:p>
            <w:pPr>
              <w:spacing w:after="0"/>
              <w:rPr>
                <w:sz w:val="24"/>
                <w:szCs w:val="24"/>
                <w:color w:val="auto"/>
              </w:rPr>
            </w:pPr>
          </w:p>
        </w:tc>
        <w:tc>
          <w:tcPr>
            <w:tcW w:w="5940" w:type="dxa"/>
            <w:vAlign w:val="bottom"/>
          </w:tcPr>
          <w:p>
            <w:pPr>
              <w:ind w:left="240"/>
              <w:spacing w:after="0"/>
              <w:rPr>
                <w:sz w:val="20"/>
                <w:szCs w:val="20"/>
                <w:color w:val="auto"/>
              </w:rPr>
            </w:pPr>
            <w:r>
              <w:rPr>
                <w:rFonts w:ascii="Arial" w:cs="Arial" w:eastAsia="Arial" w:hAnsi="Arial"/>
                <w:sz w:val="16"/>
                <w:szCs w:val="16"/>
                <w:color w:val="0C426A"/>
              </w:rPr>
              <w:t>Past Other Directorships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96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594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940" w:type="dxa"/>
            <w:vAlign w:val="bottom"/>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Member, Board of Directors of Parker Hannifin Corporation</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6"/>
                <w:szCs w:val="16"/>
                <w:color w:val="0C426A"/>
              </w:rPr>
              <w:t xml:space="preserve">Age: </w:t>
            </w:r>
            <w:r>
              <w:rPr>
                <w:rFonts w:ascii="Arial" w:cs="Arial" w:eastAsia="Arial" w:hAnsi="Arial"/>
                <w:sz w:val="16"/>
                <w:szCs w:val="16"/>
                <w:color w:val="000000"/>
              </w:rPr>
              <w:t>61</w:t>
            </w:r>
          </w:p>
        </w:tc>
        <w:tc>
          <w:tcPr>
            <w:tcW w:w="3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96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6"/>
                <w:szCs w:val="16"/>
                <w:color w:val="0C426A"/>
              </w:rPr>
              <w:t xml:space="preserve">Director Since: </w:t>
            </w:r>
            <w:r>
              <w:rPr>
                <w:rFonts w:ascii="Arial" w:cs="Arial" w:eastAsia="Arial" w:hAnsi="Arial"/>
                <w:sz w:val="16"/>
                <w:szCs w:val="16"/>
                <w:color w:val="000000"/>
              </w:rPr>
              <w:t>2020</w:t>
            </w:r>
          </w:p>
        </w:tc>
        <w:tc>
          <w:tcPr>
            <w:tcW w:w="380" w:type="dxa"/>
            <w:vAlign w:val="bottom"/>
          </w:tcPr>
          <w:p>
            <w:pPr>
              <w:spacing w:after="0"/>
              <w:rPr>
                <w:sz w:val="24"/>
                <w:szCs w:val="24"/>
                <w:color w:val="auto"/>
              </w:rPr>
            </w:pPr>
          </w:p>
        </w:tc>
        <w:tc>
          <w:tcPr>
            <w:tcW w:w="5940" w:type="dxa"/>
            <w:vAlign w:val="bottom"/>
          </w:tcPr>
          <w:p>
            <w:pPr>
              <w:ind w:left="240"/>
              <w:spacing w:after="0"/>
              <w:rPr>
                <w:sz w:val="20"/>
                <w:szCs w:val="20"/>
                <w:color w:val="auto"/>
              </w:rPr>
            </w:pPr>
            <w:r>
              <w:rPr>
                <w:rFonts w:ascii="Arial" w:cs="Arial" w:eastAsia="Arial" w:hAnsi="Arial"/>
                <w:sz w:val="16"/>
                <w:szCs w:val="16"/>
                <w:color w:val="0C426A"/>
              </w:rPr>
              <w:t>Specific Qualifications, Attributes, Skills and Experience</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960" w:type="dxa"/>
            <w:vAlign w:val="bottom"/>
          </w:tcPr>
          <w:p>
            <w:pPr>
              <w:spacing w:after="0"/>
              <w:rPr>
                <w:sz w:val="18"/>
                <w:szCs w:val="18"/>
                <w:color w:val="auto"/>
              </w:rPr>
            </w:pPr>
          </w:p>
        </w:tc>
        <w:tc>
          <w:tcPr>
            <w:tcW w:w="2520" w:type="dxa"/>
            <w:vAlign w:val="bottom"/>
            <w:gridSpan w:val="2"/>
            <w:vMerge w:val="restart"/>
          </w:tcPr>
          <w:p>
            <w:pPr>
              <w:spacing w:after="0"/>
              <w:rPr>
                <w:sz w:val="20"/>
                <w:szCs w:val="20"/>
                <w:color w:val="auto"/>
              </w:rPr>
            </w:pPr>
            <w:r>
              <w:rPr>
                <w:rFonts w:ascii="Arial" w:cs="Arial" w:eastAsia="Arial" w:hAnsi="Arial"/>
                <w:sz w:val="16"/>
                <w:szCs w:val="16"/>
                <w:color w:val="0C426A"/>
              </w:rPr>
              <w:t>INDEPENDENT DIRECTOR</w:t>
            </w:r>
          </w:p>
        </w:tc>
        <w:tc>
          <w:tcPr>
            <w:tcW w:w="380" w:type="dxa"/>
            <w:vAlign w:val="bottom"/>
          </w:tcPr>
          <w:p>
            <w:pPr>
              <w:spacing w:after="0"/>
              <w:rPr>
                <w:sz w:val="18"/>
                <w:szCs w:val="18"/>
                <w:color w:val="auto"/>
              </w:rPr>
            </w:pPr>
          </w:p>
        </w:tc>
        <w:tc>
          <w:tcPr>
            <w:tcW w:w="5940" w:type="dxa"/>
            <w:vAlign w:val="bottom"/>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Senior Executive with extensive experience as President and Chief Operating</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960" w:type="dxa"/>
            <w:vAlign w:val="bottom"/>
          </w:tcPr>
          <w:p>
            <w:pPr>
              <w:spacing w:after="0"/>
              <w:rPr>
                <w:sz w:val="16"/>
                <w:szCs w:val="16"/>
                <w:color w:val="auto"/>
              </w:rPr>
            </w:pPr>
          </w:p>
        </w:tc>
        <w:tc>
          <w:tcPr>
            <w:tcW w:w="25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6100" w:type="dxa"/>
            <w:vAlign w:val="bottom"/>
            <w:gridSpan w:val="2"/>
          </w:tcPr>
          <w:p>
            <w:pPr>
              <w:ind w:left="400"/>
              <w:spacing w:after="0"/>
              <w:rPr>
                <w:sz w:val="20"/>
                <w:szCs w:val="20"/>
                <w:color w:val="auto"/>
              </w:rPr>
            </w:pPr>
            <w:r>
              <w:rPr>
                <w:rFonts w:ascii="Arial" w:cs="Arial" w:eastAsia="Arial" w:hAnsi="Arial"/>
                <w:sz w:val="16"/>
                <w:szCs w:val="16"/>
                <w:color w:val="auto"/>
                <w:w w:val="99"/>
              </w:rPr>
              <w:t>Officer leading a Fortune 250 Company and expertise regarding public company</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2520" w:type="dxa"/>
            <w:vAlign w:val="bottom"/>
            <w:gridSpan w:val="2"/>
            <w:vMerge w:val="restart"/>
          </w:tcPr>
          <w:p>
            <w:pPr>
              <w:spacing w:after="0"/>
              <w:rPr>
                <w:sz w:val="20"/>
                <w:szCs w:val="20"/>
                <w:color w:val="auto"/>
              </w:rPr>
            </w:pPr>
            <w:r>
              <w:rPr>
                <w:rFonts w:ascii="Arial" w:cs="Arial" w:eastAsia="Arial" w:hAnsi="Arial"/>
                <w:sz w:val="16"/>
                <w:szCs w:val="16"/>
                <w:color w:val="0C426A"/>
              </w:rPr>
              <w:t>Committees</w:t>
            </w:r>
          </w:p>
        </w:tc>
        <w:tc>
          <w:tcPr>
            <w:tcW w:w="380" w:type="dxa"/>
            <w:vAlign w:val="bottom"/>
          </w:tcPr>
          <w:p>
            <w:pPr>
              <w:spacing w:after="0"/>
              <w:rPr>
                <w:sz w:val="18"/>
                <w:szCs w:val="18"/>
                <w:color w:val="auto"/>
              </w:rPr>
            </w:pPr>
          </w:p>
        </w:tc>
        <w:tc>
          <w:tcPr>
            <w:tcW w:w="5940" w:type="dxa"/>
            <w:vAlign w:val="bottom"/>
          </w:tcPr>
          <w:p>
            <w:pPr>
              <w:ind w:left="400"/>
              <w:spacing w:after="0"/>
              <w:rPr>
                <w:sz w:val="20"/>
                <w:szCs w:val="20"/>
                <w:color w:val="auto"/>
              </w:rPr>
            </w:pPr>
            <w:r>
              <w:rPr>
                <w:rFonts w:ascii="Arial" w:cs="Arial" w:eastAsia="Arial" w:hAnsi="Arial"/>
                <w:sz w:val="16"/>
                <w:szCs w:val="16"/>
                <w:color w:val="auto"/>
              </w:rPr>
              <w:t>management.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960" w:type="dxa"/>
            <w:vAlign w:val="bottom"/>
          </w:tcPr>
          <w:p>
            <w:pPr>
              <w:spacing w:after="0"/>
              <w:rPr>
                <w:sz w:val="13"/>
                <w:szCs w:val="13"/>
                <w:color w:val="auto"/>
              </w:rPr>
            </w:pPr>
          </w:p>
        </w:tc>
        <w:tc>
          <w:tcPr>
            <w:tcW w:w="25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5940" w:type="dxa"/>
            <w:vAlign w:val="bottom"/>
            <w:vMerge w:val="restart"/>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Significant industrial executive management, human capital management and</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960" w:type="dxa"/>
            <w:vAlign w:val="bottom"/>
          </w:tcPr>
          <w:p>
            <w:pPr>
              <w:spacing w:after="0"/>
              <w:rPr>
                <w:sz w:val="5"/>
                <w:szCs w:val="5"/>
                <w:color w:val="auto"/>
              </w:rPr>
            </w:pPr>
          </w:p>
        </w:tc>
        <w:tc>
          <w:tcPr>
            <w:tcW w:w="2520" w:type="dxa"/>
            <w:vAlign w:val="bottom"/>
            <w:gridSpan w:val="2"/>
            <w:vMerge w:val="restart"/>
          </w:tcPr>
          <w:p>
            <w:pPr>
              <w:spacing w:after="0"/>
              <w:rPr>
                <w:sz w:val="20"/>
                <w:szCs w:val="20"/>
                <w:color w:val="auto"/>
              </w:rPr>
            </w:pPr>
            <w:r>
              <w:rPr>
                <w:rFonts w:ascii="Arial" w:cs="Arial" w:eastAsia="Arial" w:hAnsi="Arial"/>
                <w:sz w:val="16"/>
                <w:szCs w:val="16"/>
                <w:color w:val="auto"/>
              </w:rPr>
              <w:t>Compensation and Talent</w:t>
            </w:r>
          </w:p>
        </w:tc>
        <w:tc>
          <w:tcPr>
            <w:tcW w:w="380" w:type="dxa"/>
            <w:vAlign w:val="bottom"/>
          </w:tcPr>
          <w:p>
            <w:pPr>
              <w:spacing w:after="0"/>
              <w:rPr>
                <w:sz w:val="5"/>
                <w:szCs w:val="5"/>
                <w:color w:val="auto"/>
              </w:rPr>
            </w:pPr>
          </w:p>
        </w:tc>
        <w:tc>
          <w:tcPr>
            <w:tcW w:w="59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960" w:type="dxa"/>
            <w:vAlign w:val="bottom"/>
          </w:tcPr>
          <w:p>
            <w:pPr>
              <w:spacing w:after="0"/>
              <w:rPr>
                <w:sz w:val="14"/>
                <w:szCs w:val="14"/>
                <w:color w:val="auto"/>
              </w:rPr>
            </w:pPr>
          </w:p>
        </w:tc>
        <w:tc>
          <w:tcPr>
            <w:tcW w:w="252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940" w:type="dxa"/>
            <w:vAlign w:val="bottom"/>
          </w:tcPr>
          <w:p>
            <w:pPr>
              <w:ind w:left="400"/>
              <w:spacing w:after="0" w:line="161" w:lineRule="exact"/>
              <w:rPr>
                <w:sz w:val="20"/>
                <w:szCs w:val="20"/>
                <w:color w:val="auto"/>
              </w:rPr>
            </w:pPr>
            <w:r>
              <w:rPr>
                <w:rFonts w:ascii="Arial" w:cs="Arial" w:eastAsia="Arial" w:hAnsi="Arial"/>
                <w:sz w:val="16"/>
                <w:szCs w:val="16"/>
                <w:color w:val="auto"/>
              </w:rPr>
              <w:t>operational experiences in leading complex, multi-national manufacturing</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Arial" w:cs="Arial" w:eastAsia="Arial" w:hAnsi="Arial"/>
                <w:sz w:val="16"/>
                <w:szCs w:val="16"/>
                <w:color w:val="auto"/>
              </w:rPr>
              <w:t>Management</w:t>
            </w:r>
          </w:p>
        </w:tc>
        <w:tc>
          <w:tcPr>
            <w:tcW w:w="380" w:type="dxa"/>
            <w:vAlign w:val="bottom"/>
          </w:tcPr>
          <w:p>
            <w:pPr>
              <w:spacing w:after="0"/>
              <w:rPr>
                <w:sz w:val="20"/>
                <w:szCs w:val="20"/>
                <w:color w:val="auto"/>
              </w:rPr>
            </w:pPr>
          </w:p>
        </w:tc>
        <w:tc>
          <w:tcPr>
            <w:tcW w:w="5940" w:type="dxa"/>
            <w:vAlign w:val="bottom"/>
          </w:tcPr>
          <w:p>
            <w:pPr>
              <w:ind w:left="400"/>
              <w:spacing w:after="0"/>
              <w:rPr>
                <w:sz w:val="20"/>
                <w:szCs w:val="20"/>
                <w:color w:val="auto"/>
              </w:rPr>
            </w:pPr>
            <w:r>
              <w:rPr>
                <w:rFonts w:ascii="Arial" w:cs="Arial" w:eastAsia="Arial" w:hAnsi="Arial"/>
                <w:sz w:val="16"/>
                <w:szCs w:val="16"/>
                <w:color w:val="auto"/>
              </w:rPr>
              <w:t>and operational footprints.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96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Arial" w:cs="Arial" w:eastAsia="Arial" w:hAnsi="Arial"/>
                <w:sz w:val="16"/>
                <w:szCs w:val="16"/>
                <w:color w:val="auto"/>
              </w:rPr>
              <w:t>Governance and Sustainability</w:t>
            </w:r>
          </w:p>
        </w:tc>
        <w:tc>
          <w:tcPr>
            <w:tcW w:w="380" w:type="dxa"/>
            <w:vAlign w:val="bottom"/>
          </w:tcPr>
          <w:p>
            <w:pPr>
              <w:spacing w:after="0"/>
              <w:rPr>
                <w:sz w:val="23"/>
                <w:szCs w:val="23"/>
                <w:color w:val="auto"/>
              </w:rPr>
            </w:pPr>
          </w:p>
        </w:tc>
        <w:tc>
          <w:tcPr>
            <w:tcW w:w="5940" w:type="dxa"/>
            <w:vAlign w:val="bottom"/>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Service on other public company boards.</w:t>
            </w: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20" w:type="dxa"/>
            <w:vAlign w:val="bottom"/>
            <w:tcBorders>
              <w:bottom w:val="single" w:sz="8" w:color="4C4C4C"/>
            </w:tcBorders>
          </w:tcPr>
          <w:p>
            <w:pPr>
              <w:spacing w:after="0"/>
              <w:rPr>
                <w:sz w:val="10"/>
                <w:szCs w:val="10"/>
                <w:color w:val="auto"/>
              </w:rPr>
            </w:pPr>
          </w:p>
        </w:tc>
        <w:tc>
          <w:tcPr>
            <w:tcW w:w="2500" w:type="dxa"/>
            <w:vAlign w:val="bottom"/>
            <w:tcBorders>
              <w:bottom w:val="single" w:sz="8" w:color="4C4C4C"/>
            </w:tcBorders>
          </w:tcPr>
          <w:p>
            <w:pPr>
              <w:spacing w:after="0"/>
              <w:rPr>
                <w:sz w:val="10"/>
                <w:szCs w:val="10"/>
                <w:color w:val="auto"/>
              </w:rPr>
            </w:pPr>
          </w:p>
        </w:tc>
        <w:tc>
          <w:tcPr>
            <w:tcW w:w="380" w:type="dxa"/>
            <w:vAlign w:val="bottom"/>
            <w:tcBorders>
              <w:bottom w:val="single" w:sz="8" w:color="4C4C4C"/>
            </w:tcBorders>
          </w:tcPr>
          <w:p>
            <w:pPr>
              <w:spacing w:after="0"/>
              <w:rPr>
                <w:sz w:val="10"/>
                <w:szCs w:val="10"/>
                <w:color w:val="auto"/>
              </w:rPr>
            </w:pPr>
          </w:p>
        </w:tc>
        <w:tc>
          <w:tcPr>
            <w:tcW w:w="5940" w:type="dxa"/>
            <w:vAlign w:val="bottom"/>
            <w:tcBorders>
              <w:bottom w:val="single" w:sz="8" w:color="4C4C4C"/>
            </w:tcBorders>
          </w:tcPr>
          <w:p>
            <w:pPr>
              <w:spacing w:after="0"/>
              <w:rPr>
                <w:sz w:val="10"/>
                <w:szCs w:val="10"/>
                <w:color w:val="auto"/>
              </w:rPr>
            </w:pPr>
          </w:p>
        </w:tc>
        <w:tc>
          <w:tcPr>
            <w:tcW w:w="160" w:type="dxa"/>
            <w:vAlign w:val="bottom"/>
            <w:tcBorders>
              <w:bottom w:val="single" w:sz="8" w:color="4C4C4C"/>
            </w:tcBorders>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8"/>
        </w:trPr>
        <w:tc>
          <w:tcPr>
            <w:tcW w:w="96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23"/>
                <w:szCs w:val="23"/>
                <w:b w:val="1"/>
                <w:bCs w:val="1"/>
                <w:color w:val="0C426A"/>
              </w:rPr>
              <w:t>Byron S. Foster</w:t>
            </w:r>
          </w:p>
        </w:tc>
        <w:tc>
          <w:tcPr>
            <w:tcW w:w="380" w:type="dxa"/>
            <w:vAlign w:val="bottom"/>
          </w:tcPr>
          <w:p>
            <w:pPr>
              <w:spacing w:after="0"/>
              <w:rPr>
                <w:sz w:val="24"/>
                <w:szCs w:val="24"/>
                <w:color w:val="auto"/>
              </w:rPr>
            </w:pPr>
          </w:p>
        </w:tc>
        <w:tc>
          <w:tcPr>
            <w:tcW w:w="5940" w:type="dxa"/>
            <w:vAlign w:val="bottom"/>
          </w:tcPr>
          <w:p>
            <w:pPr>
              <w:ind w:left="240"/>
              <w:spacing w:after="0"/>
              <w:rPr>
                <w:sz w:val="20"/>
                <w:szCs w:val="20"/>
                <w:color w:val="auto"/>
              </w:rPr>
            </w:pPr>
            <w:r>
              <w:rPr>
                <w:rFonts w:ascii="Arial" w:cs="Arial" w:eastAsia="Arial" w:hAnsi="Arial"/>
                <w:sz w:val="16"/>
                <w:szCs w:val="16"/>
                <w:color w:val="0C426A"/>
              </w:rPr>
              <w:t>Biographical Information</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940" w:type="dxa"/>
            <w:vAlign w:val="bottom"/>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President, Light Vehicle Drive Systems at Dana Incorporated since July 2021.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Senior Vice President and Chief Commercial, Marketing and Communications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940" w:type="dxa"/>
            <w:vAlign w:val="bottom"/>
          </w:tcPr>
          <w:p>
            <w:pPr>
              <w:ind w:left="400"/>
              <w:spacing w:after="0"/>
              <w:rPr>
                <w:sz w:val="20"/>
                <w:szCs w:val="20"/>
                <w:color w:val="auto"/>
              </w:rPr>
            </w:pPr>
            <w:r>
              <w:rPr>
                <w:rFonts w:ascii="Arial" w:cs="Arial" w:eastAsia="Arial" w:hAnsi="Arial"/>
                <w:sz w:val="16"/>
                <w:szCs w:val="16"/>
                <w:color w:val="auto"/>
              </w:rPr>
              <w:t>Officer of Dana Incorporated from February 2021 to July 2021.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940" w:type="dxa"/>
            <w:vAlign w:val="bottom"/>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Chief Executive Officer of Shield T3 from June 2020 to February 2021.</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940" w:type="dxa"/>
            <w:vAlign w:val="bottom"/>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Executive Vice President of Adient PLC from 2016 to 2019.</w:t>
            </w: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Prior to 2016, Mr. Foster served in various senior executive commercial and</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940" w:type="dxa"/>
            <w:vAlign w:val="bottom"/>
          </w:tcPr>
          <w:p>
            <w:pPr>
              <w:ind w:left="400"/>
              <w:spacing w:after="0"/>
              <w:rPr>
                <w:sz w:val="20"/>
                <w:szCs w:val="20"/>
                <w:color w:val="auto"/>
              </w:rPr>
            </w:pPr>
            <w:r>
              <w:rPr>
                <w:rFonts w:ascii="Arial" w:cs="Arial" w:eastAsia="Arial" w:hAnsi="Arial"/>
                <w:sz w:val="16"/>
                <w:szCs w:val="16"/>
                <w:color w:val="auto"/>
              </w:rPr>
              <w:t>operational roles at Johnson Controls, Inc.</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9"/>
        </w:trPr>
        <w:tc>
          <w:tcPr>
            <w:tcW w:w="96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6"/>
                <w:szCs w:val="16"/>
                <w:color w:val="auto"/>
              </w:rPr>
              <w:t> </w:t>
            </w:r>
          </w:p>
        </w:tc>
        <w:tc>
          <w:tcPr>
            <w:tcW w:w="380" w:type="dxa"/>
            <w:vAlign w:val="bottom"/>
          </w:tcPr>
          <w:p>
            <w:pPr>
              <w:spacing w:after="0"/>
              <w:rPr>
                <w:sz w:val="24"/>
                <w:szCs w:val="24"/>
                <w:color w:val="auto"/>
              </w:rPr>
            </w:pPr>
          </w:p>
        </w:tc>
        <w:tc>
          <w:tcPr>
            <w:tcW w:w="5940" w:type="dxa"/>
            <w:vAlign w:val="bottom"/>
          </w:tcPr>
          <w:p>
            <w:pPr>
              <w:ind w:left="240"/>
              <w:spacing w:after="0"/>
              <w:rPr>
                <w:sz w:val="20"/>
                <w:szCs w:val="20"/>
                <w:color w:val="auto"/>
              </w:rPr>
            </w:pPr>
            <w:r>
              <w:rPr>
                <w:rFonts w:ascii="Arial" w:cs="Arial" w:eastAsia="Arial" w:hAnsi="Arial"/>
                <w:sz w:val="16"/>
                <w:szCs w:val="16"/>
                <w:color w:val="0C426A"/>
              </w:rPr>
              <w:t>Specific Qualifications, Attributes, Skills and Experience</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60" w:type="dxa"/>
            <w:vAlign w:val="bottom"/>
          </w:tcPr>
          <w:p>
            <w:pPr>
              <w:spacing w:after="0"/>
              <w:rPr>
                <w:sz w:val="19"/>
                <w:szCs w:val="19"/>
                <w:color w:val="auto"/>
              </w:rPr>
            </w:pPr>
          </w:p>
        </w:tc>
        <w:tc>
          <w:tcPr>
            <w:tcW w:w="2520" w:type="dxa"/>
            <w:vAlign w:val="bottom"/>
            <w:gridSpan w:val="2"/>
            <w:vMerge w:val="restart"/>
          </w:tcPr>
          <w:p>
            <w:pPr>
              <w:spacing w:after="0"/>
              <w:rPr>
                <w:sz w:val="20"/>
                <w:szCs w:val="20"/>
                <w:color w:val="auto"/>
              </w:rPr>
            </w:pPr>
            <w:r>
              <w:rPr>
                <w:rFonts w:ascii="Arial" w:cs="Arial" w:eastAsia="Arial" w:hAnsi="Arial"/>
                <w:sz w:val="16"/>
                <w:szCs w:val="16"/>
                <w:color w:val="0C426A"/>
              </w:rPr>
              <w:t xml:space="preserve">Age: </w:t>
            </w:r>
            <w:r>
              <w:rPr>
                <w:rFonts w:ascii="Arial" w:cs="Arial" w:eastAsia="Arial" w:hAnsi="Arial"/>
                <w:sz w:val="16"/>
                <w:szCs w:val="16"/>
                <w:color w:val="000000"/>
              </w:rPr>
              <w:t>55</w:t>
            </w:r>
          </w:p>
        </w:tc>
        <w:tc>
          <w:tcPr>
            <w:tcW w:w="3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5940" w:type="dxa"/>
            <w:vAlign w:val="bottom"/>
          </w:tcPr>
          <w:p>
            <w:pPr>
              <w:ind w:left="20"/>
              <w:spacing w:after="0"/>
              <w:rPr>
                <w:sz w:val="20"/>
                <w:szCs w:val="20"/>
                <w:color w:val="auto"/>
              </w:rPr>
            </w:pPr>
            <w:r>
              <w:rPr>
                <w:rFonts w:ascii="Times New Roman" w:cs="Times New Roman" w:eastAsia="Times New Roman" w:hAnsi="Times New Roman"/>
                <w:sz w:val="7"/>
                <w:szCs w:val="7"/>
                <w:color w:val="000000"/>
                <w:vertAlign w:val="subscript"/>
              </w:rPr>
              <w:t>​</w:t>
            </w:r>
            <w:r>
              <w:rPr>
                <w:rFonts w:ascii="Arial" w:cs="Arial" w:eastAsia="Arial" w:hAnsi="Arial"/>
                <w:sz w:val="16"/>
                <w:szCs w:val="16"/>
                <w:color w:val="4297CB"/>
              </w:rPr>
              <w:t xml:space="preserve">            •</w:t>
            </w:r>
            <w:r>
              <w:rPr>
                <w:rFonts w:ascii="Arial" w:cs="Arial" w:eastAsia="Arial" w:hAnsi="Arial"/>
                <w:sz w:val="16"/>
                <w:szCs w:val="16"/>
                <w:color w:val="000000"/>
              </w:rPr>
              <w:t xml:space="preserve">  Extensive human capital management, operational, supply chain, and</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960" w:type="dxa"/>
            <w:vAlign w:val="bottom"/>
          </w:tcPr>
          <w:p>
            <w:pPr>
              <w:spacing w:after="0"/>
              <w:rPr>
                <w:sz w:val="8"/>
                <w:szCs w:val="8"/>
                <w:color w:val="auto"/>
              </w:rPr>
            </w:pPr>
          </w:p>
        </w:tc>
        <w:tc>
          <w:tcPr>
            <w:tcW w:w="252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5940" w:type="dxa"/>
            <w:vAlign w:val="bottom"/>
            <w:vMerge w:val="restart"/>
          </w:tcPr>
          <w:p>
            <w:pPr>
              <w:ind w:left="400"/>
              <w:spacing w:after="0"/>
              <w:rPr>
                <w:sz w:val="20"/>
                <w:szCs w:val="20"/>
                <w:color w:val="auto"/>
              </w:rPr>
            </w:pPr>
            <w:r>
              <w:rPr>
                <w:rFonts w:ascii="Arial" w:cs="Arial" w:eastAsia="Arial" w:hAnsi="Arial"/>
                <w:sz w:val="16"/>
                <w:szCs w:val="16"/>
                <w:color w:val="auto"/>
              </w:rPr>
              <w:t>commercial experience in the industrial sector.</w:t>
            </w: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9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960" w:type="dxa"/>
            <w:vAlign w:val="bottom"/>
          </w:tcPr>
          <w:p>
            <w:pPr>
              <w:spacing w:after="0"/>
              <w:rPr>
                <w:sz w:val="21"/>
                <w:szCs w:val="21"/>
                <w:color w:val="auto"/>
              </w:rPr>
            </w:pPr>
          </w:p>
        </w:tc>
        <w:tc>
          <w:tcPr>
            <w:tcW w:w="2520" w:type="dxa"/>
            <w:vAlign w:val="bottom"/>
            <w:gridSpan w:val="2"/>
          </w:tcPr>
          <w:p>
            <w:pPr>
              <w:spacing w:after="0"/>
              <w:rPr>
                <w:sz w:val="20"/>
                <w:szCs w:val="20"/>
                <w:color w:val="auto"/>
              </w:rPr>
            </w:pPr>
            <w:r>
              <w:rPr>
                <w:rFonts w:ascii="Arial" w:cs="Arial" w:eastAsia="Arial" w:hAnsi="Arial"/>
                <w:sz w:val="16"/>
                <w:szCs w:val="16"/>
                <w:color w:val="0C426A"/>
              </w:rPr>
              <w:t xml:space="preserve">Director Since: </w:t>
            </w:r>
            <w:r>
              <w:rPr>
                <w:rFonts w:ascii="Arial" w:cs="Arial" w:eastAsia="Arial" w:hAnsi="Arial"/>
                <w:sz w:val="16"/>
                <w:szCs w:val="16"/>
                <w:color w:val="000000"/>
              </w:rPr>
              <w:t>2021</w:t>
            </w:r>
          </w:p>
        </w:tc>
        <w:tc>
          <w:tcPr>
            <w:tcW w:w="380" w:type="dxa"/>
            <w:vAlign w:val="bottom"/>
          </w:tcPr>
          <w:p>
            <w:pPr>
              <w:spacing w:after="0"/>
              <w:rPr>
                <w:sz w:val="21"/>
                <w:szCs w:val="21"/>
                <w:color w:val="auto"/>
              </w:rPr>
            </w:pPr>
          </w:p>
        </w:tc>
        <w:tc>
          <w:tcPr>
            <w:tcW w:w="5940" w:type="dxa"/>
            <w:vAlign w:val="bottom"/>
          </w:tcPr>
          <w:p>
            <w:pPr>
              <w:ind w:left="24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Experienced senior leader in global operations and commercial businesses</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2520" w:type="dxa"/>
            <w:vAlign w:val="bottom"/>
            <w:gridSpan w:val="2"/>
            <w:vMerge w:val="restart"/>
          </w:tcPr>
          <w:p>
            <w:pPr>
              <w:spacing w:after="0"/>
              <w:rPr>
                <w:sz w:val="20"/>
                <w:szCs w:val="20"/>
                <w:color w:val="auto"/>
              </w:rPr>
            </w:pPr>
            <w:r>
              <w:rPr>
                <w:rFonts w:ascii="Arial" w:cs="Arial" w:eastAsia="Arial" w:hAnsi="Arial"/>
                <w:sz w:val="16"/>
                <w:szCs w:val="16"/>
                <w:color w:val="0C426A"/>
              </w:rPr>
              <w:t>INDEPENDENT DIRECTOR</w:t>
            </w:r>
          </w:p>
        </w:tc>
        <w:tc>
          <w:tcPr>
            <w:tcW w:w="380" w:type="dxa"/>
            <w:vAlign w:val="bottom"/>
          </w:tcPr>
          <w:p>
            <w:pPr>
              <w:spacing w:after="0"/>
              <w:rPr>
                <w:sz w:val="18"/>
                <w:szCs w:val="18"/>
                <w:color w:val="auto"/>
              </w:rPr>
            </w:pPr>
          </w:p>
        </w:tc>
        <w:tc>
          <w:tcPr>
            <w:tcW w:w="5940" w:type="dxa"/>
            <w:vAlign w:val="bottom"/>
          </w:tcPr>
          <w:p>
            <w:pPr>
              <w:ind w:left="400"/>
              <w:spacing w:after="0"/>
              <w:rPr>
                <w:sz w:val="20"/>
                <w:szCs w:val="20"/>
                <w:color w:val="auto"/>
              </w:rPr>
            </w:pPr>
            <w:r>
              <w:rPr>
                <w:rFonts w:ascii="Arial" w:cs="Arial" w:eastAsia="Arial" w:hAnsi="Arial"/>
                <w:sz w:val="16"/>
                <w:szCs w:val="16"/>
                <w:color w:val="auto"/>
              </w:rPr>
              <w:t>focused on growth, profitability and technical innovation.</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960" w:type="dxa"/>
            <w:vAlign w:val="bottom"/>
          </w:tcPr>
          <w:p>
            <w:pPr>
              <w:spacing w:after="0"/>
              <w:rPr>
                <w:sz w:val="11"/>
                <w:szCs w:val="11"/>
                <w:color w:val="auto"/>
              </w:rPr>
            </w:pPr>
          </w:p>
        </w:tc>
        <w:tc>
          <w:tcPr>
            <w:tcW w:w="252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8"/>
        </w:trPr>
        <w:tc>
          <w:tcPr>
            <w:tcW w:w="96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6"/>
                <w:szCs w:val="16"/>
                <w:color w:val="0C426A"/>
              </w:rPr>
              <w:t>Audit Committee Financial Expert</w:t>
            </w:r>
          </w:p>
        </w:tc>
        <w:tc>
          <w:tcPr>
            <w:tcW w:w="3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96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6"/>
                <w:szCs w:val="16"/>
                <w:color w:val="0C426A"/>
              </w:rPr>
              <w:t>Committees:</w:t>
            </w:r>
          </w:p>
        </w:tc>
        <w:tc>
          <w:tcPr>
            <w:tcW w:w="3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960" w:type="dxa"/>
            <w:vAlign w:val="bottom"/>
          </w:tcPr>
          <w:p>
            <w:pPr>
              <w:spacing w:after="0"/>
              <w:rPr>
                <w:sz w:val="22"/>
                <w:szCs w:val="22"/>
                <w:color w:val="auto"/>
              </w:rPr>
            </w:pPr>
          </w:p>
        </w:tc>
        <w:tc>
          <w:tcPr>
            <w:tcW w:w="2520" w:type="dxa"/>
            <w:vAlign w:val="bottom"/>
            <w:gridSpan w:val="2"/>
          </w:tcPr>
          <w:p>
            <w:pPr>
              <w:spacing w:after="0"/>
              <w:rPr>
                <w:sz w:val="20"/>
                <w:szCs w:val="20"/>
                <w:color w:val="auto"/>
              </w:rPr>
            </w:pPr>
            <w:r>
              <w:rPr>
                <w:rFonts w:ascii="Arial" w:cs="Arial" w:eastAsia="Arial" w:hAnsi="Arial"/>
                <w:sz w:val="16"/>
                <w:szCs w:val="16"/>
                <w:color w:val="auto"/>
              </w:rPr>
              <w:t>Audit</w:t>
            </w:r>
          </w:p>
        </w:tc>
        <w:tc>
          <w:tcPr>
            <w:tcW w:w="380" w:type="dxa"/>
            <w:vAlign w:val="bottom"/>
          </w:tcPr>
          <w:p>
            <w:pPr>
              <w:spacing w:after="0"/>
              <w:rPr>
                <w:sz w:val="22"/>
                <w:szCs w:val="22"/>
                <w:color w:val="auto"/>
              </w:rPr>
            </w:pPr>
          </w:p>
        </w:tc>
        <w:tc>
          <w:tcPr>
            <w:tcW w:w="5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96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Arial" w:cs="Arial" w:eastAsia="Arial" w:hAnsi="Arial"/>
                <w:sz w:val="16"/>
                <w:szCs w:val="16"/>
                <w:color w:val="auto"/>
              </w:rPr>
              <w:t>Environmental, Social and</w:t>
            </w:r>
          </w:p>
        </w:tc>
        <w:tc>
          <w:tcPr>
            <w:tcW w:w="38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6"/>
                <w:szCs w:val="16"/>
                <w:color w:val="auto"/>
              </w:rPr>
              <w:t>Governance Subcommittee</w:t>
            </w:r>
          </w:p>
        </w:tc>
        <w:tc>
          <w:tcPr>
            <w:tcW w:w="3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96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6"/>
                <w:szCs w:val="16"/>
                <w:color w:val="auto"/>
              </w:rPr>
              <w:t>Governance and Sustainability</w:t>
            </w:r>
          </w:p>
        </w:tc>
        <w:tc>
          <w:tcPr>
            <w:tcW w:w="3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00" w:type="dxa"/>
            <w:vAlign w:val="bottom"/>
            <w:tcBorders>
              <w:bottom w:val="single" w:sz="8" w:color="4C4C4C"/>
            </w:tcBorders>
          </w:tcPr>
          <w:p>
            <w:pPr>
              <w:spacing w:after="0"/>
              <w:rPr>
                <w:sz w:val="10"/>
                <w:szCs w:val="10"/>
                <w:color w:val="auto"/>
              </w:rPr>
            </w:pPr>
          </w:p>
        </w:tc>
        <w:tc>
          <w:tcPr>
            <w:tcW w:w="380" w:type="dxa"/>
            <w:vAlign w:val="bottom"/>
            <w:tcBorders>
              <w:bottom w:val="single" w:sz="8" w:color="4C4C4C"/>
            </w:tcBorders>
          </w:tcPr>
          <w:p>
            <w:pPr>
              <w:spacing w:after="0"/>
              <w:rPr>
                <w:sz w:val="10"/>
                <w:szCs w:val="10"/>
                <w:color w:val="auto"/>
              </w:rPr>
            </w:pPr>
          </w:p>
        </w:tc>
        <w:tc>
          <w:tcPr>
            <w:tcW w:w="5940" w:type="dxa"/>
            <w:vAlign w:val="bottom"/>
            <w:tcBorders>
              <w:bottom w:val="single" w:sz="8" w:color="4C4C4C"/>
            </w:tcBorders>
          </w:tcPr>
          <w:p>
            <w:pPr>
              <w:spacing w:after="0"/>
              <w:rPr>
                <w:sz w:val="10"/>
                <w:szCs w:val="10"/>
                <w:color w:val="auto"/>
              </w:rPr>
            </w:pPr>
          </w:p>
        </w:tc>
        <w:tc>
          <w:tcPr>
            <w:tcW w:w="160" w:type="dxa"/>
            <w:vAlign w:val="bottom"/>
            <w:tcBorders>
              <w:bottom w:val="single" w:sz="8" w:color="4C4C4C"/>
            </w:tcBorders>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5"/>
        </w:trPr>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40" w:type="dxa"/>
            <w:vAlign w:val="bottom"/>
          </w:tcPr>
          <w:p>
            <w:pPr>
              <w:ind w:left="250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w w:val="89"/>
              </w:rPr>
              <w:t>19</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2453640</wp:posOffset>
            </wp:positionH>
            <wp:positionV relativeFrom="paragraph">
              <wp:posOffset>-7277100</wp:posOffset>
            </wp:positionV>
            <wp:extent cx="8255" cy="66827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6682740"/>
                    </a:xfrm>
                    <a:prstGeom prst="rect">
                      <a:avLst/>
                    </a:prstGeom>
                    <a:noFill/>
                  </pic:spPr>
                </pic:pic>
              </a:graphicData>
            </a:graphic>
          </wp:anchor>
        </w:drawing>
        <w:drawing>
          <wp:anchor simplePos="0" relativeHeight="251657728" behindDoc="1" locked="0" layoutInCell="0" allowOverlap="1">
            <wp:simplePos x="0" y="0"/>
            <wp:positionH relativeFrom="column">
              <wp:posOffset>617220</wp:posOffset>
            </wp:positionH>
            <wp:positionV relativeFrom="paragraph">
              <wp:posOffset>-6826885</wp:posOffset>
            </wp:positionV>
            <wp:extent cx="1062990" cy="10629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62990" cy="1062990"/>
                    </a:xfrm>
                    <a:prstGeom prst="rect">
                      <a:avLst/>
                    </a:prstGeom>
                    <a:noFill/>
                  </pic:spPr>
                </pic:pic>
              </a:graphicData>
            </a:graphic>
          </wp:anchor>
        </w:drawing>
        <w:drawing>
          <wp:anchor simplePos="0" relativeHeight="251657728" behindDoc="1" locked="0" layoutInCell="0" allowOverlap="1">
            <wp:simplePos x="0" y="0"/>
            <wp:positionH relativeFrom="column">
              <wp:posOffset>617220</wp:posOffset>
            </wp:positionH>
            <wp:positionV relativeFrom="paragraph">
              <wp:posOffset>-3681095</wp:posOffset>
            </wp:positionV>
            <wp:extent cx="1062990" cy="10629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62990" cy="1062990"/>
                    </a:xfrm>
                    <a:prstGeom prst="rect">
                      <a:avLst/>
                    </a:prstGeom>
                    <a:noFill/>
                  </pic:spPr>
                </pic:pic>
              </a:graphicData>
            </a:graphic>
          </wp:anchor>
        </w:drawing>
        <w:drawing>
          <wp:anchor simplePos="0" relativeHeight="251657728" behindDoc="1" locked="0" layoutInCell="0" allowOverlap="1">
            <wp:simplePos x="0" y="0"/>
            <wp:positionH relativeFrom="column">
              <wp:posOffset>5497195</wp:posOffset>
            </wp:positionH>
            <wp:positionV relativeFrom="paragraph">
              <wp:posOffset>-415925</wp:posOffset>
            </wp:positionV>
            <wp:extent cx="501650" cy="170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Proposal 1: Election of Directors</w:t>
      </w:r>
    </w:p>
    <w:p>
      <w:pPr>
        <w:spacing w:after="0" w:line="169" w:lineRule="exact"/>
        <w:rPr>
          <w:sz w:val="20"/>
          <w:szCs w:val="20"/>
          <w:color w:val="auto"/>
        </w:rPr>
      </w:pPr>
    </w:p>
    <w:p>
      <w:pPr>
        <w:spacing w:after="0"/>
        <w:rPr>
          <w:sz w:val="20"/>
          <w:szCs w:val="20"/>
          <w:color w:val="auto"/>
        </w:rPr>
      </w:pPr>
      <w:r>
        <w:rPr>
          <w:rFonts w:ascii="Arial" w:cs="Arial" w:eastAsia="Arial" w:hAnsi="Arial"/>
          <w:sz w:val="29"/>
          <w:szCs w:val="29"/>
          <w:color w:val="636466"/>
        </w:rPr>
        <w:t>Director Nomination Process</w:t>
      </w:r>
    </w:p>
    <w:p>
      <w:pPr>
        <w:spacing w:after="0" w:line="136" w:lineRule="exact"/>
        <w:rPr>
          <w:sz w:val="20"/>
          <w:szCs w:val="20"/>
          <w:color w:val="auto"/>
        </w:rPr>
      </w:pPr>
    </w:p>
    <w:p>
      <w:pPr>
        <w:spacing w:after="0"/>
        <w:rPr>
          <w:sz w:val="20"/>
          <w:szCs w:val="20"/>
          <w:color w:val="auto"/>
        </w:rPr>
      </w:pPr>
      <w:r>
        <w:rPr>
          <w:rFonts w:ascii="Arial" w:cs="Arial" w:eastAsia="Arial" w:hAnsi="Arial"/>
          <w:sz w:val="23"/>
          <w:szCs w:val="23"/>
          <w:color w:val="0C426A"/>
        </w:rPr>
        <w:t>Overview of Nomination Process</w:t>
      </w:r>
    </w:p>
    <w:p>
      <w:pPr>
        <w:spacing w:after="0" w:line="181" w:lineRule="exact"/>
        <w:rPr>
          <w:sz w:val="20"/>
          <w:szCs w:val="20"/>
          <w:color w:val="auto"/>
        </w:rPr>
      </w:pPr>
    </w:p>
    <w:p>
      <w:pPr>
        <w:ind w:right="139"/>
        <w:spacing w:after="0" w:line="257" w:lineRule="auto"/>
        <w:rPr>
          <w:sz w:val="20"/>
          <w:szCs w:val="20"/>
          <w:color w:val="auto"/>
        </w:rPr>
      </w:pPr>
      <w:r>
        <w:rPr>
          <w:rFonts w:ascii="Arial" w:cs="Arial" w:eastAsia="Arial" w:hAnsi="Arial"/>
          <w:sz w:val="16"/>
          <w:szCs w:val="16"/>
          <w:color w:val="auto"/>
        </w:rPr>
        <w:t>The Company’s Corporate Governance Guidelines provide that individuals are selected to join the Board based on their business or professional experience, background, personal characteristics, diversity (inclusive of gender, race, and ethnicity), and their array of talents and perspectives. The Board believes that a diverse membership with varying perspectives and breadth of experience is an important Board attribute and will enhance the quality of the Board’s deliberations and decisions.</w:t>
      </w:r>
    </w:p>
    <w:p>
      <w:pPr>
        <w:spacing w:after="0" w:line="122" w:lineRule="exact"/>
        <w:rPr>
          <w:sz w:val="20"/>
          <w:szCs w:val="20"/>
          <w:color w:val="auto"/>
        </w:rPr>
      </w:pPr>
    </w:p>
    <w:p>
      <w:pPr>
        <w:ind w:right="99"/>
        <w:spacing w:after="0" w:line="249" w:lineRule="auto"/>
        <w:rPr>
          <w:sz w:val="20"/>
          <w:szCs w:val="20"/>
          <w:color w:val="auto"/>
        </w:rPr>
      </w:pPr>
      <w:r>
        <w:rPr>
          <w:rFonts w:ascii="Arial" w:cs="Arial" w:eastAsia="Arial" w:hAnsi="Arial"/>
          <w:sz w:val="16"/>
          <w:szCs w:val="16"/>
          <w:color w:val="auto"/>
        </w:rPr>
        <w:t>The Board has a comprehensive, ongoing director succession planning process designed to provide for a highly independent, well-qualified Board, with the diversity, experience and background to be effective and to provide strong oversight. The Board regularly evaluates the needs of the Company and adds new attributes, viewpoints and experiences to the Board, as necessary to best position the Company to navigate through a constantly changing business environment. Candidates for nomination to the Board are recommended by the Governance Committee, which, under its charter (the “Governance Charter”), has the responsibility to identify and recommend to the Board individuals qualified to become members of the Board. The Governance Charter outlines the Governance Committee’s commitment to find nominees for membership on the Board of Directors who are of the highest possible caliber and who can provide insightful, intelligent and effective guidance to the management of Wabtec.</w:t>
      </w:r>
    </w:p>
    <w:p>
      <w:pPr>
        <w:spacing w:after="0" w:line="130" w:lineRule="exact"/>
        <w:rPr>
          <w:sz w:val="20"/>
          <w:szCs w:val="20"/>
          <w:color w:val="auto"/>
        </w:rPr>
      </w:pPr>
    </w:p>
    <w:p>
      <w:pPr>
        <w:ind w:right="59"/>
        <w:spacing w:after="0" w:line="257" w:lineRule="auto"/>
        <w:rPr>
          <w:sz w:val="20"/>
          <w:szCs w:val="20"/>
          <w:color w:val="auto"/>
        </w:rPr>
      </w:pPr>
      <w:r>
        <w:rPr>
          <w:rFonts w:ascii="Arial" w:cs="Arial" w:eastAsia="Arial" w:hAnsi="Arial"/>
          <w:sz w:val="16"/>
          <w:szCs w:val="16"/>
          <w:color w:val="auto"/>
        </w:rPr>
        <w:t>In considering director nominees, the Governance Committee conducts inquiries into the background and qualifications of possible candidates and actively recruits qualified individuals. The Governance Committee does not have specific minimum qualifications that must be met for a prospective director candidate to be nominated. However, in evaluating candidates for the Board, the Governance Committee considers the entirety of each candidate’s credentials.</w:t>
      </w:r>
    </w:p>
    <w:p>
      <w:pPr>
        <w:spacing w:after="0" w:line="122" w:lineRule="exact"/>
        <w:rPr>
          <w:sz w:val="20"/>
          <w:szCs w:val="20"/>
          <w:color w:val="auto"/>
        </w:rPr>
      </w:pPr>
    </w:p>
    <w:p>
      <w:pPr>
        <w:ind w:right="19"/>
        <w:spacing w:after="0" w:line="254" w:lineRule="auto"/>
        <w:rPr>
          <w:sz w:val="20"/>
          <w:szCs w:val="20"/>
          <w:color w:val="auto"/>
        </w:rPr>
      </w:pPr>
      <w:r>
        <w:rPr>
          <w:rFonts w:ascii="Arial" w:cs="Arial" w:eastAsia="Arial" w:hAnsi="Arial"/>
          <w:sz w:val="16"/>
          <w:szCs w:val="16"/>
          <w:color w:val="auto"/>
        </w:rPr>
        <w:t>The Governance Committee does not have a specific diversity policy with respect to identifying director candidates, however, a goal of the Governance Committee is ensuring that the Board of Directors consists of individuals from diverse backgrounds (including diversity of gender, race, and ethnicity) and experience who, collectively, provide meaningful counsel to management. The Committee also considers the candidate’s character, integrity, understanding of strategy and policy-setting, and reputation for working well with others.</w:t>
      </w:r>
    </w:p>
    <w:p>
      <w:pPr>
        <w:spacing w:after="0" w:line="124" w:lineRule="exact"/>
        <w:rPr>
          <w:sz w:val="20"/>
          <w:szCs w:val="20"/>
          <w:color w:val="auto"/>
        </w:rPr>
      </w:pPr>
    </w:p>
    <w:p>
      <w:pPr>
        <w:ind w:right="59"/>
        <w:spacing w:after="0" w:line="252" w:lineRule="auto"/>
        <w:rPr>
          <w:sz w:val="20"/>
          <w:szCs w:val="20"/>
          <w:color w:val="auto"/>
        </w:rPr>
      </w:pPr>
      <w:r>
        <w:rPr>
          <w:rFonts w:ascii="Arial" w:cs="Arial" w:eastAsia="Arial" w:hAnsi="Arial"/>
          <w:sz w:val="16"/>
          <w:szCs w:val="16"/>
          <w:color w:val="auto"/>
        </w:rPr>
        <w:t>In connection with this evaluation, the Governance Committee determines whether to interview the prospective nominee. After completing this evaluation and interview, the Governance Committee makes a recommendation to the full Board as to the persons who should be nominated by the Board, and the Board determines the nominees after considering the recommendation and report of the Governance Committee. If candidates are recommended by the Company’s stockholders, such candidates are evaluated using the same criteria. With respect to the nomination of continuing directors for re-election, the individual’s contributions to the Board are also considered.</w:t>
      </w:r>
    </w:p>
    <w:p>
      <w:pPr>
        <w:spacing w:after="0" w:line="126" w:lineRule="exact"/>
        <w:rPr>
          <w:sz w:val="20"/>
          <w:szCs w:val="20"/>
          <w:color w:val="auto"/>
        </w:rPr>
      </w:pPr>
    </w:p>
    <w:p>
      <w:pPr>
        <w:ind w:right="439"/>
        <w:spacing w:after="0" w:line="282" w:lineRule="auto"/>
        <w:rPr>
          <w:sz w:val="20"/>
          <w:szCs w:val="20"/>
          <w:color w:val="auto"/>
        </w:rPr>
      </w:pPr>
      <w:r>
        <w:rPr>
          <w:rFonts w:ascii="Arial" w:cs="Arial" w:eastAsia="Arial" w:hAnsi="Arial"/>
          <w:sz w:val="16"/>
          <w:szCs w:val="16"/>
          <w:color w:val="auto"/>
        </w:rPr>
        <w:t>The Governance Committee has considered and recommended to the Board that each of the nominees presented in this proxy statement has the qualities, skillsets, and attributes that are important to an effective Board.</w:t>
      </w:r>
    </w:p>
    <w:p>
      <w:pPr>
        <w:spacing w:after="0" w:line="103" w:lineRule="exact"/>
        <w:rPr>
          <w:sz w:val="20"/>
          <w:szCs w:val="20"/>
          <w:color w:val="auto"/>
        </w:rPr>
      </w:pPr>
    </w:p>
    <w:p>
      <w:pPr>
        <w:ind w:right="59"/>
        <w:spacing w:after="0" w:line="263" w:lineRule="auto"/>
        <w:rPr>
          <w:sz w:val="20"/>
          <w:szCs w:val="20"/>
          <w:color w:val="auto"/>
        </w:rPr>
      </w:pPr>
      <w:r>
        <w:rPr>
          <w:rFonts w:ascii="Arial" w:cs="Arial" w:eastAsia="Arial" w:hAnsi="Arial"/>
          <w:sz w:val="16"/>
          <w:szCs w:val="16"/>
          <w:color w:val="auto"/>
        </w:rPr>
        <w:t>On an annual basis, the Governance Committee (i) assesses the effectiveness of its approach, (ii) reviews its Governance Charter and the Corporate Governance Guidelines, and (iii) reviews the effectiveness of the Board and each Committee of the Board.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760" w:type="dxa"/>
            <w:vAlign w:val="bottom"/>
          </w:tcPr>
          <w:p>
            <w:pPr>
              <w:jc w:val="right"/>
              <w:ind w:right="529"/>
              <w:spacing w:after="0"/>
              <w:rPr>
                <w:sz w:val="20"/>
                <w:szCs w:val="20"/>
                <w:color w:val="auto"/>
              </w:rPr>
            </w:pPr>
            <w:r>
              <w:rPr>
                <w:rFonts w:ascii="Arial" w:cs="Arial" w:eastAsia="Arial" w:hAnsi="Arial"/>
                <w:sz w:val="14"/>
                <w:szCs w:val="14"/>
                <w:b w:val="1"/>
                <w:bCs w:val="1"/>
                <w:color w:val="auto"/>
                <w:w w:val="89"/>
              </w:rPr>
              <w:t>20</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179070</wp:posOffset>
            </wp:positionV>
            <wp:extent cx="693801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23" w:name="page24"/>
    <w:bookmarkEnd w:id="23"/>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right"/>
        <w:ind w:right="980"/>
        <w:spacing w:after="0"/>
        <w:rPr>
          <w:sz w:val="20"/>
          <w:szCs w:val="20"/>
          <w:color w:val="auto"/>
        </w:rPr>
      </w:pPr>
      <w:r>
        <w:rPr>
          <w:rFonts w:ascii="Arial" w:cs="Arial" w:eastAsia="Arial" w:hAnsi="Arial"/>
          <w:sz w:val="12"/>
          <w:szCs w:val="12"/>
          <w:color w:val="auto"/>
        </w:rPr>
        <w:t>Proposal 1: Election of Directors</w:t>
      </w:r>
    </w:p>
    <w:p>
      <w:pPr>
        <w:spacing w:after="0" w:line="143" w:lineRule="exact"/>
        <w:rPr>
          <w:sz w:val="20"/>
          <w:szCs w:val="20"/>
          <w:color w:val="auto"/>
        </w:rPr>
      </w:pPr>
    </w:p>
    <w:p>
      <w:pPr>
        <w:ind w:left="960"/>
        <w:spacing w:after="0"/>
        <w:rPr>
          <w:sz w:val="20"/>
          <w:szCs w:val="20"/>
          <w:color w:val="auto"/>
        </w:rPr>
      </w:pPr>
      <w:r>
        <w:rPr>
          <w:rFonts w:ascii="Arial" w:cs="Arial" w:eastAsia="Arial" w:hAnsi="Arial"/>
          <w:sz w:val="23"/>
          <w:szCs w:val="23"/>
          <w:color w:val="0C426A"/>
        </w:rPr>
        <w:t>Board Diversity</w:t>
      </w:r>
    </w:p>
    <w:p>
      <w:pPr>
        <w:spacing w:after="0" w:line="181" w:lineRule="exact"/>
        <w:rPr>
          <w:sz w:val="20"/>
          <w:szCs w:val="20"/>
          <w:color w:val="auto"/>
        </w:rPr>
      </w:pPr>
    </w:p>
    <w:p>
      <w:pPr>
        <w:ind w:left="960" w:right="1040"/>
        <w:spacing w:after="0" w:line="250" w:lineRule="auto"/>
        <w:rPr>
          <w:sz w:val="20"/>
          <w:szCs w:val="20"/>
          <w:color w:val="auto"/>
        </w:rPr>
      </w:pPr>
      <w:r>
        <w:rPr>
          <w:rFonts w:ascii="Arial" w:cs="Arial" w:eastAsia="Arial" w:hAnsi="Arial"/>
          <w:sz w:val="16"/>
          <w:szCs w:val="16"/>
          <w:color w:val="auto"/>
        </w:rPr>
        <w:t>The Board’s overall diversity is a significant consideration in the director nomination process. Our Board of Directors, including this year’s nominees, consists of individuals who bring valuable diversity to the Board in terms of gender, ethnicity, race, industries represented, experience, age, and tenure. The Directors and nominees range in age from 52 to 80. Five of our Directors (including nominees) (55% of our directors) represent diversity of gender, race or ethnicity. Five of our Directors (55% of our Directors including nominees) have served on the Board for less than five years. The Company believes that diversity of tenure also facilitates effective Board oversight. Directors with long tenures provide the Board with a deep knowledge of the Company and the industry, while newer directors provide fresh perspectives.</w:t>
      </w:r>
    </w:p>
    <w:p>
      <w:pPr>
        <w:spacing w:after="0" w:line="65" w:lineRule="exact"/>
        <w:rPr>
          <w:sz w:val="20"/>
          <w:szCs w:val="20"/>
          <w:color w:val="auto"/>
        </w:rPr>
      </w:pPr>
    </w:p>
    <w:tbl>
      <w:tblPr>
        <w:tblLayout w:type="fixed"/>
        <w:tblInd w:w="980" w:type="dxa"/>
        <w:tblCellMar>
          <w:top w:w="0" w:type="dxa"/>
          <w:left w:w="0" w:type="dxa"/>
          <w:bottom w:w="0" w:type="dxa"/>
          <w:right w:w="0" w:type="dxa"/>
        </w:tblCellMar>
      </w:tblPr>
      <w:tr>
        <w:trPr>
          <w:trHeight w:val="342"/>
        </w:trPr>
        <w:tc>
          <w:tcPr>
            <w:tcW w:w="2200" w:type="dxa"/>
            <w:vAlign w:val="bottom"/>
            <w:shd w:val="clear" w:color="auto" w:fill="0C426A"/>
          </w:tcPr>
          <w:p>
            <w:pPr>
              <w:ind w:left="40"/>
              <w:spacing w:after="0"/>
              <w:rPr>
                <w:sz w:val="20"/>
                <w:szCs w:val="20"/>
                <w:color w:val="auto"/>
              </w:rPr>
            </w:pPr>
            <w:r>
              <w:rPr>
                <w:rFonts w:ascii="Arial" w:cs="Arial" w:eastAsia="Arial" w:hAnsi="Arial"/>
                <w:sz w:val="21"/>
                <w:szCs w:val="21"/>
                <w:b w:val="1"/>
                <w:bCs w:val="1"/>
                <w:color w:val="FFFFFF"/>
              </w:rPr>
              <w:t>Board Changes</w:t>
            </w:r>
          </w:p>
        </w:tc>
        <w:tc>
          <w:tcPr>
            <w:tcW w:w="700" w:type="dxa"/>
            <w:vAlign w:val="bottom"/>
            <w:shd w:val="clear" w:color="auto" w:fill="0C426A"/>
          </w:tcPr>
          <w:p>
            <w:pPr>
              <w:ind w:left="58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2680" w:type="dxa"/>
            <w:vAlign w:val="bottom"/>
            <w:shd w:val="clear" w:color="auto" w:fill="0C426A"/>
          </w:tcPr>
          <w:p>
            <w:pPr>
              <w:ind w:left="40"/>
              <w:spacing w:after="0"/>
              <w:rPr>
                <w:sz w:val="20"/>
                <w:szCs w:val="20"/>
                <w:color w:val="auto"/>
              </w:rPr>
            </w:pPr>
            <w:r>
              <w:rPr>
                <w:rFonts w:ascii="Arial" w:cs="Arial" w:eastAsia="Arial" w:hAnsi="Arial"/>
                <w:sz w:val="21"/>
                <w:szCs w:val="21"/>
                <w:b w:val="1"/>
                <w:bCs w:val="1"/>
                <w:color w:val="FFFFFF"/>
              </w:rPr>
              <w:t>Diversity of newly added</w:t>
            </w:r>
          </w:p>
        </w:tc>
        <w:tc>
          <w:tcPr>
            <w:tcW w:w="260" w:type="dxa"/>
            <w:vAlign w:val="bottom"/>
            <w:shd w:val="clear" w:color="auto" w:fill="0C426A"/>
          </w:tcPr>
          <w:p>
            <w:pPr>
              <w:ind w:left="14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3140" w:type="dxa"/>
            <w:vAlign w:val="bottom"/>
            <w:shd w:val="clear" w:color="auto" w:fill="0C426A"/>
          </w:tcPr>
          <w:p>
            <w:pPr>
              <w:ind w:left="40"/>
              <w:spacing w:after="0"/>
              <w:rPr>
                <w:sz w:val="20"/>
                <w:szCs w:val="20"/>
                <w:color w:val="auto"/>
              </w:rPr>
            </w:pPr>
            <w:r>
              <w:rPr>
                <w:rFonts w:ascii="Arial" w:cs="Arial" w:eastAsia="Arial" w:hAnsi="Arial"/>
                <w:sz w:val="21"/>
                <w:szCs w:val="21"/>
                <w:b w:val="1"/>
                <w:bCs w:val="1"/>
                <w:color w:val="FFFFFF"/>
              </w:rPr>
              <w:t>Skills of newly</w:t>
            </w:r>
          </w:p>
        </w:tc>
      </w:tr>
      <w:tr>
        <w:trPr>
          <w:trHeight w:val="296"/>
        </w:trPr>
        <w:tc>
          <w:tcPr>
            <w:tcW w:w="2200" w:type="dxa"/>
            <w:vAlign w:val="bottom"/>
            <w:shd w:val="clear" w:color="auto" w:fill="0C426A"/>
          </w:tcPr>
          <w:p>
            <w:pPr>
              <w:ind w:left="40"/>
              <w:spacing w:after="0"/>
              <w:rPr>
                <w:sz w:val="20"/>
                <w:szCs w:val="20"/>
                <w:color w:val="auto"/>
              </w:rPr>
            </w:pPr>
            <w:r>
              <w:rPr>
                <w:rFonts w:ascii="Arial" w:cs="Arial" w:eastAsia="Arial" w:hAnsi="Arial"/>
                <w:sz w:val="21"/>
                <w:szCs w:val="21"/>
                <w:b w:val="1"/>
                <w:bCs w:val="1"/>
                <w:color w:val="FFFFFF"/>
              </w:rPr>
              <w:t>since 2019</w:t>
            </w:r>
          </w:p>
        </w:tc>
        <w:tc>
          <w:tcPr>
            <w:tcW w:w="700" w:type="dxa"/>
            <w:vAlign w:val="bottom"/>
            <w:shd w:val="clear" w:color="auto" w:fill="0C426A"/>
          </w:tcPr>
          <w:p>
            <w:pPr>
              <w:spacing w:after="0"/>
              <w:rPr>
                <w:sz w:val="24"/>
                <w:szCs w:val="24"/>
                <w:color w:val="auto"/>
              </w:rPr>
            </w:pPr>
          </w:p>
        </w:tc>
        <w:tc>
          <w:tcPr>
            <w:tcW w:w="2680" w:type="dxa"/>
            <w:vAlign w:val="bottom"/>
            <w:shd w:val="clear" w:color="auto" w:fill="0C426A"/>
          </w:tcPr>
          <w:p>
            <w:pPr>
              <w:ind w:left="40"/>
              <w:spacing w:after="0"/>
              <w:rPr>
                <w:sz w:val="20"/>
                <w:szCs w:val="20"/>
                <w:color w:val="auto"/>
              </w:rPr>
            </w:pPr>
            <w:r>
              <w:rPr>
                <w:rFonts w:ascii="Arial" w:cs="Arial" w:eastAsia="Arial" w:hAnsi="Arial"/>
                <w:sz w:val="21"/>
                <w:szCs w:val="21"/>
                <w:b w:val="1"/>
                <w:bCs w:val="1"/>
                <w:color w:val="FFFFFF"/>
              </w:rPr>
              <w:t>Directors since 2019</w:t>
            </w:r>
          </w:p>
        </w:tc>
        <w:tc>
          <w:tcPr>
            <w:tcW w:w="260" w:type="dxa"/>
            <w:vAlign w:val="bottom"/>
            <w:shd w:val="clear" w:color="auto" w:fill="0C426A"/>
          </w:tcPr>
          <w:p>
            <w:pPr>
              <w:spacing w:after="0"/>
              <w:rPr>
                <w:sz w:val="24"/>
                <w:szCs w:val="24"/>
                <w:color w:val="auto"/>
              </w:rPr>
            </w:pPr>
          </w:p>
        </w:tc>
        <w:tc>
          <w:tcPr>
            <w:tcW w:w="3140" w:type="dxa"/>
            <w:vAlign w:val="bottom"/>
            <w:shd w:val="clear" w:color="auto" w:fill="0C426A"/>
          </w:tcPr>
          <w:p>
            <w:pPr>
              <w:ind w:left="40"/>
              <w:spacing w:after="0"/>
              <w:rPr>
                <w:sz w:val="20"/>
                <w:szCs w:val="20"/>
                <w:color w:val="auto"/>
              </w:rPr>
            </w:pPr>
            <w:r>
              <w:rPr>
                <w:rFonts w:ascii="Arial" w:cs="Arial" w:eastAsia="Arial" w:hAnsi="Arial"/>
                <w:sz w:val="21"/>
                <w:szCs w:val="21"/>
                <w:b w:val="1"/>
                <w:bCs w:val="1"/>
                <w:color w:val="FFFFFF"/>
              </w:rPr>
              <w:t>added Directors</w:t>
            </w:r>
          </w:p>
        </w:tc>
      </w:tr>
      <w:tr>
        <w:trPr>
          <w:trHeight w:val="59"/>
        </w:trPr>
        <w:tc>
          <w:tcPr>
            <w:tcW w:w="2200" w:type="dxa"/>
            <w:vAlign w:val="bottom"/>
            <w:shd w:val="clear" w:color="auto" w:fill="0C426A"/>
          </w:tcPr>
          <w:p>
            <w:pPr>
              <w:spacing w:after="0"/>
              <w:rPr>
                <w:sz w:val="5"/>
                <w:szCs w:val="5"/>
                <w:color w:val="auto"/>
              </w:rPr>
            </w:pPr>
          </w:p>
        </w:tc>
        <w:tc>
          <w:tcPr>
            <w:tcW w:w="700" w:type="dxa"/>
            <w:vAlign w:val="bottom"/>
            <w:shd w:val="clear" w:color="auto" w:fill="0C426A"/>
          </w:tcPr>
          <w:p>
            <w:pPr>
              <w:spacing w:after="0"/>
              <w:rPr>
                <w:sz w:val="5"/>
                <w:szCs w:val="5"/>
                <w:color w:val="auto"/>
              </w:rPr>
            </w:pPr>
          </w:p>
        </w:tc>
        <w:tc>
          <w:tcPr>
            <w:tcW w:w="2680" w:type="dxa"/>
            <w:vAlign w:val="bottom"/>
            <w:shd w:val="clear" w:color="auto" w:fill="0C426A"/>
          </w:tcPr>
          <w:p>
            <w:pPr>
              <w:spacing w:after="0"/>
              <w:rPr>
                <w:sz w:val="5"/>
                <w:szCs w:val="5"/>
                <w:color w:val="auto"/>
              </w:rPr>
            </w:pPr>
          </w:p>
        </w:tc>
        <w:tc>
          <w:tcPr>
            <w:tcW w:w="260" w:type="dxa"/>
            <w:vAlign w:val="bottom"/>
            <w:shd w:val="clear" w:color="auto" w:fill="0C426A"/>
          </w:tcPr>
          <w:p>
            <w:pPr>
              <w:spacing w:after="0"/>
              <w:rPr>
                <w:sz w:val="5"/>
                <w:szCs w:val="5"/>
                <w:color w:val="auto"/>
              </w:rPr>
            </w:pPr>
          </w:p>
        </w:tc>
        <w:tc>
          <w:tcPr>
            <w:tcW w:w="3140" w:type="dxa"/>
            <w:vAlign w:val="bottom"/>
            <w:shd w:val="clear" w:color="auto" w:fill="0C426A"/>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0940"/>
          </w:cols>
          <w:pgMar w:left="480" w:top="115" w:right="47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1020"/>
        <w:spacing w:after="0"/>
        <w:rPr>
          <w:sz w:val="20"/>
          <w:szCs w:val="20"/>
          <w:color w:val="auto"/>
        </w:rPr>
      </w:pPr>
      <w:r>
        <w:rPr>
          <w:rFonts w:ascii="Arial" w:cs="Arial" w:eastAsia="Arial" w:hAnsi="Arial"/>
          <w:sz w:val="45"/>
          <w:szCs w:val="45"/>
          <w:color w:val="0C426A"/>
        </w:rPr>
        <w:t>5</w:t>
      </w:r>
    </w:p>
    <w:p>
      <w:pPr>
        <w:spacing w:after="0" w:line="77" w:lineRule="exact"/>
        <w:rPr>
          <w:sz w:val="20"/>
          <w:szCs w:val="20"/>
          <w:color w:val="auto"/>
        </w:rPr>
      </w:pPr>
    </w:p>
    <w:p>
      <w:pPr>
        <w:ind w:left="1020" w:right="200"/>
        <w:spacing w:after="0" w:line="282" w:lineRule="auto"/>
        <w:rPr>
          <w:sz w:val="20"/>
          <w:szCs w:val="20"/>
          <w:color w:val="auto"/>
        </w:rPr>
      </w:pPr>
      <w:r>
        <w:rPr>
          <w:rFonts w:ascii="Arial" w:cs="Arial" w:eastAsia="Arial" w:hAnsi="Arial"/>
          <w:sz w:val="16"/>
          <w:szCs w:val="16"/>
          <w:color w:val="auto"/>
        </w:rPr>
        <w:t>NEW DIRECTORS HAVE BEEN ADDED TO THE BOARD</w:t>
      </w:r>
    </w:p>
    <w:p>
      <w:pPr>
        <w:spacing w:after="0" w:line="200" w:lineRule="exact"/>
        <w:rPr>
          <w:sz w:val="20"/>
          <w:szCs w:val="20"/>
          <w:color w:val="auto"/>
        </w:rPr>
      </w:pPr>
    </w:p>
    <w:p>
      <w:pPr>
        <w:spacing w:after="0" w:line="313" w:lineRule="exact"/>
        <w:rPr>
          <w:sz w:val="20"/>
          <w:szCs w:val="20"/>
          <w:color w:val="auto"/>
        </w:rPr>
      </w:pPr>
    </w:p>
    <w:p>
      <w:pPr>
        <w:ind w:left="1020"/>
        <w:spacing w:after="0"/>
        <w:rPr>
          <w:sz w:val="20"/>
          <w:szCs w:val="20"/>
          <w:color w:val="auto"/>
        </w:rPr>
      </w:pPr>
      <w:r>
        <w:rPr>
          <w:rFonts w:ascii="Arial" w:cs="Arial" w:eastAsia="Arial" w:hAnsi="Arial"/>
          <w:sz w:val="45"/>
          <w:szCs w:val="45"/>
          <w:color w:val="0C426A"/>
        </w:rPr>
        <w:t>3</w:t>
      </w:r>
    </w:p>
    <w:p>
      <w:pPr>
        <w:spacing w:after="0" w:line="77" w:lineRule="exact"/>
        <w:rPr>
          <w:sz w:val="20"/>
          <w:szCs w:val="20"/>
          <w:color w:val="auto"/>
        </w:rPr>
      </w:pPr>
    </w:p>
    <w:p>
      <w:pPr>
        <w:jc w:val="both"/>
        <w:ind w:left="1020"/>
        <w:spacing w:after="0" w:line="263" w:lineRule="auto"/>
        <w:rPr>
          <w:sz w:val="20"/>
          <w:szCs w:val="20"/>
          <w:color w:val="auto"/>
        </w:rPr>
      </w:pPr>
      <w:r>
        <w:rPr>
          <w:rFonts w:ascii="Arial" w:cs="Arial" w:eastAsia="Arial" w:hAnsi="Arial"/>
          <w:sz w:val="16"/>
          <w:szCs w:val="16"/>
          <w:color w:val="auto"/>
        </w:rPr>
        <w:t>DIRECTORS HAVE RETIRED OR DID NOT SEEK RE-ELECTION TO THE BOARD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41"/>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4C4C4C"/>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720" w:type="dxa"/>
            <w:vAlign w:val="bottom"/>
          </w:tcPr>
          <w:p>
            <w:pPr>
              <w:ind w:left="60"/>
              <w:spacing w:after="0"/>
              <w:rPr>
                <w:sz w:val="20"/>
                <w:szCs w:val="20"/>
                <w:color w:val="auto"/>
              </w:rPr>
            </w:pPr>
            <w:r>
              <w:rPr>
                <w:rFonts w:ascii="Arial" w:cs="Arial" w:eastAsia="Arial" w:hAnsi="Arial"/>
                <w:sz w:val="45"/>
                <w:szCs w:val="45"/>
                <w:color w:val="0C426A"/>
              </w:rPr>
              <w:t>2</w:t>
            </w:r>
          </w:p>
        </w:tc>
        <w:tc>
          <w:tcPr>
            <w:tcW w:w="20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4C4C4C"/>
          </w:tcPr>
          <w:p>
            <w:pPr>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190"/>
        </w:trPr>
        <w:tc>
          <w:tcPr>
            <w:tcW w:w="80" w:type="dxa"/>
            <w:vAlign w:val="bottom"/>
          </w:tcPr>
          <w:p>
            <w:pPr>
              <w:spacing w:after="0"/>
              <w:rPr>
                <w:sz w:val="16"/>
                <w:szCs w:val="16"/>
                <w:color w:val="auto"/>
              </w:rPr>
            </w:pPr>
          </w:p>
        </w:tc>
        <w:tc>
          <w:tcPr>
            <w:tcW w:w="20" w:type="dxa"/>
            <w:vAlign w:val="bottom"/>
            <w:shd w:val="clear" w:color="auto" w:fill="4C4C4C"/>
          </w:tcPr>
          <w:p>
            <w:pPr>
              <w:spacing w:after="0"/>
              <w:rPr>
                <w:sz w:val="16"/>
                <w:szCs w:val="16"/>
                <w:color w:val="auto"/>
              </w:rPr>
            </w:pPr>
          </w:p>
        </w:tc>
        <w:tc>
          <w:tcPr>
            <w:tcW w:w="2720" w:type="dxa"/>
            <w:vAlign w:val="bottom"/>
          </w:tcPr>
          <w:p>
            <w:pPr>
              <w:ind w:left="60"/>
              <w:spacing w:after="0"/>
              <w:rPr>
                <w:sz w:val="20"/>
                <w:szCs w:val="20"/>
                <w:color w:val="auto"/>
              </w:rPr>
            </w:pPr>
            <w:r>
              <w:rPr>
                <w:rFonts w:ascii="Arial" w:cs="Arial" w:eastAsia="Arial" w:hAnsi="Arial"/>
                <w:sz w:val="16"/>
                <w:szCs w:val="16"/>
                <w:color w:val="auto"/>
              </w:rPr>
              <w:t>NEW DIRECTORS ARE</w:t>
            </w:r>
          </w:p>
        </w:tc>
        <w:tc>
          <w:tcPr>
            <w:tcW w:w="200" w:type="dxa"/>
            <w:vAlign w:val="bottom"/>
          </w:tcPr>
          <w:p>
            <w:pPr>
              <w:spacing w:after="0"/>
              <w:rPr>
                <w:sz w:val="16"/>
                <w:szCs w:val="16"/>
                <w:color w:val="auto"/>
              </w:rPr>
            </w:pPr>
          </w:p>
        </w:tc>
        <w:tc>
          <w:tcPr>
            <w:tcW w:w="20" w:type="dxa"/>
            <w:vAlign w:val="bottom"/>
            <w:shd w:val="clear" w:color="auto" w:fill="4C4C4C"/>
          </w:tcPr>
          <w:p>
            <w:pPr>
              <w:spacing w:after="0"/>
              <w:rPr>
                <w:sz w:val="16"/>
                <w:szCs w:val="16"/>
                <w:color w:val="auto"/>
              </w:rPr>
            </w:pPr>
          </w:p>
        </w:tc>
      </w:tr>
      <w:tr>
        <w:trPr>
          <w:trHeight w:val="213"/>
        </w:trPr>
        <w:tc>
          <w:tcPr>
            <w:tcW w:w="80" w:type="dxa"/>
            <w:vAlign w:val="bottom"/>
          </w:tcPr>
          <w:p>
            <w:pPr>
              <w:spacing w:after="0"/>
              <w:rPr>
                <w:sz w:val="18"/>
                <w:szCs w:val="18"/>
                <w:color w:val="auto"/>
              </w:rPr>
            </w:pPr>
          </w:p>
        </w:tc>
        <w:tc>
          <w:tcPr>
            <w:tcW w:w="20" w:type="dxa"/>
            <w:vAlign w:val="bottom"/>
            <w:shd w:val="clear" w:color="auto" w:fill="4C4C4C"/>
          </w:tcPr>
          <w:p>
            <w:pPr>
              <w:spacing w:after="0"/>
              <w:rPr>
                <w:sz w:val="18"/>
                <w:szCs w:val="18"/>
                <w:color w:val="auto"/>
              </w:rPr>
            </w:pPr>
          </w:p>
        </w:tc>
        <w:tc>
          <w:tcPr>
            <w:tcW w:w="2720" w:type="dxa"/>
            <w:vAlign w:val="bottom"/>
          </w:tcPr>
          <w:p>
            <w:pPr>
              <w:ind w:left="60"/>
              <w:spacing w:after="0"/>
              <w:rPr>
                <w:sz w:val="20"/>
                <w:szCs w:val="20"/>
                <w:color w:val="auto"/>
              </w:rPr>
            </w:pPr>
            <w:r>
              <w:rPr>
                <w:rFonts w:ascii="Arial" w:cs="Arial" w:eastAsia="Arial" w:hAnsi="Arial"/>
                <w:sz w:val="16"/>
                <w:szCs w:val="16"/>
                <w:color w:val="auto"/>
              </w:rPr>
              <w:t>RACIALLY/ETHNICALLY DIVERSE</w:t>
            </w:r>
          </w:p>
        </w:tc>
        <w:tc>
          <w:tcPr>
            <w:tcW w:w="200" w:type="dxa"/>
            <w:vAlign w:val="bottom"/>
          </w:tcPr>
          <w:p>
            <w:pPr>
              <w:spacing w:after="0"/>
              <w:rPr>
                <w:sz w:val="18"/>
                <w:szCs w:val="18"/>
                <w:color w:val="auto"/>
              </w:rPr>
            </w:pPr>
          </w:p>
        </w:tc>
        <w:tc>
          <w:tcPr>
            <w:tcW w:w="20" w:type="dxa"/>
            <w:vAlign w:val="bottom"/>
            <w:shd w:val="clear" w:color="auto" w:fill="4C4C4C"/>
          </w:tcPr>
          <w:p>
            <w:pPr>
              <w:spacing w:after="0"/>
              <w:rPr>
                <w:sz w:val="18"/>
                <w:szCs w:val="18"/>
                <w:color w:val="auto"/>
              </w:rPr>
            </w:pPr>
          </w:p>
        </w:tc>
      </w:tr>
      <w:tr>
        <w:trPr>
          <w:trHeight w:val="976"/>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4C4C4C"/>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720" w:type="dxa"/>
            <w:vAlign w:val="bottom"/>
          </w:tcPr>
          <w:p>
            <w:pPr>
              <w:ind w:left="60"/>
              <w:spacing w:after="0"/>
              <w:rPr>
                <w:sz w:val="20"/>
                <w:szCs w:val="20"/>
                <w:color w:val="auto"/>
              </w:rPr>
            </w:pPr>
            <w:r>
              <w:rPr>
                <w:rFonts w:ascii="Arial" w:cs="Arial" w:eastAsia="Arial" w:hAnsi="Arial"/>
                <w:sz w:val="45"/>
                <w:szCs w:val="45"/>
                <w:color w:val="0C426A"/>
              </w:rPr>
              <w:t>2</w:t>
            </w:r>
          </w:p>
        </w:tc>
        <w:tc>
          <w:tcPr>
            <w:tcW w:w="20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4C4C4C"/>
          </w:tcPr>
          <w:p>
            <w:pPr>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377"/>
        </w:trPr>
        <w:tc>
          <w:tcPr>
            <w:tcW w:w="80" w:type="dxa"/>
            <w:vAlign w:val="bottom"/>
          </w:tcPr>
          <w:p>
            <w:pPr>
              <w:spacing w:after="0"/>
              <w:rPr>
                <w:sz w:val="24"/>
                <w:szCs w:val="24"/>
                <w:color w:val="auto"/>
              </w:rPr>
            </w:pPr>
          </w:p>
        </w:tc>
        <w:tc>
          <w:tcPr>
            <w:tcW w:w="20" w:type="dxa"/>
            <w:vAlign w:val="bottom"/>
            <w:shd w:val="clear" w:color="auto" w:fill="4C4C4C"/>
          </w:tcPr>
          <w:p>
            <w:pPr>
              <w:spacing w:after="0"/>
              <w:rPr>
                <w:sz w:val="24"/>
                <w:szCs w:val="24"/>
                <w:color w:val="auto"/>
              </w:rPr>
            </w:pPr>
          </w:p>
        </w:tc>
        <w:tc>
          <w:tcPr>
            <w:tcW w:w="2720" w:type="dxa"/>
            <w:vAlign w:val="bottom"/>
          </w:tcPr>
          <w:p>
            <w:pPr>
              <w:ind w:left="60"/>
              <w:spacing w:after="0"/>
              <w:rPr>
                <w:sz w:val="20"/>
                <w:szCs w:val="20"/>
                <w:color w:val="auto"/>
              </w:rPr>
            </w:pPr>
            <w:r>
              <w:rPr>
                <w:rFonts w:ascii="Arial" w:cs="Arial" w:eastAsia="Arial" w:hAnsi="Arial"/>
                <w:sz w:val="16"/>
                <w:szCs w:val="16"/>
                <w:color w:val="auto"/>
              </w:rPr>
              <w:t>NEW DIRECTORS ARE FEMALE</w:t>
            </w:r>
          </w:p>
        </w:tc>
        <w:tc>
          <w:tcPr>
            <w:tcW w:w="200" w:type="dxa"/>
            <w:vAlign w:val="bottom"/>
          </w:tcPr>
          <w:p>
            <w:pPr>
              <w:spacing w:after="0"/>
              <w:rPr>
                <w:sz w:val="24"/>
                <w:szCs w:val="24"/>
                <w:color w:val="auto"/>
              </w:rPr>
            </w:pPr>
          </w:p>
        </w:tc>
        <w:tc>
          <w:tcPr>
            <w:tcW w:w="20" w:type="dxa"/>
            <w:vAlign w:val="bottom"/>
            <w:shd w:val="clear" w:color="auto" w:fill="4C4C4C"/>
          </w:tcPr>
          <w:p>
            <w:pPr>
              <w:spacing w:after="0"/>
              <w:rPr>
                <w:sz w:val="24"/>
                <w:szCs w:val="24"/>
                <w:color w:val="auto"/>
              </w:rPr>
            </w:pPr>
          </w:p>
        </w:tc>
      </w:tr>
      <w:tr>
        <w:trPr>
          <w:trHeight w:val="484"/>
        </w:trPr>
        <w:tc>
          <w:tcPr>
            <w:tcW w:w="80" w:type="dxa"/>
            <w:vAlign w:val="bottom"/>
          </w:tcPr>
          <w:p>
            <w:pPr>
              <w:spacing w:after="0"/>
              <w:rPr>
                <w:sz w:val="24"/>
                <w:szCs w:val="24"/>
                <w:color w:val="auto"/>
              </w:rPr>
            </w:pPr>
          </w:p>
        </w:tc>
        <w:tc>
          <w:tcPr>
            <w:tcW w:w="20" w:type="dxa"/>
            <w:vAlign w:val="bottom"/>
            <w:shd w:val="clear" w:color="auto" w:fill="4C4C4C"/>
          </w:tcPr>
          <w:p>
            <w:pPr>
              <w:spacing w:after="0"/>
              <w:rPr>
                <w:sz w:val="24"/>
                <w:szCs w:val="24"/>
                <w:color w:val="auto"/>
              </w:rPr>
            </w:pPr>
          </w:p>
        </w:tc>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shd w:val="clear" w:color="auto" w:fill="4C4C4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-1769745</wp:posOffset>
            </wp:positionH>
            <wp:positionV relativeFrom="paragraph">
              <wp:posOffset>-7620</wp:posOffset>
            </wp:positionV>
            <wp:extent cx="57137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1" w:right="1560" w:hanging="181"/>
        <w:spacing w:after="0" w:line="317" w:lineRule="auto"/>
        <w:tabs>
          <w:tab w:leader="none" w:pos="165" w:val="left"/>
        </w:tabs>
        <w:numPr>
          <w:ilvl w:val="0"/>
          <w:numId w:val="10"/>
        </w:numPr>
        <w:rPr>
          <w:rFonts w:ascii="Arial" w:cs="Arial" w:eastAsia="Arial" w:hAnsi="Arial"/>
          <w:sz w:val="15"/>
          <w:szCs w:val="15"/>
          <w:color w:val="auto"/>
        </w:rPr>
      </w:pPr>
      <w:r>
        <w:rPr>
          <w:rFonts w:ascii="Arial" w:cs="Arial" w:eastAsia="Arial" w:hAnsi="Arial"/>
          <w:sz w:val="15"/>
          <w:szCs w:val="15"/>
          <w:color w:val="auto"/>
        </w:rPr>
        <w:t>ESG/ SUSTAINABILITY EXPERIENCE</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10" w:lineRule="exact"/>
        <w:rPr>
          <w:rFonts w:ascii="Arial" w:cs="Arial" w:eastAsia="Arial" w:hAnsi="Arial"/>
          <w:sz w:val="15"/>
          <w:szCs w:val="15"/>
          <w:color w:val="auto"/>
        </w:rPr>
      </w:pPr>
    </w:p>
    <w:p>
      <w:pPr>
        <w:ind w:left="181" w:right="1040" w:hanging="141"/>
        <w:spacing w:after="0" w:line="317" w:lineRule="auto"/>
        <w:tabs>
          <w:tab w:leader="none" w:pos="205" w:val="left"/>
        </w:tabs>
        <w:numPr>
          <w:ilvl w:val="1"/>
          <w:numId w:val="10"/>
        </w:numPr>
        <w:rPr>
          <w:rFonts w:ascii="Arial" w:cs="Arial" w:eastAsia="Arial" w:hAnsi="Arial"/>
          <w:sz w:val="15"/>
          <w:szCs w:val="15"/>
          <w:color w:val="auto"/>
        </w:rPr>
      </w:pPr>
      <w:r>
        <w:rPr>
          <w:rFonts w:ascii="Arial" w:cs="Arial" w:eastAsia="Arial" w:hAnsi="Arial"/>
          <w:sz w:val="15"/>
          <w:szCs w:val="15"/>
          <w:color w:val="auto"/>
        </w:rPr>
        <w:t>HUMAN CAPITAL MANAGEMENT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-1393825</wp:posOffset>
            </wp:positionV>
            <wp:extent cx="408305" cy="4762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08305" cy="476250"/>
                    </a:xfrm>
                    <a:prstGeom prst="rect">
                      <a:avLst/>
                    </a:prstGeom>
                    <a:noFill/>
                  </pic:spPr>
                </pic:pic>
              </a:graphicData>
            </a:graphic>
          </wp:anchor>
        </w:drawing>
        <w:drawing>
          <wp:anchor simplePos="0" relativeHeight="251657728" behindDoc="1" locked="0" layoutInCell="0" allowOverlap="1">
            <wp:simplePos x="0" y="0"/>
            <wp:positionH relativeFrom="column">
              <wp:posOffset>-403225</wp:posOffset>
            </wp:positionH>
            <wp:positionV relativeFrom="paragraph">
              <wp:posOffset>-415925</wp:posOffset>
            </wp:positionV>
            <wp:extent cx="433705" cy="5016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3705" cy="501650"/>
                    </a:xfrm>
                    <a:prstGeom prst="rect">
                      <a:avLst/>
                    </a:prstGeom>
                    <a:noFill/>
                  </pic:spPr>
                </pic:pic>
              </a:graphicData>
            </a:graphic>
          </wp:anchor>
        </w:drawing>
      </w:r>
    </w:p>
    <w:p>
      <w:pPr>
        <w:spacing w:after="0" w:line="789" w:lineRule="exact"/>
        <w:rPr>
          <w:sz w:val="20"/>
          <w:szCs w:val="20"/>
          <w:color w:val="auto"/>
        </w:rPr>
      </w:pPr>
    </w:p>
    <w:p>
      <w:pPr>
        <w:sectPr>
          <w:pgSz w:w="11900" w:h="16838" w:orient="portrait"/>
          <w:cols w:equalWidth="0" w:num="3">
            <w:col w:w="3540" w:space="220"/>
            <w:col w:w="3040" w:space="699"/>
            <w:col w:w="3441"/>
          </w:cols>
          <w:pgMar w:left="480" w:top="115" w:right="479" w:bottom="1440" w:gutter="0" w:footer="0" w:header="0"/>
          <w:type w:val="continuous"/>
        </w:sectPr>
      </w:pP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9140" w:type="dxa"/>
            <w:vAlign w:val="bottom"/>
          </w:tcPr>
          <w:p>
            <w:pPr>
              <w:ind w:left="636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800" w:type="dxa"/>
            <w:vAlign w:val="bottom"/>
          </w:tcPr>
          <w:p>
            <w:pPr>
              <w:jc w:val="right"/>
              <w:ind w:right="909"/>
              <w:spacing w:after="0"/>
              <w:rPr>
                <w:sz w:val="20"/>
                <w:szCs w:val="20"/>
                <w:color w:val="auto"/>
              </w:rPr>
            </w:pPr>
            <w:r>
              <w:rPr>
                <w:rFonts w:ascii="Arial" w:cs="Arial" w:eastAsia="Arial" w:hAnsi="Arial"/>
                <w:sz w:val="14"/>
                <w:szCs w:val="14"/>
                <w:b w:val="1"/>
                <w:bCs w:val="1"/>
                <w:color w:val="auto"/>
              </w:rPr>
              <w:t>21</w:t>
            </w:r>
          </w:p>
        </w:tc>
      </w:tr>
      <w:tr>
        <w:trPr>
          <w:trHeight w:val="355"/>
        </w:trPr>
        <w:tc>
          <w:tcPr>
            <w:tcW w:w="9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-407670</wp:posOffset>
            </wp:positionV>
            <wp:extent cx="501650" cy="170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Proposal 1: Election of Directors</w:t>
      </w:r>
    </w:p>
    <w:p>
      <w:pPr>
        <w:spacing w:after="0" w:line="143" w:lineRule="exact"/>
        <w:rPr>
          <w:sz w:val="20"/>
          <w:szCs w:val="20"/>
          <w:color w:val="auto"/>
        </w:rPr>
      </w:pPr>
    </w:p>
    <w:p>
      <w:pPr>
        <w:spacing w:after="0"/>
        <w:rPr>
          <w:sz w:val="20"/>
          <w:szCs w:val="20"/>
          <w:color w:val="auto"/>
        </w:rPr>
      </w:pPr>
      <w:r>
        <w:rPr>
          <w:rFonts w:ascii="Arial" w:cs="Arial" w:eastAsia="Arial" w:hAnsi="Arial"/>
          <w:sz w:val="23"/>
          <w:szCs w:val="23"/>
          <w:color w:val="0C426A"/>
        </w:rPr>
        <w:t>Director Independence</w:t>
      </w:r>
    </w:p>
    <w:p>
      <w:pPr>
        <w:spacing w:after="0" w:line="181" w:lineRule="exact"/>
        <w:rPr>
          <w:sz w:val="20"/>
          <w:szCs w:val="20"/>
          <w:color w:val="auto"/>
        </w:rPr>
      </w:pPr>
    </w:p>
    <w:p>
      <w:pPr>
        <w:ind w:right="159"/>
        <w:spacing w:after="0" w:line="252" w:lineRule="auto"/>
        <w:rPr>
          <w:sz w:val="20"/>
          <w:szCs w:val="20"/>
          <w:color w:val="auto"/>
        </w:rPr>
      </w:pPr>
      <w:r>
        <w:rPr>
          <w:rFonts w:ascii="Arial" w:cs="Arial" w:eastAsia="Arial" w:hAnsi="Arial"/>
          <w:sz w:val="16"/>
          <w:szCs w:val="16"/>
          <w:color w:val="auto"/>
        </w:rPr>
        <w:t>Our Corporate Governance Guidelines require a majority of the Board to be independent and sets forth the Board’s current independence criteria. For a Director to be considered an “Independent Director”, the Board must annually determine that he or she has no material relationship with the Company (either directly or as a partner, shareholder or officer of an organization which has such a relationship with the Company). The basis for the Company’s determination of independence is based on the applicable New York Stock Exchange (the “NYSE”) and SEC rules, however no Director is considered to be an Independent Director if he or she:</w:t>
      </w:r>
    </w:p>
    <w:p>
      <w:pPr>
        <w:spacing w:after="0" w:line="46" w:lineRule="exact"/>
        <w:rPr>
          <w:sz w:val="20"/>
          <w:szCs w:val="20"/>
          <w:color w:val="auto"/>
        </w:rPr>
      </w:pPr>
    </w:p>
    <w:p>
      <w:pPr>
        <w:ind w:left="180" w:hanging="175"/>
        <w:spacing w:after="0"/>
        <w:tabs>
          <w:tab w:leader="none" w:pos="180" w:val="left"/>
        </w:tabs>
        <w:numPr>
          <w:ilvl w:val="0"/>
          <w:numId w:val="11"/>
        </w:numPr>
        <w:rPr>
          <w:rFonts w:ascii="Arial" w:cs="Arial" w:eastAsia="Arial" w:hAnsi="Arial"/>
          <w:sz w:val="16"/>
          <w:szCs w:val="16"/>
          <w:color w:val="4297CB"/>
        </w:rPr>
      </w:pPr>
      <w:r>
        <w:rPr>
          <w:rFonts w:ascii="Arial" w:cs="Arial" w:eastAsia="Arial" w:hAnsi="Arial"/>
          <w:sz w:val="16"/>
          <w:szCs w:val="16"/>
          <w:color w:val="auto"/>
        </w:rPr>
        <w:t>has in the last three years been employed by the Company;</w:t>
      </w:r>
    </w:p>
    <w:p>
      <w:pPr>
        <w:spacing w:after="0" w:line="70" w:lineRule="exact"/>
        <w:rPr>
          <w:rFonts w:ascii="Arial" w:cs="Arial" w:eastAsia="Arial" w:hAnsi="Arial"/>
          <w:sz w:val="16"/>
          <w:szCs w:val="16"/>
          <w:color w:val="4297CB"/>
        </w:rPr>
      </w:pPr>
    </w:p>
    <w:p>
      <w:pPr>
        <w:ind w:left="180" w:right="39" w:hanging="175"/>
        <w:spacing w:after="0" w:line="282" w:lineRule="auto"/>
        <w:tabs>
          <w:tab w:leader="none" w:pos="180" w:val="left"/>
        </w:tabs>
        <w:numPr>
          <w:ilvl w:val="0"/>
          <w:numId w:val="11"/>
        </w:numPr>
        <w:rPr>
          <w:rFonts w:ascii="Arial" w:cs="Arial" w:eastAsia="Arial" w:hAnsi="Arial"/>
          <w:sz w:val="16"/>
          <w:szCs w:val="16"/>
          <w:color w:val="4297CB"/>
        </w:rPr>
      </w:pPr>
      <w:r>
        <w:rPr>
          <w:rFonts w:ascii="Arial" w:cs="Arial" w:eastAsia="Arial" w:hAnsi="Arial"/>
          <w:sz w:val="16"/>
          <w:szCs w:val="16"/>
          <w:color w:val="auto"/>
        </w:rPr>
        <w:t>has in the last three years been affiliated with or employed by a present or former auditor of the Company or of an affiliate of the Company;</w:t>
      </w:r>
    </w:p>
    <w:p>
      <w:pPr>
        <w:spacing w:after="0" w:line="9" w:lineRule="exact"/>
        <w:rPr>
          <w:rFonts w:ascii="Arial" w:cs="Arial" w:eastAsia="Arial" w:hAnsi="Arial"/>
          <w:sz w:val="16"/>
          <w:szCs w:val="16"/>
          <w:color w:val="4297CB"/>
        </w:rPr>
      </w:pPr>
    </w:p>
    <w:p>
      <w:pPr>
        <w:ind w:left="180" w:right="199" w:hanging="175"/>
        <w:spacing w:after="0" w:line="282" w:lineRule="auto"/>
        <w:tabs>
          <w:tab w:leader="none" w:pos="180" w:val="left"/>
        </w:tabs>
        <w:numPr>
          <w:ilvl w:val="0"/>
          <w:numId w:val="11"/>
        </w:numPr>
        <w:rPr>
          <w:rFonts w:ascii="Arial" w:cs="Arial" w:eastAsia="Arial" w:hAnsi="Arial"/>
          <w:sz w:val="16"/>
          <w:szCs w:val="16"/>
          <w:color w:val="4297CB"/>
        </w:rPr>
      </w:pPr>
      <w:r>
        <w:rPr>
          <w:rFonts w:ascii="Arial" w:cs="Arial" w:eastAsia="Arial" w:hAnsi="Arial"/>
          <w:sz w:val="16"/>
          <w:szCs w:val="16"/>
          <w:color w:val="auto"/>
        </w:rPr>
        <w:t>has in the last three years been part of an interlocking directorate in which an executive officer of the Company sits on the compensation committee of another company which concurrently employs the director;</w:t>
      </w:r>
    </w:p>
    <w:p>
      <w:pPr>
        <w:spacing w:after="0" w:line="22" w:lineRule="exact"/>
        <w:rPr>
          <w:rFonts w:ascii="Arial" w:cs="Arial" w:eastAsia="Arial" w:hAnsi="Arial"/>
          <w:sz w:val="16"/>
          <w:szCs w:val="16"/>
          <w:color w:val="4297CB"/>
        </w:rPr>
      </w:pPr>
    </w:p>
    <w:p>
      <w:pPr>
        <w:ind w:left="180" w:right="119" w:hanging="175"/>
        <w:spacing w:after="0" w:line="263" w:lineRule="auto"/>
        <w:tabs>
          <w:tab w:leader="none" w:pos="180" w:val="left"/>
        </w:tabs>
        <w:numPr>
          <w:ilvl w:val="0"/>
          <w:numId w:val="11"/>
        </w:numPr>
        <w:rPr>
          <w:rFonts w:ascii="Arial" w:cs="Arial" w:eastAsia="Arial" w:hAnsi="Arial"/>
          <w:sz w:val="16"/>
          <w:szCs w:val="16"/>
          <w:color w:val="4297CB"/>
        </w:rPr>
      </w:pPr>
      <w:r>
        <w:rPr>
          <w:rFonts w:ascii="Arial" w:cs="Arial" w:eastAsia="Arial" w:hAnsi="Arial"/>
          <w:sz w:val="16"/>
          <w:szCs w:val="16"/>
          <w:color w:val="auto"/>
        </w:rPr>
        <w:t>has in the last three years received more than $120,000 in direct compensation from the Company, other than director fees and deferred compensation, and with respect to Audit Committee members, accepted directly or indirectly any consulting, advisory, or other compensatory fee from the Company or any of its subsidiaries;</w:t>
      </w:r>
    </w:p>
    <w:p>
      <w:pPr>
        <w:spacing w:after="0" w:line="24" w:lineRule="exact"/>
        <w:rPr>
          <w:rFonts w:ascii="Arial" w:cs="Arial" w:eastAsia="Arial" w:hAnsi="Arial"/>
          <w:sz w:val="16"/>
          <w:szCs w:val="16"/>
          <w:color w:val="4297CB"/>
        </w:rPr>
      </w:pPr>
    </w:p>
    <w:p>
      <w:pPr>
        <w:ind w:left="180" w:right="19" w:hanging="175"/>
        <w:spacing w:after="0" w:line="282" w:lineRule="auto"/>
        <w:tabs>
          <w:tab w:leader="none" w:pos="180" w:val="left"/>
        </w:tabs>
        <w:numPr>
          <w:ilvl w:val="0"/>
          <w:numId w:val="11"/>
        </w:numPr>
        <w:rPr>
          <w:rFonts w:ascii="Arial" w:cs="Arial" w:eastAsia="Arial" w:hAnsi="Arial"/>
          <w:sz w:val="16"/>
          <w:szCs w:val="16"/>
          <w:color w:val="4297CB"/>
        </w:rPr>
      </w:pPr>
      <w:r>
        <w:rPr>
          <w:rFonts w:ascii="Arial" w:cs="Arial" w:eastAsia="Arial" w:hAnsi="Arial"/>
          <w:sz w:val="16"/>
          <w:szCs w:val="16"/>
          <w:color w:val="auto"/>
        </w:rPr>
        <w:t>is currently employed by a company that in any of the last three years has received payments from or made payments to the Company in an amount that exceeds the greater of $1 million or 2% of such other company’s gross revenue; or</w:t>
      </w:r>
    </w:p>
    <w:p>
      <w:pPr>
        <w:spacing w:after="0" w:line="9" w:lineRule="exact"/>
        <w:rPr>
          <w:rFonts w:ascii="Arial" w:cs="Arial" w:eastAsia="Arial" w:hAnsi="Arial"/>
          <w:sz w:val="16"/>
          <w:szCs w:val="16"/>
          <w:color w:val="4297CB"/>
        </w:rPr>
      </w:pPr>
    </w:p>
    <w:p>
      <w:pPr>
        <w:ind w:left="180" w:right="99" w:hanging="175"/>
        <w:spacing w:after="0" w:line="263" w:lineRule="auto"/>
        <w:tabs>
          <w:tab w:leader="none" w:pos="180" w:val="left"/>
        </w:tabs>
        <w:numPr>
          <w:ilvl w:val="0"/>
          <w:numId w:val="11"/>
        </w:numPr>
        <w:rPr>
          <w:rFonts w:ascii="Arial" w:cs="Arial" w:eastAsia="Arial" w:hAnsi="Arial"/>
          <w:sz w:val="16"/>
          <w:szCs w:val="16"/>
          <w:color w:val="4297CB"/>
        </w:rPr>
      </w:pPr>
      <w:r>
        <w:rPr>
          <w:rFonts w:ascii="Arial" w:cs="Arial" w:eastAsia="Arial" w:hAnsi="Arial"/>
          <w:sz w:val="16"/>
          <w:szCs w:val="16"/>
          <w:color w:val="auto"/>
        </w:rPr>
        <w:t>has an immediate family member who falls within any of the above categories, except that an immediate family member may be an employee of, but not a partner of, the auditor of the Company and not impair the director’s independence if such immediate family member does not personally work on the Company’s audit.</w:t>
      </w:r>
    </w:p>
    <w:p>
      <w:pPr>
        <w:spacing w:after="0" w:line="118" w:lineRule="exact"/>
        <w:rPr>
          <w:sz w:val="20"/>
          <w:szCs w:val="20"/>
          <w:color w:val="auto"/>
        </w:rPr>
      </w:pPr>
    </w:p>
    <w:p>
      <w:pPr>
        <w:ind w:right="399"/>
        <w:spacing w:after="0" w:line="263" w:lineRule="auto"/>
        <w:rPr>
          <w:sz w:val="20"/>
          <w:szCs w:val="20"/>
          <w:color w:val="auto"/>
        </w:rPr>
      </w:pPr>
      <w:r>
        <w:rPr>
          <w:rFonts w:ascii="Arial" w:cs="Arial" w:eastAsia="Arial" w:hAnsi="Arial"/>
          <w:sz w:val="16"/>
          <w:szCs w:val="16"/>
          <w:color w:val="auto"/>
        </w:rPr>
        <w:t>The Board has reviewed the independence of its members considering these standards and any other commercial, legal, accounting and familial relationships between the directors and Wabtec and determined that all of its members were independent during 2023, with the exception of Mr. Santana due to his position as the Company’s Chief Executive Officer.</w:t>
      </w:r>
    </w:p>
    <w:p>
      <w:pPr>
        <w:spacing w:after="0" w:line="118" w:lineRule="exact"/>
        <w:rPr>
          <w:sz w:val="20"/>
          <w:szCs w:val="20"/>
          <w:color w:val="auto"/>
        </w:rPr>
      </w:pPr>
    </w:p>
    <w:p>
      <w:pPr>
        <w:ind w:right="79"/>
        <w:spacing w:after="0" w:line="254" w:lineRule="auto"/>
        <w:rPr>
          <w:sz w:val="20"/>
          <w:szCs w:val="20"/>
          <w:color w:val="auto"/>
        </w:rPr>
      </w:pPr>
      <w:r>
        <w:rPr>
          <w:rFonts w:ascii="Arial" w:cs="Arial" w:eastAsia="Arial" w:hAnsi="Arial"/>
          <w:sz w:val="16"/>
          <w:szCs w:val="16"/>
          <w:color w:val="auto"/>
        </w:rPr>
        <w:t>None of such independent directors has a material relationship with Wabtec and each such director meets the Board’s categorical independence standards and the independence requirements of the NYSE. The Board’s Audit Committee, Compensation Committee, and Governance Committee are composed entirely of directors who meet the independence requirements of the NYSE. Each member of the Audit Committee and the Compensation Committee also meets the additional independence standards for such committee members required by the SEC.</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760" w:type="dxa"/>
            <w:vAlign w:val="bottom"/>
          </w:tcPr>
          <w:p>
            <w:pPr>
              <w:jc w:val="right"/>
              <w:ind w:right="529"/>
              <w:spacing w:after="0"/>
              <w:rPr>
                <w:sz w:val="20"/>
                <w:szCs w:val="20"/>
                <w:color w:val="auto"/>
              </w:rPr>
            </w:pPr>
            <w:r>
              <w:rPr>
                <w:rFonts w:ascii="Arial" w:cs="Arial" w:eastAsia="Arial" w:hAnsi="Arial"/>
                <w:sz w:val="14"/>
                <w:szCs w:val="14"/>
                <w:b w:val="1"/>
                <w:bCs w:val="1"/>
                <w:color w:val="auto"/>
                <w:w w:val="89"/>
              </w:rPr>
              <w:t>22</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179070</wp:posOffset>
            </wp:positionV>
            <wp:extent cx="693801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25" w:name="page26"/>
    <w:bookmarkEnd w:id="25"/>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ind w:left="960"/>
        <w:spacing w:after="0"/>
        <w:rPr>
          <w:sz w:val="20"/>
          <w:szCs w:val="20"/>
          <w:color w:val="auto"/>
        </w:rPr>
      </w:pPr>
      <w:r>
        <w:rPr>
          <w:rFonts w:ascii="Arial" w:cs="Arial" w:eastAsia="Arial" w:hAnsi="Arial"/>
          <w:sz w:val="43"/>
          <w:szCs w:val="43"/>
          <w:color w:val="E02826"/>
        </w:rPr>
        <w:t>Corporate Governance</w:t>
      </w:r>
    </w:p>
    <w:p>
      <w:pPr>
        <w:spacing w:after="0" w:line="358" w:lineRule="exact"/>
        <w:rPr>
          <w:sz w:val="20"/>
          <w:szCs w:val="20"/>
          <w:color w:val="auto"/>
        </w:rPr>
      </w:pPr>
    </w:p>
    <w:p>
      <w:pPr>
        <w:ind w:left="960"/>
        <w:spacing w:after="0"/>
        <w:rPr>
          <w:sz w:val="20"/>
          <w:szCs w:val="20"/>
          <w:color w:val="auto"/>
        </w:rPr>
      </w:pPr>
      <w:r>
        <w:rPr>
          <w:rFonts w:ascii="Arial" w:cs="Arial" w:eastAsia="Arial" w:hAnsi="Arial"/>
          <w:sz w:val="29"/>
          <w:szCs w:val="29"/>
          <w:color w:val="636466"/>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140335</wp:posOffset>
            </wp:positionV>
            <wp:extent cx="5977255" cy="57048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77255" cy="5704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9140" w:type="dxa"/>
            <w:vAlign w:val="bottom"/>
          </w:tcPr>
          <w:p>
            <w:pPr>
              <w:ind w:left="636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800" w:type="dxa"/>
            <w:vAlign w:val="bottom"/>
          </w:tcPr>
          <w:p>
            <w:pPr>
              <w:jc w:val="right"/>
              <w:ind w:right="909"/>
              <w:spacing w:after="0"/>
              <w:rPr>
                <w:sz w:val="20"/>
                <w:szCs w:val="20"/>
                <w:color w:val="auto"/>
              </w:rPr>
            </w:pPr>
            <w:r>
              <w:rPr>
                <w:rFonts w:ascii="Arial" w:cs="Arial" w:eastAsia="Arial" w:hAnsi="Arial"/>
                <w:sz w:val="14"/>
                <w:szCs w:val="14"/>
                <w:b w:val="1"/>
                <w:bCs w:val="1"/>
                <w:color w:val="auto"/>
              </w:rPr>
              <w:t>23</w:t>
            </w:r>
          </w:p>
        </w:tc>
      </w:tr>
      <w:tr>
        <w:trPr>
          <w:trHeight w:val="355"/>
        </w:trPr>
        <w:tc>
          <w:tcPr>
            <w:tcW w:w="9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-415925</wp:posOffset>
            </wp:positionV>
            <wp:extent cx="501650" cy="170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Corporate Governance</w:t>
      </w:r>
    </w:p>
    <w:p>
      <w:pPr>
        <w:spacing w:after="0" w:line="169" w:lineRule="exact"/>
        <w:rPr>
          <w:sz w:val="20"/>
          <w:szCs w:val="20"/>
          <w:color w:val="auto"/>
        </w:rPr>
      </w:pPr>
    </w:p>
    <w:p>
      <w:pPr>
        <w:spacing w:after="0"/>
        <w:rPr>
          <w:sz w:val="20"/>
          <w:szCs w:val="20"/>
          <w:color w:val="auto"/>
        </w:rPr>
      </w:pPr>
      <w:r>
        <w:rPr>
          <w:rFonts w:ascii="Arial" w:cs="Arial" w:eastAsia="Arial" w:hAnsi="Arial"/>
          <w:sz w:val="29"/>
          <w:szCs w:val="29"/>
          <w:color w:val="636466"/>
        </w:rPr>
        <w:t>Board Structure and Operations</w:t>
      </w:r>
    </w:p>
    <w:p>
      <w:pPr>
        <w:spacing w:after="0" w:line="149" w:lineRule="exact"/>
        <w:rPr>
          <w:sz w:val="20"/>
          <w:szCs w:val="20"/>
          <w:color w:val="auto"/>
        </w:rPr>
      </w:pPr>
    </w:p>
    <w:p>
      <w:pPr>
        <w:spacing w:after="0"/>
        <w:rPr>
          <w:sz w:val="20"/>
          <w:szCs w:val="20"/>
          <w:color w:val="auto"/>
        </w:rPr>
      </w:pPr>
      <w:r>
        <w:rPr>
          <w:rFonts w:ascii="Arial" w:cs="Arial" w:eastAsia="Arial" w:hAnsi="Arial"/>
          <w:sz w:val="23"/>
          <w:szCs w:val="23"/>
          <w:color w:val="0C426A"/>
        </w:rPr>
        <w:t>Board Leadership Structure</w:t>
      </w:r>
    </w:p>
    <w:p>
      <w:pPr>
        <w:spacing w:after="0" w:line="181" w:lineRule="exact"/>
        <w:rPr>
          <w:sz w:val="20"/>
          <w:szCs w:val="20"/>
          <w:color w:val="auto"/>
        </w:rPr>
      </w:pPr>
    </w:p>
    <w:p>
      <w:pPr>
        <w:ind w:right="139"/>
        <w:spacing w:after="0" w:line="254" w:lineRule="auto"/>
        <w:rPr>
          <w:sz w:val="20"/>
          <w:szCs w:val="20"/>
          <w:color w:val="auto"/>
        </w:rPr>
      </w:pPr>
      <w:r>
        <w:rPr>
          <w:rFonts w:ascii="Arial" w:cs="Arial" w:eastAsia="Arial" w:hAnsi="Arial"/>
          <w:sz w:val="16"/>
          <w:szCs w:val="16"/>
          <w:color w:val="auto"/>
        </w:rPr>
        <w:t>The Company currently has a non-executive, independent Chair of the Board, a separate Chief Executive Officer, and a Lead Independent Director. Over the past several years, the Board has continued to take action to strengthen the role of the Lead Independent Director, including amendments to the Corporate Governance Guidelines to formalize the role of the Lead Independent Director. The Chief Executive Officer, who is also a director, is responsible for setting the strategic direction for the Company along with the day to day leadership and performance of the Company.</w:t>
      </w:r>
    </w:p>
    <w:p>
      <w:pPr>
        <w:spacing w:after="0" w:line="124" w:lineRule="exact"/>
        <w:rPr>
          <w:sz w:val="20"/>
          <w:szCs w:val="20"/>
          <w:color w:val="auto"/>
        </w:rPr>
      </w:pPr>
    </w:p>
    <w:p>
      <w:pPr>
        <w:jc w:val="both"/>
        <w:ind w:right="219"/>
        <w:spacing w:after="0" w:line="263" w:lineRule="auto"/>
        <w:rPr>
          <w:sz w:val="20"/>
          <w:szCs w:val="20"/>
          <w:color w:val="auto"/>
        </w:rPr>
      </w:pPr>
      <w:r>
        <w:rPr>
          <w:rFonts w:ascii="Arial" w:cs="Arial" w:eastAsia="Arial" w:hAnsi="Arial"/>
          <w:sz w:val="16"/>
          <w:szCs w:val="16"/>
          <w:color w:val="auto"/>
        </w:rPr>
        <w:t>The Board believes that this structure currently is in the best interests of Wabtec and provides clear leadership responsibility and accountability, while providing for effective corporate governance and oversight by an independent Board of strong and seasoned Directors. The Board evaluates this leadership structure annually.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Duties of Chair and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87630</wp:posOffset>
            </wp:positionV>
            <wp:extent cx="57137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13730" cy="8255"/>
                    </a:xfrm>
                    <a:prstGeom prst="rect">
                      <a:avLst/>
                    </a:prstGeom>
                    <a:noFill/>
                  </pic:spPr>
                </pic:pic>
              </a:graphicData>
            </a:graphic>
          </wp:anchor>
        </w:drawing>
        <w:drawing>
          <wp:anchor simplePos="0" relativeHeight="251657728" behindDoc="1" locked="0" layoutInCell="0" allowOverlap="1">
            <wp:simplePos x="0" y="0"/>
            <wp:positionH relativeFrom="column">
              <wp:posOffset>866140</wp:posOffset>
            </wp:positionH>
            <wp:positionV relativeFrom="paragraph">
              <wp:posOffset>232410</wp:posOffset>
            </wp:positionV>
            <wp:extent cx="1062990" cy="10629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62990" cy="1062990"/>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232410</wp:posOffset>
            </wp:positionV>
            <wp:extent cx="1062990" cy="10629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6299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400"/>
        <w:spacing w:after="0"/>
        <w:tabs>
          <w:tab w:leader="none" w:pos="448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ectPr>
          <w:pgSz w:w="11900" w:h="16838" w:orient="portrait"/>
          <w:cols w:equalWidth="0" w:num="1">
            <w:col w:w="9019"/>
          </w:cols>
          <w:pgMar w:left="1440" w:top="1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0"/>
        <w:spacing w:after="0"/>
        <w:rPr>
          <w:sz w:val="20"/>
          <w:szCs w:val="20"/>
          <w:color w:val="auto"/>
        </w:rPr>
      </w:pPr>
      <w:r>
        <w:rPr>
          <w:rFonts w:ascii="Arial" w:cs="Arial" w:eastAsia="Arial" w:hAnsi="Arial"/>
          <w:sz w:val="16"/>
          <w:szCs w:val="16"/>
          <w:color w:val="auto"/>
        </w:rPr>
        <w:t> </w:t>
      </w:r>
    </w:p>
    <w:p>
      <w:pPr>
        <w:spacing w:after="0" w:line="164"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0C426A"/>
        </w:rPr>
        <w:t>Albert J. Neupaver</w:t>
      </w:r>
    </w:p>
    <w:p>
      <w:pPr>
        <w:spacing w:after="0" w:line="22" w:lineRule="exact"/>
        <w:rPr>
          <w:sz w:val="20"/>
          <w:szCs w:val="20"/>
          <w:color w:val="auto"/>
        </w:rPr>
      </w:pPr>
    </w:p>
    <w:p>
      <w:pPr>
        <w:jc w:val="both"/>
        <w:ind w:left="4400"/>
        <w:spacing w:after="0"/>
        <w:tabs>
          <w:tab w:leader="none" w:pos="448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3" w:lineRule="exact"/>
        <w:rPr>
          <w:sz w:val="20"/>
          <w:szCs w:val="20"/>
          <w:color w:val="auto"/>
        </w:rPr>
      </w:pPr>
    </w:p>
    <w:p>
      <w:pPr>
        <w:ind w:left="60" w:right="1500" w:firstLine="1334"/>
        <w:spacing w:after="0" w:line="392" w:lineRule="auto"/>
        <w:rPr>
          <w:sz w:val="20"/>
          <w:szCs w:val="20"/>
          <w:color w:val="auto"/>
        </w:rPr>
      </w:pPr>
      <w:r>
        <w:rPr>
          <w:rFonts w:ascii="Arial" w:cs="Arial" w:eastAsia="Arial" w:hAnsi="Arial"/>
          <w:sz w:val="16"/>
          <w:szCs w:val="16"/>
          <w:color w:val="auto"/>
        </w:rPr>
        <w:t>Chairman of the Board The Chairman of the Board:</w:t>
      </w:r>
    </w:p>
    <w:p>
      <w:pPr>
        <w:spacing w:after="0" w:line="2" w:lineRule="exact"/>
        <w:rPr>
          <w:sz w:val="20"/>
          <w:szCs w:val="20"/>
          <w:color w:val="auto"/>
        </w:rPr>
      </w:pPr>
    </w:p>
    <w:p>
      <w:pPr>
        <w:ind w:left="220" w:right="800" w:hanging="163"/>
        <w:spacing w:after="0" w:line="282" w:lineRule="auto"/>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articulates Wabtec’s long-term strategic priorities,</w:t>
      </w:r>
      <w:r>
        <w:rPr>
          <w:rFonts w:ascii="Arial" w:cs="Arial" w:eastAsia="Arial" w:hAnsi="Arial"/>
          <w:sz w:val="16"/>
          <w:szCs w:val="16"/>
          <w:color w:val="4297CB"/>
        </w:rPr>
        <w:t xml:space="preserve"> </w:t>
      </w:r>
      <w:r>
        <w:rPr>
          <w:rFonts w:ascii="Arial" w:cs="Arial" w:eastAsia="Arial" w:hAnsi="Arial"/>
          <w:sz w:val="16"/>
          <w:szCs w:val="16"/>
          <w:color w:val="000000"/>
        </w:rPr>
        <w:t>performance and operating results,</w:t>
      </w:r>
    </w:p>
    <w:p>
      <w:pPr>
        <w:spacing w:after="0" w:line="23" w:lineRule="exact"/>
        <w:rPr>
          <w:sz w:val="20"/>
          <w:szCs w:val="20"/>
          <w:color w:val="auto"/>
        </w:rPr>
      </w:pPr>
    </w:p>
    <w:p>
      <w:pPr>
        <w:jc w:val="right"/>
        <w:ind w:left="60" w:right="360"/>
        <w:spacing w:after="0" w:line="282" w:lineRule="auto"/>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ensures management is effectively providing the proper</w:t>
      </w:r>
      <w:r>
        <w:rPr>
          <w:rFonts w:ascii="Arial" w:cs="Arial" w:eastAsia="Arial" w:hAnsi="Arial"/>
          <w:sz w:val="16"/>
          <w:szCs w:val="16"/>
          <w:color w:val="4297CB"/>
        </w:rPr>
        <w:t xml:space="preserve"> </w:t>
      </w:r>
      <w:r>
        <w:rPr>
          <w:rFonts w:ascii="Arial" w:cs="Arial" w:eastAsia="Arial" w:hAnsi="Arial"/>
          <w:sz w:val="16"/>
          <w:szCs w:val="16"/>
          <w:color w:val="000000"/>
        </w:rPr>
        <w:t>information to the Board to facilitate effective oversight,</w:t>
      </w:r>
    </w:p>
    <w:p>
      <w:pPr>
        <w:spacing w:after="0" w:line="9" w:lineRule="exact"/>
        <w:rPr>
          <w:sz w:val="20"/>
          <w:szCs w:val="20"/>
          <w:color w:val="auto"/>
        </w:rPr>
      </w:pPr>
    </w:p>
    <w:p>
      <w:pPr>
        <w:ind w:left="220" w:right="100" w:hanging="163"/>
        <w:spacing w:after="0" w:line="263" w:lineRule="auto"/>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provides leadership to the Board ensuring that the Board is</w:t>
      </w:r>
      <w:r>
        <w:rPr>
          <w:rFonts w:ascii="Arial" w:cs="Arial" w:eastAsia="Arial" w:hAnsi="Arial"/>
          <w:sz w:val="16"/>
          <w:szCs w:val="16"/>
          <w:color w:val="4297CB"/>
        </w:rPr>
        <w:t xml:space="preserve"> </w:t>
      </w:r>
      <w:r>
        <w:rPr>
          <w:rFonts w:ascii="Arial" w:cs="Arial" w:eastAsia="Arial" w:hAnsi="Arial"/>
          <w:sz w:val="16"/>
          <w:szCs w:val="16"/>
          <w:color w:val="000000"/>
        </w:rPr>
        <w:t>focused on performance, value creation, accountability, and risks facing the Company,</w:t>
      </w:r>
    </w:p>
    <w:tbl>
      <w:tblPr>
        <w:tblLayout w:type="fixed"/>
        <w:tblInd w:w="60" w:type="dxa"/>
        <w:tblCellMar>
          <w:top w:w="0" w:type="dxa"/>
          <w:left w:w="0" w:type="dxa"/>
          <w:bottom w:w="0" w:type="dxa"/>
          <w:right w:w="0" w:type="dxa"/>
        </w:tblCellMar>
      </w:tblPr>
      <w:tr>
        <w:trPr>
          <w:trHeight w:val="89"/>
        </w:trPr>
        <w:tc>
          <w:tcPr>
            <w:tcW w:w="4180" w:type="dxa"/>
            <w:vAlign w:val="bottom"/>
          </w:tcPr>
          <w:p>
            <w:pPr>
              <w:spacing w:after="0" w:line="79" w:lineRule="exact"/>
              <w:rPr>
                <w:sz w:val="20"/>
                <w:szCs w:val="20"/>
                <w:color w:val="auto"/>
              </w:rPr>
            </w:pPr>
            <w:r>
              <w:rPr>
                <w:rFonts w:ascii="Arial" w:cs="Arial" w:eastAsia="Arial" w:hAnsi="Arial"/>
                <w:sz w:val="9"/>
                <w:szCs w:val="9"/>
                <w:color w:val="4297CB"/>
              </w:rPr>
              <w:t>•</w:t>
            </w:r>
            <w:r>
              <w:rPr>
                <w:rFonts w:ascii="Arial" w:cs="Arial" w:eastAsia="Arial" w:hAnsi="Arial"/>
                <w:sz w:val="9"/>
                <w:szCs w:val="9"/>
                <w:color w:val="000000"/>
              </w:rPr>
              <w:t xml:space="preserve">  sets the agenda for Board meetings,</w:t>
            </w:r>
          </w:p>
        </w:tc>
        <w:tc>
          <w:tcPr>
            <w:tcW w:w="260" w:type="dxa"/>
            <w:vAlign w:val="bottom"/>
          </w:tcPr>
          <w:p>
            <w:pPr>
              <w:ind w:left="16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r>
      <w:tr>
        <w:trPr>
          <w:trHeight w:val="417"/>
        </w:trPr>
        <w:tc>
          <w:tcPr>
            <w:tcW w:w="4180" w:type="dxa"/>
            <w:vAlign w:val="bottom"/>
          </w:tcPr>
          <w:p>
            <w:pPr>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approves materials sent to the Board,</w:t>
            </w:r>
          </w:p>
        </w:tc>
        <w:tc>
          <w:tcPr>
            <w:tcW w:w="260" w:type="dxa"/>
            <w:vAlign w:val="bottom"/>
          </w:tcPr>
          <w:p>
            <w:pPr>
              <w:spacing w:after="0"/>
              <w:rPr>
                <w:sz w:val="24"/>
                <w:szCs w:val="24"/>
                <w:color w:val="auto"/>
              </w:rPr>
            </w:pPr>
          </w:p>
        </w:tc>
      </w:tr>
      <w:tr>
        <w:trPr>
          <w:trHeight w:val="254"/>
        </w:trPr>
        <w:tc>
          <w:tcPr>
            <w:tcW w:w="4180" w:type="dxa"/>
            <w:vAlign w:val="bottom"/>
          </w:tcPr>
          <w:p>
            <w:pPr>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provides input with respect to the Board agenda,</w:t>
            </w:r>
          </w:p>
        </w:tc>
        <w:tc>
          <w:tcPr>
            <w:tcW w:w="260" w:type="dxa"/>
            <w:vAlign w:val="bottom"/>
          </w:tcPr>
          <w:p>
            <w:pPr>
              <w:spacing w:after="0"/>
              <w:rPr>
                <w:sz w:val="22"/>
                <w:szCs w:val="22"/>
                <w:color w:val="auto"/>
              </w:rPr>
            </w:pPr>
          </w:p>
        </w:tc>
      </w:tr>
      <w:tr>
        <w:trPr>
          <w:trHeight w:val="228"/>
        </w:trPr>
        <w:tc>
          <w:tcPr>
            <w:tcW w:w="4180" w:type="dxa"/>
            <w:vAlign w:val="bottom"/>
          </w:tcPr>
          <w:p>
            <w:pPr>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facilitates discussion between the Board and executive</w:t>
            </w:r>
          </w:p>
        </w:tc>
        <w:tc>
          <w:tcPr>
            <w:tcW w:w="260" w:type="dxa"/>
            <w:vAlign w:val="bottom"/>
          </w:tcPr>
          <w:p>
            <w:pPr>
              <w:spacing w:after="0"/>
              <w:rPr>
                <w:sz w:val="19"/>
                <w:szCs w:val="19"/>
                <w:color w:val="auto"/>
              </w:rPr>
            </w:pPr>
          </w:p>
        </w:tc>
      </w:tr>
      <w:tr>
        <w:trPr>
          <w:trHeight w:val="213"/>
        </w:trPr>
        <w:tc>
          <w:tcPr>
            <w:tcW w:w="4180" w:type="dxa"/>
            <w:vAlign w:val="bottom"/>
          </w:tcPr>
          <w:p>
            <w:pPr>
              <w:ind w:left="160"/>
              <w:spacing w:after="0"/>
              <w:rPr>
                <w:sz w:val="20"/>
                <w:szCs w:val="20"/>
                <w:color w:val="auto"/>
              </w:rPr>
            </w:pPr>
            <w:r>
              <w:rPr>
                <w:rFonts w:ascii="Arial" w:cs="Arial" w:eastAsia="Arial" w:hAnsi="Arial"/>
                <w:sz w:val="16"/>
                <w:szCs w:val="16"/>
                <w:color w:val="auto"/>
              </w:rPr>
              <w:t>management, and</w:t>
            </w:r>
          </w:p>
        </w:tc>
        <w:tc>
          <w:tcPr>
            <w:tcW w:w="260" w:type="dxa"/>
            <w:vAlign w:val="bottom"/>
          </w:tcPr>
          <w:p>
            <w:pPr>
              <w:spacing w:after="0"/>
              <w:rPr>
                <w:sz w:val="18"/>
                <w:szCs w:val="18"/>
                <w:color w:val="auto"/>
              </w:rPr>
            </w:pPr>
          </w:p>
        </w:tc>
      </w:tr>
    </w:tbl>
    <w:p>
      <w:pPr>
        <w:spacing w:after="0" w:line="54" w:lineRule="exact"/>
        <w:rPr>
          <w:sz w:val="20"/>
          <w:szCs w:val="20"/>
          <w:color w:val="auto"/>
        </w:rPr>
      </w:pPr>
    </w:p>
    <w:p>
      <w:pPr>
        <w:ind w:left="220" w:right="200" w:hanging="163"/>
        <w:spacing w:after="0" w:line="282" w:lineRule="auto"/>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executes good board governance and oversight over best</w:t>
      </w:r>
      <w:r>
        <w:rPr>
          <w:rFonts w:ascii="Arial" w:cs="Arial" w:eastAsia="Arial" w:hAnsi="Arial"/>
          <w:sz w:val="16"/>
          <w:szCs w:val="16"/>
          <w:color w:val="4297CB"/>
        </w:rPr>
        <w:t xml:space="preserve"> </w:t>
      </w:r>
      <w:r>
        <w:rPr>
          <w:rFonts w:ascii="Arial" w:cs="Arial" w:eastAsia="Arial" w:hAnsi="Arial"/>
          <w:sz w:val="16"/>
          <w:szCs w:val="16"/>
          <w:color w:val="000000"/>
        </w:rPr>
        <w:t>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269875</wp:posOffset>
            </wp:positionV>
            <wp:extent cx="57137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C426A"/>
        </w:rPr>
        <w:t>Linda A. Harty</w:t>
      </w:r>
    </w:p>
    <w:p>
      <w:pPr>
        <w:spacing w:after="0" w:line="70" w:lineRule="exact"/>
        <w:rPr>
          <w:sz w:val="20"/>
          <w:szCs w:val="20"/>
          <w:color w:val="auto"/>
        </w:rPr>
      </w:pPr>
    </w:p>
    <w:p>
      <w:pPr>
        <w:ind w:right="1279" w:firstLine="1258"/>
        <w:spacing w:after="0" w:line="392" w:lineRule="auto"/>
        <w:rPr>
          <w:sz w:val="20"/>
          <w:szCs w:val="20"/>
          <w:color w:val="auto"/>
        </w:rPr>
      </w:pPr>
      <w:r>
        <w:rPr>
          <w:rFonts w:ascii="Arial" w:cs="Arial" w:eastAsia="Arial" w:hAnsi="Arial"/>
          <w:sz w:val="16"/>
          <w:szCs w:val="16"/>
          <w:color w:val="auto"/>
        </w:rPr>
        <w:t>Lead Independent Director The Lead Director:</w:t>
      </w:r>
    </w:p>
    <w:p>
      <w:pPr>
        <w:spacing w:after="0" w:line="2" w:lineRule="exact"/>
        <w:rPr>
          <w:sz w:val="20"/>
          <w:szCs w:val="20"/>
          <w:color w:val="auto"/>
        </w:rPr>
      </w:pPr>
    </w:p>
    <w:p>
      <w:pPr>
        <w:jc w:val="both"/>
        <w:ind w:left="160" w:right="219" w:hanging="163"/>
        <w:spacing w:after="0" w:line="263" w:lineRule="auto"/>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presides at all meetings of the Board at which the Board</w:t>
      </w:r>
      <w:r>
        <w:rPr>
          <w:rFonts w:ascii="Arial" w:cs="Arial" w:eastAsia="Arial" w:hAnsi="Arial"/>
          <w:sz w:val="16"/>
          <w:szCs w:val="16"/>
          <w:color w:val="4297CB"/>
        </w:rPr>
        <w:t xml:space="preserve"> </w:t>
      </w:r>
      <w:r>
        <w:rPr>
          <w:rFonts w:ascii="Arial" w:cs="Arial" w:eastAsia="Arial" w:hAnsi="Arial"/>
          <w:sz w:val="16"/>
          <w:szCs w:val="16"/>
          <w:color w:val="000000"/>
        </w:rPr>
        <w:t>Chair is not present, presides at all executive sessions of independent Directors,</w:t>
      </w:r>
    </w:p>
    <w:p>
      <w:pPr>
        <w:spacing w:after="0" w:line="38" w:lineRule="exact"/>
        <w:rPr>
          <w:sz w:val="20"/>
          <w:szCs w:val="20"/>
          <w:color w:val="auto"/>
        </w:rPr>
      </w:pPr>
    </w:p>
    <w:p>
      <w:pPr>
        <w:ind w:left="160" w:right="259" w:hanging="163"/>
        <w:spacing w:after="0" w:line="282" w:lineRule="auto"/>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serves as liaison between the independent Directors and</w:t>
      </w:r>
      <w:r>
        <w:rPr>
          <w:rFonts w:ascii="Arial" w:cs="Arial" w:eastAsia="Arial" w:hAnsi="Arial"/>
          <w:sz w:val="16"/>
          <w:szCs w:val="16"/>
          <w:color w:val="4297CB"/>
        </w:rPr>
        <w:t xml:space="preserve"> </w:t>
      </w:r>
      <w:r>
        <w:rPr>
          <w:rFonts w:ascii="Arial" w:cs="Arial" w:eastAsia="Arial" w:hAnsi="Arial"/>
          <w:sz w:val="16"/>
          <w:szCs w:val="16"/>
          <w:color w:val="000000"/>
        </w:rPr>
        <w:t>the CEO,</w:t>
      </w:r>
    </w:p>
    <w:p>
      <w:pPr>
        <w:spacing w:after="0" w:line="9" w:lineRule="exact"/>
        <w:rPr>
          <w:sz w:val="20"/>
          <w:szCs w:val="20"/>
          <w:color w:val="auto"/>
        </w:rPr>
      </w:pPr>
    </w:p>
    <w:p>
      <w:pPr>
        <w:ind w:right="919"/>
        <w:spacing w:after="0" w:line="340" w:lineRule="auto"/>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provides input on information sent to the Board,</w:t>
      </w:r>
      <w:r>
        <w:rPr>
          <w:rFonts w:ascii="Arial" w:cs="Arial" w:eastAsia="Arial" w:hAnsi="Arial"/>
          <w:sz w:val="16"/>
          <w:szCs w:val="16"/>
          <w:color w:val="4297CB"/>
        </w:rPr>
        <w:t xml:space="preserve"> •</w:t>
      </w:r>
      <w:r>
        <w:rPr>
          <w:rFonts w:ascii="Arial" w:cs="Arial" w:eastAsia="Arial" w:hAnsi="Arial"/>
          <w:sz w:val="16"/>
          <w:szCs w:val="16"/>
          <w:color w:val="000000"/>
        </w:rPr>
        <w:t xml:space="preserve">  approves meeting agendas for the Board,</w:t>
      </w:r>
    </w:p>
    <w:p>
      <w:pPr>
        <w:spacing w:after="0" w:line="1" w:lineRule="exact"/>
        <w:rPr>
          <w:sz w:val="20"/>
          <w:szCs w:val="20"/>
          <w:color w:val="auto"/>
        </w:rPr>
      </w:pPr>
    </w:p>
    <w:p>
      <w:pPr>
        <w:ind w:left="160" w:right="99" w:hanging="163"/>
        <w:spacing w:after="0" w:line="282" w:lineRule="auto"/>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provides input on meeting schedules to assure that there is</w:t>
      </w:r>
      <w:r>
        <w:rPr>
          <w:rFonts w:ascii="Arial" w:cs="Arial" w:eastAsia="Arial" w:hAnsi="Arial"/>
          <w:sz w:val="16"/>
          <w:szCs w:val="16"/>
          <w:color w:val="4297CB"/>
        </w:rPr>
        <w:t xml:space="preserve"> </w:t>
      </w:r>
      <w:r>
        <w:rPr>
          <w:rFonts w:ascii="Arial" w:cs="Arial" w:eastAsia="Arial" w:hAnsi="Arial"/>
          <w:sz w:val="16"/>
          <w:szCs w:val="16"/>
          <w:color w:val="000000"/>
        </w:rPr>
        <w:t>sufficient time for discussion of all agenda items,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has authority to call meetings of independent Directors,</w:t>
      </w:r>
    </w:p>
    <w:p>
      <w:pPr>
        <w:spacing w:after="0" w:line="70" w:lineRule="exact"/>
        <w:rPr>
          <w:sz w:val="20"/>
          <w:szCs w:val="20"/>
          <w:color w:val="auto"/>
        </w:rPr>
      </w:pPr>
    </w:p>
    <w:p>
      <w:pPr>
        <w:ind w:left="160" w:right="939" w:hanging="163"/>
        <w:spacing w:after="0" w:line="282" w:lineRule="auto"/>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communicates with major stockholders or other</w:t>
      </w:r>
      <w:r>
        <w:rPr>
          <w:rFonts w:ascii="Arial" w:cs="Arial" w:eastAsia="Arial" w:hAnsi="Arial"/>
          <w:sz w:val="16"/>
          <w:szCs w:val="16"/>
          <w:color w:val="4297CB"/>
        </w:rPr>
        <w:t xml:space="preserve"> </w:t>
      </w:r>
      <w:r>
        <w:rPr>
          <w:rFonts w:ascii="Arial" w:cs="Arial" w:eastAsia="Arial" w:hAnsi="Arial"/>
          <w:sz w:val="16"/>
          <w:szCs w:val="16"/>
          <w:color w:val="000000"/>
        </w:rPr>
        <w:t>stakeholders,</w:t>
      </w:r>
    </w:p>
    <w:p>
      <w:pPr>
        <w:spacing w:after="0" w:line="23" w:lineRule="exact"/>
        <w:rPr>
          <w:sz w:val="20"/>
          <w:szCs w:val="20"/>
          <w:color w:val="auto"/>
        </w:rPr>
      </w:pPr>
    </w:p>
    <w:p>
      <w:pPr>
        <w:ind w:left="160" w:right="79" w:hanging="163"/>
        <w:spacing w:after="0" w:line="282" w:lineRule="auto"/>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participates in the periodic evaluation process of the Board,</w:t>
      </w:r>
      <w:r>
        <w:rPr>
          <w:rFonts w:ascii="Arial" w:cs="Arial" w:eastAsia="Arial" w:hAnsi="Arial"/>
          <w:sz w:val="16"/>
          <w:szCs w:val="16"/>
          <w:color w:val="4297CB"/>
        </w:rPr>
        <w:t xml:space="preserve"> </w:t>
      </w:r>
      <w:r>
        <w:rPr>
          <w:rFonts w:ascii="Arial" w:cs="Arial" w:eastAsia="Arial" w:hAnsi="Arial"/>
          <w:sz w:val="16"/>
          <w:szCs w:val="16"/>
          <w:color w:val="000000"/>
        </w:rPr>
        <w:t>Board Committees, and CEO,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participates in the selection process for Board candidates.</w:t>
      </w:r>
    </w:p>
    <w:p>
      <w:pPr>
        <w:spacing w:after="0" w:line="200" w:lineRule="exact"/>
        <w:rPr>
          <w:sz w:val="20"/>
          <w:szCs w:val="20"/>
          <w:color w:val="auto"/>
        </w:rPr>
      </w:pPr>
    </w:p>
    <w:p>
      <w:pPr>
        <w:sectPr>
          <w:pgSz w:w="11900" w:h="16838" w:orient="portrait"/>
          <w:cols w:equalWidth="0" w:num="2">
            <w:col w:w="4500" w:space="80"/>
            <w:col w:w="4439"/>
          </w:cols>
          <w:pgMar w:left="1440" w:top="115" w:right="1440" w:bottom="1440" w:gutter="0" w:footer="0" w:header="0"/>
          <w:type w:val="continuous"/>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Sessions</w:t>
      </w:r>
    </w:p>
    <w:p>
      <w:pPr>
        <w:spacing w:after="0" w:line="164" w:lineRule="exact"/>
        <w:rPr>
          <w:sz w:val="20"/>
          <w:szCs w:val="20"/>
          <w:color w:val="auto"/>
        </w:rPr>
      </w:pPr>
    </w:p>
    <w:p>
      <w:pPr>
        <w:ind w:right="319"/>
        <w:spacing w:after="0" w:line="263" w:lineRule="auto"/>
        <w:rPr>
          <w:sz w:val="20"/>
          <w:szCs w:val="20"/>
          <w:color w:val="auto"/>
        </w:rPr>
      </w:pPr>
      <w:r>
        <w:rPr>
          <w:rFonts w:ascii="Arial" w:cs="Arial" w:eastAsia="Arial" w:hAnsi="Arial"/>
          <w:sz w:val="16"/>
          <w:szCs w:val="16"/>
          <w:color w:val="auto"/>
        </w:rPr>
        <w:t>The non-management Directors hold regular executive sessions without management in order to promote open discussion among the non-management Directors. The Board generally holds such executive sessions at every regularly scheduled Board meeting. At least one executive session each year is required to be attended only by independent directors.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760" w:type="dxa"/>
            <w:vAlign w:val="bottom"/>
          </w:tcPr>
          <w:p>
            <w:pPr>
              <w:jc w:val="right"/>
              <w:ind w:right="529"/>
              <w:spacing w:after="0"/>
              <w:rPr>
                <w:sz w:val="20"/>
                <w:szCs w:val="20"/>
                <w:color w:val="auto"/>
              </w:rPr>
            </w:pPr>
            <w:r>
              <w:rPr>
                <w:rFonts w:ascii="Arial" w:cs="Arial" w:eastAsia="Arial" w:hAnsi="Arial"/>
                <w:sz w:val="14"/>
                <w:szCs w:val="14"/>
                <w:b w:val="1"/>
                <w:bCs w:val="1"/>
                <w:color w:val="auto"/>
                <w:w w:val="89"/>
              </w:rPr>
              <w:t>24</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170180</wp:posOffset>
            </wp:positionV>
            <wp:extent cx="693801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type w:val="continuous"/>
        </w:sectPr>
      </w:pPr>
    </w:p>
    <w:bookmarkStart w:id="27" w:name="page28"/>
    <w:bookmarkEnd w:id="27"/>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right"/>
        <w:ind w:right="980"/>
        <w:spacing w:after="0"/>
        <w:rPr>
          <w:sz w:val="20"/>
          <w:szCs w:val="20"/>
          <w:color w:val="auto"/>
        </w:rPr>
      </w:pPr>
      <w:r>
        <w:rPr>
          <w:rFonts w:ascii="Arial" w:cs="Arial" w:eastAsia="Arial" w:hAnsi="Arial"/>
          <w:sz w:val="12"/>
          <w:szCs w:val="12"/>
          <w:color w:val="auto"/>
        </w:rPr>
        <w:t>Corporate Governance</w:t>
      </w:r>
    </w:p>
    <w:p>
      <w:pPr>
        <w:spacing w:after="0" w:line="143" w:lineRule="exact"/>
        <w:rPr>
          <w:sz w:val="20"/>
          <w:szCs w:val="20"/>
          <w:color w:val="auto"/>
        </w:rPr>
      </w:pPr>
    </w:p>
    <w:p>
      <w:pPr>
        <w:ind w:left="960"/>
        <w:spacing w:after="0"/>
        <w:rPr>
          <w:sz w:val="20"/>
          <w:szCs w:val="20"/>
          <w:color w:val="auto"/>
        </w:rPr>
      </w:pPr>
      <w:r>
        <w:rPr>
          <w:rFonts w:ascii="Arial" w:cs="Arial" w:eastAsia="Arial" w:hAnsi="Arial"/>
          <w:sz w:val="23"/>
          <w:szCs w:val="23"/>
          <w:color w:val="0C426A"/>
        </w:rPr>
        <w:t>Committees of the Board</w:t>
      </w:r>
    </w:p>
    <w:p>
      <w:pPr>
        <w:spacing w:after="0" w:line="181" w:lineRule="exact"/>
        <w:rPr>
          <w:sz w:val="20"/>
          <w:szCs w:val="20"/>
          <w:color w:val="auto"/>
        </w:rPr>
      </w:pPr>
    </w:p>
    <w:p>
      <w:pPr>
        <w:ind w:left="960" w:right="1080"/>
        <w:spacing w:after="0" w:line="263" w:lineRule="auto"/>
        <w:rPr>
          <w:sz w:val="20"/>
          <w:szCs w:val="20"/>
          <w:color w:val="auto"/>
        </w:rPr>
      </w:pPr>
      <w:r>
        <w:rPr>
          <w:rFonts w:ascii="Arial" w:cs="Arial" w:eastAsia="Arial" w:hAnsi="Arial"/>
          <w:sz w:val="16"/>
          <w:szCs w:val="16"/>
          <w:color w:val="auto"/>
        </w:rPr>
        <w:t>The standing Board Committees that help the Board fulfill its duties include the Governance Committee, the Audit Committee, the Compensation and Talent Management Committee (the “Compensation Committee”), and an Environmental, Social, and Governance Subcommittee (the “ESG Subcommittee”).</w:t>
      </w:r>
    </w:p>
    <w:p>
      <w:pPr>
        <w:spacing w:after="0" w:line="329" w:lineRule="exact"/>
        <w:rPr>
          <w:sz w:val="20"/>
          <w:szCs w:val="20"/>
          <w:color w:val="auto"/>
        </w:rPr>
      </w:pPr>
    </w:p>
    <w:p>
      <w:pPr>
        <w:ind w:left="960"/>
        <w:spacing w:after="0"/>
        <w:rPr>
          <w:sz w:val="20"/>
          <w:szCs w:val="20"/>
          <w:color w:val="auto"/>
        </w:rPr>
      </w:pPr>
      <w:r>
        <w:rPr>
          <w:rFonts w:ascii="Arial" w:cs="Arial" w:eastAsia="Arial" w:hAnsi="Arial"/>
          <w:sz w:val="23"/>
          <w:szCs w:val="23"/>
          <w:color w:val="0C426A"/>
        </w:rPr>
        <w:t>The Governance and Sustainability Committee</w:t>
      </w:r>
    </w:p>
    <w:p>
      <w:pPr>
        <w:spacing w:after="0" w:line="95" w:lineRule="exact"/>
        <w:rPr>
          <w:sz w:val="20"/>
          <w:szCs w:val="20"/>
          <w:color w:val="auto"/>
        </w:rPr>
      </w:pPr>
    </w:p>
    <w:tbl>
      <w:tblPr>
        <w:tblLayout w:type="fixed"/>
        <w:tblInd w:w="980" w:type="dxa"/>
        <w:tblCellMar>
          <w:top w:w="0" w:type="dxa"/>
          <w:left w:w="0" w:type="dxa"/>
          <w:bottom w:w="0" w:type="dxa"/>
          <w:right w:w="0" w:type="dxa"/>
        </w:tblCellMar>
      </w:tblPr>
      <w:tr>
        <w:trPr>
          <w:trHeight w:val="331"/>
        </w:trPr>
        <w:tc>
          <w:tcPr>
            <w:tcW w:w="1740" w:type="dxa"/>
            <w:vAlign w:val="bottom"/>
            <w:tcBorders>
              <w:top w:val="single" w:sz="8" w:color="808080"/>
            </w:tcBorders>
            <w:gridSpan w:val="2"/>
          </w:tcPr>
          <w:p>
            <w:pPr>
              <w:ind w:left="40"/>
              <w:spacing w:after="0"/>
              <w:rPr>
                <w:sz w:val="20"/>
                <w:szCs w:val="20"/>
                <w:color w:val="auto"/>
              </w:rPr>
            </w:pPr>
            <w:r>
              <w:rPr>
                <w:rFonts w:ascii="Arial" w:cs="Arial" w:eastAsia="Arial" w:hAnsi="Arial"/>
                <w:sz w:val="16"/>
                <w:szCs w:val="16"/>
                <w:b w:val="1"/>
                <w:bCs w:val="1"/>
                <w:color w:val="auto"/>
              </w:rPr>
              <w:t>Committee Members:</w:t>
            </w:r>
          </w:p>
        </w:tc>
        <w:tc>
          <w:tcPr>
            <w:tcW w:w="1160" w:type="dxa"/>
            <w:vAlign w:val="bottom"/>
            <w:tcBorders>
              <w:top w:val="single" w:sz="8" w:color="808080"/>
            </w:tcBorders>
          </w:tcPr>
          <w:p>
            <w:pPr>
              <w:spacing w:after="0"/>
              <w:rPr>
                <w:sz w:val="24"/>
                <w:szCs w:val="24"/>
                <w:color w:val="auto"/>
              </w:rPr>
            </w:pPr>
          </w:p>
        </w:tc>
        <w:tc>
          <w:tcPr>
            <w:tcW w:w="160" w:type="dxa"/>
            <w:vAlign w:val="bottom"/>
            <w:tcBorders>
              <w:top w:val="single" w:sz="8" w:color="808080"/>
            </w:tcBorders>
          </w:tcPr>
          <w:p>
            <w:pPr>
              <w:spacing w:after="0"/>
              <w:rPr>
                <w:sz w:val="24"/>
                <w:szCs w:val="24"/>
                <w:color w:val="auto"/>
              </w:rPr>
            </w:pPr>
          </w:p>
        </w:tc>
        <w:tc>
          <w:tcPr>
            <w:tcW w:w="100" w:type="dxa"/>
            <w:vAlign w:val="bottom"/>
            <w:tcBorders>
              <w:top w:val="single" w:sz="8" w:color="808080"/>
            </w:tcBorders>
          </w:tcPr>
          <w:p>
            <w:pPr>
              <w:spacing w:after="0"/>
              <w:rPr>
                <w:sz w:val="24"/>
                <w:szCs w:val="24"/>
                <w:color w:val="auto"/>
              </w:rPr>
            </w:pPr>
          </w:p>
        </w:tc>
        <w:tc>
          <w:tcPr>
            <w:tcW w:w="1500" w:type="dxa"/>
            <w:vAlign w:val="bottom"/>
            <w:tcBorders>
              <w:top w:val="single" w:sz="8" w:color="808080"/>
            </w:tcBorders>
          </w:tcPr>
          <w:p>
            <w:pPr>
              <w:spacing w:after="0"/>
              <w:rPr>
                <w:sz w:val="24"/>
                <w:szCs w:val="24"/>
                <w:color w:val="auto"/>
              </w:rPr>
            </w:pPr>
          </w:p>
        </w:tc>
        <w:tc>
          <w:tcPr>
            <w:tcW w:w="100" w:type="dxa"/>
            <w:vAlign w:val="bottom"/>
            <w:tcBorders>
              <w:top w:val="single" w:sz="8" w:color="808080"/>
            </w:tcBorders>
          </w:tcPr>
          <w:p>
            <w:pPr>
              <w:spacing w:after="0"/>
              <w:rPr>
                <w:sz w:val="24"/>
                <w:szCs w:val="24"/>
                <w:color w:val="auto"/>
              </w:rPr>
            </w:pPr>
          </w:p>
        </w:tc>
        <w:tc>
          <w:tcPr>
            <w:tcW w:w="1560" w:type="dxa"/>
            <w:vAlign w:val="bottom"/>
            <w:tcBorders>
              <w:top w:val="single" w:sz="8" w:color="808080"/>
            </w:tcBorders>
          </w:tcPr>
          <w:p>
            <w:pPr>
              <w:jc w:val="right"/>
              <w:ind w:right="37"/>
              <w:spacing w:after="0"/>
              <w:rPr>
                <w:sz w:val="20"/>
                <w:szCs w:val="20"/>
                <w:color w:val="auto"/>
              </w:rPr>
            </w:pPr>
            <w:r>
              <w:rPr>
                <w:rFonts w:ascii="Times New Roman" w:cs="Times New Roman" w:eastAsia="Times New Roman" w:hAnsi="Times New Roman"/>
                <w:sz w:val="4"/>
                <w:szCs w:val="4"/>
                <w:color w:val="auto"/>
              </w:rPr>
              <w:t>​</w:t>
            </w:r>
          </w:p>
        </w:tc>
        <w:tc>
          <w:tcPr>
            <w:tcW w:w="2660" w:type="dxa"/>
            <w:vAlign w:val="bottom"/>
            <w:tcBorders>
              <w:top w:val="single" w:sz="8" w:color="808080"/>
            </w:tcBorders>
            <w:shd w:val="clear" w:color="auto" w:fill="E9EFF7"/>
          </w:tcPr>
          <w:p>
            <w:pPr>
              <w:ind w:left="100"/>
              <w:spacing w:after="0"/>
              <w:rPr>
                <w:sz w:val="20"/>
                <w:szCs w:val="20"/>
                <w:color w:val="auto"/>
              </w:rPr>
            </w:pPr>
            <w:r>
              <w:rPr>
                <w:rFonts w:ascii="Arial" w:cs="Arial" w:eastAsia="Arial" w:hAnsi="Arial"/>
                <w:sz w:val="16"/>
                <w:szCs w:val="16"/>
                <w:color w:val="auto"/>
              </w:rPr>
              <w:t>A current copy of the charter is</w:t>
            </w:r>
          </w:p>
        </w:tc>
      </w:tr>
      <w:tr>
        <w:trPr>
          <w:trHeight w:val="324"/>
        </w:trPr>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60" w:type="dxa"/>
            <w:vAlign w:val="bottom"/>
            <w:shd w:val="clear" w:color="auto" w:fill="E9EFF7"/>
          </w:tcPr>
          <w:p>
            <w:pPr>
              <w:ind w:left="100"/>
              <w:spacing w:after="0"/>
              <w:rPr>
                <w:sz w:val="20"/>
                <w:szCs w:val="20"/>
                <w:color w:val="auto"/>
              </w:rPr>
            </w:pPr>
            <w:r>
              <w:rPr>
                <w:rFonts w:ascii="Arial" w:cs="Arial" w:eastAsia="Arial" w:hAnsi="Arial"/>
                <w:sz w:val="16"/>
                <w:szCs w:val="16"/>
                <w:color w:val="auto"/>
              </w:rPr>
              <w:t>available on Wabtec’s website at:</w:t>
            </w:r>
          </w:p>
        </w:tc>
      </w:tr>
      <w:tr>
        <w:trPr>
          <w:trHeight w:val="187"/>
        </w:trPr>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60" w:type="dxa"/>
            <w:vAlign w:val="bottom"/>
            <w:shd w:val="clear" w:color="auto" w:fill="E9EFF7"/>
          </w:tcPr>
          <w:p>
            <w:pPr>
              <w:ind w:left="100"/>
              <w:spacing w:after="0"/>
              <w:rPr>
                <w:sz w:val="20"/>
                <w:szCs w:val="20"/>
                <w:color w:val="auto"/>
              </w:rPr>
            </w:pPr>
            <w:r>
              <w:rPr>
                <w:rFonts w:ascii="Arial" w:cs="Arial" w:eastAsia="Arial" w:hAnsi="Arial"/>
                <w:sz w:val="16"/>
                <w:szCs w:val="16"/>
                <w:b w:val="1"/>
                <w:bCs w:val="1"/>
                <w:color w:val="4297CB"/>
              </w:rPr>
              <w:t>http://www.wabteccorp.com -&gt;</w:t>
            </w:r>
          </w:p>
        </w:tc>
      </w:tr>
      <w:tr>
        <w:trPr>
          <w:trHeight w:val="187"/>
        </w:trPr>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60" w:type="dxa"/>
            <w:vAlign w:val="bottom"/>
            <w:shd w:val="clear" w:color="auto" w:fill="E9EFF7"/>
          </w:tcPr>
          <w:p>
            <w:pPr>
              <w:ind w:left="100"/>
              <w:spacing w:after="0"/>
              <w:rPr>
                <w:sz w:val="20"/>
                <w:szCs w:val="20"/>
                <w:color w:val="auto"/>
              </w:rPr>
            </w:pPr>
            <w:r>
              <w:rPr>
                <w:rFonts w:ascii="Arial" w:cs="Arial" w:eastAsia="Arial" w:hAnsi="Arial"/>
                <w:sz w:val="16"/>
                <w:szCs w:val="16"/>
                <w:b w:val="1"/>
                <w:bCs w:val="1"/>
                <w:color w:val="4297CB"/>
              </w:rPr>
              <w:t>investor relations -&gt; corporate</w:t>
            </w:r>
          </w:p>
        </w:tc>
      </w:tr>
      <w:tr>
        <w:trPr>
          <w:trHeight w:val="187"/>
        </w:trPr>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60" w:type="dxa"/>
            <w:vAlign w:val="bottom"/>
            <w:shd w:val="clear" w:color="auto" w:fill="E9EFF7"/>
          </w:tcPr>
          <w:p>
            <w:pPr>
              <w:ind w:left="100"/>
              <w:spacing w:after="0"/>
              <w:rPr>
                <w:sz w:val="20"/>
                <w:szCs w:val="20"/>
                <w:color w:val="auto"/>
              </w:rPr>
            </w:pPr>
            <w:r>
              <w:rPr>
                <w:rFonts w:ascii="Arial" w:cs="Arial" w:eastAsia="Arial" w:hAnsi="Arial"/>
                <w:sz w:val="16"/>
                <w:szCs w:val="16"/>
                <w:b w:val="1"/>
                <w:bCs w:val="1"/>
                <w:color w:val="4297CB"/>
              </w:rPr>
              <w:t>governance</w:t>
            </w:r>
          </w:p>
        </w:tc>
      </w:tr>
      <w:tr>
        <w:trPr>
          <w:trHeight w:val="187"/>
        </w:trPr>
        <w:tc>
          <w:tcPr>
            <w:tcW w:w="14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spacing w:after="0"/>
              <w:rPr>
                <w:sz w:val="16"/>
                <w:szCs w:val="16"/>
                <w:color w:val="auto"/>
              </w:rPr>
            </w:pPr>
          </w:p>
        </w:tc>
        <w:tc>
          <w:tcPr>
            <w:tcW w:w="1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560" w:type="dxa"/>
            <w:vAlign w:val="bottom"/>
          </w:tcPr>
          <w:p>
            <w:pPr>
              <w:jc w:val="right"/>
              <w:ind w:right="37"/>
              <w:spacing w:after="0"/>
              <w:rPr>
                <w:sz w:val="20"/>
                <w:szCs w:val="20"/>
                <w:color w:val="auto"/>
              </w:rPr>
            </w:pPr>
            <w:r>
              <w:rPr>
                <w:rFonts w:ascii="Times New Roman" w:cs="Times New Roman" w:eastAsia="Times New Roman" w:hAnsi="Times New Roman"/>
                <w:sz w:val="4"/>
                <w:szCs w:val="4"/>
                <w:color w:val="auto"/>
              </w:rPr>
              <w:t>​</w:t>
            </w:r>
          </w:p>
        </w:tc>
        <w:tc>
          <w:tcPr>
            <w:tcW w:w="2660" w:type="dxa"/>
            <w:vAlign w:val="bottom"/>
            <w:shd w:val="clear" w:color="auto" w:fill="E9EFF7"/>
          </w:tcPr>
          <w:p>
            <w:pPr>
              <w:ind w:left="100"/>
              <w:spacing w:after="0"/>
              <w:rPr>
                <w:sz w:val="20"/>
                <w:szCs w:val="20"/>
                <w:color w:val="auto"/>
              </w:rPr>
            </w:pPr>
            <w:r>
              <w:rPr>
                <w:rFonts w:ascii="Arial" w:cs="Arial" w:eastAsia="Arial" w:hAnsi="Arial"/>
                <w:sz w:val="16"/>
                <w:szCs w:val="16"/>
                <w:b w:val="1"/>
                <w:bCs w:val="1"/>
                <w:color w:val="4297CB"/>
              </w:rPr>
              <w:t> </w:t>
            </w:r>
          </w:p>
        </w:tc>
      </w:tr>
      <w:tr>
        <w:trPr>
          <w:trHeight w:val="187"/>
        </w:trPr>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660" w:type="dxa"/>
            <w:vAlign w:val="bottom"/>
            <w:shd w:val="clear" w:color="auto" w:fill="E9EFF7"/>
          </w:tcPr>
          <w:p>
            <w:pPr>
              <w:ind w:left="100"/>
              <w:spacing w:after="0"/>
              <w:rPr>
                <w:sz w:val="20"/>
                <w:szCs w:val="20"/>
                <w:color w:val="auto"/>
              </w:rPr>
            </w:pPr>
            <w:r>
              <w:rPr>
                <w:rFonts w:ascii="Arial" w:cs="Arial" w:eastAsia="Arial" w:hAnsi="Arial"/>
                <w:sz w:val="16"/>
                <w:szCs w:val="16"/>
                <w:b w:val="1"/>
                <w:bCs w:val="1"/>
                <w:color w:val="4297CB"/>
              </w:rPr>
              <w:t> </w:t>
            </w:r>
          </w:p>
        </w:tc>
      </w:tr>
      <w:tr>
        <w:trPr>
          <w:trHeight w:val="221"/>
        </w:trPr>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60" w:type="dxa"/>
            <w:vAlign w:val="bottom"/>
            <w:shd w:val="clear" w:color="auto" w:fill="E9EFF7"/>
          </w:tcPr>
          <w:p>
            <w:pPr>
              <w:ind w:left="100"/>
              <w:spacing w:after="0"/>
              <w:rPr>
                <w:sz w:val="20"/>
                <w:szCs w:val="20"/>
                <w:color w:val="auto"/>
              </w:rPr>
            </w:pPr>
            <w:r>
              <w:rPr>
                <w:rFonts w:ascii="Arial" w:cs="Arial" w:eastAsia="Arial" w:hAnsi="Arial"/>
                <w:sz w:val="16"/>
                <w:szCs w:val="16"/>
                <w:b w:val="1"/>
                <w:bCs w:val="1"/>
                <w:color w:val="4297CB"/>
              </w:rPr>
              <w:t>Number of Meetings: 4</w:t>
            </w:r>
          </w:p>
        </w:tc>
      </w:tr>
      <w:tr>
        <w:trPr>
          <w:trHeight w:val="300"/>
        </w:trPr>
        <w:tc>
          <w:tcPr>
            <w:tcW w:w="1460" w:type="dxa"/>
            <w:vAlign w:val="bottom"/>
          </w:tcPr>
          <w:p>
            <w:pPr>
              <w:ind w:left="40"/>
              <w:spacing w:after="0"/>
              <w:rPr>
                <w:sz w:val="20"/>
                <w:szCs w:val="20"/>
                <w:color w:val="auto"/>
              </w:rPr>
            </w:pPr>
            <w:r>
              <w:rPr>
                <w:rFonts w:ascii="Arial" w:cs="Arial" w:eastAsia="Arial" w:hAnsi="Arial"/>
                <w:sz w:val="16"/>
                <w:szCs w:val="16"/>
                <w:color w:val="auto"/>
              </w:rPr>
              <w:t> </w:t>
            </w:r>
          </w:p>
        </w:tc>
        <w:tc>
          <w:tcPr>
            <w:tcW w:w="280" w:type="dxa"/>
            <w:vAlign w:val="bottom"/>
          </w:tcPr>
          <w:p>
            <w:pPr>
              <w:ind w:left="140"/>
              <w:spacing w:after="0"/>
              <w:rPr>
                <w:sz w:val="20"/>
                <w:szCs w:val="20"/>
                <w:color w:val="auto"/>
              </w:rPr>
            </w:pPr>
            <w:r>
              <w:rPr>
                <w:rFonts w:ascii="Arial" w:cs="Arial" w:eastAsia="Arial" w:hAnsi="Arial"/>
                <w:sz w:val="16"/>
                <w:szCs w:val="16"/>
                <w:color w:val="auto"/>
              </w:rPr>
              <w:t> </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jc w:val="right"/>
              <w:ind w:right="1361"/>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24"/>
                <w:szCs w:val="24"/>
                <w:color w:val="auto"/>
              </w:rPr>
            </w:pPr>
          </w:p>
        </w:tc>
        <w:tc>
          <w:tcPr>
            <w:tcW w:w="1560" w:type="dxa"/>
            <w:vAlign w:val="bottom"/>
          </w:tcPr>
          <w:p>
            <w:pPr>
              <w:jc w:val="right"/>
              <w:ind w:right="1417"/>
              <w:spacing w:after="0"/>
              <w:rPr>
                <w:sz w:val="20"/>
                <w:szCs w:val="20"/>
                <w:color w:val="auto"/>
              </w:rPr>
            </w:pPr>
            <w:r>
              <w:rPr>
                <w:rFonts w:ascii="Arial" w:cs="Arial" w:eastAsia="Arial" w:hAnsi="Arial"/>
                <w:sz w:val="16"/>
                <w:szCs w:val="16"/>
                <w:color w:val="auto"/>
              </w:rPr>
              <w:t> </w:t>
            </w:r>
          </w:p>
        </w:tc>
        <w:tc>
          <w:tcPr>
            <w:tcW w:w="2660" w:type="dxa"/>
            <w:vAlign w:val="bottom"/>
            <w:shd w:val="clear" w:color="auto" w:fill="E9EFF7"/>
          </w:tcPr>
          <w:p>
            <w:pPr>
              <w:spacing w:after="0"/>
              <w:rPr>
                <w:sz w:val="24"/>
                <w:szCs w:val="24"/>
                <w:color w:val="auto"/>
              </w:rPr>
            </w:pPr>
          </w:p>
        </w:tc>
      </w:tr>
      <w:tr>
        <w:trPr>
          <w:trHeight w:val="336"/>
        </w:trPr>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 xml:space="preserve">Linda A. Harty,  </w:t>
            </w:r>
            <w:r>
              <w:rPr>
                <w:rFonts w:ascii="Times New Roman" w:cs="Times New Roman" w:eastAsia="Times New Roman" w:hAnsi="Times New Roman"/>
                <w:sz w:val="7"/>
                <w:szCs w:val="7"/>
                <w:color w:val="auto"/>
                <w:vertAlign w:val="subscript"/>
              </w:rPr>
              <w:t>​</w:t>
            </w:r>
          </w:p>
        </w:tc>
        <w:tc>
          <w:tcPr>
            <w:tcW w:w="2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ind w:left="60"/>
              <w:spacing w:after="0"/>
              <w:rPr>
                <w:sz w:val="20"/>
                <w:szCs w:val="20"/>
                <w:color w:val="auto"/>
              </w:rPr>
            </w:pPr>
            <w:r>
              <w:rPr>
                <w:rFonts w:ascii="Arial" w:cs="Arial" w:eastAsia="Arial" w:hAnsi="Arial"/>
                <w:sz w:val="16"/>
                <w:szCs w:val="16"/>
                <w:b w:val="1"/>
                <w:bCs w:val="1"/>
                <w:color w:val="auto"/>
              </w:rPr>
              <w:t>Lee C. Banks</w:t>
            </w:r>
          </w:p>
        </w:tc>
        <w:tc>
          <w:tcPr>
            <w:tcW w:w="1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 xml:space="preserve">Byron S. Foster </w:t>
            </w:r>
            <w:r>
              <w:rPr>
                <w:rFonts w:ascii="Times New Roman" w:cs="Times New Roman" w:eastAsia="Times New Roman" w:hAnsi="Times New Roman"/>
                <w:sz w:val="7"/>
                <w:szCs w:val="7"/>
                <w:color w:val="auto"/>
                <w:vertAlign w:val="subscript"/>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560" w:type="dxa"/>
            <w:vAlign w:val="bottom"/>
          </w:tcPr>
          <w:p>
            <w:pPr>
              <w:jc w:val="right"/>
              <w:ind w:right="37"/>
              <w:spacing w:after="0"/>
              <w:rPr>
                <w:sz w:val="20"/>
                <w:szCs w:val="20"/>
                <w:color w:val="auto"/>
              </w:rPr>
            </w:pPr>
            <w:r>
              <w:rPr>
                <w:rFonts w:ascii="Arial" w:cs="Arial" w:eastAsia="Arial" w:hAnsi="Arial"/>
                <w:sz w:val="16"/>
                <w:szCs w:val="16"/>
                <w:b w:val="1"/>
                <w:bCs w:val="1"/>
                <w:color w:val="auto"/>
              </w:rPr>
              <w:t xml:space="preserve">Ann R. Klee   </w:t>
            </w:r>
            <w:r>
              <w:rPr>
                <w:rFonts w:ascii="Times New Roman" w:cs="Times New Roman" w:eastAsia="Times New Roman" w:hAnsi="Times New Roman"/>
                <w:sz w:val="7"/>
                <w:szCs w:val="7"/>
                <w:color w:val="auto"/>
                <w:vertAlign w:val="subscript"/>
              </w:rPr>
              <w:t>​</w:t>
            </w:r>
          </w:p>
        </w:tc>
        <w:tc>
          <w:tcPr>
            <w:tcW w:w="2660" w:type="dxa"/>
            <w:vAlign w:val="bottom"/>
            <w:shd w:val="clear" w:color="auto" w:fill="E9EFF7"/>
          </w:tcPr>
          <w:p>
            <w:pPr>
              <w:spacing w:after="0"/>
              <w:rPr>
                <w:sz w:val="24"/>
                <w:szCs w:val="24"/>
                <w:color w:val="auto"/>
              </w:rPr>
            </w:pPr>
          </w:p>
        </w:tc>
      </w:tr>
      <w:tr>
        <w:trPr>
          <w:trHeight w:val="221"/>
        </w:trPr>
        <w:tc>
          <w:tcPr>
            <w:tcW w:w="1460" w:type="dxa"/>
            <w:vAlign w:val="bottom"/>
          </w:tcPr>
          <w:p>
            <w:pPr>
              <w:ind w:left="480"/>
              <w:spacing w:after="0"/>
              <w:rPr>
                <w:sz w:val="20"/>
                <w:szCs w:val="20"/>
                <w:color w:val="auto"/>
              </w:rPr>
            </w:pPr>
            <w:r>
              <w:rPr>
                <w:rFonts w:ascii="Arial" w:cs="Arial" w:eastAsia="Arial" w:hAnsi="Arial"/>
                <w:sz w:val="16"/>
                <w:szCs w:val="16"/>
                <w:b w:val="1"/>
                <w:bCs w:val="1"/>
                <w:color w:val="4297CB"/>
              </w:rPr>
              <w:t>Chair</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60" w:type="dxa"/>
            <w:vAlign w:val="bottom"/>
            <w:shd w:val="clear" w:color="auto" w:fill="E9EFF7"/>
          </w:tcPr>
          <w:p>
            <w:pPr>
              <w:spacing w:after="0"/>
              <w:rPr>
                <w:sz w:val="19"/>
                <w:szCs w:val="19"/>
                <w:color w:val="auto"/>
              </w:rPr>
            </w:pPr>
          </w:p>
        </w:tc>
      </w:tr>
      <w:tr>
        <w:trPr>
          <w:trHeight w:val="180"/>
        </w:trPr>
        <w:tc>
          <w:tcPr>
            <w:tcW w:w="146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116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150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1560" w:type="dxa"/>
            <w:vAlign w:val="bottom"/>
            <w:tcBorders>
              <w:bottom w:val="single" w:sz="8" w:color="808080"/>
            </w:tcBorders>
          </w:tcPr>
          <w:p>
            <w:pPr>
              <w:spacing w:after="0"/>
              <w:rPr>
                <w:sz w:val="15"/>
                <w:szCs w:val="15"/>
                <w:color w:val="auto"/>
              </w:rPr>
            </w:pPr>
          </w:p>
        </w:tc>
        <w:tc>
          <w:tcPr>
            <w:tcW w:w="2660" w:type="dxa"/>
            <w:vAlign w:val="bottom"/>
            <w:tcBorders>
              <w:bottom w:val="single" w:sz="8" w:color="808080"/>
            </w:tcBorders>
            <w:shd w:val="clear" w:color="auto" w:fill="E9EFF7"/>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-1453515</wp:posOffset>
            </wp:positionV>
            <wp:extent cx="3910965" cy="8502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910965" cy="850265"/>
                    </a:xfrm>
                    <a:prstGeom prst="rect">
                      <a:avLst/>
                    </a:prstGeom>
                    <a:noFill/>
                  </pic:spPr>
                </pic:pic>
              </a:graphicData>
            </a:graphic>
          </wp:anchor>
        </w:drawing>
      </w:r>
    </w:p>
    <w:p>
      <w:pPr>
        <w:spacing w:after="0" w:line="34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The principal functions of the Governance Committee are to:</w:t>
      </w:r>
    </w:p>
    <w:p>
      <w:pPr>
        <w:spacing w:after="0" w:line="178" w:lineRule="exact"/>
        <w:rPr>
          <w:sz w:val="20"/>
          <w:szCs w:val="20"/>
          <w:color w:val="auto"/>
        </w:rPr>
      </w:pPr>
    </w:p>
    <w:p>
      <w:pPr>
        <w:ind w:left="1140" w:hanging="175"/>
        <w:spacing w:after="0"/>
        <w:tabs>
          <w:tab w:leader="none" w:pos="1140" w:val="left"/>
        </w:tabs>
        <w:numPr>
          <w:ilvl w:val="0"/>
          <w:numId w:val="12"/>
        </w:numPr>
        <w:rPr>
          <w:rFonts w:ascii="Arial" w:cs="Arial" w:eastAsia="Arial" w:hAnsi="Arial"/>
          <w:sz w:val="16"/>
          <w:szCs w:val="16"/>
          <w:color w:val="4297CB"/>
        </w:rPr>
      </w:pPr>
      <w:r>
        <w:rPr>
          <w:rFonts w:ascii="Arial" w:cs="Arial" w:eastAsia="Arial" w:hAnsi="Arial"/>
          <w:sz w:val="16"/>
          <w:szCs w:val="16"/>
          <w:color w:val="auto"/>
        </w:rPr>
        <w:t>identify individuals qualified to become members of the Board of Directors;</w:t>
      </w:r>
    </w:p>
    <w:p>
      <w:pPr>
        <w:spacing w:after="0" w:line="70" w:lineRule="exact"/>
        <w:rPr>
          <w:rFonts w:ascii="Arial" w:cs="Arial" w:eastAsia="Arial" w:hAnsi="Arial"/>
          <w:sz w:val="16"/>
          <w:szCs w:val="16"/>
          <w:color w:val="4297CB"/>
        </w:rPr>
      </w:pPr>
    </w:p>
    <w:p>
      <w:pPr>
        <w:ind w:left="1140" w:right="1540" w:hanging="175"/>
        <w:spacing w:after="0" w:line="282" w:lineRule="auto"/>
        <w:tabs>
          <w:tab w:leader="none" w:pos="1140" w:val="left"/>
        </w:tabs>
        <w:numPr>
          <w:ilvl w:val="0"/>
          <w:numId w:val="12"/>
        </w:numPr>
        <w:rPr>
          <w:rFonts w:ascii="Arial" w:cs="Arial" w:eastAsia="Arial" w:hAnsi="Arial"/>
          <w:sz w:val="16"/>
          <w:szCs w:val="16"/>
          <w:color w:val="4297CB"/>
        </w:rPr>
      </w:pPr>
      <w:r>
        <w:rPr>
          <w:rFonts w:ascii="Arial" w:cs="Arial" w:eastAsia="Arial" w:hAnsi="Arial"/>
          <w:sz w:val="16"/>
          <w:szCs w:val="16"/>
          <w:color w:val="auto"/>
        </w:rPr>
        <w:t>select nominees for the membership of the Board of Directors who are of the highest possible caliber and are able to provide insightful, intelligent and effective guidance to the management of the Company;</w:t>
      </w:r>
    </w:p>
    <w:p>
      <w:pPr>
        <w:spacing w:after="0" w:line="22" w:lineRule="exact"/>
        <w:rPr>
          <w:rFonts w:ascii="Arial" w:cs="Arial" w:eastAsia="Arial" w:hAnsi="Arial"/>
          <w:sz w:val="16"/>
          <w:szCs w:val="16"/>
          <w:color w:val="4297CB"/>
        </w:rPr>
      </w:pPr>
    </w:p>
    <w:p>
      <w:pPr>
        <w:ind w:left="1140" w:hanging="175"/>
        <w:spacing w:after="0"/>
        <w:tabs>
          <w:tab w:leader="none" w:pos="1140" w:val="left"/>
        </w:tabs>
        <w:numPr>
          <w:ilvl w:val="0"/>
          <w:numId w:val="12"/>
        </w:numPr>
        <w:rPr>
          <w:rFonts w:ascii="Arial" w:cs="Arial" w:eastAsia="Arial" w:hAnsi="Arial"/>
          <w:sz w:val="16"/>
          <w:szCs w:val="16"/>
          <w:color w:val="4297CB"/>
        </w:rPr>
      </w:pPr>
      <w:r>
        <w:rPr>
          <w:rFonts w:ascii="Arial" w:cs="Arial" w:eastAsia="Arial" w:hAnsi="Arial"/>
          <w:sz w:val="16"/>
          <w:szCs w:val="16"/>
          <w:color w:val="auto"/>
        </w:rPr>
        <w:t>Recommend Director nominees to the full Board from time to time, including with respect to any vacancies that may occur;</w:t>
      </w:r>
    </w:p>
    <w:p>
      <w:pPr>
        <w:spacing w:after="0" w:line="70" w:lineRule="exact"/>
        <w:rPr>
          <w:rFonts w:ascii="Arial" w:cs="Arial" w:eastAsia="Arial" w:hAnsi="Arial"/>
          <w:sz w:val="16"/>
          <w:szCs w:val="16"/>
          <w:color w:val="4297CB"/>
        </w:rPr>
      </w:pPr>
    </w:p>
    <w:p>
      <w:pPr>
        <w:ind w:left="1140" w:hanging="175"/>
        <w:spacing w:after="0"/>
        <w:tabs>
          <w:tab w:leader="none" w:pos="1140" w:val="left"/>
        </w:tabs>
        <w:numPr>
          <w:ilvl w:val="0"/>
          <w:numId w:val="12"/>
        </w:numPr>
        <w:rPr>
          <w:rFonts w:ascii="Arial" w:cs="Arial" w:eastAsia="Arial" w:hAnsi="Arial"/>
          <w:sz w:val="16"/>
          <w:szCs w:val="16"/>
          <w:color w:val="4297CB"/>
        </w:rPr>
      </w:pPr>
      <w:r>
        <w:rPr>
          <w:rFonts w:ascii="Arial" w:cs="Arial" w:eastAsia="Arial" w:hAnsi="Arial"/>
          <w:sz w:val="16"/>
          <w:szCs w:val="16"/>
          <w:color w:val="auto"/>
        </w:rPr>
        <w:t>consider and make recommendations for the Company’s strategies related to corporate responsibility;</w:t>
      </w:r>
    </w:p>
    <w:p>
      <w:pPr>
        <w:spacing w:after="0" w:line="70" w:lineRule="exact"/>
        <w:rPr>
          <w:rFonts w:ascii="Arial" w:cs="Arial" w:eastAsia="Arial" w:hAnsi="Arial"/>
          <w:sz w:val="16"/>
          <w:szCs w:val="16"/>
          <w:color w:val="4297CB"/>
        </w:rPr>
      </w:pPr>
    </w:p>
    <w:p>
      <w:pPr>
        <w:ind w:left="1140" w:hanging="175"/>
        <w:spacing w:after="0"/>
        <w:tabs>
          <w:tab w:leader="none" w:pos="1140" w:val="left"/>
        </w:tabs>
        <w:numPr>
          <w:ilvl w:val="0"/>
          <w:numId w:val="12"/>
        </w:numPr>
        <w:rPr>
          <w:rFonts w:ascii="Arial" w:cs="Arial" w:eastAsia="Arial" w:hAnsi="Arial"/>
          <w:sz w:val="16"/>
          <w:szCs w:val="16"/>
          <w:color w:val="4297CB"/>
        </w:rPr>
      </w:pPr>
      <w:r>
        <w:rPr>
          <w:rFonts w:ascii="Arial" w:cs="Arial" w:eastAsia="Arial" w:hAnsi="Arial"/>
          <w:sz w:val="16"/>
          <w:szCs w:val="16"/>
          <w:color w:val="auto"/>
        </w:rPr>
        <w:t>develop and recommend corporate governance principles to the Board of Directors;</w:t>
      </w:r>
    </w:p>
    <w:p>
      <w:pPr>
        <w:spacing w:after="0" w:line="83" w:lineRule="exact"/>
        <w:rPr>
          <w:rFonts w:ascii="Arial" w:cs="Arial" w:eastAsia="Arial" w:hAnsi="Arial"/>
          <w:sz w:val="16"/>
          <w:szCs w:val="16"/>
          <w:color w:val="4297CB"/>
        </w:rPr>
      </w:pPr>
    </w:p>
    <w:p>
      <w:pPr>
        <w:ind w:left="1140" w:hanging="175"/>
        <w:spacing w:after="0"/>
        <w:tabs>
          <w:tab w:leader="none" w:pos="1140" w:val="left"/>
        </w:tabs>
        <w:numPr>
          <w:ilvl w:val="0"/>
          <w:numId w:val="12"/>
        </w:numPr>
        <w:rPr>
          <w:rFonts w:ascii="Arial" w:cs="Arial" w:eastAsia="Arial" w:hAnsi="Arial"/>
          <w:sz w:val="16"/>
          <w:szCs w:val="16"/>
          <w:color w:val="4297CB"/>
        </w:rPr>
      </w:pPr>
      <w:r>
        <w:rPr>
          <w:rFonts w:ascii="Arial" w:cs="Arial" w:eastAsia="Arial" w:hAnsi="Arial"/>
          <w:sz w:val="16"/>
          <w:szCs w:val="16"/>
          <w:color w:val="auto"/>
        </w:rPr>
        <w:t>lead the Board of Directors in adhering to its corporate governance obligations and principles;</w:t>
      </w:r>
    </w:p>
    <w:p>
      <w:pPr>
        <w:spacing w:after="0" w:line="70" w:lineRule="exact"/>
        <w:rPr>
          <w:rFonts w:ascii="Arial" w:cs="Arial" w:eastAsia="Arial" w:hAnsi="Arial"/>
          <w:sz w:val="16"/>
          <w:szCs w:val="16"/>
          <w:color w:val="4297CB"/>
        </w:rPr>
      </w:pPr>
    </w:p>
    <w:p>
      <w:pPr>
        <w:ind w:left="1140" w:right="980" w:hanging="175"/>
        <w:spacing w:after="0" w:line="263" w:lineRule="auto"/>
        <w:tabs>
          <w:tab w:leader="none" w:pos="1140" w:val="left"/>
        </w:tabs>
        <w:numPr>
          <w:ilvl w:val="0"/>
          <w:numId w:val="12"/>
        </w:numPr>
        <w:rPr>
          <w:rFonts w:ascii="Arial" w:cs="Arial" w:eastAsia="Arial" w:hAnsi="Arial"/>
          <w:sz w:val="16"/>
          <w:szCs w:val="16"/>
          <w:color w:val="4297CB"/>
        </w:rPr>
      </w:pPr>
      <w:r>
        <w:rPr>
          <w:rFonts w:ascii="Arial" w:cs="Arial" w:eastAsia="Arial" w:hAnsi="Arial"/>
          <w:sz w:val="16"/>
          <w:szCs w:val="16"/>
          <w:color w:val="auto"/>
        </w:rPr>
        <w:t>strive to ensure that the governance of the Company is in full compliance with law, reflects generally accepted principles of good corporate governance, encourages flexible and dynamic management without undue burdens and effectively manages the risks of the business and operations of the Company.</w:t>
      </w:r>
    </w:p>
    <w:p>
      <w:pPr>
        <w:spacing w:after="0" w:line="118" w:lineRule="exact"/>
        <w:rPr>
          <w:sz w:val="20"/>
          <w:szCs w:val="20"/>
          <w:color w:val="auto"/>
        </w:rPr>
      </w:pPr>
    </w:p>
    <w:p>
      <w:pPr>
        <w:ind w:left="960" w:right="1320"/>
        <w:spacing w:after="0" w:line="282" w:lineRule="auto"/>
        <w:rPr>
          <w:sz w:val="20"/>
          <w:szCs w:val="20"/>
          <w:color w:val="auto"/>
        </w:rPr>
      </w:pPr>
      <w:r>
        <w:rPr>
          <w:rFonts w:ascii="Arial" w:cs="Arial" w:eastAsia="Arial" w:hAnsi="Arial"/>
          <w:sz w:val="16"/>
          <w:szCs w:val="16"/>
          <w:color w:val="auto"/>
        </w:rPr>
        <w:t>The members of the Governance Committee are independent, as independence for such members is defined in the listing standards of the NYSE and the rules of the SEC.</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9140" w:type="dxa"/>
            <w:vAlign w:val="bottom"/>
          </w:tcPr>
          <w:p>
            <w:pPr>
              <w:ind w:left="636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800" w:type="dxa"/>
            <w:vAlign w:val="bottom"/>
          </w:tcPr>
          <w:p>
            <w:pPr>
              <w:jc w:val="right"/>
              <w:ind w:right="909"/>
              <w:spacing w:after="0"/>
              <w:rPr>
                <w:sz w:val="20"/>
                <w:szCs w:val="20"/>
                <w:color w:val="auto"/>
              </w:rPr>
            </w:pPr>
            <w:r>
              <w:rPr>
                <w:rFonts w:ascii="Arial" w:cs="Arial" w:eastAsia="Arial" w:hAnsi="Arial"/>
                <w:sz w:val="14"/>
                <w:szCs w:val="14"/>
                <w:b w:val="1"/>
                <w:bCs w:val="1"/>
                <w:color w:val="auto"/>
              </w:rPr>
              <w:t>25</w:t>
            </w:r>
          </w:p>
        </w:tc>
      </w:tr>
      <w:tr>
        <w:trPr>
          <w:trHeight w:val="342"/>
        </w:trPr>
        <w:tc>
          <w:tcPr>
            <w:tcW w:w="9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-407670</wp:posOffset>
            </wp:positionV>
            <wp:extent cx="501650" cy="170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Corporate Governance</w:t>
      </w:r>
    </w:p>
    <w:p>
      <w:pPr>
        <w:spacing w:after="0" w:line="143" w:lineRule="exact"/>
        <w:rPr>
          <w:sz w:val="20"/>
          <w:szCs w:val="20"/>
          <w:color w:val="auto"/>
        </w:rPr>
      </w:pPr>
    </w:p>
    <w:p>
      <w:pPr>
        <w:spacing w:after="0"/>
        <w:rPr>
          <w:sz w:val="20"/>
          <w:szCs w:val="20"/>
          <w:color w:val="auto"/>
        </w:rPr>
      </w:pPr>
      <w:r>
        <w:rPr>
          <w:rFonts w:ascii="Arial" w:cs="Arial" w:eastAsia="Arial" w:hAnsi="Arial"/>
          <w:sz w:val="23"/>
          <w:szCs w:val="23"/>
          <w:color w:val="0C426A"/>
        </w:rPr>
        <w:t>Environmental, Social and Governance Subcommittee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73025</wp:posOffset>
            </wp:positionV>
            <wp:extent cx="57137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30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Subcommittee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113030</wp:posOffset>
            </wp:positionV>
            <wp:extent cx="850265" cy="8502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0265" cy="85026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113030</wp:posOffset>
            </wp:positionV>
            <wp:extent cx="850265" cy="8502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0265" cy="850265"/>
                    </a:xfrm>
                    <a:prstGeom prst="rect">
                      <a:avLst/>
                    </a:prstGeom>
                    <a:noFill/>
                  </pic:spPr>
                </pic:pic>
              </a:graphicData>
            </a:graphic>
          </wp:anchor>
        </w:drawing>
        <w:drawing>
          <wp:anchor simplePos="0" relativeHeight="251657728" behindDoc="1" locked="0" layoutInCell="0" allowOverlap="1">
            <wp:simplePos x="0" y="0"/>
            <wp:positionH relativeFrom="column">
              <wp:posOffset>4377690</wp:posOffset>
            </wp:positionH>
            <wp:positionV relativeFrom="paragraph">
              <wp:posOffset>113030</wp:posOffset>
            </wp:positionV>
            <wp:extent cx="850265" cy="8502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0265" cy="85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880"/>
        <w:spacing w:after="0"/>
        <w:tabs>
          <w:tab w:leader="none" w:pos="2940" w:val="left"/>
          <w:tab w:leader="none" w:pos="5900" w:val="left"/>
          <w:tab w:leader="none" w:pos="600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0" w:lineRule="exact"/>
        <w:rPr>
          <w:sz w:val="20"/>
          <w:szCs w:val="20"/>
          <w:color w:val="auto"/>
        </w:r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360" w:type="dxa"/>
            <w:vAlign w:val="bottom"/>
          </w:tcPr>
          <w:p>
            <w:pPr>
              <w:ind w:left="40"/>
              <w:spacing w:after="0"/>
              <w:rPr>
                <w:sz w:val="20"/>
                <w:szCs w:val="20"/>
                <w:color w:val="auto"/>
              </w:rPr>
            </w:pPr>
            <w:r>
              <w:rPr>
                <w:rFonts w:ascii="Arial" w:cs="Arial" w:eastAsia="Arial" w:hAnsi="Arial"/>
                <w:sz w:val="16"/>
                <w:szCs w:val="16"/>
                <w:color w:val="auto"/>
              </w:rPr>
              <w:t> </w:t>
            </w:r>
          </w:p>
        </w:tc>
        <w:tc>
          <w:tcPr>
            <w:tcW w:w="640" w:type="dxa"/>
            <w:vAlign w:val="bottom"/>
          </w:tcPr>
          <w:p>
            <w:pPr>
              <w:spacing w:after="0"/>
              <w:rPr>
                <w:sz w:val="18"/>
                <w:szCs w:val="18"/>
                <w:color w:val="auto"/>
              </w:rPr>
            </w:pPr>
          </w:p>
        </w:tc>
        <w:tc>
          <w:tcPr>
            <w:tcW w:w="2580" w:type="dxa"/>
            <w:vAlign w:val="bottom"/>
          </w:tcPr>
          <w:p>
            <w:pPr>
              <w:ind w:left="40"/>
              <w:spacing w:after="0"/>
              <w:rPr>
                <w:sz w:val="20"/>
                <w:szCs w:val="20"/>
                <w:color w:val="auto"/>
              </w:rPr>
            </w:pPr>
            <w:r>
              <w:rPr>
                <w:rFonts w:ascii="Arial" w:cs="Arial" w:eastAsia="Arial" w:hAnsi="Arial"/>
                <w:sz w:val="16"/>
                <w:szCs w:val="16"/>
                <w:color w:val="auto"/>
              </w:rPr>
              <w:t> </w:t>
            </w:r>
          </w:p>
        </w:tc>
        <w:tc>
          <w:tcPr>
            <w:tcW w:w="460" w:type="dxa"/>
            <w:vAlign w:val="bottom"/>
          </w:tcPr>
          <w:p>
            <w:pPr>
              <w:spacing w:after="0"/>
              <w:rPr>
                <w:sz w:val="18"/>
                <w:szCs w:val="18"/>
                <w:color w:val="auto"/>
              </w:rPr>
            </w:pPr>
          </w:p>
        </w:tc>
        <w:tc>
          <w:tcPr>
            <w:tcW w:w="2940" w:type="dxa"/>
            <w:vAlign w:val="bottom"/>
          </w:tcPr>
          <w:p>
            <w:pPr>
              <w:ind w:left="60"/>
              <w:spacing w:after="0"/>
              <w:rPr>
                <w:sz w:val="20"/>
                <w:szCs w:val="20"/>
                <w:color w:val="auto"/>
              </w:rPr>
            </w:pPr>
            <w:r>
              <w:rPr>
                <w:rFonts w:ascii="Arial" w:cs="Arial" w:eastAsia="Arial" w:hAnsi="Arial"/>
                <w:sz w:val="16"/>
                <w:szCs w:val="16"/>
                <w:color w:val="auto"/>
              </w:rPr>
              <w:t> </w:t>
            </w:r>
          </w:p>
        </w:tc>
      </w:tr>
      <w:tr>
        <w:trPr>
          <w:trHeight w:val="336"/>
        </w:trPr>
        <w:tc>
          <w:tcPr>
            <w:tcW w:w="2360" w:type="dxa"/>
            <w:vAlign w:val="bottom"/>
          </w:tcPr>
          <w:p>
            <w:pPr>
              <w:jc w:val="center"/>
              <w:ind w:left="340"/>
              <w:spacing w:after="0"/>
              <w:rPr>
                <w:sz w:val="20"/>
                <w:szCs w:val="20"/>
                <w:color w:val="auto"/>
              </w:rPr>
            </w:pPr>
            <w:r>
              <w:rPr>
                <w:rFonts w:ascii="Arial" w:cs="Arial" w:eastAsia="Arial" w:hAnsi="Arial"/>
                <w:sz w:val="16"/>
                <w:szCs w:val="16"/>
                <w:b w:val="1"/>
                <w:bCs w:val="1"/>
                <w:color w:val="auto"/>
                <w:w w:val="99"/>
              </w:rPr>
              <w:t>Ann R. Klee,</w:t>
            </w:r>
          </w:p>
        </w:tc>
        <w:tc>
          <w:tcPr>
            <w:tcW w:w="640" w:type="dxa"/>
            <w:vAlign w:val="bottom"/>
          </w:tcPr>
          <w:p>
            <w:pPr>
              <w:ind w:left="500"/>
              <w:spacing w:after="0"/>
              <w:rPr>
                <w:sz w:val="20"/>
                <w:szCs w:val="20"/>
                <w:color w:val="auto"/>
              </w:rPr>
            </w:pPr>
            <w:r>
              <w:rPr>
                <w:rFonts w:ascii="Times New Roman" w:cs="Times New Roman" w:eastAsia="Times New Roman" w:hAnsi="Times New Roman"/>
                <w:sz w:val="4"/>
                <w:szCs w:val="4"/>
                <w:color w:val="auto"/>
              </w:rPr>
              <w:t>​​</w:t>
            </w:r>
          </w:p>
        </w:tc>
        <w:tc>
          <w:tcPr>
            <w:tcW w:w="2580" w:type="dxa"/>
            <w:vAlign w:val="bottom"/>
          </w:tcPr>
          <w:p>
            <w:pPr>
              <w:ind w:left="680"/>
              <w:spacing w:after="0"/>
              <w:rPr>
                <w:sz w:val="20"/>
                <w:szCs w:val="20"/>
                <w:color w:val="auto"/>
              </w:rPr>
            </w:pPr>
            <w:r>
              <w:rPr>
                <w:rFonts w:ascii="Arial" w:cs="Arial" w:eastAsia="Arial" w:hAnsi="Arial"/>
                <w:sz w:val="16"/>
                <w:szCs w:val="16"/>
                <w:b w:val="1"/>
                <w:bCs w:val="1"/>
                <w:color w:val="auto"/>
              </w:rPr>
              <w:t>Beverley A. Babcock</w:t>
            </w:r>
          </w:p>
        </w:tc>
        <w:tc>
          <w:tcPr>
            <w:tcW w:w="460" w:type="dxa"/>
            <w:vAlign w:val="bottom"/>
          </w:tcPr>
          <w:p>
            <w:pPr>
              <w:ind w:left="32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2940" w:type="dxa"/>
            <w:vAlign w:val="bottom"/>
          </w:tcPr>
          <w:p>
            <w:pPr>
              <w:ind w:left="900"/>
              <w:spacing w:after="0"/>
              <w:rPr>
                <w:sz w:val="20"/>
                <w:szCs w:val="20"/>
                <w:color w:val="auto"/>
              </w:rPr>
            </w:pPr>
            <w:r>
              <w:rPr>
                <w:rFonts w:ascii="Arial" w:cs="Arial" w:eastAsia="Arial" w:hAnsi="Arial"/>
                <w:sz w:val="16"/>
                <w:szCs w:val="16"/>
                <w:b w:val="1"/>
                <w:bCs w:val="1"/>
                <w:color w:val="auto"/>
              </w:rPr>
              <w:t>Byron S. Foster</w:t>
            </w:r>
          </w:p>
        </w:tc>
      </w:tr>
      <w:tr>
        <w:trPr>
          <w:trHeight w:val="221"/>
        </w:trPr>
        <w:tc>
          <w:tcPr>
            <w:tcW w:w="2360" w:type="dxa"/>
            <w:vAlign w:val="bottom"/>
          </w:tcPr>
          <w:p>
            <w:pPr>
              <w:jc w:val="center"/>
              <w:ind w:left="400"/>
              <w:spacing w:after="0"/>
              <w:rPr>
                <w:sz w:val="20"/>
                <w:szCs w:val="20"/>
                <w:color w:val="auto"/>
              </w:rPr>
            </w:pPr>
            <w:r>
              <w:rPr>
                <w:rFonts w:ascii="Arial" w:cs="Arial" w:eastAsia="Arial" w:hAnsi="Arial"/>
                <w:sz w:val="16"/>
                <w:szCs w:val="16"/>
                <w:b w:val="1"/>
                <w:bCs w:val="1"/>
                <w:color w:val="4297CB"/>
                <w:w w:val="97"/>
              </w:rPr>
              <w:t>Chair</w:t>
            </w:r>
          </w:p>
        </w:tc>
        <w:tc>
          <w:tcPr>
            <w:tcW w:w="6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180"/>
        </w:trPr>
        <w:tc>
          <w:tcPr>
            <w:tcW w:w="2360" w:type="dxa"/>
            <w:vAlign w:val="bottom"/>
            <w:tcBorders>
              <w:bottom w:val="single" w:sz="8" w:color="808080"/>
            </w:tcBorders>
          </w:tcPr>
          <w:p>
            <w:pPr>
              <w:spacing w:after="0"/>
              <w:rPr>
                <w:sz w:val="15"/>
                <w:szCs w:val="15"/>
                <w:color w:val="auto"/>
              </w:rPr>
            </w:pPr>
          </w:p>
        </w:tc>
        <w:tc>
          <w:tcPr>
            <w:tcW w:w="640" w:type="dxa"/>
            <w:vAlign w:val="bottom"/>
            <w:tcBorders>
              <w:bottom w:val="single" w:sz="8" w:color="808080"/>
            </w:tcBorders>
          </w:tcPr>
          <w:p>
            <w:pPr>
              <w:spacing w:after="0"/>
              <w:rPr>
                <w:sz w:val="15"/>
                <w:szCs w:val="15"/>
                <w:color w:val="auto"/>
              </w:rPr>
            </w:pPr>
          </w:p>
        </w:tc>
        <w:tc>
          <w:tcPr>
            <w:tcW w:w="2580" w:type="dxa"/>
            <w:vAlign w:val="bottom"/>
            <w:tcBorders>
              <w:bottom w:val="single" w:sz="8" w:color="808080"/>
            </w:tcBorders>
          </w:tcPr>
          <w:p>
            <w:pPr>
              <w:spacing w:after="0"/>
              <w:rPr>
                <w:sz w:val="15"/>
                <w:szCs w:val="15"/>
                <w:color w:val="auto"/>
              </w:rPr>
            </w:pPr>
          </w:p>
        </w:tc>
        <w:tc>
          <w:tcPr>
            <w:tcW w:w="460" w:type="dxa"/>
            <w:vAlign w:val="bottom"/>
            <w:tcBorders>
              <w:bottom w:val="single" w:sz="8" w:color="808080"/>
            </w:tcBorders>
          </w:tcPr>
          <w:p>
            <w:pPr>
              <w:spacing w:after="0"/>
              <w:rPr>
                <w:sz w:val="15"/>
                <w:szCs w:val="15"/>
                <w:color w:val="auto"/>
              </w:rPr>
            </w:pPr>
          </w:p>
        </w:tc>
        <w:tc>
          <w:tcPr>
            <w:tcW w:w="2940" w:type="dxa"/>
            <w:vAlign w:val="bottom"/>
            <w:tcBorders>
              <w:bottom w:val="single" w:sz="8" w:color="808080"/>
            </w:tcBorders>
          </w:tcPr>
          <w:p>
            <w:pPr>
              <w:spacing w:after="0"/>
              <w:rPr>
                <w:sz w:val="15"/>
                <w:szCs w:val="15"/>
                <w:color w:val="auto"/>
              </w:rPr>
            </w:pPr>
          </w:p>
        </w:tc>
      </w:tr>
    </w:tbl>
    <w:p>
      <w:pPr>
        <w:spacing w:after="0" w:line="361" w:lineRule="exact"/>
        <w:rPr>
          <w:sz w:val="20"/>
          <w:szCs w:val="20"/>
          <w:color w:val="auto"/>
        </w:rPr>
      </w:pPr>
    </w:p>
    <w:p>
      <w:pPr>
        <w:ind w:right="139"/>
        <w:spacing w:after="0" w:line="250" w:lineRule="auto"/>
        <w:rPr>
          <w:sz w:val="20"/>
          <w:szCs w:val="20"/>
          <w:color w:val="auto"/>
        </w:rPr>
      </w:pPr>
      <w:r>
        <w:rPr>
          <w:rFonts w:ascii="Arial" w:cs="Arial" w:eastAsia="Arial" w:hAnsi="Arial"/>
          <w:sz w:val="16"/>
          <w:szCs w:val="16"/>
          <w:color w:val="auto"/>
        </w:rPr>
        <w:t>To further our Board of Directors’ commitment to oversight and accountability of environmental and social issues, the Board established the Environmental, Social and Governance Subcommittee (the “ESG Subcommittee”) of the Governance Committee, chaired by Board member Ms. Klee and including Board members Ms. Babcock and Mr. Foster. The ESG Subcommittee supports Wabtec’s on-going commitment to environmental, social and governance (“ESG”) matters relevant to Wabtec including complying with all applicable laws and regulations affecting the health and safety of our employees and stakeholders, as well as protection of the environment (including climate) and other public policy matters. The ESG Subcommittee met four times as part of the Governance Committee meetings.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principal functions of the ESG Subcommittee are to:</w:t>
      </w:r>
    </w:p>
    <w:p>
      <w:pPr>
        <w:spacing w:after="0" w:line="178" w:lineRule="exact"/>
        <w:rPr>
          <w:sz w:val="20"/>
          <w:szCs w:val="20"/>
          <w:color w:val="auto"/>
        </w:rPr>
      </w:pPr>
    </w:p>
    <w:p>
      <w:pPr>
        <w:ind w:left="180" w:hanging="175"/>
        <w:spacing w:after="0"/>
        <w:tabs>
          <w:tab w:leader="none" w:pos="180" w:val="left"/>
        </w:tabs>
        <w:numPr>
          <w:ilvl w:val="0"/>
          <w:numId w:val="13"/>
        </w:numPr>
        <w:rPr>
          <w:rFonts w:ascii="Arial" w:cs="Arial" w:eastAsia="Arial" w:hAnsi="Arial"/>
          <w:sz w:val="16"/>
          <w:szCs w:val="16"/>
          <w:color w:val="4297CB"/>
        </w:rPr>
      </w:pPr>
      <w:r>
        <w:rPr>
          <w:rFonts w:ascii="Arial" w:cs="Arial" w:eastAsia="Arial" w:hAnsi="Arial"/>
          <w:sz w:val="16"/>
          <w:szCs w:val="16"/>
          <w:color w:val="auto"/>
        </w:rPr>
        <w:t>set the Company’s general strategy relating to ESG matters;</w:t>
      </w:r>
    </w:p>
    <w:p>
      <w:pPr>
        <w:spacing w:after="0" w:line="83" w:lineRule="exact"/>
        <w:rPr>
          <w:rFonts w:ascii="Arial" w:cs="Arial" w:eastAsia="Arial" w:hAnsi="Arial"/>
          <w:sz w:val="16"/>
          <w:szCs w:val="16"/>
          <w:color w:val="4297CB"/>
        </w:rPr>
      </w:pPr>
    </w:p>
    <w:p>
      <w:pPr>
        <w:ind w:left="180" w:hanging="175"/>
        <w:spacing w:after="0"/>
        <w:tabs>
          <w:tab w:leader="none" w:pos="180" w:val="left"/>
        </w:tabs>
        <w:numPr>
          <w:ilvl w:val="0"/>
          <w:numId w:val="13"/>
        </w:numPr>
        <w:rPr>
          <w:rFonts w:ascii="Arial" w:cs="Arial" w:eastAsia="Arial" w:hAnsi="Arial"/>
          <w:sz w:val="16"/>
          <w:szCs w:val="16"/>
          <w:color w:val="4297CB"/>
        </w:rPr>
      </w:pPr>
      <w:r>
        <w:rPr>
          <w:rFonts w:ascii="Arial" w:cs="Arial" w:eastAsia="Arial" w:hAnsi="Arial"/>
          <w:sz w:val="16"/>
          <w:szCs w:val="16"/>
          <w:color w:val="auto"/>
        </w:rPr>
        <w:t>oversee the Company’s evolving reporting and disclosure requirements with respect to ESG matters;</w:t>
      </w:r>
    </w:p>
    <w:p>
      <w:pPr>
        <w:spacing w:after="0" w:line="70" w:lineRule="exact"/>
        <w:rPr>
          <w:rFonts w:ascii="Arial" w:cs="Arial" w:eastAsia="Arial" w:hAnsi="Arial"/>
          <w:sz w:val="16"/>
          <w:szCs w:val="16"/>
          <w:color w:val="4297CB"/>
        </w:rPr>
      </w:pPr>
    </w:p>
    <w:p>
      <w:pPr>
        <w:ind w:left="180" w:hanging="175"/>
        <w:spacing w:after="0"/>
        <w:tabs>
          <w:tab w:leader="none" w:pos="180" w:val="left"/>
        </w:tabs>
        <w:numPr>
          <w:ilvl w:val="0"/>
          <w:numId w:val="13"/>
        </w:numPr>
        <w:rPr>
          <w:rFonts w:ascii="Arial" w:cs="Arial" w:eastAsia="Arial" w:hAnsi="Arial"/>
          <w:sz w:val="16"/>
          <w:szCs w:val="16"/>
          <w:color w:val="4297CB"/>
        </w:rPr>
      </w:pPr>
      <w:r>
        <w:rPr>
          <w:rFonts w:ascii="Arial" w:cs="Arial" w:eastAsia="Arial" w:hAnsi="Arial"/>
          <w:sz w:val="16"/>
          <w:szCs w:val="16"/>
          <w:color w:val="auto"/>
        </w:rPr>
        <w:t>oversee communications with investors and other stakeholders, including oversight of the annual Sustainability Report;</w:t>
      </w:r>
    </w:p>
    <w:p>
      <w:pPr>
        <w:spacing w:after="0" w:line="70" w:lineRule="exact"/>
        <w:rPr>
          <w:rFonts w:ascii="Arial" w:cs="Arial" w:eastAsia="Arial" w:hAnsi="Arial"/>
          <w:sz w:val="16"/>
          <w:szCs w:val="16"/>
          <w:color w:val="4297CB"/>
        </w:rPr>
      </w:pPr>
    </w:p>
    <w:p>
      <w:pPr>
        <w:ind w:left="180" w:hanging="175"/>
        <w:spacing w:after="0"/>
        <w:tabs>
          <w:tab w:leader="none" w:pos="180" w:val="left"/>
        </w:tabs>
        <w:numPr>
          <w:ilvl w:val="0"/>
          <w:numId w:val="13"/>
        </w:numPr>
        <w:rPr>
          <w:rFonts w:ascii="Arial" w:cs="Arial" w:eastAsia="Arial" w:hAnsi="Arial"/>
          <w:sz w:val="16"/>
          <w:szCs w:val="16"/>
          <w:color w:val="4297CB"/>
        </w:rPr>
      </w:pPr>
      <w:r>
        <w:rPr>
          <w:rFonts w:ascii="Arial" w:cs="Arial" w:eastAsia="Arial" w:hAnsi="Arial"/>
          <w:sz w:val="16"/>
          <w:szCs w:val="16"/>
          <w:color w:val="auto"/>
        </w:rPr>
        <w:t>oversee the Company’s programs and practices to promote and provide safe, healthy and secure workplaces;</w:t>
      </w:r>
    </w:p>
    <w:p>
      <w:pPr>
        <w:spacing w:after="0" w:line="83" w:lineRule="exact"/>
        <w:rPr>
          <w:rFonts w:ascii="Arial" w:cs="Arial" w:eastAsia="Arial" w:hAnsi="Arial"/>
          <w:sz w:val="16"/>
          <w:szCs w:val="16"/>
          <w:color w:val="4297CB"/>
        </w:rPr>
      </w:pPr>
    </w:p>
    <w:p>
      <w:pPr>
        <w:ind w:left="180" w:right="379" w:hanging="175"/>
        <w:spacing w:after="0" w:line="282" w:lineRule="auto"/>
        <w:tabs>
          <w:tab w:leader="none" w:pos="180" w:val="left"/>
        </w:tabs>
        <w:numPr>
          <w:ilvl w:val="0"/>
          <w:numId w:val="13"/>
        </w:numPr>
        <w:rPr>
          <w:rFonts w:ascii="Arial" w:cs="Arial" w:eastAsia="Arial" w:hAnsi="Arial"/>
          <w:sz w:val="16"/>
          <w:szCs w:val="16"/>
          <w:color w:val="4297CB"/>
        </w:rPr>
      </w:pPr>
      <w:r>
        <w:rPr>
          <w:rFonts w:ascii="Arial" w:cs="Arial" w:eastAsia="Arial" w:hAnsi="Arial"/>
          <w:sz w:val="16"/>
          <w:szCs w:val="16"/>
          <w:color w:val="auto"/>
        </w:rPr>
        <w:t>monitor the Company’s compliance with legal and regulatory requirements as well as industry standards and guidelines applicable to environmental and health and safety matters;</w:t>
      </w:r>
    </w:p>
    <w:p>
      <w:pPr>
        <w:spacing w:after="0" w:line="9" w:lineRule="exact"/>
        <w:rPr>
          <w:rFonts w:ascii="Arial" w:cs="Arial" w:eastAsia="Arial" w:hAnsi="Arial"/>
          <w:sz w:val="16"/>
          <w:szCs w:val="16"/>
          <w:color w:val="4297CB"/>
        </w:rPr>
      </w:pPr>
    </w:p>
    <w:p>
      <w:pPr>
        <w:ind w:left="180" w:hanging="175"/>
        <w:spacing w:after="0"/>
        <w:tabs>
          <w:tab w:leader="none" w:pos="180" w:val="left"/>
        </w:tabs>
        <w:numPr>
          <w:ilvl w:val="0"/>
          <w:numId w:val="13"/>
        </w:numPr>
        <w:rPr>
          <w:rFonts w:ascii="Arial" w:cs="Arial" w:eastAsia="Arial" w:hAnsi="Arial"/>
          <w:sz w:val="16"/>
          <w:szCs w:val="16"/>
          <w:color w:val="4297CB"/>
        </w:rPr>
      </w:pPr>
      <w:r>
        <w:rPr>
          <w:rFonts w:ascii="Arial" w:cs="Arial" w:eastAsia="Arial" w:hAnsi="Arial"/>
          <w:sz w:val="16"/>
          <w:szCs w:val="16"/>
          <w:color w:val="auto"/>
        </w:rPr>
        <w:t>monitor the Company’s ESG performance and health and safety compliance and related risks;</w:t>
      </w:r>
    </w:p>
    <w:p>
      <w:pPr>
        <w:spacing w:after="0" w:line="70" w:lineRule="exact"/>
        <w:rPr>
          <w:rFonts w:ascii="Arial" w:cs="Arial" w:eastAsia="Arial" w:hAnsi="Arial"/>
          <w:sz w:val="16"/>
          <w:szCs w:val="16"/>
          <w:color w:val="4297CB"/>
        </w:rPr>
      </w:pPr>
    </w:p>
    <w:p>
      <w:pPr>
        <w:ind w:left="180" w:hanging="175"/>
        <w:spacing w:after="0"/>
        <w:tabs>
          <w:tab w:leader="none" w:pos="180" w:val="left"/>
        </w:tabs>
        <w:numPr>
          <w:ilvl w:val="0"/>
          <w:numId w:val="13"/>
        </w:numPr>
        <w:rPr>
          <w:rFonts w:ascii="Arial" w:cs="Arial" w:eastAsia="Arial" w:hAnsi="Arial"/>
          <w:sz w:val="16"/>
          <w:szCs w:val="16"/>
          <w:color w:val="4297CB"/>
        </w:rPr>
      </w:pPr>
      <w:r>
        <w:rPr>
          <w:rFonts w:ascii="Arial" w:cs="Arial" w:eastAsia="Arial" w:hAnsi="Arial"/>
          <w:sz w:val="16"/>
          <w:szCs w:val="16"/>
          <w:color w:val="auto"/>
        </w:rPr>
        <w:t>review and discusses with management and the Board of Directors environmental and health and safety matters, and</w:t>
      </w:r>
    </w:p>
    <w:p>
      <w:pPr>
        <w:spacing w:after="0" w:line="83" w:lineRule="exact"/>
        <w:rPr>
          <w:rFonts w:ascii="Arial" w:cs="Arial" w:eastAsia="Arial" w:hAnsi="Arial"/>
          <w:sz w:val="16"/>
          <w:szCs w:val="16"/>
          <w:color w:val="4297CB"/>
        </w:rPr>
      </w:pPr>
    </w:p>
    <w:p>
      <w:pPr>
        <w:ind w:left="180" w:hanging="175"/>
        <w:spacing w:after="0"/>
        <w:tabs>
          <w:tab w:leader="none" w:pos="180" w:val="left"/>
        </w:tabs>
        <w:numPr>
          <w:ilvl w:val="0"/>
          <w:numId w:val="13"/>
        </w:numPr>
        <w:rPr>
          <w:rFonts w:ascii="Arial" w:cs="Arial" w:eastAsia="Arial" w:hAnsi="Arial"/>
          <w:sz w:val="16"/>
          <w:szCs w:val="16"/>
          <w:color w:val="4297CB"/>
        </w:rPr>
      </w:pPr>
      <w:r>
        <w:rPr>
          <w:rFonts w:ascii="Arial" w:cs="Arial" w:eastAsia="Arial" w:hAnsi="Arial"/>
          <w:sz w:val="16"/>
          <w:szCs w:val="16"/>
          <w:color w:val="auto"/>
        </w:rPr>
        <w:t>perform such other responsibilities as may be assigned or delegated to it by the Governance Committee.</w:t>
      </w:r>
    </w:p>
    <w:p>
      <w:pPr>
        <w:spacing w:after="0" w:line="164" w:lineRule="exact"/>
        <w:rPr>
          <w:sz w:val="20"/>
          <w:szCs w:val="20"/>
          <w:color w:val="auto"/>
        </w:rPr>
      </w:pPr>
    </w:p>
    <w:p>
      <w:pPr>
        <w:ind w:right="199"/>
        <w:spacing w:after="0" w:line="293" w:lineRule="auto"/>
        <w:rPr>
          <w:sz w:val="20"/>
          <w:szCs w:val="20"/>
          <w:color w:val="auto"/>
        </w:rPr>
      </w:pPr>
      <w:r>
        <w:rPr>
          <w:rFonts w:ascii="Arial" w:cs="Arial" w:eastAsia="Arial" w:hAnsi="Arial"/>
          <w:sz w:val="16"/>
          <w:szCs w:val="16"/>
          <w:color w:val="auto"/>
        </w:rPr>
        <w:t xml:space="preserve">Additional details regarding the ESG Subcommittee’s duties and responsibilities can be found in the Governance Committee Charter located at </w:t>
      </w:r>
      <w:r>
        <w:rPr>
          <w:rFonts w:ascii="Arial" w:cs="Arial" w:eastAsia="Arial" w:hAnsi="Arial"/>
          <w:sz w:val="16"/>
          <w:szCs w:val="16"/>
          <w:b w:val="1"/>
          <w:bCs w:val="1"/>
          <w:color w:val="4297CB"/>
        </w:rPr>
        <w:t>http://www.wabteccorp.com -&gt; investor relations -&gt; corporate governance</w:t>
      </w:r>
      <w:r>
        <w:rPr>
          <w:rFonts w:ascii="Arial" w:cs="Arial" w:eastAsia="Arial" w:hAnsi="Arial"/>
          <w:sz w:val="16"/>
          <w:szCs w:val="16"/>
          <w:color w:val="auto"/>
        </w:rPr>
        <w: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760" w:type="dxa"/>
            <w:vAlign w:val="bottom"/>
          </w:tcPr>
          <w:p>
            <w:pPr>
              <w:jc w:val="right"/>
              <w:ind w:right="529"/>
              <w:spacing w:after="0"/>
              <w:rPr>
                <w:sz w:val="20"/>
                <w:szCs w:val="20"/>
                <w:color w:val="auto"/>
              </w:rPr>
            </w:pPr>
            <w:r>
              <w:rPr>
                <w:rFonts w:ascii="Arial" w:cs="Arial" w:eastAsia="Arial" w:hAnsi="Arial"/>
                <w:sz w:val="14"/>
                <w:szCs w:val="14"/>
                <w:b w:val="1"/>
                <w:bCs w:val="1"/>
                <w:color w:val="auto"/>
                <w:w w:val="89"/>
              </w:rPr>
              <w:t>26</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170180</wp:posOffset>
            </wp:positionV>
            <wp:extent cx="693801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29" w:name="page30"/>
    <w:bookmarkEnd w:id="29"/>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tbl>
      <w:tblPr>
        <w:tblLayout w:type="fixed"/>
        <w:tblInd w:w="9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60" w:type="dxa"/>
            <w:vAlign w:val="bottom"/>
          </w:tcPr>
          <w:p>
            <w:pPr>
              <w:ind w:left="1400"/>
              <w:spacing w:after="0"/>
              <w:rPr>
                <w:sz w:val="20"/>
                <w:szCs w:val="20"/>
                <w:color w:val="auto"/>
              </w:rPr>
            </w:pPr>
            <w:r>
              <w:rPr>
                <w:rFonts w:ascii="Arial" w:cs="Arial" w:eastAsia="Arial" w:hAnsi="Arial"/>
                <w:sz w:val="12"/>
                <w:szCs w:val="12"/>
                <w:color w:val="auto"/>
              </w:rPr>
              <w:t>Corporate Governance</w:t>
            </w:r>
          </w:p>
        </w:tc>
      </w:tr>
      <w:tr>
        <w:trPr>
          <w:trHeight w:val="422"/>
        </w:trPr>
        <w:tc>
          <w:tcPr>
            <w:tcW w:w="3080" w:type="dxa"/>
            <w:vAlign w:val="bottom"/>
            <w:gridSpan w:val="4"/>
          </w:tcPr>
          <w:p>
            <w:pPr>
              <w:jc w:val="right"/>
              <w:ind w:right="841"/>
              <w:spacing w:after="0"/>
              <w:rPr>
                <w:sz w:val="20"/>
                <w:szCs w:val="20"/>
                <w:color w:val="auto"/>
              </w:rPr>
            </w:pPr>
            <w:r>
              <w:rPr>
                <w:rFonts w:ascii="Arial" w:cs="Arial" w:eastAsia="Arial" w:hAnsi="Arial"/>
                <w:sz w:val="23"/>
                <w:szCs w:val="23"/>
                <w:color w:val="0C426A"/>
                <w:w w:val="99"/>
              </w:rPr>
              <w:t>The Audit Committee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73"/>
        </w:trPr>
        <w:tc>
          <w:tcPr>
            <w:tcW w:w="20" w:type="dxa"/>
            <w:vAlign w:val="bottom"/>
          </w:tcPr>
          <w:p>
            <w:pPr>
              <w:spacing w:after="0"/>
              <w:rPr>
                <w:sz w:val="6"/>
                <w:szCs w:val="6"/>
                <w:color w:val="auto"/>
              </w:rPr>
            </w:pPr>
          </w:p>
        </w:tc>
        <w:tc>
          <w:tcPr>
            <w:tcW w:w="1760" w:type="dxa"/>
            <w:vAlign w:val="bottom"/>
            <w:tcBorders>
              <w:bottom w:val="single" w:sz="8" w:color="808080"/>
            </w:tcBorders>
            <w:gridSpan w:val="2"/>
          </w:tcPr>
          <w:p>
            <w:pPr>
              <w:spacing w:after="0"/>
              <w:rPr>
                <w:sz w:val="6"/>
                <w:szCs w:val="6"/>
                <w:color w:val="auto"/>
              </w:rPr>
            </w:pPr>
          </w:p>
        </w:tc>
        <w:tc>
          <w:tcPr>
            <w:tcW w:w="1300" w:type="dxa"/>
            <w:vAlign w:val="bottom"/>
            <w:tcBorders>
              <w:bottom w:val="single" w:sz="8" w:color="808080"/>
            </w:tcBorders>
          </w:tcPr>
          <w:p>
            <w:pPr>
              <w:spacing w:after="0"/>
              <w:rPr>
                <w:sz w:val="6"/>
                <w:szCs w:val="6"/>
                <w:color w:val="auto"/>
              </w:rPr>
            </w:pPr>
          </w:p>
        </w:tc>
        <w:tc>
          <w:tcPr>
            <w:tcW w:w="150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560" w:type="dxa"/>
            <w:vAlign w:val="bottom"/>
            <w:tcBorders>
              <w:bottom w:val="single" w:sz="8" w:color="808080"/>
            </w:tcBorders>
          </w:tcPr>
          <w:p>
            <w:pPr>
              <w:spacing w:after="0"/>
              <w:rPr>
                <w:sz w:val="6"/>
                <w:szCs w:val="6"/>
                <w:color w:val="auto"/>
              </w:rPr>
            </w:pPr>
          </w:p>
        </w:tc>
        <w:tc>
          <w:tcPr>
            <w:tcW w:w="2660" w:type="dxa"/>
            <w:vAlign w:val="bottom"/>
            <w:tcBorders>
              <w:bottom w:val="single" w:sz="8" w:color="808080"/>
            </w:tcBorders>
          </w:tcPr>
          <w:p>
            <w:pPr>
              <w:spacing w:after="0"/>
              <w:rPr>
                <w:sz w:val="6"/>
                <w:szCs w:val="6"/>
                <w:color w:val="auto"/>
              </w:rPr>
            </w:pPr>
          </w:p>
        </w:tc>
      </w:tr>
      <w:tr>
        <w:trPr>
          <w:trHeight w:val="311"/>
        </w:trPr>
        <w:tc>
          <w:tcPr>
            <w:tcW w:w="20" w:type="dxa"/>
            <w:vAlign w:val="bottom"/>
          </w:tcPr>
          <w:p>
            <w:pPr>
              <w:spacing w:after="0"/>
              <w:rPr>
                <w:sz w:val="24"/>
                <w:szCs w:val="24"/>
                <w:color w:val="auto"/>
              </w:rPr>
            </w:pPr>
          </w:p>
        </w:tc>
        <w:tc>
          <w:tcPr>
            <w:tcW w:w="1760" w:type="dxa"/>
            <w:vAlign w:val="bottom"/>
            <w:gridSpan w:val="2"/>
          </w:tcPr>
          <w:p>
            <w:pPr>
              <w:ind w:left="40"/>
              <w:spacing w:after="0"/>
              <w:rPr>
                <w:sz w:val="20"/>
                <w:szCs w:val="20"/>
                <w:color w:val="auto"/>
              </w:rPr>
            </w:pPr>
            <w:r>
              <w:rPr>
                <w:rFonts w:ascii="Arial" w:cs="Arial" w:eastAsia="Arial" w:hAnsi="Arial"/>
                <w:sz w:val="16"/>
                <w:szCs w:val="16"/>
                <w:b w:val="1"/>
                <w:bCs w:val="1"/>
                <w:color w:val="auto"/>
              </w:rPr>
              <w:t>Committee Members:</w:t>
            </w: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jc w:val="right"/>
              <w:ind w:right="37"/>
              <w:spacing w:after="0"/>
              <w:rPr>
                <w:sz w:val="20"/>
                <w:szCs w:val="20"/>
                <w:color w:val="auto"/>
              </w:rPr>
            </w:pPr>
            <w:r>
              <w:rPr>
                <w:rFonts w:ascii="Times New Roman" w:cs="Times New Roman" w:eastAsia="Times New Roman" w:hAnsi="Times New Roman"/>
                <w:sz w:val="4"/>
                <w:szCs w:val="4"/>
                <w:color w:val="auto"/>
              </w:rPr>
              <w:t>​</w:t>
            </w:r>
          </w:p>
        </w:tc>
        <w:tc>
          <w:tcPr>
            <w:tcW w:w="2660" w:type="dxa"/>
            <w:vAlign w:val="bottom"/>
            <w:shd w:val="clear" w:color="auto" w:fill="E9EFF7"/>
          </w:tcPr>
          <w:p>
            <w:pPr>
              <w:ind w:left="100"/>
              <w:spacing w:after="0"/>
              <w:rPr>
                <w:sz w:val="20"/>
                <w:szCs w:val="20"/>
                <w:color w:val="auto"/>
              </w:rPr>
            </w:pPr>
            <w:r>
              <w:rPr>
                <w:rFonts w:ascii="Arial" w:cs="Arial" w:eastAsia="Arial" w:hAnsi="Arial"/>
                <w:sz w:val="16"/>
                <w:szCs w:val="16"/>
                <w:color w:val="auto"/>
              </w:rPr>
              <w:t>A current copy of the charter is</w:t>
            </w:r>
          </w:p>
        </w:tc>
      </w:tr>
      <w:tr>
        <w:trPr>
          <w:trHeight w:val="324"/>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60" w:type="dxa"/>
            <w:vAlign w:val="bottom"/>
            <w:shd w:val="clear" w:color="auto" w:fill="E9EFF7"/>
          </w:tcPr>
          <w:p>
            <w:pPr>
              <w:ind w:left="100"/>
              <w:spacing w:after="0"/>
              <w:rPr>
                <w:sz w:val="20"/>
                <w:szCs w:val="20"/>
                <w:color w:val="auto"/>
              </w:rPr>
            </w:pPr>
            <w:r>
              <w:rPr>
                <w:rFonts w:ascii="Arial" w:cs="Arial" w:eastAsia="Arial" w:hAnsi="Arial"/>
                <w:sz w:val="16"/>
                <w:szCs w:val="16"/>
                <w:color w:val="auto"/>
              </w:rPr>
              <w:t>available on Wabtec’s website at:</w:t>
            </w:r>
          </w:p>
        </w:tc>
      </w:tr>
      <w:tr>
        <w:trPr>
          <w:trHeight w:val="187"/>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60" w:type="dxa"/>
            <w:vAlign w:val="bottom"/>
            <w:shd w:val="clear" w:color="auto" w:fill="E9EFF7"/>
          </w:tcPr>
          <w:p>
            <w:pPr>
              <w:ind w:left="100"/>
              <w:spacing w:after="0"/>
              <w:rPr>
                <w:sz w:val="20"/>
                <w:szCs w:val="20"/>
                <w:color w:val="auto"/>
              </w:rPr>
            </w:pPr>
            <w:r>
              <w:rPr>
                <w:rFonts w:ascii="Arial" w:cs="Arial" w:eastAsia="Arial" w:hAnsi="Arial"/>
                <w:sz w:val="16"/>
                <w:szCs w:val="16"/>
                <w:b w:val="1"/>
                <w:bCs w:val="1"/>
                <w:color w:val="4297CB"/>
              </w:rPr>
              <w:t>http://www.wabteccorp.com -&gt;</w:t>
            </w:r>
          </w:p>
        </w:tc>
      </w:tr>
      <w:tr>
        <w:trPr>
          <w:trHeight w:val="187"/>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60" w:type="dxa"/>
            <w:vAlign w:val="bottom"/>
            <w:shd w:val="clear" w:color="auto" w:fill="E9EFF7"/>
          </w:tcPr>
          <w:p>
            <w:pPr>
              <w:ind w:left="100"/>
              <w:spacing w:after="0"/>
              <w:rPr>
                <w:sz w:val="20"/>
                <w:szCs w:val="20"/>
                <w:color w:val="auto"/>
              </w:rPr>
            </w:pPr>
            <w:r>
              <w:rPr>
                <w:rFonts w:ascii="Arial" w:cs="Arial" w:eastAsia="Arial" w:hAnsi="Arial"/>
                <w:sz w:val="16"/>
                <w:szCs w:val="16"/>
                <w:b w:val="1"/>
                <w:bCs w:val="1"/>
                <w:color w:val="4297CB"/>
              </w:rPr>
              <w:t>investor relations -&gt; corporate</w:t>
            </w:r>
          </w:p>
        </w:tc>
      </w:tr>
      <w:tr>
        <w:trPr>
          <w:trHeight w:val="187"/>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60" w:type="dxa"/>
            <w:vAlign w:val="bottom"/>
            <w:shd w:val="clear" w:color="auto" w:fill="E9EFF7"/>
          </w:tcPr>
          <w:p>
            <w:pPr>
              <w:ind w:left="100"/>
              <w:spacing w:after="0"/>
              <w:rPr>
                <w:sz w:val="20"/>
                <w:szCs w:val="20"/>
                <w:color w:val="auto"/>
              </w:rPr>
            </w:pPr>
            <w:r>
              <w:rPr>
                <w:rFonts w:ascii="Arial" w:cs="Arial" w:eastAsia="Arial" w:hAnsi="Arial"/>
                <w:sz w:val="16"/>
                <w:szCs w:val="16"/>
                <w:b w:val="1"/>
                <w:bCs w:val="1"/>
                <w:color w:val="4297CB"/>
              </w:rPr>
              <w:t>governance</w:t>
            </w:r>
          </w:p>
        </w:tc>
      </w:tr>
      <w:tr>
        <w:trPr>
          <w:trHeight w:val="187"/>
        </w:trPr>
        <w:tc>
          <w:tcPr>
            <w:tcW w:w="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5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560" w:type="dxa"/>
            <w:vAlign w:val="bottom"/>
          </w:tcPr>
          <w:p>
            <w:pPr>
              <w:jc w:val="right"/>
              <w:ind w:right="37"/>
              <w:spacing w:after="0"/>
              <w:rPr>
                <w:sz w:val="20"/>
                <w:szCs w:val="20"/>
                <w:color w:val="auto"/>
              </w:rPr>
            </w:pPr>
            <w:r>
              <w:rPr>
                <w:rFonts w:ascii="Times New Roman" w:cs="Times New Roman" w:eastAsia="Times New Roman" w:hAnsi="Times New Roman"/>
                <w:sz w:val="4"/>
                <w:szCs w:val="4"/>
                <w:color w:val="auto"/>
              </w:rPr>
              <w:t>​</w:t>
            </w:r>
          </w:p>
        </w:tc>
        <w:tc>
          <w:tcPr>
            <w:tcW w:w="2660" w:type="dxa"/>
            <w:vAlign w:val="bottom"/>
            <w:shd w:val="clear" w:color="auto" w:fill="E9EFF7"/>
          </w:tcPr>
          <w:p>
            <w:pPr>
              <w:ind w:left="100"/>
              <w:spacing w:after="0"/>
              <w:rPr>
                <w:sz w:val="20"/>
                <w:szCs w:val="20"/>
                <w:color w:val="auto"/>
              </w:rPr>
            </w:pPr>
            <w:r>
              <w:rPr>
                <w:rFonts w:ascii="Arial" w:cs="Arial" w:eastAsia="Arial" w:hAnsi="Arial"/>
                <w:sz w:val="16"/>
                <w:szCs w:val="16"/>
                <w:b w:val="1"/>
                <w:bCs w:val="1"/>
                <w:color w:val="4297CB"/>
              </w:rPr>
              <w:t> </w:t>
            </w:r>
          </w:p>
        </w:tc>
      </w:tr>
      <w:tr>
        <w:trPr>
          <w:trHeight w:val="187"/>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660" w:type="dxa"/>
            <w:vAlign w:val="bottom"/>
            <w:shd w:val="clear" w:color="auto" w:fill="E9EFF7"/>
          </w:tcPr>
          <w:p>
            <w:pPr>
              <w:ind w:left="100"/>
              <w:spacing w:after="0"/>
              <w:rPr>
                <w:sz w:val="20"/>
                <w:szCs w:val="20"/>
                <w:color w:val="auto"/>
              </w:rPr>
            </w:pPr>
            <w:r>
              <w:rPr>
                <w:rFonts w:ascii="Arial" w:cs="Arial" w:eastAsia="Arial" w:hAnsi="Arial"/>
                <w:sz w:val="16"/>
                <w:szCs w:val="16"/>
                <w:b w:val="1"/>
                <w:bCs w:val="1"/>
                <w:color w:val="4297CB"/>
              </w:rPr>
              <w:t> </w:t>
            </w:r>
          </w:p>
        </w:tc>
      </w:tr>
      <w:tr>
        <w:trPr>
          <w:trHeight w:val="221"/>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60" w:type="dxa"/>
            <w:vAlign w:val="bottom"/>
            <w:shd w:val="clear" w:color="auto" w:fill="E9EFF7"/>
          </w:tcPr>
          <w:p>
            <w:pPr>
              <w:ind w:left="100"/>
              <w:spacing w:after="0"/>
              <w:rPr>
                <w:sz w:val="20"/>
                <w:szCs w:val="20"/>
                <w:color w:val="auto"/>
              </w:rPr>
            </w:pPr>
            <w:r>
              <w:rPr>
                <w:rFonts w:ascii="Arial" w:cs="Arial" w:eastAsia="Arial" w:hAnsi="Arial"/>
                <w:sz w:val="16"/>
                <w:szCs w:val="16"/>
                <w:b w:val="1"/>
                <w:bCs w:val="1"/>
                <w:color w:val="4297CB"/>
              </w:rPr>
              <w:t>Number of Meetings: 7</w:t>
            </w:r>
          </w:p>
        </w:tc>
      </w:tr>
      <w:tr>
        <w:trPr>
          <w:trHeight w:val="300"/>
        </w:trPr>
        <w:tc>
          <w:tcPr>
            <w:tcW w:w="2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Arial" w:cs="Arial" w:eastAsia="Arial" w:hAnsi="Arial"/>
                <w:sz w:val="16"/>
                <w:szCs w:val="16"/>
                <w:color w:val="auto"/>
              </w:rPr>
              <w:t> </w:t>
            </w:r>
          </w:p>
        </w:tc>
        <w:tc>
          <w:tcPr>
            <w:tcW w:w="300" w:type="dxa"/>
            <w:vAlign w:val="bottom"/>
          </w:tcPr>
          <w:p>
            <w:pPr>
              <w:ind w:left="140"/>
              <w:spacing w:after="0"/>
              <w:rPr>
                <w:sz w:val="20"/>
                <w:szCs w:val="20"/>
                <w:color w:val="auto"/>
              </w:rPr>
            </w:pPr>
            <w:r>
              <w:rPr>
                <w:rFonts w:ascii="Arial" w:cs="Arial" w:eastAsia="Arial" w:hAnsi="Arial"/>
                <w:sz w:val="16"/>
                <w:szCs w:val="16"/>
                <w:color w:val="auto"/>
              </w:rPr>
              <w:t> </w:t>
            </w:r>
          </w:p>
        </w:tc>
        <w:tc>
          <w:tcPr>
            <w:tcW w:w="1300" w:type="dxa"/>
            <w:vAlign w:val="bottom"/>
          </w:tcPr>
          <w:p>
            <w:pPr>
              <w:spacing w:after="0"/>
              <w:rPr>
                <w:sz w:val="24"/>
                <w:szCs w:val="24"/>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jc w:val="right"/>
              <w:ind w:right="1417"/>
              <w:spacing w:after="0"/>
              <w:rPr>
                <w:sz w:val="20"/>
                <w:szCs w:val="20"/>
                <w:color w:val="auto"/>
              </w:rPr>
            </w:pPr>
            <w:r>
              <w:rPr>
                <w:rFonts w:ascii="Arial" w:cs="Arial" w:eastAsia="Arial" w:hAnsi="Arial"/>
                <w:sz w:val="16"/>
                <w:szCs w:val="16"/>
                <w:color w:val="auto"/>
              </w:rPr>
              <w:t> </w:t>
            </w:r>
          </w:p>
        </w:tc>
        <w:tc>
          <w:tcPr>
            <w:tcW w:w="2660" w:type="dxa"/>
            <w:vAlign w:val="bottom"/>
            <w:shd w:val="clear" w:color="auto" w:fill="E9EFF7"/>
          </w:tcPr>
          <w:p>
            <w:pPr>
              <w:spacing w:after="0"/>
              <w:rPr>
                <w:sz w:val="24"/>
                <w:szCs w:val="24"/>
                <w:color w:val="auto"/>
              </w:rPr>
            </w:pPr>
          </w:p>
        </w:tc>
      </w:tr>
      <w:tr>
        <w:trPr>
          <w:trHeight w:val="336"/>
        </w:trPr>
        <w:tc>
          <w:tcPr>
            <w:tcW w:w="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 xml:space="preserve">Brian P. Hehir,  </w:t>
            </w:r>
            <w:r>
              <w:rPr>
                <w:rFonts w:ascii="Times New Roman" w:cs="Times New Roman" w:eastAsia="Times New Roman" w:hAnsi="Times New Roman"/>
                <w:sz w:val="7"/>
                <w:szCs w:val="7"/>
                <w:color w:val="auto"/>
                <w:vertAlign w:val="subscript"/>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 xml:space="preserve">Beverley A.   </w:t>
            </w:r>
            <w:r>
              <w:rPr>
                <w:rFonts w:ascii="Times New Roman" w:cs="Times New Roman" w:eastAsia="Times New Roman" w:hAnsi="Times New Roman"/>
                <w:sz w:val="7"/>
                <w:szCs w:val="7"/>
                <w:color w:val="auto"/>
                <w:vertAlign w:val="subscript"/>
              </w:rPr>
              <w:t>​</w:t>
            </w:r>
          </w:p>
        </w:tc>
        <w:tc>
          <w:tcPr>
            <w:tcW w:w="1500" w:type="dxa"/>
            <w:vAlign w:val="bottom"/>
          </w:tcPr>
          <w:p>
            <w:pPr>
              <w:ind w:left="40"/>
              <w:spacing w:after="0"/>
              <w:rPr>
                <w:sz w:val="20"/>
                <w:szCs w:val="20"/>
                <w:color w:val="auto"/>
              </w:rPr>
            </w:pPr>
            <w:r>
              <w:rPr>
                <w:rFonts w:ascii="Times New Roman" w:cs="Times New Roman" w:eastAsia="Times New Roman" w:hAnsi="Times New Roman"/>
                <w:sz w:val="7"/>
                <w:szCs w:val="7"/>
                <w:color w:val="auto"/>
                <w:w w:val="85"/>
                <w:vertAlign w:val="subscript"/>
              </w:rPr>
              <w:t>​</w:t>
            </w:r>
            <w:r>
              <w:rPr>
                <w:rFonts w:ascii="Arial" w:cs="Arial" w:eastAsia="Arial" w:hAnsi="Arial"/>
                <w:sz w:val="16"/>
                <w:szCs w:val="16"/>
                <w:b w:val="1"/>
                <w:bCs w:val="1"/>
                <w:color w:val="auto"/>
                <w:w w:val="85"/>
              </w:rPr>
              <w:t xml:space="preserve">           Byron S. Foster</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560" w:type="dxa"/>
            <w:vAlign w:val="bottom"/>
          </w:tcPr>
          <w:p>
            <w:pPr>
              <w:jc w:val="right"/>
              <w:ind w:right="37"/>
              <w:spacing w:after="0"/>
              <w:rPr>
                <w:sz w:val="20"/>
                <w:szCs w:val="20"/>
                <w:color w:val="auto"/>
              </w:rPr>
            </w:pPr>
            <w:r>
              <w:rPr>
                <w:rFonts w:ascii="Arial" w:cs="Arial" w:eastAsia="Arial" w:hAnsi="Arial"/>
                <w:sz w:val="16"/>
                <w:szCs w:val="16"/>
                <w:b w:val="1"/>
                <w:bCs w:val="1"/>
                <w:color w:val="auto"/>
              </w:rPr>
              <w:t xml:space="preserve">Linda A. Harty  </w:t>
            </w:r>
            <w:r>
              <w:rPr>
                <w:rFonts w:ascii="Times New Roman" w:cs="Times New Roman" w:eastAsia="Times New Roman" w:hAnsi="Times New Roman"/>
                <w:sz w:val="7"/>
                <w:szCs w:val="7"/>
                <w:color w:val="auto"/>
                <w:vertAlign w:val="subscript"/>
              </w:rPr>
              <w:t>​</w:t>
            </w:r>
          </w:p>
        </w:tc>
        <w:tc>
          <w:tcPr>
            <w:tcW w:w="2660" w:type="dxa"/>
            <w:vAlign w:val="bottom"/>
            <w:shd w:val="clear" w:color="auto" w:fill="E9EFF7"/>
          </w:tcPr>
          <w:p>
            <w:pPr>
              <w:spacing w:after="0"/>
              <w:rPr>
                <w:sz w:val="24"/>
                <w:szCs w:val="24"/>
                <w:color w:val="auto"/>
              </w:rPr>
            </w:pPr>
          </w:p>
        </w:tc>
      </w:tr>
      <w:tr>
        <w:trPr>
          <w:trHeight w:val="221"/>
        </w:trPr>
        <w:tc>
          <w:tcPr>
            <w:tcW w:w="20" w:type="dxa"/>
            <w:vAlign w:val="bottom"/>
          </w:tcPr>
          <w:p>
            <w:pPr>
              <w:spacing w:after="0"/>
              <w:rPr>
                <w:sz w:val="19"/>
                <w:szCs w:val="19"/>
                <w:color w:val="auto"/>
              </w:rPr>
            </w:pPr>
          </w:p>
        </w:tc>
        <w:tc>
          <w:tcPr>
            <w:tcW w:w="1460" w:type="dxa"/>
            <w:vAlign w:val="bottom"/>
          </w:tcPr>
          <w:p>
            <w:pPr>
              <w:ind w:left="480"/>
              <w:spacing w:after="0"/>
              <w:rPr>
                <w:sz w:val="20"/>
                <w:szCs w:val="20"/>
                <w:color w:val="auto"/>
              </w:rPr>
            </w:pPr>
            <w:r>
              <w:rPr>
                <w:rFonts w:ascii="Arial" w:cs="Arial" w:eastAsia="Arial" w:hAnsi="Arial"/>
                <w:sz w:val="16"/>
                <w:szCs w:val="16"/>
                <w:b w:val="1"/>
                <w:bCs w:val="1"/>
                <w:color w:val="4297CB"/>
              </w:rPr>
              <w:t>Chair</w:t>
            </w:r>
          </w:p>
        </w:tc>
        <w:tc>
          <w:tcPr>
            <w:tcW w:w="300" w:type="dxa"/>
            <w:vAlign w:val="bottom"/>
          </w:tcPr>
          <w:p>
            <w:pPr>
              <w:spacing w:after="0"/>
              <w:rPr>
                <w:sz w:val="19"/>
                <w:szCs w:val="19"/>
                <w:color w:val="auto"/>
              </w:rPr>
            </w:pPr>
          </w:p>
        </w:tc>
        <w:tc>
          <w:tcPr>
            <w:tcW w:w="1300" w:type="dxa"/>
            <w:vAlign w:val="bottom"/>
          </w:tcPr>
          <w:p>
            <w:pPr>
              <w:jc w:val="right"/>
              <w:ind w:right="361"/>
              <w:spacing w:after="0"/>
              <w:rPr>
                <w:sz w:val="20"/>
                <w:szCs w:val="20"/>
                <w:color w:val="auto"/>
              </w:rPr>
            </w:pPr>
            <w:r>
              <w:rPr>
                <w:rFonts w:ascii="Arial" w:cs="Arial" w:eastAsia="Arial" w:hAnsi="Arial"/>
                <w:sz w:val="16"/>
                <w:szCs w:val="16"/>
                <w:b w:val="1"/>
                <w:bCs w:val="1"/>
                <w:color w:val="auto"/>
              </w:rPr>
              <w:t>Babcock</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60" w:type="dxa"/>
            <w:vAlign w:val="bottom"/>
            <w:shd w:val="clear" w:color="auto" w:fill="E9EFF7"/>
          </w:tcPr>
          <w:p>
            <w:pPr>
              <w:spacing w:after="0"/>
              <w:rPr>
                <w:sz w:val="19"/>
                <w:szCs w:val="19"/>
                <w:color w:val="auto"/>
              </w:rPr>
            </w:pPr>
          </w:p>
        </w:tc>
      </w:tr>
      <w:tr>
        <w:trPr>
          <w:trHeight w:val="180"/>
        </w:trPr>
        <w:tc>
          <w:tcPr>
            <w:tcW w:w="20" w:type="dxa"/>
            <w:vAlign w:val="bottom"/>
          </w:tcPr>
          <w:p>
            <w:pPr>
              <w:spacing w:after="0"/>
              <w:rPr>
                <w:sz w:val="15"/>
                <w:szCs w:val="15"/>
                <w:color w:val="auto"/>
              </w:rPr>
            </w:pPr>
          </w:p>
        </w:tc>
        <w:tc>
          <w:tcPr>
            <w:tcW w:w="146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300" w:type="dxa"/>
            <w:vAlign w:val="bottom"/>
            <w:tcBorders>
              <w:bottom w:val="single" w:sz="8" w:color="808080"/>
            </w:tcBorders>
          </w:tcPr>
          <w:p>
            <w:pPr>
              <w:spacing w:after="0"/>
              <w:rPr>
                <w:sz w:val="15"/>
                <w:szCs w:val="15"/>
                <w:color w:val="auto"/>
              </w:rPr>
            </w:pPr>
          </w:p>
        </w:tc>
        <w:tc>
          <w:tcPr>
            <w:tcW w:w="150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1560" w:type="dxa"/>
            <w:vAlign w:val="bottom"/>
            <w:tcBorders>
              <w:bottom w:val="single" w:sz="8" w:color="808080"/>
            </w:tcBorders>
          </w:tcPr>
          <w:p>
            <w:pPr>
              <w:spacing w:after="0"/>
              <w:rPr>
                <w:sz w:val="15"/>
                <w:szCs w:val="15"/>
                <w:color w:val="auto"/>
              </w:rPr>
            </w:pPr>
          </w:p>
        </w:tc>
        <w:tc>
          <w:tcPr>
            <w:tcW w:w="2660" w:type="dxa"/>
            <w:vAlign w:val="bottom"/>
            <w:tcBorders>
              <w:bottom w:val="single" w:sz="8" w:color="808080"/>
            </w:tcBorders>
            <w:shd w:val="clear" w:color="auto" w:fill="E9EFF7"/>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-1453515</wp:posOffset>
            </wp:positionV>
            <wp:extent cx="3910965" cy="8502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910965" cy="850265"/>
                    </a:xfrm>
                    <a:prstGeom prst="rect">
                      <a:avLst/>
                    </a:prstGeom>
                    <a:noFill/>
                  </pic:spPr>
                </pic:pic>
              </a:graphicData>
            </a:graphic>
          </wp:anchor>
        </w:drawing>
      </w:r>
    </w:p>
    <w:p>
      <w:pPr>
        <w:spacing w:after="0" w:line="34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The principal functions of the Audit Committee are to:</w:t>
      </w:r>
    </w:p>
    <w:p>
      <w:pPr>
        <w:spacing w:after="0" w:line="178" w:lineRule="exact"/>
        <w:rPr>
          <w:sz w:val="20"/>
          <w:szCs w:val="20"/>
          <w:color w:val="auto"/>
        </w:rPr>
      </w:pPr>
    </w:p>
    <w:p>
      <w:pPr>
        <w:ind w:left="1140" w:right="1120" w:hanging="175"/>
        <w:spacing w:after="0" w:line="282" w:lineRule="auto"/>
        <w:tabs>
          <w:tab w:leader="none" w:pos="1140" w:val="left"/>
        </w:tabs>
        <w:numPr>
          <w:ilvl w:val="0"/>
          <w:numId w:val="14"/>
        </w:numPr>
        <w:rPr>
          <w:rFonts w:ascii="Arial" w:cs="Arial" w:eastAsia="Arial" w:hAnsi="Arial"/>
          <w:sz w:val="16"/>
          <w:szCs w:val="16"/>
          <w:color w:val="4297CB"/>
        </w:rPr>
      </w:pPr>
      <w:r>
        <w:rPr>
          <w:rFonts w:ascii="Arial" w:cs="Arial" w:eastAsia="Arial" w:hAnsi="Arial"/>
          <w:sz w:val="16"/>
          <w:szCs w:val="16"/>
          <w:color w:val="auto"/>
        </w:rPr>
        <w:t>oversee the Company’s financial reporting process on behalf of the Board and regularly report the results of its activities to the Board;</w:t>
      </w:r>
    </w:p>
    <w:p>
      <w:pPr>
        <w:spacing w:after="0" w:line="9" w:lineRule="exact"/>
        <w:rPr>
          <w:rFonts w:ascii="Arial" w:cs="Arial" w:eastAsia="Arial" w:hAnsi="Arial"/>
          <w:sz w:val="16"/>
          <w:szCs w:val="16"/>
          <w:color w:val="4297CB"/>
        </w:rPr>
      </w:pPr>
    </w:p>
    <w:p>
      <w:pPr>
        <w:ind w:left="1140" w:hanging="175"/>
        <w:spacing w:after="0"/>
        <w:tabs>
          <w:tab w:leader="none" w:pos="1140" w:val="left"/>
        </w:tabs>
        <w:numPr>
          <w:ilvl w:val="0"/>
          <w:numId w:val="14"/>
        </w:numPr>
        <w:rPr>
          <w:rFonts w:ascii="Arial" w:cs="Arial" w:eastAsia="Arial" w:hAnsi="Arial"/>
          <w:sz w:val="16"/>
          <w:szCs w:val="16"/>
          <w:color w:val="4297CB"/>
        </w:rPr>
      </w:pPr>
      <w:r>
        <w:rPr>
          <w:rFonts w:ascii="Arial" w:cs="Arial" w:eastAsia="Arial" w:hAnsi="Arial"/>
          <w:sz w:val="16"/>
          <w:szCs w:val="16"/>
          <w:color w:val="auto"/>
        </w:rPr>
        <w:t>oversee the systems of internal accounting and financial controls;</w:t>
      </w:r>
    </w:p>
    <w:p>
      <w:pPr>
        <w:spacing w:after="0" w:line="83" w:lineRule="exact"/>
        <w:rPr>
          <w:rFonts w:ascii="Arial" w:cs="Arial" w:eastAsia="Arial" w:hAnsi="Arial"/>
          <w:sz w:val="16"/>
          <w:szCs w:val="16"/>
          <w:color w:val="4297CB"/>
        </w:rPr>
      </w:pPr>
    </w:p>
    <w:p>
      <w:pPr>
        <w:ind w:left="1140" w:hanging="175"/>
        <w:spacing w:after="0"/>
        <w:tabs>
          <w:tab w:leader="none" w:pos="1140" w:val="left"/>
        </w:tabs>
        <w:numPr>
          <w:ilvl w:val="0"/>
          <w:numId w:val="14"/>
        </w:numPr>
        <w:rPr>
          <w:rFonts w:ascii="Arial" w:cs="Arial" w:eastAsia="Arial" w:hAnsi="Arial"/>
          <w:sz w:val="16"/>
          <w:szCs w:val="16"/>
          <w:color w:val="4297CB"/>
        </w:rPr>
      </w:pPr>
      <w:r>
        <w:rPr>
          <w:rFonts w:ascii="Arial" w:cs="Arial" w:eastAsia="Arial" w:hAnsi="Arial"/>
          <w:sz w:val="16"/>
          <w:szCs w:val="16"/>
          <w:color w:val="auto"/>
        </w:rPr>
        <w:t>oversee the performance of the Company’s internal audit function and independent auditors;</w:t>
      </w:r>
    </w:p>
    <w:p>
      <w:pPr>
        <w:spacing w:after="0" w:line="70" w:lineRule="exact"/>
        <w:rPr>
          <w:rFonts w:ascii="Arial" w:cs="Arial" w:eastAsia="Arial" w:hAnsi="Arial"/>
          <w:sz w:val="16"/>
          <w:szCs w:val="16"/>
          <w:color w:val="4297CB"/>
        </w:rPr>
      </w:pPr>
    </w:p>
    <w:p>
      <w:pPr>
        <w:ind w:left="1140" w:hanging="175"/>
        <w:spacing w:after="0"/>
        <w:tabs>
          <w:tab w:leader="none" w:pos="1140" w:val="left"/>
        </w:tabs>
        <w:numPr>
          <w:ilvl w:val="0"/>
          <w:numId w:val="14"/>
        </w:numPr>
        <w:rPr>
          <w:rFonts w:ascii="Arial" w:cs="Arial" w:eastAsia="Arial" w:hAnsi="Arial"/>
          <w:sz w:val="16"/>
          <w:szCs w:val="16"/>
          <w:color w:val="4297CB"/>
        </w:rPr>
      </w:pPr>
      <w:r>
        <w:rPr>
          <w:rFonts w:ascii="Arial" w:cs="Arial" w:eastAsia="Arial" w:hAnsi="Arial"/>
          <w:sz w:val="16"/>
          <w:szCs w:val="16"/>
          <w:color w:val="auto"/>
        </w:rPr>
        <w:t>assess the independent auditor’s qualifications and independence;</w:t>
      </w:r>
    </w:p>
    <w:p>
      <w:pPr>
        <w:spacing w:after="0" w:line="70" w:lineRule="exact"/>
        <w:rPr>
          <w:rFonts w:ascii="Arial" w:cs="Arial" w:eastAsia="Arial" w:hAnsi="Arial"/>
          <w:sz w:val="16"/>
          <w:szCs w:val="16"/>
          <w:color w:val="4297CB"/>
        </w:rPr>
      </w:pPr>
    </w:p>
    <w:p>
      <w:pPr>
        <w:ind w:left="1140" w:hanging="175"/>
        <w:spacing w:after="0"/>
        <w:tabs>
          <w:tab w:leader="none" w:pos="1140" w:val="left"/>
        </w:tabs>
        <w:numPr>
          <w:ilvl w:val="0"/>
          <w:numId w:val="14"/>
        </w:numPr>
        <w:rPr>
          <w:rFonts w:ascii="Arial" w:cs="Arial" w:eastAsia="Arial" w:hAnsi="Arial"/>
          <w:sz w:val="16"/>
          <w:szCs w:val="16"/>
          <w:color w:val="4297CB"/>
        </w:rPr>
      </w:pPr>
      <w:r>
        <w:rPr>
          <w:rFonts w:ascii="Arial" w:cs="Arial" w:eastAsia="Arial" w:hAnsi="Arial"/>
          <w:sz w:val="16"/>
          <w:szCs w:val="16"/>
          <w:color w:val="auto"/>
        </w:rPr>
        <w:t>oversee the Company’s compliance with ethics policies and legal and regulatory requirements; and</w:t>
      </w:r>
    </w:p>
    <w:p>
      <w:pPr>
        <w:spacing w:after="0" w:line="83" w:lineRule="exact"/>
        <w:rPr>
          <w:rFonts w:ascii="Arial" w:cs="Arial" w:eastAsia="Arial" w:hAnsi="Arial"/>
          <w:sz w:val="16"/>
          <w:szCs w:val="16"/>
          <w:color w:val="4297CB"/>
        </w:rPr>
      </w:pPr>
    </w:p>
    <w:p>
      <w:pPr>
        <w:ind w:left="1140" w:right="1340" w:hanging="175"/>
        <w:spacing w:after="0" w:line="282" w:lineRule="auto"/>
        <w:tabs>
          <w:tab w:leader="none" w:pos="1140" w:val="left"/>
        </w:tabs>
        <w:numPr>
          <w:ilvl w:val="0"/>
          <w:numId w:val="14"/>
        </w:numPr>
        <w:rPr>
          <w:rFonts w:ascii="Arial" w:cs="Arial" w:eastAsia="Arial" w:hAnsi="Arial"/>
          <w:sz w:val="16"/>
          <w:szCs w:val="16"/>
          <w:color w:val="4297CB"/>
        </w:rPr>
      </w:pPr>
      <w:r>
        <w:rPr>
          <w:rFonts w:ascii="Arial" w:cs="Arial" w:eastAsia="Arial" w:hAnsi="Arial"/>
          <w:sz w:val="16"/>
          <w:szCs w:val="16"/>
          <w:color w:val="auto"/>
        </w:rPr>
        <w:t>oversee the Company’s enterprise risk management review with respect to issues including cybersecurity, data privacy, geopolitical risks and others (as more fully set forth on P. 31) and assessment.</w:t>
      </w:r>
    </w:p>
    <w:p>
      <w:pPr>
        <w:spacing w:after="0" w:line="103" w:lineRule="exact"/>
        <w:rPr>
          <w:sz w:val="20"/>
          <w:szCs w:val="20"/>
          <w:color w:val="auto"/>
        </w:rPr>
      </w:pPr>
    </w:p>
    <w:p>
      <w:pPr>
        <w:ind w:left="960" w:right="1200"/>
        <w:spacing w:after="0" w:line="263" w:lineRule="auto"/>
        <w:rPr>
          <w:sz w:val="20"/>
          <w:szCs w:val="20"/>
          <w:color w:val="auto"/>
        </w:rPr>
      </w:pPr>
      <w:r>
        <w:rPr>
          <w:rFonts w:ascii="Arial" w:cs="Arial" w:eastAsia="Arial" w:hAnsi="Arial"/>
          <w:sz w:val="16"/>
          <w:szCs w:val="16"/>
          <w:color w:val="auto"/>
        </w:rPr>
        <w:t>The Audit Committee is empowered to investigate any matter brought to its attention with full access to all books, records, facilities, and personnel of the Company and has the authority to engage independent counsel and other advisers, including accountants, as it determines necessary to carry out its duties.</w:t>
      </w:r>
    </w:p>
    <w:p>
      <w:pPr>
        <w:spacing w:after="0" w:line="118" w:lineRule="exact"/>
        <w:rPr>
          <w:sz w:val="20"/>
          <w:szCs w:val="20"/>
          <w:color w:val="auto"/>
        </w:rPr>
      </w:pPr>
    </w:p>
    <w:p>
      <w:pPr>
        <w:ind w:left="960" w:right="1560"/>
        <w:spacing w:after="0" w:line="263" w:lineRule="auto"/>
        <w:rPr>
          <w:sz w:val="20"/>
          <w:szCs w:val="20"/>
          <w:color w:val="auto"/>
        </w:rPr>
      </w:pPr>
      <w:r>
        <w:rPr>
          <w:rFonts w:ascii="Arial" w:cs="Arial" w:eastAsia="Arial" w:hAnsi="Arial"/>
          <w:sz w:val="16"/>
          <w:szCs w:val="16"/>
          <w:color w:val="auto"/>
        </w:rPr>
        <w:t>The Audit Committee has established procedures for the receipt, retention and treatment of complaints received by the Company regarding accounting, internal controls or auditing matters and the confidential anonymous submission by employees of concerns regarding questionable accounting or auditing matters.</w:t>
      </w:r>
    </w:p>
    <w:p>
      <w:pPr>
        <w:spacing w:after="0" w:line="118" w:lineRule="exact"/>
        <w:rPr>
          <w:sz w:val="20"/>
          <w:szCs w:val="20"/>
          <w:color w:val="auto"/>
        </w:rPr>
      </w:pPr>
    </w:p>
    <w:p>
      <w:pPr>
        <w:ind w:left="960" w:right="1220"/>
        <w:spacing w:after="0" w:line="263" w:lineRule="auto"/>
        <w:rPr>
          <w:sz w:val="20"/>
          <w:szCs w:val="20"/>
          <w:color w:val="auto"/>
        </w:rPr>
      </w:pPr>
      <w:r>
        <w:rPr>
          <w:rFonts w:ascii="Arial" w:cs="Arial" w:eastAsia="Arial" w:hAnsi="Arial"/>
          <w:sz w:val="16"/>
          <w:szCs w:val="16"/>
          <w:color w:val="auto"/>
        </w:rPr>
        <w:t>The members of the Audit Committee are independent, as defined in the rules of the SEC and in the listing standards of the NYSE. The Board has determined that each of Ms. Babcock, Ms. Harty, Mr. Foster and Mr. Hehir qualifies as an “audit committee financial expert” as defined in the regulations of the SEC.</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9140" w:type="dxa"/>
            <w:vAlign w:val="bottom"/>
          </w:tcPr>
          <w:p>
            <w:pPr>
              <w:ind w:left="636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800" w:type="dxa"/>
            <w:vAlign w:val="bottom"/>
          </w:tcPr>
          <w:p>
            <w:pPr>
              <w:jc w:val="right"/>
              <w:ind w:right="909"/>
              <w:spacing w:after="0"/>
              <w:rPr>
                <w:sz w:val="20"/>
                <w:szCs w:val="20"/>
                <w:color w:val="auto"/>
              </w:rPr>
            </w:pPr>
            <w:r>
              <w:rPr>
                <w:rFonts w:ascii="Arial" w:cs="Arial" w:eastAsia="Arial" w:hAnsi="Arial"/>
                <w:sz w:val="14"/>
                <w:szCs w:val="14"/>
                <w:b w:val="1"/>
                <w:bCs w:val="1"/>
                <w:color w:val="auto"/>
              </w:rPr>
              <w:t>27</w:t>
            </w:r>
          </w:p>
        </w:tc>
      </w:tr>
      <w:tr>
        <w:trPr>
          <w:trHeight w:val="355"/>
        </w:trPr>
        <w:tc>
          <w:tcPr>
            <w:tcW w:w="9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-407670</wp:posOffset>
            </wp:positionV>
            <wp:extent cx="501650" cy="170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Corporate Governance</w:t>
      </w:r>
    </w:p>
    <w:p>
      <w:pPr>
        <w:spacing w:after="0" w:line="143" w:lineRule="exact"/>
        <w:rPr>
          <w:sz w:val="20"/>
          <w:szCs w:val="20"/>
          <w:color w:val="auto"/>
        </w:rPr>
      </w:pPr>
    </w:p>
    <w:p>
      <w:pPr>
        <w:spacing w:after="0"/>
        <w:rPr>
          <w:sz w:val="20"/>
          <w:szCs w:val="20"/>
          <w:color w:val="auto"/>
        </w:rPr>
      </w:pPr>
      <w:r>
        <w:rPr>
          <w:rFonts w:ascii="Arial" w:cs="Arial" w:eastAsia="Arial" w:hAnsi="Arial"/>
          <w:sz w:val="23"/>
          <w:szCs w:val="23"/>
          <w:color w:val="0C426A"/>
        </w:rPr>
        <w:t>The Compensation and Talent Management Committee</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331"/>
        </w:trPr>
        <w:tc>
          <w:tcPr>
            <w:tcW w:w="1760" w:type="dxa"/>
            <w:vAlign w:val="bottom"/>
            <w:tcBorders>
              <w:top w:val="single" w:sz="8" w:color="808080"/>
            </w:tcBorders>
            <w:gridSpan w:val="2"/>
          </w:tcPr>
          <w:p>
            <w:pPr>
              <w:ind w:left="40"/>
              <w:spacing w:after="0"/>
              <w:rPr>
                <w:sz w:val="20"/>
                <w:szCs w:val="20"/>
                <w:color w:val="auto"/>
              </w:rPr>
            </w:pPr>
            <w:r>
              <w:rPr>
                <w:rFonts w:ascii="Arial" w:cs="Arial" w:eastAsia="Arial" w:hAnsi="Arial"/>
                <w:sz w:val="16"/>
                <w:szCs w:val="16"/>
                <w:b w:val="1"/>
                <w:bCs w:val="1"/>
                <w:color w:val="auto"/>
              </w:rPr>
              <w:t>Committee Members:</w:t>
            </w:r>
          </w:p>
        </w:tc>
        <w:tc>
          <w:tcPr>
            <w:tcW w:w="1300" w:type="dxa"/>
            <w:vAlign w:val="bottom"/>
            <w:tcBorders>
              <w:top w:val="single" w:sz="8" w:color="808080"/>
            </w:tcBorders>
          </w:tcPr>
          <w:p>
            <w:pPr>
              <w:spacing w:after="0"/>
              <w:rPr>
                <w:sz w:val="24"/>
                <w:szCs w:val="24"/>
                <w:color w:val="auto"/>
              </w:rPr>
            </w:pPr>
          </w:p>
        </w:tc>
        <w:tc>
          <w:tcPr>
            <w:tcW w:w="100" w:type="dxa"/>
            <w:vAlign w:val="bottom"/>
            <w:tcBorders>
              <w:top w:val="single" w:sz="8" w:color="808080"/>
            </w:tcBorders>
          </w:tcPr>
          <w:p>
            <w:pPr>
              <w:spacing w:after="0"/>
              <w:rPr>
                <w:sz w:val="24"/>
                <w:szCs w:val="24"/>
                <w:color w:val="auto"/>
              </w:rPr>
            </w:pPr>
          </w:p>
        </w:tc>
        <w:tc>
          <w:tcPr>
            <w:tcW w:w="1360" w:type="dxa"/>
            <w:vAlign w:val="bottom"/>
            <w:tcBorders>
              <w:top w:val="single" w:sz="8" w:color="808080"/>
            </w:tcBorders>
          </w:tcPr>
          <w:p>
            <w:pPr>
              <w:spacing w:after="0"/>
              <w:rPr>
                <w:sz w:val="24"/>
                <w:szCs w:val="24"/>
                <w:color w:val="auto"/>
              </w:rPr>
            </w:pPr>
          </w:p>
        </w:tc>
        <w:tc>
          <w:tcPr>
            <w:tcW w:w="140" w:type="dxa"/>
            <w:vAlign w:val="bottom"/>
            <w:tcBorders>
              <w:top w:val="single" w:sz="8" w:color="808080"/>
            </w:tcBorders>
          </w:tcPr>
          <w:p>
            <w:pPr>
              <w:spacing w:after="0"/>
              <w:rPr>
                <w:sz w:val="24"/>
                <w:szCs w:val="24"/>
                <w:color w:val="auto"/>
              </w:rPr>
            </w:pPr>
          </w:p>
        </w:tc>
        <w:tc>
          <w:tcPr>
            <w:tcW w:w="100" w:type="dxa"/>
            <w:vAlign w:val="bottom"/>
            <w:tcBorders>
              <w:top w:val="single" w:sz="8" w:color="808080"/>
            </w:tcBorders>
          </w:tcPr>
          <w:p>
            <w:pPr>
              <w:spacing w:after="0"/>
              <w:rPr>
                <w:sz w:val="24"/>
                <w:szCs w:val="24"/>
                <w:color w:val="auto"/>
              </w:rPr>
            </w:pPr>
          </w:p>
        </w:tc>
        <w:tc>
          <w:tcPr>
            <w:tcW w:w="1560" w:type="dxa"/>
            <w:vAlign w:val="bottom"/>
            <w:tcBorders>
              <w:top w:val="single" w:sz="8" w:color="808080"/>
            </w:tcBorders>
          </w:tcPr>
          <w:p>
            <w:pPr>
              <w:jc w:val="right"/>
              <w:ind w:right="37"/>
              <w:spacing w:after="0"/>
              <w:rPr>
                <w:sz w:val="20"/>
                <w:szCs w:val="20"/>
                <w:color w:val="auto"/>
              </w:rPr>
            </w:pPr>
            <w:r>
              <w:rPr>
                <w:rFonts w:ascii="Times New Roman" w:cs="Times New Roman" w:eastAsia="Times New Roman" w:hAnsi="Times New Roman"/>
                <w:sz w:val="4"/>
                <w:szCs w:val="4"/>
                <w:color w:val="auto"/>
              </w:rPr>
              <w:t>​</w:t>
            </w:r>
          </w:p>
        </w:tc>
        <w:tc>
          <w:tcPr>
            <w:tcW w:w="2660" w:type="dxa"/>
            <w:vAlign w:val="bottom"/>
            <w:tcBorders>
              <w:top w:val="single" w:sz="8" w:color="808080"/>
            </w:tcBorders>
            <w:shd w:val="clear" w:color="auto" w:fill="E9EFF7"/>
          </w:tcPr>
          <w:p>
            <w:pPr>
              <w:ind w:left="100"/>
              <w:spacing w:after="0"/>
              <w:rPr>
                <w:sz w:val="20"/>
                <w:szCs w:val="20"/>
                <w:color w:val="auto"/>
              </w:rPr>
            </w:pPr>
            <w:r>
              <w:rPr>
                <w:rFonts w:ascii="Arial" w:cs="Arial" w:eastAsia="Arial" w:hAnsi="Arial"/>
                <w:sz w:val="16"/>
                <w:szCs w:val="16"/>
                <w:color w:val="auto"/>
              </w:rPr>
              <w:t>A current copy of the charter is</w:t>
            </w:r>
          </w:p>
        </w:tc>
      </w:tr>
      <w:tr>
        <w:trPr>
          <w:trHeight w:val="324"/>
        </w:trPr>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60" w:type="dxa"/>
            <w:vAlign w:val="bottom"/>
            <w:shd w:val="clear" w:color="auto" w:fill="E9EFF7"/>
          </w:tcPr>
          <w:p>
            <w:pPr>
              <w:ind w:left="100"/>
              <w:spacing w:after="0"/>
              <w:rPr>
                <w:sz w:val="20"/>
                <w:szCs w:val="20"/>
                <w:color w:val="auto"/>
              </w:rPr>
            </w:pPr>
            <w:r>
              <w:rPr>
                <w:rFonts w:ascii="Arial" w:cs="Arial" w:eastAsia="Arial" w:hAnsi="Arial"/>
                <w:sz w:val="16"/>
                <w:szCs w:val="16"/>
                <w:color w:val="auto"/>
              </w:rPr>
              <w:t>available on Wabtec’s website at:</w:t>
            </w:r>
          </w:p>
        </w:tc>
      </w:tr>
      <w:tr>
        <w:trPr>
          <w:trHeight w:val="187"/>
        </w:trPr>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60" w:type="dxa"/>
            <w:vAlign w:val="bottom"/>
            <w:shd w:val="clear" w:color="auto" w:fill="E9EFF7"/>
          </w:tcPr>
          <w:p>
            <w:pPr>
              <w:ind w:left="100"/>
              <w:spacing w:after="0"/>
              <w:rPr>
                <w:sz w:val="20"/>
                <w:szCs w:val="20"/>
                <w:color w:val="auto"/>
              </w:rPr>
            </w:pPr>
            <w:r>
              <w:rPr>
                <w:rFonts w:ascii="Arial" w:cs="Arial" w:eastAsia="Arial" w:hAnsi="Arial"/>
                <w:sz w:val="16"/>
                <w:szCs w:val="16"/>
                <w:b w:val="1"/>
                <w:bCs w:val="1"/>
                <w:color w:val="4297CB"/>
              </w:rPr>
              <w:t>http://www.wabteccorp.com -&gt;</w:t>
            </w:r>
          </w:p>
        </w:tc>
      </w:tr>
      <w:tr>
        <w:trPr>
          <w:trHeight w:val="187"/>
        </w:trPr>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60" w:type="dxa"/>
            <w:vAlign w:val="bottom"/>
            <w:shd w:val="clear" w:color="auto" w:fill="E9EFF7"/>
          </w:tcPr>
          <w:p>
            <w:pPr>
              <w:ind w:left="100"/>
              <w:spacing w:after="0"/>
              <w:rPr>
                <w:sz w:val="20"/>
                <w:szCs w:val="20"/>
                <w:color w:val="auto"/>
              </w:rPr>
            </w:pPr>
            <w:r>
              <w:rPr>
                <w:rFonts w:ascii="Arial" w:cs="Arial" w:eastAsia="Arial" w:hAnsi="Arial"/>
                <w:sz w:val="16"/>
                <w:szCs w:val="16"/>
                <w:b w:val="1"/>
                <w:bCs w:val="1"/>
                <w:color w:val="4297CB"/>
              </w:rPr>
              <w:t>investor relations -&gt; corporate</w:t>
            </w:r>
          </w:p>
        </w:tc>
      </w:tr>
      <w:tr>
        <w:trPr>
          <w:trHeight w:val="187"/>
        </w:trPr>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60" w:type="dxa"/>
            <w:vAlign w:val="bottom"/>
            <w:shd w:val="clear" w:color="auto" w:fill="E9EFF7"/>
          </w:tcPr>
          <w:p>
            <w:pPr>
              <w:ind w:left="100"/>
              <w:spacing w:after="0"/>
              <w:rPr>
                <w:sz w:val="20"/>
                <w:szCs w:val="20"/>
                <w:color w:val="auto"/>
              </w:rPr>
            </w:pPr>
            <w:r>
              <w:rPr>
                <w:rFonts w:ascii="Arial" w:cs="Arial" w:eastAsia="Arial" w:hAnsi="Arial"/>
                <w:sz w:val="16"/>
                <w:szCs w:val="16"/>
                <w:b w:val="1"/>
                <w:bCs w:val="1"/>
                <w:color w:val="4297CB"/>
              </w:rPr>
              <w:t>governance</w:t>
            </w:r>
          </w:p>
        </w:tc>
      </w:tr>
      <w:tr>
        <w:trPr>
          <w:trHeight w:val="187"/>
        </w:trPr>
        <w:tc>
          <w:tcPr>
            <w:tcW w:w="14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360" w:type="dxa"/>
            <w:vAlign w:val="bottom"/>
          </w:tcPr>
          <w:p>
            <w:pPr>
              <w:spacing w:after="0"/>
              <w:rPr>
                <w:sz w:val="16"/>
                <w:szCs w:val="16"/>
                <w:color w:val="auto"/>
              </w:rPr>
            </w:pPr>
          </w:p>
        </w:tc>
        <w:tc>
          <w:tcPr>
            <w:tcW w:w="1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560" w:type="dxa"/>
            <w:vAlign w:val="bottom"/>
          </w:tcPr>
          <w:p>
            <w:pPr>
              <w:jc w:val="right"/>
              <w:ind w:right="37"/>
              <w:spacing w:after="0"/>
              <w:rPr>
                <w:sz w:val="20"/>
                <w:szCs w:val="20"/>
                <w:color w:val="auto"/>
              </w:rPr>
            </w:pPr>
            <w:r>
              <w:rPr>
                <w:rFonts w:ascii="Times New Roman" w:cs="Times New Roman" w:eastAsia="Times New Roman" w:hAnsi="Times New Roman"/>
                <w:sz w:val="4"/>
                <w:szCs w:val="4"/>
                <w:color w:val="auto"/>
              </w:rPr>
              <w:t>​</w:t>
            </w:r>
          </w:p>
        </w:tc>
        <w:tc>
          <w:tcPr>
            <w:tcW w:w="2660" w:type="dxa"/>
            <w:vAlign w:val="bottom"/>
            <w:shd w:val="clear" w:color="auto" w:fill="E9EFF7"/>
          </w:tcPr>
          <w:p>
            <w:pPr>
              <w:ind w:left="100"/>
              <w:spacing w:after="0"/>
              <w:rPr>
                <w:sz w:val="20"/>
                <w:szCs w:val="20"/>
                <w:color w:val="auto"/>
              </w:rPr>
            </w:pPr>
            <w:r>
              <w:rPr>
                <w:rFonts w:ascii="Arial" w:cs="Arial" w:eastAsia="Arial" w:hAnsi="Arial"/>
                <w:sz w:val="16"/>
                <w:szCs w:val="16"/>
                <w:b w:val="1"/>
                <w:bCs w:val="1"/>
                <w:color w:val="4297CB"/>
              </w:rPr>
              <w:t> </w:t>
            </w:r>
          </w:p>
        </w:tc>
      </w:tr>
      <w:tr>
        <w:trPr>
          <w:trHeight w:val="187"/>
        </w:trPr>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660" w:type="dxa"/>
            <w:vAlign w:val="bottom"/>
            <w:shd w:val="clear" w:color="auto" w:fill="E9EFF7"/>
          </w:tcPr>
          <w:p>
            <w:pPr>
              <w:ind w:left="100"/>
              <w:spacing w:after="0"/>
              <w:rPr>
                <w:sz w:val="20"/>
                <w:szCs w:val="20"/>
                <w:color w:val="auto"/>
              </w:rPr>
            </w:pPr>
            <w:r>
              <w:rPr>
                <w:rFonts w:ascii="Arial" w:cs="Arial" w:eastAsia="Arial" w:hAnsi="Arial"/>
                <w:sz w:val="16"/>
                <w:szCs w:val="16"/>
                <w:b w:val="1"/>
                <w:bCs w:val="1"/>
                <w:color w:val="4297CB"/>
              </w:rPr>
              <w:t> </w:t>
            </w:r>
          </w:p>
        </w:tc>
      </w:tr>
      <w:tr>
        <w:trPr>
          <w:trHeight w:val="221"/>
        </w:trPr>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60" w:type="dxa"/>
            <w:vAlign w:val="bottom"/>
            <w:shd w:val="clear" w:color="auto" w:fill="E9EFF7"/>
          </w:tcPr>
          <w:p>
            <w:pPr>
              <w:ind w:left="100"/>
              <w:spacing w:after="0"/>
              <w:rPr>
                <w:sz w:val="20"/>
                <w:szCs w:val="20"/>
                <w:color w:val="auto"/>
              </w:rPr>
            </w:pPr>
            <w:r>
              <w:rPr>
                <w:rFonts w:ascii="Arial" w:cs="Arial" w:eastAsia="Arial" w:hAnsi="Arial"/>
                <w:sz w:val="16"/>
                <w:szCs w:val="16"/>
                <w:b w:val="1"/>
                <w:bCs w:val="1"/>
                <w:color w:val="4297CB"/>
              </w:rPr>
              <w:t>Number of Meetings: 8</w:t>
            </w:r>
          </w:p>
        </w:tc>
      </w:tr>
      <w:tr>
        <w:trPr>
          <w:trHeight w:val="300"/>
        </w:trPr>
        <w:tc>
          <w:tcPr>
            <w:tcW w:w="1460" w:type="dxa"/>
            <w:vAlign w:val="bottom"/>
          </w:tcPr>
          <w:p>
            <w:pPr>
              <w:ind w:left="40"/>
              <w:spacing w:after="0"/>
              <w:rPr>
                <w:sz w:val="20"/>
                <w:szCs w:val="20"/>
                <w:color w:val="auto"/>
              </w:rPr>
            </w:pPr>
            <w:r>
              <w:rPr>
                <w:rFonts w:ascii="Arial" w:cs="Arial" w:eastAsia="Arial" w:hAnsi="Arial"/>
                <w:sz w:val="16"/>
                <w:szCs w:val="16"/>
                <w:color w:val="auto"/>
              </w:rPr>
              <w:t> </w:t>
            </w:r>
          </w:p>
        </w:tc>
        <w:tc>
          <w:tcPr>
            <w:tcW w:w="300" w:type="dxa"/>
            <w:vAlign w:val="bottom"/>
          </w:tcPr>
          <w:p>
            <w:pPr>
              <w:ind w:left="140"/>
              <w:spacing w:after="0"/>
              <w:rPr>
                <w:sz w:val="20"/>
                <w:szCs w:val="20"/>
                <w:color w:val="auto"/>
              </w:rPr>
            </w:pPr>
            <w:r>
              <w:rPr>
                <w:rFonts w:ascii="Arial" w:cs="Arial" w:eastAsia="Arial" w:hAnsi="Arial"/>
                <w:sz w:val="16"/>
                <w:szCs w:val="16"/>
                <w:color w:val="auto"/>
              </w:rPr>
              <w:t> </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ind w:left="4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jc w:val="right"/>
              <w:ind w:right="1417"/>
              <w:spacing w:after="0"/>
              <w:rPr>
                <w:sz w:val="20"/>
                <w:szCs w:val="20"/>
                <w:color w:val="auto"/>
              </w:rPr>
            </w:pPr>
            <w:r>
              <w:rPr>
                <w:rFonts w:ascii="Arial" w:cs="Arial" w:eastAsia="Arial" w:hAnsi="Arial"/>
                <w:sz w:val="16"/>
                <w:szCs w:val="16"/>
                <w:color w:val="auto"/>
              </w:rPr>
              <w:t> </w:t>
            </w:r>
          </w:p>
        </w:tc>
        <w:tc>
          <w:tcPr>
            <w:tcW w:w="2660" w:type="dxa"/>
            <w:vAlign w:val="bottom"/>
            <w:shd w:val="clear" w:color="auto" w:fill="E9EFF7"/>
          </w:tcPr>
          <w:p>
            <w:pPr>
              <w:spacing w:after="0"/>
              <w:rPr>
                <w:sz w:val="24"/>
                <w:szCs w:val="24"/>
                <w:color w:val="auto"/>
              </w:rPr>
            </w:pPr>
          </w:p>
        </w:tc>
      </w:tr>
      <w:tr>
        <w:trPr>
          <w:trHeight w:val="336"/>
        </w:trPr>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 xml:space="preserve">Ann R. Klee,   </w:t>
            </w:r>
            <w:r>
              <w:rPr>
                <w:rFonts w:ascii="Times New Roman" w:cs="Times New Roman" w:eastAsia="Times New Roman" w:hAnsi="Times New Roman"/>
                <w:sz w:val="7"/>
                <w:szCs w:val="7"/>
                <w:color w:val="auto"/>
                <w:vertAlign w:val="subscript"/>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 xml:space="preserve">Beverley A.   </w:t>
            </w:r>
            <w:r>
              <w:rPr>
                <w:rFonts w:ascii="Times New Roman" w:cs="Times New Roman" w:eastAsia="Times New Roman" w:hAnsi="Times New Roman"/>
                <w:sz w:val="7"/>
                <w:szCs w:val="7"/>
                <w:color w:val="auto"/>
                <w:vertAlign w:val="subscript"/>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360" w:type="dxa"/>
            <w:vAlign w:val="bottom"/>
          </w:tcPr>
          <w:p>
            <w:pPr>
              <w:ind w:left="240"/>
              <w:spacing w:after="0"/>
              <w:rPr>
                <w:sz w:val="20"/>
                <w:szCs w:val="20"/>
                <w:color w:val="auto"/>
              </w:rPr>
            </w:pPr>
            <w:r>
              <w:rPr>
                <w:rFonts w:ascii="Arial" w:cs="Arial" w:eastAsia="Arial" w:hAnsi="Arial"/>
                <w:sz w:val="16"/>
                <w:szCs w:val="16"/>
                <w:b w:val="1"/>
                <w:bCs w:val="1"/>
                <w:color w:val="auto"/>
              </w:rPr>
              <w:t>Lee C. Banks</w:t>
            </w:r>
          </w:p>
        </w:tc>
        <w:tc>
          <w:tcPr>
            <w:tcW w:w="1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560" w:type="dxa"/>
            <w:vAlign w:val="bottom"/>
          </w:tcPr>
          <w:p>
            <w:pPr>
              <w:jc w:val="right"/>
              <w:ind w:right="37"/>
              <w:spacing w:after="0"/>
              <w:rPr>
                <w:sz w:val="20"/>
                <w:szCs w:val="20"/>
                <w:color w:val="auto"/>
              </w:rPr>
            </w:pPr>
            <w:r>
              <w:rPr>
                <w:rFonts w:ascii="Arial" w:cs="Arial" w:eastAsia="Arial" w:hAnsi="Arial"/>
                <w:sz w:val="16"/>
                <w:szCs w:val="16"/>
                <w:b w:val="1"/>
                <w:bCs w:val="1"/>
                <w:color w:val="auto"/>
              </w:rPr>
              <w:t xml:space="preserve">Brian P. Hehir  </w:t>
            </w:r>
            <w:r>
              <w:rPr>
                <w:rFonts w:ascii="Times New Roman" w:cs="Times New Roman" w:eastAsia="Times New Roman" w:hAnsi="Times New Roman"/>
                <w:sz w:val="7"/>
                <w:szCs w:val="7"/>
                <w:color w:val="auto"/>
                <w:vertAlign w:val="subscript"/>
              </w:rPr>
              <w:t>​</w:t>
            </w:r>
          </w:p>
        </w:tc>
        <w:tc>
          <w:tcPr>
            <w:tcW w:w="2660" w:type="dxa"/>
            <w:vAlign w:val="bottom"/>
            <w:shd w:val="clear" w:color="auto" w:fill="E9EFF7"/>
          </w:tcPr>
          <w:p>
            <w:pPr>
              <w:spacing w:after="0"/>
              <w:rPr>
                <w:sz w:val="24"/>
                <w:szCs w:val="24"/>
                <w:color w:val="auto"/>
              </w:rPr>
            </w:pPr>
          </w:p>
        </w:tc>
      </w:tr>
      <w:tr>
        <w:trPr>
          <w:trHeight w:val="221"/>
        </w:trPr>
        <w:tc>
          <w:tcPr>
            <w:tcW w:w="1460" w:type="dxa"/>
            <w:vAlign w:val="bottom"/>
          </w:tcPr>
          <w:p>
            <w:pPr>
              <w:ind w:left="480"/>
              <w:spacing w:after="0"/>
              <w:rPr>
                <w:sz w:val="20"/>
                <w:szCs w:val="20"/>
                <w:color w:val="auto"/>
              </w:rPr>
            </w:pPr>
            <w:r>
              <w:rPr>
                <w:rFonts w:ascii="Arial" w:cs="Arial" w:eastAsia="Arial" w:hAnsi="Arial"/>
                <w:sz w:val="16"/>
                <w:szCs w:val="16"/>
                <w:b w:val="1"/>
                <w:bCs w:val="1"/>
                <w:color w:val="4297CB"/>
              </w:rPr>
              <w:t>Chair</w:t>
            </w:r>
          </w:p>
        </w:tc>
        <w:tc>
          <w:tcPr>
            <w:tcW w:w="300" w:type="dxa"/>
            <w:vAlign w:val="bottom"/>
          </w:tcPr>
          <w:p>
            <w:pPr>
              <w:spacing w:after="0"/>
              <w:rPr>
                <w:sz w:val="19"/>
                <w:szCs w:val="19"/>
                <w:color w:val="auto"/>
              </w:rPr>
            </w:pPr>
          </w:p>
        </w:tc>
        <w:tc>
          <w:tcPr>
            <w:tcW w:w="1300" w:type="dxa"/>
            <w:vAlign w:val="bottom"/>
          </w:tcPr>
          <w:p>
            <w:pPr>
              <w:jc w:val="right"/>
              <w:ind w:right="361"/>
              <w:spacing w:after="0"/>
              <w:rPr>
                <w:sz w:val="20"/>
                <w:szCs w:val="20"/>
                <w:color w:val="auto"/>
              </w:rPr>
            </w:pPr>
            <w:r>
              <w:rPr>
                <w:rFonts w:ascii="Arial" w:cs="Arial" w:eastAsia="Arial" w:hAnsi="Arial"/>
                <w:sz w:val="16"/>
                <w:szCs w:val="16"/>
                <w:b w:val="1"/>
                <w:bCs w:val="1"/>
                <w:color w:val="auto"/>
              </w:rPr>
              <w:t>Babcock</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60" w:type="dxa"/>
            <w:vAlign w:val="bottom"/>
            <w:shd w:val="clear" w:color="auto" w:fill="E9EFF7"/>
          </w:tcPr>
          <w:p>
            <w:pPr>
              <w:spacing w:after="0"/>
              <w:rPr>
                <w:sz w:val="19"/>
                <w:szCs w:val="19"/>
                <w:color w:val="auto"/>
              </w:rPr>
            </w:pPr>
          </w:p>
        </w:tc>
      </w:tr>
      <w:tr>
        <w:trPr>
          <w:trHeight w:val="180"/>
        </w:trPr>
        <w:tc>
          <w:tcPr>
            <w:tcW w:w="146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30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136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1560" w:type="dxa"/>
            <w:vAlign w:val="bottom"/>
            <w:tcBorders>
              <w:bottom w:val="single" w:sz="8" w:color="808080"/>
            </w:tcBorders>
          </w:tcPr>
          <w:p>
            <w:pPr>
              <w:spacing w:after="0"/>
              <w:rPr>
                <w:sz w:val="15"/>
                <w:szCs w:val="15"/>
                <w:color w:val="auto"/>
              </w:rPr>
            </w:pPr>
          </w:p>
        </w:tc>
        <w:tc>
          <w:tcPr>
            <w:tcW w:w="2660" w:type="dxa"/>
            <w:vAlign w:val="bottom"/>
            <w:tcBorders>
              <w:bottom w:val="single" w:sz="8" w:color="808080"/>
            </w:tcBorders>
            <w:shd w:val="clear" w:color="auto" w:fill="E9EFF7"/>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-1453515</wp:posOffset>
            </wp:positionV>
            <wp:extent cx="3910965" cy="8502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910965" cy="850265"/>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The principal functions of the Compensation Committee are to:</w:t>
      </w:r>
    </w:p>
    <w:p>
      <w:pPr>
        <w:spacing w:after="0" w:line="191" w:lineRule="exact"/>
        <w:rPr>
          <w:sz w:val="20"/>
          <w:szCs w:val="20"/>
          <w:color w:val="auto"/>
        </w:rPr>
      </w:pPr>
    </w:p>
    <w:p>
      <w:pPr>
        <w:ind w:left="180" w:right="279" w:hanging="175"/>
        <w:spacing w:after="0" w:line="282" w:lineRule="auto"/>
        <w:tabs>
          <w:tab w:leader="none" w:pos="180" w:val="left"/>
        </w:tabs>
        <w:numPr>
          <w:ilvl w:val="0"/>
          <w:numId w:val="15"/>
        </w:numPr>
        <w:rPr>
          <w:rFonts w:ascii="Arial" w:cs="Arial" w:eastAsia="Arial" w:hAnsi="Arial"/>
          <w:sz w:val="16"/>
          <w:szCs w:val="16"/>
          <w:color w:val="4297CB"/>
        </w:rPr>
      </w:pPr>
      <w:r>
        <w:rPr>
          <w:rFonts w:ascii="Arial" w:cs="Arial" w:eastAsia="Arial" w:hAnsi="Arial"/>
          <w:sz w:val="16"/>
          <w:szCs w:val="16"/>
          <w:color w:val="auto"/>
        </w:rPr>
        <w:t>review and approve goals and objectives for the Chief Executive Officer and recommending the Chief Executive Officer’s compensation;</w:t>
      </w:r>
    </w:p>
    <w:p>
      <w:pPr>
        <w:spacing w:after="0" w:line="9" w:lineRule="exact"/>
        <w:rPr>
          <w:rFonts w:ascii="Arial" w:cs="Arial" w:eastAsia="Arial" w:hAnsi="Arial"/>
          <w:sz w:val="16"/>
          <w:szCs w:val="16"/>
          <w:color w:val="4297CB"/>
        </w:rPr>
      </w:pPr>
    </w:p>
    <w:p>
      <w:pPr>
        <w:ind w:left="180" w:hanging="175"/>
        <w:spacing w:after="0"/>
        <w:tabs>
          <w:tab w:leader="none" w:pos="180" w:val="left"/>
        </w:tabs>
        <w:numPr>
          <w:ilvl w:val="0"/>
          <w:numId w:val="15"/>
        </w:numPr>
        <w:rPr>
          <w:rFonts w:ascii="Arial" w:cs="Arial" w:eastAsia="Arial" w:hAnsi="Arial"/>
          <w:sz w:val="16"/>
          <w:szCs w:val="16"/>
          <w:color w:val="4297CB"/>
        </w:rPr>
      </w:pPr>
      <w:r>
        <w:rPr>
          <w:rFonts w:ascii="Arial" w:cs="Arial" w:eastAsia="Arial" w:hAnsi="Arial"/>
          <w:sz w:val="16"/>
          <w:szCs w:val="16"/>
          <w:color w:val="auto"/>
        </w:rPr>
        <w:t>review and approve incentive compensation plans and equity-based plans;</w:t>
      </w:r>
    </w:p>
    <w:p>
      <w:pPr>
        <w:spacing w:after="0" w:line="70" w:lineRule="exact"/>
        <w:rPr>
          <w:rFonts w:ascii="Arial" w:cs="Arial" w:eastAsia="Arial" w:hAnsi="Arial"/>
          <w:sz w:val="16"/>
          <w:szCs w:val="16"/>
          <w:color w:val="4297CB"/>
        </w:rPr>
      </w:pPr>
    </w:p>
    <w:p>
      <w:pPr>
        <w:ind w:left="180" w:hanging="175"/>
        <w:spacing w:after="0"/>
        <w:tabs>
          <w:tab w:leader="none" w:pos="180" w:val="left"/>
        </w:tabs>
        <w:numPr>
          <w:ilvl w:val="0"/>
          <w:numId w:val="15"/>
        </w:numPr>
        <w:rPr>
          <w:rFonts w:ascii="Arial" w:cs="Arial" w:eastAsia="Arial" w:hAnsi="Arial"/>
          <w:sz w:val="16"/>
          <w:szCs w:val="16"/>
          <w:color w:val="4297CB"/>
        </w:rPr>
      </w:pPr>
      <w:r>
        <w:rPr>
          <w:rFonts w:ascii="Arial" w:cs="Arial" w:eastAsia="Arial" w:hAnsi="Arial"/>
          <w:sz w:val="16"/>
          <w:szCs w:val="16"/>
          <w:color w:val="auto"/>
        </w:rPr>
        <w:t>review and recommend compensation of all executive officers and non-employee directors;</w:t>
      </w:r>
    </w:p>
    <w:p>
      <w:pPr>
        <w:spacing w:after="0" w:line="83" w:lineRule="exact"/>
        <w:rPr>
          <w:rFonts w:ascii="Arial" w:cs="Arial" w:eastAsia="Arial" w:hAnsi="Arial"/>
          <w:sz w:val="16"/>
          <w:szCs w:val="16"/>
          <w:color w:val="4297CB"/>
        </w:rPr>
      </w:pPr>
    </w:p>
    <w:p>
      <w:pPr>
        <w:ind w:left="180" w:hanging="175"/>
        <w:spacing w:after="0"/>
        <w:tabs>
          <w:tab w:leader="none" w:pos="180" w:val="left"/>
        </w:tabs>
        <w:numPr>
          <w:ilvl w:val="0"/>
          <w:numId w:val="15"/>
        </w:numPr>
        <w:rPr>
          <w:rFonts w:ascii="Arial" w:cs="Arial" w:eastAsia="Arial" w:hAnsi="Arial"/>
          <w:sz w:val="16"/>
          <w:szCs w:val="16"/>
          <w:color w:val="4297CB"/>
        </w:rPr>
      </w:pPr>
      <w:r>
        <w:rPr>
          <w:rFonts w:ascii="Arial" w:cs="Arial" w:eastAsia="Arial" w:hAnsi="Arial"/>
          <w:sz w:val="16"/>
          <w:szCs w:val="16"/>
          <w:color w:val="auto"/>
        </w:rPr>
        <w:t>provide input to the Board regarding management succession planning for the CEO and executive officers;</w:t>
      </w:r>
    </w:p>
    <w:p>
      <w:pPr>
        <w:spacing w:after="0" w:line="70" w:lineRule="exact"/>
        <w:rPr>
          <w:rFonts w:ascii="Arial" w:cs="Arial" w:eastAsia="Arial" w:hAnsi="Arial"/>
          <w:sz w:val="16"/>
          <w:szCs w:val="16"/>
          <w:color w:val="4297CB"/>
        </w:rPr>
      </w:pPr>
    </w:p>
    <w:p>
      <w:pPr>
        <w:ind w:left="180" w:right="139" w:hanging="175"/>
        <w:spacing w:after="0" w:line="282" w:lineRule="auto"/>
        <w:tabs>
          <w:tab w:leader="none" w:pos="180" w:val="left"/>
        </w:tabs>
        <w:numPr>
          <w:ilvl w:val="0"/>
          <w:numId w:val="15"/>
        </w:numPr>
        <w:rPr>
          <w:rFonts w:ascii="Arial" w:cs="Arial" w:eastAsia="Arial" w:hAnsi="Arial"/>
          <w:sz w:val="16"/>
          <w:szCs w:val="16"/>
          <w:color w:val="4297CB"/>
        </w:rPr>
      </w:pPr>
      <w:r>
        <w:rPr>
          <w:rFonts w:ascii="Arial" w:cs="Arial" w:eastAsia="Arial" w:hAnsi="Arial"/>
          <w:sz w:val="16"/>
          <w:szCs w:val="16"/>
          <w:color w:val="auto"/>
        </w:rPr>
        <w:t>oversee the Company’s human capital management strategies and programs including with respect to diversity, equity and inclusion;</w:t>
      </w:r>
    </w:p>
    <w:p>
      <w:pPr>
        <w:spacing w:after="0" w:line="9" w:lineRule="exact"/>
        <w:rPr>
          <w:rFonts w:ascii="Arial" w:cs="Arial" w:eastAsia="Arial" w:hAnsi="Arial"/>
          <w:sz w:val="16"/>
          <w:szCs w:val="16"/>
          <w:color w:val="4297CB"/>
        </w:rPr>
      </w:pPr>
    </w:p>
    <w:p>
      <w:pPr>
        <w:ind w:left="180" w:right="639" w:hanging="175"/>
        <w:spacing w:after="0" w:line="282" w:lineRule="auto"/>
        <w:tabs>
          <w:tab w:leader="none" w:pos="180" w:val="left"/>
        </w:tabs>
        <w:numPr>
          <w:ilvl w:val="0"/>
          <w:numId w:val="15"/>
        </w:numPr>
        <w:rPr>
          <w:rFonts w:ascii="Arial" w:cs="Arial" w:eastAsia="Arial" w:hAnsi="Arial"/>
          <w:sz w:val="16"/>
          <w:szCs w:val="16"/>
          <w:color w:val="4297CB"/>
        </w:rPr>
      </w:pPr>
      <w:r>
        <w:rPr>
          <w:rFonts w:ascii="Arial" w:cs="Arial" w:eastAsia="Arial" w:hAnsi="Arial"/>
          <w:sz w:val="16"/>
          <w:szCs w:val="16"/>
          <w:color w:val="auto"/>
        </w:rPr>
        <w:t>review and approve stock ownership guidelines and monitoring director and officer compliance with such ownership guidelines;</w:t>
      </w:r>
    </w:p>
    <w:p>
      <w:pPr>
        <w:spacing w:after="0" w:line="22" w:lineRule="exact"/>
        <w:rPr>
          <w:rFonts w:ascii="Arial" w:cs="Arial" w:eastAsia="Arial" w:hAnsi="Arial"/>
          <w:sz w:val="16"/>
          <w:szCs w:val="16"/>
          <w:color w:val="4297CB"/>
        </w:rPr>
      </w:pPr>
    </w:p>
    <w:p>
      <w:pPr>
        <w:ind w:left="180" w:right="139" w:hanging="175"/>
        <w:spacing w:after="0" w:line="282" w:lineRule="auto"/>
        <w:tabs>
          <w:tab w:leader="none" w:pos="180" w:val="left"/>
        </w:tabs>
        <w:numPr>
          <w:ilvl w:val="0"/>
          <w:numId w:val="15"/>
        </w:numPr>
        <w:rPr>
          <w:rFonts w:ascii="Arial" w:cs="Arial" w:eastAsia="Arial" w:hAnsi="Arial"/>
          <w:sz w:val="16"/>
          <w:szCs w:val="16"/>
          <w:color w:val="4297CB"/>
        </w:rPr>
      </w:pPr>
      <w:r>
        <w:rPr>
          <w:rFonts w:ascii="Arial" w:cs="Arial" w:eastAsia="Arial" w:hAnsi="Arial"/>
          <w:sz w:val="16"/>
          <w:szCs w:val="16"/>
          <w:color w:val="auto"/>
        </w:rPr>
        <w:t>oversee the implementation and administration of any clawback policy allowing the Company to recoup compensation paid to the executive officers of the Company in accordance with applicable law and NYSE requirements;</w:t>
      </w:r>
    </w:p>
    <w:p>
      <w:pPr>
        <w:spacing w:after="0" w:line="9" w:lineRule="exact"/>
        <w:rPr>
          <w:rFonts w:ascii="Arial" w:cs="Arial" w:eastAsia="Arial" w:hAnsi="Arial"/>
          <w:sz w:val="16"/>
          <w:szCs w:val="16"/>
          <w:color w:val="4297CB"/>
        </w:rPr>
      </w:pPr>
    </w:p>
    <w:p>
      <w:pPr>
        <w:ind w:left="180" w:hanging="175"/>
        <w:spacing w:after="0"/>
        <w:tabs>
          <w:tab w:leader="none" w:pos="180" w:val="left"/>
        </w:tabs>
        <w:numPr>
          <w:ilvl w:val="0"/>
          <w:numId w:val="15"/>
        </w:numPr>
        <w:rPr>
          <w:rFonts w:ascii="Arial" w:cs="Arial" w:eastAsia="Arial" w:hAnsi="Arial"/>
          <w:sz w:val="16"/>
          <w:szCs w:val="16"/>
          <w:color w:val="4297CB"/>
        </w:rPr>
      </w:pPr>
      <w:r>
        <w:rPr>
          <w:rFonts w:ascii="Arial" w:cs="Arial" w:eastAsia="Arial" w:hAnsi="Arial"/>
          <w:sz w:val="16"/>
          <w:szCs w:val="16"/>
          <w:color w:val="auto"/>
        </w:rPr>
        <w:t>consider the results of advisory votes to approve executive compensation and the frequency of such votes; and</w:t>
      </w:r>
    </w:p>
    <w:p>
      <w:pPr>
        <w:spacing w:after="0" w:line="70" w:lineRule="exact"/>
        <w:rPr>
          <w:rFonts w:ascii="Arial" w:cs="Arial" w:eastAsia="Arial" w:hAnsi="Arial"/>
          <w:sz w:val="16"/>
          <w:szCs w:val="16"/>
          <w:color w:val="4297CB"/>
        </w:rPr>
      </w:pPr>
    </w:p>
    <w:p>
      <w:pPr>
        <w:ind w:left="180" w:hanging="175"/>
        <w:spacing w:after="0"/>
        <w:tabs>
          <w:tab w:leader="none" w:pos="180" w:val="left"/>
        </w:tabs>
        <w:numPr>
          <w:ilvl w:val="0"/>
          <w:numId w:val="15"/>
        </w:numPr>
        <w:rPr>
          <w:rFonts w:ascii="Arial" w:cs="Arial" w:eastAsia="Arial" w:hAnsi="Arial"/>
          <w:sz w:val="16"/>
          <w:szCs w:val="16"/>
          <w:color w:val="4297CB"/>
        </w:rPr>
      </w:pPr>
      <w:r>
        <w:rPr>
          <w:rFonts w:ascii="Arial" w:cs="Arial" w:eastAsia="Arial" w:hAnsi="Arial"/>
          <w:sz w:val="16"/>
          <w:szCs w:val="16"/>
          <w:color w:val="auto"/>
        </w:rPr>
        <w:t>review and monitor and evaluate ESG strategies and initiatives related to compensation and benefit plans.</w:t>
      </w:r>
    </w:p>
    <w:p>
      <w:pPr>
        <w:spacing w:after="0" w:line="164" w:lineRule="exact"/>
        <w:rPr>
          <w:sz w:val="20"/>
          <w:szCs w:val="20"/>
          <w:color w:val="auto"/>
        </w:rPr>
      </w:pPr>
    </w:p>
    <w:p>
      <w:pPr>
        <w:ind w:right="179"/>
        <w:spacing w:after="0" w:line="257" w:lineRule="auto"/>
        <w:rPr>
          <w:sz w:val="20"/>
          <w:szCs w:val="20"/>
          <w:color w:val="auto"/>
        </w:rPr>
      </w:pPr>
      <w:r>
        <w:rPr>
          <w:rFonts w:ascii="Arial" w:cs="Arial" w:eastAsia="Arial" w:hAnsi="Arial"/>
          <w:sz w:val="16"/>
          <w:szCs w:val="16"/>
          <w:color w:val="auto"/>
        </w:rPr>
        <w:t>For 2023, the members of the Compensation Committee are: Ms. Klee (Chair), Ms. Babcock, Mr. Banks, and Mr. Hehir, all of whom were independent, as independence for such members is defined in the rules of the SEC and the listing standards of the NYSE. The Governance Committee recommends the Compensation Committee members who are approved by the full Board of Directors.</w:t>
      </w:r>
    </w:p>
    <w:p>
      <w:pPr>
        <w:spacing w:after="0" w:line="122" w:lineRule="exact"/>
        <w:rPr>
          <w:sz w:val="20"/>
          <w:szCs w:val="20"/>
          <w:color w:val="auto"/>
        </w:rPr>
      </w:pPr>
    </w:p>
    <w:p>
      <w:pPr>
        <w:ind w:right="59"/>
        <w:spacing w:after="0" w:line="252" w:lineRule="auto"/>
        <w:rPr>
          <w:sz w:val="20"/>
          <w:szCs w:val="20"/>
          <w:color w:val="auto"/>
        </w:rPr>
      </w:pPr>
      <w:r>
        <w:rPr>
          <w:rFonts w:ascii="Arial" w:cs="Arial" w:eastAsia="Arial" w:hAnsi="Arial"/>
          <w:sz w:val="16"/>
          <w:szCs w:val="16"/>
          <w:color w:val="auto"/>
        </w:rPr>
        <w:t>The Chief Executive Officer and Chief Human Resources Officer suggest guidelines in discussions with the Compensation Committee regarding executive compensation. They provide recommendations and information regarding the competitiveness of the industry, key employees, performance of individuals, succession planning and other relevant data to the Compensation Committee. The Chief Executive Officer is not present during any discussions concerning his own compensation. The Compensation Committee also has the authority to retain compensation consultants, advisors and legal counsel as it deems necessary and has the sole authority to approve such consultants’ fees, which are payable by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and Talent Management Committee Interlocks and Insider Participation</w:t>
      </w:r>
    </w:p>
    <w:p>
      <w:pPr>
        <w:spacing w:after="0" w:line="164" w:lineRule="exact"/>
        <w:rPr>
          <w:sz w:val="20"/>
          <w:szCs w:val="20"/>
          <w:color w:val="auto"/>
        </w:rPr>
      </w:pPr>
    </w:p>
    <w:p>
      <w:pPr>
        <w:ind w:right="39"/>
        <w:spacing w:after="0" w:line="250" w:lineRule="auto"/>
        <w:rPr>
          <w:sz w:val="20"/>
          <w:szCs w:val="20"/>
          <w:color w:val="auto"/>
        </w:rPr>
      </w:pPr>
      <w:r>
        <w:rPr>
          <w:rFonts w:ascii="Arial" w:cs="Arial" w:eastAsia="Arial" w:hAnsi="Arial"/>
          <w:sz w:val="16"/>
          <w:szCs w:val="16"/>
          <w:color w:val="auto"/>
        </w:rPr>
        <w:t>During 2023, the members of the Compensation Committee were Ms. Klee, Ms. Babcock, Mr. Banks and Mr. Hehir. Wabtec had no interlocking relationships during 2023 in which (i) an executive officer of Wabtec served as a member of the compensation committee of another entity, one of whose executive officers served on the Compensation Committee of Wabtec; (ii) an executive officer of Wabtec served as a director of another entity, one of whose executive officers served on the Compensation Committee of Wabtec; or (iii) an executive officer of Wabtec served as a member of the compensation committee of another entity, one of whose executive officers served as a director of Wabtec. No member of the Compensation Committee was at any time during the 2023 fiscal year or at any other time an officer or employee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760" w:type="dxa"/>
            <w:vAlign w:val="bottom"/>
          </w:tcPr>
          <w:p>
            <w:pPr>
              <w:jc w:val="right"/>
              <w:ind w:right="529"/>
              <w:spacing w:after="0"/>
              <w:rPr>
                <w:sz w:val="20"/>
                <w:szCs w:val="20"/>
                <w:color w:val="auto"/>
              </w:rPr>
            </w:pPr>
            <w:r>
              <w:rPr>
                <w:rFonts w:ascii="Arial" w:cs="Arial" w:eastAsia="Arial" w:hAnsi="Arial"/>
                <w:sz w:val="14"/>
                <w:szCs w:val="14"/>
                <w:b w:val="1"/>
                <w:bCs w:val="1"/>
                <w:color w:val="auto"/>
                <w:w w:val="89"/>
              </w:rPr>
              <w:t>28</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170180</wp:posOffset>
            </wp:positionV>
            <wp:extent cx="693801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31" w:name="page32"/>
    <w:bookmarkEnd w:id="31"/>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right"/>
        <w:ind w:right="980"/>
        <w:spacing w:after="0"/>
        <w:rPr>
          <w:sz w:val="20"/>
          <w:szCs w:val="20"/>
          <w:color w:val="auto"/>
        </w:rPr>
      </w:pPr>
      <w:r>
        <w:rPr>
          <w:rFonts w:ascii="Arial" w:cs="Arial" w:eastAsia="Arial" w:hAnsi="Arial"/>
          <w:sz w:val="12"/>
          <w:szCs w:val="12"/>
          <w:color w:val="auto"/>
        </w:rPr>
        <w:t>Corporate Governance</w:t>
      </w:r>
    </w:p>
    <w:p>
      <w:pPr>
        <w:spacing w:after="0" w:line="143" w:lineRule="exact"/>
        <w:rPr>
          <w:sz w:val="20"/>
          <w:szCs w:val="20"/>
          <w:color w:val="auto"/>
        </w:rPr>
      </w:pPr>
    </w:p>
    <w:p>
      <w:pPr>
        <w:ind w:left="960"/>
        <w:spacing w:after="0"/>
        <w:rPr>
          <w:sz w:val="20"/>
          <w:szCs w:val="20"/>
          <w:color w:val="auto"/>
        </w:rPr>
      </w:pPr>
      <w:r>
        <w:rPr>
          <w:rFonts w:ascii="Arial" w:cs="Arial" w:eastAsia="Arial" w:hAnsi="Arial"/>
          <w:sz w:val="23"/>
          <w:szCs w:val="23"/>
          <w:color w:val="0C426A"/>
        </w:rPr>
        <w:t>Director Engagement</w:t>
      </w:r>
    </w:p>
    <w:p>
      <w:pPr>
        <w:spacing w:after="0" w:line="154"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155575</wp:posOffset>
            </wp:positionV>
            <wp:extent cx="884555" cy="8845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4555" cy="8845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2860" w:right="1100"/>
        <w:spacing w:after="0" w:line="248" w:lineRule="auto"/>
        <w:rPr>
          <w:sz w:val="20"/>
          <w:szCs w:val="20"/>
          <w:color w:val="auto"/>
        </w:rPr>
      </w:pPr>
      <w:r>
        <w:rPr>
          <w:rFonts w:ascii="Arial" w:cs="Arial" w:eastAsia="Arial" w:hAnsi="Arial"/>
          <w:sz w:val="16"/>
          <w:szCs w:val="16"/>
          <w:color w:val="auto"/>
        </w:rPr>
        <w:t>Wabtec’s business is managed under the oversight of our Board which conducts business through meetings of its members and its Committees. The Board met seven times during 2023. It is the Company’s policy that all Directors attend the annual meeting of stockholders if reasonably</w:t>
      </w:r>
    </w:p>
    <w:p>
      <w:pPr>
        <w:ind w:left="2700"/>
        <w:spacing w:after="0" w:line="181" w:lineRule="auto"/>
        <w:tabs>
          <w:tab w:leader="none" w:pos="276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ind w:left="2860" w:right="1140"/>
        <w:spacing w:after="0" w:line="255" w:lineRule="auto"/>
        <w:rPr>
          <w:sz w:val="20"/>
          <w:szCs w:val="20"/>
          <w:color w:val="auto"/>
        </w:rPr>
      </w:pPr>
      <w:r>
        <w:rPr>
          <w:rFonts w:ascii="Arial" w:cs="Arial" w:eastAsia="Arial" w:hAnsi="Arial"/>
          <w:sz w:val="16"/>
          <w:szCs w:val="16"/>
          <w:color w:val="auto"/>
        </w:rPr>
        <w:t>possible. All of our directors attended the 2023 annual meeting of stockholders. In addition, all directors attended more than 75% of all meetings of the Board and the Committees on which they served in 2023.</w:t>
      </w:r>
    </w:p>
    <w:p>
      <w:pPr>
        <w:ind w:left="960"/>
        <w:spacing w:after="0"/>
        <w:rPr>
          <w:sz w:val="20"/>
          <w:szCs w:val="20"/>
          <w:color w:val="auto"/>
        </w:rPr>
      </w:pPr>
      <w:r>
        <w:rPr>
          <w:rFonts w:ascii="Arial" w:cs="Arial" w:eastAsia="Arial" w:hAnsi="Arial"/>
          <w:sz w:val="16"/>
          <w:szCs w:val="16"/>
          <w:color w:val="auto"/>
        </w:rPr>
        <w:t> </w:t>
      </w:r>
    </w:p>
    <w:p>
      <w:pPr>
        <w:spacing w:after="0" w:line="285"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Board Education and Onboarding</w:t>
      </w:r>
    </w:p>
    <w:p>
      <w:pPr>
        <w:spacing w:after="0" w:line="164" w:lineRule="exact"/>
        <w:rPr>
          <w:sz w:val="20"/>
          <w:szCs w:val="20"/>
          <w:color w:val="auto"/>
        </w:rPr>
      </w:pPr>
    </w:p>
    <w:p>
      <w:pPr>
        <w:ind w:left="960" w:right="1160"/>
        <w:spacing w:after="0" w:line="252" w:lineRule="auto"/>
        <w:rPr>
          <w:sz w:val="20"/>
          <w:szCs w:val="20"/>
          <w:color w:val="auto"/>
        </w:rPr>
      </w:pPr>
      <w:r>
        <w:rPr>
          <w:rFonts w:ascii="Arial" w:cs="Arial" w:eastAsia="Arial" w:hAnsi="Arial"/>
          <w:sz w:val="16"/>
          <w:szCs w:val="16"/>
          <w:color w:val="auto"/>
        </w:rPr>
        <w:t>The Company is committed to providing an initial orientation to board service with the Company and continuing education covering such operational, financial and legal issues as may be appropriate given each Board member’s background, experience and education. Without limiting the foregoing, each Board member is encouraged to propose and attend at least one supplemental educational program per year as he or she thinks appropriate for him or herself and make one annual visit to a Company facility. The Board visited our facilities in Germantown, Maryland and Pittsburgh, Pennsylvania as part of our regularly scheduled Board and Committee meetings in 2023. Directors also have regular access to senior management.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9140" w:type="dxa"/>
            <w:vAlign w:val="bottom"/>
          </w:tcPr>
          <w:p>
            <w:pPr>
              <w:ind w:left="636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800" w:type="dxa"/>
            <w:vAlign w:val="bottom"/>
          </w:tcPr>
          <w:p>
            <w:pPr>
              <w:jc w:val="right"/>
              <w:ind w:right="909"/>
              <w:spacing w:after="0"/>
              <w:rPr>
                <w:sz w:val="20"/>
                <w:szCs w:val="20"/>
                <w:color w:val="auto"/>
              </w:rPr>
            </w:pPr>
            <w:r>
              <w:rPr>
                <w:rFonts w:ascii="Arial" w:cs="Arial" w:eastAsia="Arial" w:hAnsi="Arial"/>
                <w:sz w:val="14"/>
                <w:szCs w:val="14"/>
                <w:b w:val="1"/>
                <w:bCs w:val="1"/>
                <w:color w:val="auto"/>
              </w:rPr>
              <w:t>29</w:t>
            </w:r>
          </w:p>
        </w:tc>
      </w:tr>
      <w:tr>
        <w:trPr>
          <w:trHeight w:val="355"/>
        </w:trPr>
        <w:tc>
          <w:tcPr>
            <w:tcW w:w="9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-415925</wp:posOffset>
            </wp:positionV>
            <wp:extent cx="501650" cy="1701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Corporate Governance</w:t>
      </w:r>
    </w:p>
    <w:p>
      <w:pPr>
        <w:spacing w:after="0" w:line="143" w:lineRule="exact"/>
        <w:rPr>
          <w:sz w:val="20"/>
          <w:szCs w:val="20"/>
          <w:color w:val="auto"/>
        </w:rPr>
      </w:pPr>
    </w:p>
    <w:p>
      <w:pPr>
        <w:spacing w:after="0"/>
        <w:rPr>
          <w:sz w:val="20"/>
          <w:szCs w:val="20"/>
          <w:color w:val="auto"/>
        </w:rPr>
      </w:pPr>
      <w:r>
        <w:rPr>
          <w:rFonts w:ascii="Arial" w:cs="Arial" w:eastAsia="Arial" w:hAnsi="Arial"/>
          <w:sz w:val="23"/>
          <w:szCs w:val="23"/>
          <w:color w:val="0C426A"/>
        </w:rPr>
        <w:t>Board Evaluation Process</w:t>
      </w:r>
    </w:p>
    <w:p>
      <w:pPr>
        <w:spacing w:after="0" w:line="181" w:lineRule="exact"/>
        <w:rPr>
          <w:sz w:val="20"/>
          <w:szCs w:val="20"/>
          <w:color w:val="auto"/>
        </w:rPr>
      </w:pPr>
    </w:p>
    <w:p>
      <w:pPr>
        <w:ind w:right="39"/>
        <w:spacing w:after="0" w:line="250" w:lineRule="auto"/>
        <w:rPr>
          <w:sz w:val="20"/>
          <w:szCs w:val="20"/>
          <w:color w:val="auto"/>
        </w:rPr>
      </w:pPr>
      <w:r>
        <w:rPr>
          <w:rFonts w:ascii="Arial" w:cs="Arial" w:eastAsia="Arial" w:hAnsi="Arial"/>
          <w:sz w:val="16"/>
          <w:szCs w:val="16"/>
          <w:color w:val="auto"/>
        </w:rPr>
        <w:t>Through the oversight of the Governance Committee, the Board performs a self-evaluation of its performance at least annually to determine whether the Board and its Committees are functioning effectively and following the Company’s Corporate Governance Guidelines. The Board also engages an independent external consultant to provide an evaluation of the Board’s performance at least every three years. In 2023, the Board engaged an external consultant to conduct a board assessment. The external board assessment included individual director interviews to better understand and capture the unique, diverse, and multi-faceted skillsets of each director. The Board, along with each Committee, also conducted an internal self-assessment to review its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126365</wp:posOffset>
            </wp:positionV>
            <wp:extent cx="5739130" cy="32905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39130" cy="3290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9"/>
          <w:szCs w:val="29"/>
          <w:color w:val="636466"/>
        </w:rPr>
        <w:t>The Board’s Oversight Role</w:t>
      </w:r>
    </w:p>
    <w:p>
      <w:pPr>
        <w:spacing w:after="0" w:line="149" w:lineRule="exact"/>
        <w:rPr>
          <w:sz w:val="20"/>
          <w:szCs w:val="20"/>
          <w:color w:val="auto"/>
        </w:rPr>
      </w:pPr>
    </w:p>
    <w:p>
      <w:pPr>
        <w:spacing w:after="0"/>
        <w:rPr>
          <w:sz w:val="20"/>
          <w:szCs w:val="20"/>
          <w:color w:val="auto"/>
        </w:rPr>
      </w:pPr>
      <w:r>
        <w:rPr>
          <w:rFonts w:ascii="Arial" w:cs="Arial" w:eastAsia="Arial" w:hAnsi="Arial"/>
          <w:sz w:val="23"/>
          <w:szCs w:val="23"/>
          <w:color w:val="0C426A"/>
        </w:rPr>
        <w:t>Oversight of Strategy</w:t>
      </w:r>
    </w:p>
    <w:p>
      <w:pPr>
        <w:spacing w:after="0" w:line="181" w:lineRule="exact"/>
        <w:rPr>
          <w:sz w:val="20"/>
          <w:szCs w:val="20"/>
          <w:color w:val="auto"/>
        </w:rPr>
      </w:pPr>
    </w:p>
    <w:p>
      <w:pPr>
        <w:ind w:right="119"/>
        <w:spacing w:after="0" w:line="249" w:lineRule="auto"/>
        <w:rPr>
          <w:sz w:val="20"/>
          <w:szCs w:val="20"/>
          <w:color w:val="auto"/>
        </w:rPr>
      </w:pPr>
      <w:r>
        <w:rPr>
          <w:rFonts w:ascii="Arial" w:cs="Arial" w:eastAsia="Arial" w:hAnsi="Arial"/>
          <w:sz w:val="16"/>
          <w:szCs w:val="16"/>
          <w:color w:val="auto"/>
        </w:rPr>
        <w:t>The Board annually reviews the Company’s strategic priorities and material risks facing the business. At a regular and scheduled cadence, senior management presents business updates to the Board for each of the freight and transit segments related to the Company’s corporate strategy and operating plans. The presentations include strategic plans for the short, mid-term, and long term prospects while highlighting economic or market factors, financial and operational outlooks, and geopolitical factors. Various growth strategies are also presented to the Board, including strategic M&amp;A, effective capital allocation, share repurchase activity, debt positions, and dividend history and strategies. Outside advisors also play a role in identifying, evaluating, and analyzing risks facing the business. These outside advisors include our independent registered public accounting firm, external legal counsel, independent compensation consultants, and transportation or other industry experts.</w:t>
      </w:r>
    </w:p>
    <w:p>
      <w:pPr>
        <w:spacing w:after="0" w:line="340" w:lineRule="exact"/>
        <w:rPr>
          <w:sz w:val="20"/>
          <w:szCs w:val="20"/>
          <w:color w:val="auto"/>
        </w:rPr>
      </w:pPr>
    </w:p>
    <w:p>
      <w:pPr>
        <w:spacing w:after="0"/>
        <w:rPr>
          <w:sz w:val="20"/>
          <w:szCs w:val="20"/>
          <w:color w:val="auto"/>
        </w:rPr>
      </w:pPr>
      <w:r>
        <w:rPr>
          <w:rFonts w:ascii="Arial" w:cs="Arial" w:eastAsia="Arial" w:hAnsi="Arial"/>
          <w:sz w:val="23"/>
          <w:szCs w:val="23"/>
          <w:color w:val="0C426A"/>
        </w:rPr>
        <w:t>Oversight of Risk Management</w:t>
      </w:r>
    </w:p>
    <w:p>
      <w:pPr>
        <w:spacing w:after="0" w:line="181" w:lineRule="exact"/>
        <w:rPr>
          <w:sz w:val="20"/>
          <w:szCs w:val="20"/>
          <w:color w:val="auto"/>
        </w:rPr>
      </w:pPr>
    </w:p>
    <w:p>
      <w:pPr>
        <w:ind w:right="159"/>
        <w:spacing w:after="0" w:line="257" w:lineRule="auto"/>
        <w:rPr>
          <w:sz w:val="20"/>
          <w:szCs w:val="20"/>
          <w:color w:val="auto"/>
        </w:rPr>
      </w:pPr>
      <w:r>
        <w:rPr>
          <w:rFonts w:ascii="Arial" w:cs="Arial" w:eastAsia="Arial" w:hAnsi="Arial"/>
          <w:sz w:val="16"/>
          <w:szCs w:val="16"/>
          <w:color w:val="auto"/>
        </w:rPr>
        <w:t>As part of its responsibilities set forth in its charter, the Audit Committee is responsible for discussing Wabtec’s major risk exposures and the steps management has taken to monitor and control those exposures with management, including the Company’s risk assessment and risk management policies. In this regard, Wabtec’s management prepares a comprehensive risk assessment report, described below, and reviews that report with the Audit Committee twice each year.</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760" w:type="dxa"/>
            <w:vAlign w:val="bottom"/>
          </w:tcPr>
          <w:p>
            <w:pPr>
              <w:jc w:val="right"/>
              <w:ind w:right="529"/>
              <w:spacing w:after="0"/>
              <w:rPr>
                <w:sz w:val="20"/>
                <w:szCs w:val="20"/>
                <w:color w:val="auto"/>
              </w:rPr>
            </w:pPr>
            <w:r>
              <w:rPr>
                <w:rFonts w:ascii="Arial" w:cs="Arial" w:eastAsia="Arial" w:hAnsi="Arial"/>
                <w:sz w:val="14"/>
                <w:szCs w:val="14"/>
                <w:b w:val="1"/>
                <w:bCs w:val="1"/>
                <w:color w:val="auto"/>
                <w:w w:val="89"/>
              </w:rPr>
              <w:t>30</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179070</wp:posOffset>
            </wp:positionV>
            <wp:extent cx="693801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33" w:name="page34"/>
    <w:bookmarkEnd w:id="33"/>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right"/>
        <w:ind w:right="980"/>
        <w:spacing w:after="0"/>
        <w:rPr>
          <w:sz w:val="20"/>
          <w:szCs w:val="20"/>
          <w:color w:val="auto"/>
        </w:rPr>
      </w:pPr>
      <w:r>
        <w:rPr>
          <w:rFonts w:ascii="Arial" w:cs="Arial" w:eastAsia="Arial" w:hAnsi="Arial"/>
          <w:sz w:val="12"/>
          <w:szCs w:val="12"/>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51435</wp:posOffset>
            </wp:positionV>
            <wp:extent cx="5713730" cy="12242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13730" cy="1224280"/>
                    </a:xfrm>
                    <a:prstGeom prst="rect">
                      <a:avLst/>
                    </a:prstGeom>
                    <a:noFill/>
                  </pic:spPr>
                </pic:pic>
              </a:graphicData>
            </a:graphic>
          </wp:anchor>
        </w:drawing>
      </w:r>
    </w:p>
    <w:p>
      <w:pPr>
        <w:spacing w:after="0" w:line="234" w:lineRule="exact"/>
        <w:rPr>
          <w:sz w:val="20"/>
          <w:szCs w:val="20"/>
          <w:color w:val="auto"/>
        </w:rPr>
      </w:pPr>
    </w:p>
    <w:p>
      <w:pPr>
        <w:ind w:left="1220"/>
        <w:spacing w:after="0"/>
        <w:rPr>
          <w:sz w:val="20"/>
          <w:szCs w:val="20"/>
          <w:color w:val="auto"/>
        </w:rPr>
      </w:pPr>
      <w:r>
        <w:rPr>
          <w:rFonts w:ascii="Arial" w:cs="Arial" w:eastAsia="Arial" w:hAnsi="Arial"/>
          <w:sz w:val="16"/>
          <w:szCs w:val="16"/>
          <w:b w:val="1"/>
          <w:bCs w:val="1"/>
          <w:color w:val="FFFFFF"/>
        </w:rPr>
        <w:t>The Board</w:t>
      </w:r>
    </w:p>
    <w:p>
      <w:pPr>
        <w:spacing w:after="0" w:line="164" w:lineRule="exact"/>
        <w:rPr>
          <w:sz w:val="20"/>
          <w:szCs w:val="20"/>
          <w:color w:val="auto"/>
        </w:rPr>
      </w:pPr>
    </w:p>
    <w:p>
      <w:pPr>
        <w:ind w:left="1220"/>
        <w:spacing w:after="0"/>
        <w:rPr>
          <w:sz w:val="20"/>
          <w:szCs w:val="20"/>
          <w:color w:val="auto"/>
        </w:rPr>
      </w:pPr>
      <w:r>
        <w:rPr>
          <w:rFonts w:ascii="Arial" w:cs="Arial" w:eastAsia="Arial" w:hAnsi="Arial"/>
          <w:sz w:val="16"/>
          <w:szCs w:val="16"/>
          <w:color w:val="FFFFFF"/>
        </w:rPr>
        <w:t>•  is responsible for overseeing and monitoring the material risks facing the Company.</w:t>
      </w:r>
    </w:p>
    <w:p>
      <w:pPr>
        <w:spacing w:after="0" w:line="164" w:lineRule="exact"/>
        <w:rPr>
          <w:sz w:val="20"/>
          <w:szCs w:val="20"/>
          <w:color w:val="auto"/>
        </w:rPr>
      </w:pPr>
    </w:p>
    <w:p>
      <w:pPr>
        <w:ind w:left="1380" w:right="1280" w:hanging="155"/>
        <w:spacing w:after="0" w:line="282" w:lineRule="auto"/>
        <w:rPr>
          <w:sz w:val="20"/>
          <w:szCs w:val="20"/>
          <w:color w:val="auto"/>
        </w:rPr>
      </w:pPr>
      <w:r>
        <w:rPr>
          <w:rFonts w:ascii="Arial" w:cs="Arial" w:eastAsia="Arial" w:hAnsi="Arial"/>
          <w:sz w:val="16"/>
          <w:szCs w:val="16"/>
          <w:color w:val="FFFFFF"/>
        </w:rPr>
        <w:t>•  annually reviews Wabtec’s strategic plan which addresses, among other things, the risks and opportunities facing the Company.</w:t>
      </w:r>
    </w:p>
    <w:p>
      <w:pPr>
        <w:spacing w:after="0" w:line="103" w:lineRule="exact"/>
        <w:rPr>
          <w:sz w:val="20"/>
          <w:szCs w:val="20"/>
          <w:color w:val="auto"/>
        </w:rPr>
      </w:pPr>
    </w:p>
    <w:p>
      <w:pPr>
        <w:ind w:left="1380" w:right="1000" w:hanging="155"/>
        <w:spacing w:after="0" w:line="282" w:lineRule="auto"/>
        <w:rPr>
          <w:sz w:val="20"/>
          <w:szCs w:val="20"/>
          <w:color w:val="auto"/>
        </w:rPr>
      </w:pPr>
      <w:r>
        <w:rPr>
          <w:rFonts w:ascii="Arial" w:cs="Arial" w:eastAsia="Arial" w:hAnsi="Arial"/>
          <w:sz w:val="16"/>
          <w:szCs w:val="16"/>
          <w:color w:val="FFFFFF"/>
        </w:rPr>
        <w:t>•  has delegated certain risk management oversight responsibility to the Board Committees. Each Committee reports to the full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354965</wp:posOffset>
            </wp:positionV>
            <wp:extent cx="5721985" cy="24911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21985" cy="2491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62230</wp:posOffset>
            </wp:positionV>
            <wp:extent cx="5713730" cy="391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13730" cy="391160"/>
                    </a:xfrm>
                    <a:prstGeom prst="rect">
                      <a:avLst/>
                    </a:prstGeom>
                    <a:noFill/>
                  </pic:spPr>
                </pic:pic>
              </a:graphicData>
            </a:graphic>
          </wp:anchor>
        </w:drawing>
      </w:r>
    </w:p>
    <w:p>
      <w:pPr>
        <w:spacing w:after="0" w:line="278"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Management</w:t>
      </w:r>
    </w:p>
    <w:p>
      <w:pPr>
        <w:spacing w:after="0" w:line="392" w:lineRule="exact"/>
        <w:rPr>
          <w:sz w:val="20"/>
          <w:szCs w:val="20"/>
          <w:color w:val="auto"/>
        </w:rPr>
      </w:pPr>
    </w:p>
    <w:p>
      <w:pPr>
        <w:ind w:left="1320" w:right="980" w:hanging="176"/>
        <w:spacing w:after="0" w:line="257" w:lineRule="auto"/>
        <w:tabs>
          <w:tab w:leader="none" w:pos="1320" w:val="left"/>
        </w:tabs>
        <w:numPr>
          <w:ilvl w:val="0"/>
          <w:numId w:val="16"/>
        </w:numPr>
        <w:rPr>
          <w:rFonts w:ascii="Arial" w:cs="Arial" w:eastAsia="Arial" w:hAnsi="Arial"/>
          <w:sz w:val="16"/>
          <w:szCs w:val="16"/>
          <w:color w:val="4297CB"/>
        </w:rPr>
      </w:pPr>
      <w:r>
        <w:rPr>
          <w:rFonts w:ascii="Arial" w:cs="Arial" w:eastAsia="Arial" w:hAnsi="Arial"/>
          <w:sz w:val="16"/>
          <w:szCs w:val="16"/>
          <w:color w:val="auto"/>
        </w:rPr>
        <w:t>prepares a comprehensive enterprise risk assessment report and reviews that report with the Audit Committee twice each year, which identifies (i) the material business risks (including strategic, operational, cybersecurity, financial reporting and compliance risks) facing the Company as a whole, as well as for each business unit and for corporate common services and (ii) the controls that respond to, monitor, and mitigate those risks.</w:t>
      </w:r>
    </w:p>
    <w:p>
      <w:pPr>
        <w:spacing w:after="0" w:line="28" w:lineRule="exact"/>
        <w:rPr>
          <w:rFonts w:ascii="Arial" w:cs="Arial" w:eastAsia="Arial" w:hAnsi="Arial"/>
          <w:sz w:val="16"/>
          <w:szCs w:val="16"/>
          <w:color w:val="4297CB"/>
        </w:rPr>
      </w:pPr>
    </w:p>
    <w:p>
      <w:pPr>
        <w:ind w:left="1320" w:right="1340" w:hanging="176"/>
        <w:spacing w:after="0" w:line="282" w:lineRule="auto"/>
        <w:tabs>
          <w:tab w:leader="none" w:pos="1320" w:val="left"/>
        </w:tabs>
        <w:numPr>
          <w:ilvl w:val="0"/>
          <w:numId w:val="16"/>
        </w:numPr>
        <w:rPr>
          <w:rFonts w:ascii="Arial" w:cs="Arial" w:eastAsia="Arial" w:hAnsi="Arial"/>
          <w:sz w:val="16"/>
          <w:szCs w:val="16"/>
          <w:color w:val="4297CB"/>
        </w:rPr>
      </w:pPr>
      <w:r>
        <w:rPr>
          <w:rFonts w:ascii="Arial" w:cs="Arial" w:eastAsia="Arial" w:hAnsi="Arial"/>
          <w:sz w:val="16"/>
          <w:szCs w:val="16"/>
          <w:color w:val="auto"/>
        </w:rPr>
        <w:t>regularly evaluates these controls, and periodically reports to the Audit Committee regarding the controls’ design and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48895</wp:posOffset>
            </wp:positionV>
            <wp:extent cx="57137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284"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Enterprise Risk Management Process</w:t>
      </w:r>
    </w:p>
    <w:p>
      <w:pPr>
        <w:spacing w:after="0" w:line="164" w:lineRule="exact"/>
        <w:rPr>
          <w:sz w:val="20"/>
          <w:szCs w:val="20"/>
          <w:color w:val="auto"/>
        </w:rPr>
      </w:pPr>
    </w:p>
    <w:p>
      <w:pPr>
        <w:ind w:left="960" w:right="1060"/>
        <w:spacing w:after="0" w:line="250" w:lineRule="auto"/>
        <w:rPr>
          <w:sz w:val="20"/>
          <w:szCs w:val="20"/>
          <w:color w:val="auto"/>
        </w:rPr>
      </w:pPr>
      <w:r>
        <w:rPr>
          <w:rFonts w:ascii="Arial" w:cs="Arial" w:eastAsia="Arial" w:hAnsi="Arial"/>
          <w:sz w:val="16"/>
          <w:szCs w:val="16"/>
          <w:color w:val="auto"/>
        </w:rPr>
        <w:t>The Company’s Enterprise Risk Management (“ERM”) program provides a routine and structured process to help identify and address the most significant strategic risks to the Company in non-siloed manners. In 2023, the Company conducted its annual global risk survey to identify the top five enterprise risks to the Company over the next three years. The risk data was consolidated into risk categories which were ranked based on total scores and risk priority score (likelihood x severity). Risk owners were then identified for each risk category to be responsible and accountable for outlining risk mitigation strategies. Senior management provides routine updates to the Board on the progress and development of risk mitigation strategies. The top risk categories identified for 2023 include: (i) cybersecurity and privacy, (ii) geo-political uncertainty, (iii) supply chain disruption, (iv) product safety, quality, and reliability, and (v) technology.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9140" w:type="dxa"/>
            <w:vAlign w:val="bottom"/>
          </w:tcPr>
          <w:p>
            <w:pPr>
              <w:ind w:left="636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800" w:type="dxa"/>
            <w:vAlign w:val="bottom"/>
          </w:tcPr>
          <w:p>
            <w:pPr>
              <w:jc w:val="right"/>
              <w:ind w:right="909"/>
              <w:spacing w:after="0"/>
              <w:rPr>
                <w:sz w:val="20"/>
                <w:szCs w:val="20"/>
                <w:color w:val="auto"/>
              </w:rPr>
            </w:pPr>
            <w:r>
              <w:rPr>
                <w:rFonts w:ascii="Arial" w:cs="Arial" w:eastAsia="Arial" w:hAnsi="Arial"/>
                <w:sz w:val="14"/>
                <w:szCs w:val="14"/>
                <w:b w:val="1"/>
                <w:bCs w:val="1"/>
                <w:color w:val="auto"/>
              </w:rPr>
              <w:t>31</w:t>
            </w:r>
          </w:p>
        </w:tc>
      </w:tr>
      <w:tr>
        <w:trPr>
          <w:trHeight w:val="342"/>
        </w:trPr>
        <w:tc>
          <w:tcPr>
            <w:tcW w:w="9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-407670</wp:posOffset>
            </wp:positionV>
            <wp:extent cx="501650" cy="1701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Corporate Governance</w:t>
      </w:r>
    </w:p>
    <w:p>
      <w:pPr>
        <w:spacing w:after="0" w:line="143" w:lineRule="exact"/>
        <w:rPr>
          <w:sz w:val="20"/>
          <w:szCs w:val="20"/>
          <w:color w:val="auto"/>
        </w:rPr>
      </w:pPr>
    </w:p>
    <w:p>
      <w:pPr>
        <w:spacing w:after="0"/>
        <w:rPr>
          <w:sz w:val="20"/>
          <w:szCs w:val="20"/>
          <w:color w:val="auto"/>
        </w:rPr>
      </w:pPr>
      <w:r>
        <w:rPr>
          <w:rFonts w:ascii="Arial" w:cs="Arial" w:eastAsia="Arial" w:hAnsi="Arial"/>
          <w:sz w:val="23"/>
          <w:szCs w:val="23"/>
          <w:color w:val="0C426A"/>
        </w:rPr>
        <w:t>Oversight of Compensation Risk</w:t>
      </w:r>
    </w:p>
    <w:p>
      <w:pPr>
        <w:spacing w:after="0" w:line="181" w:lineRule="exact"/>
        <w:rPr>
          <w:sz w:val="20"/>
          <w:szCs w:val="20"/>
          <w:color w:val="auto"/>
        </w:rPr>
      </w:pPr>
    </w:p>
    <w:p>
      <w:pPr>
        <w:ind w:right="79"/>
        <w:spacing w:after="0" w:line="282" w:lineRule="auto"/>
        <w:rPr>
          <w:sz w:val="20"/>
          <w:szCs w:val="20"/>
          <w:color w:val="auto"/>
        </w:rPr>
      </w:pPr>
      <w:r>
        <w:rPr>
          <w:rFonts w:ascii="Arial" w:cs="Arial" w:eastAsia="Arial" w:hAnsi="Arial"/>
          <w:sz w:val="16"/>
          <w:szCs w:val="16"/>
          <w:color w:val="auto"/>
        </w:rPr>
        <w:t>The Compensation Committee recently conducted a risk assessment and extensively reviewed the elements of compensation to determine whether any portion of compensation encouraged excessive risk taking and concluded:</w:t>
      </w:r>
    </w:p>
    <w:p>
      <w:pPr>
        <w:spacing w:after="0" w:line="130" w:lineRule="exact"/>
        <w:rPr>
          <w:sz w:val="20"/>
          <w:szCs w:val="20"/>
          <w:color w:val="auto"/>
        </w:rPr>
      </w:pPr>
    </w:p>
    <w:p>
      <w:pPr>
        <w:ind w:left="180" w:hanging="175"/>
        <w:spacing w:after="0"/>
        <w:tabs>
          <w:tab w:leader="none" w:pos="180" w:val="left"/>
        </w:tabs>
        <w:numPr>
          <w:ilvl w:val="0"/>
          <w:numId w:val="17"/>
        </w:numPr>
        <w:rPr>
          <w:rFonts w:ascii="Arial" w:cs="Arial" w:eastAsia="Arial" w:hAnsi="Arial"/>
          <w:sz w:val="16"/>
          <w:szCs w:val="16"/>
          <w:color w:val="4297CB"/>
        </w:rPr>
      </w:pPr>
      <w:r>
        <w:rPr>
          <w:rFonts w:ascii="Arial" w:cs="Arial" w:eastAsia="Arial" w:hAnsi="Arial"/>
          <w:sz w:val="16"/>
          <w:szCs w:val="16"/>
          <w:color w:val="auto"/>
        </w:rPr>
        <w:t>significant weighting towards long-term incentive compensation discourages short-term risk taking;</w:t>
      </w:r>
    </w:p>
    <w:p>
      <w:pPr>
        <w:spacing w:after="0" w:line="70" w:lineRule="exact"/>
        <w:rPr>
          <w:rFonts w:ascii="Arial" w:cs="Arial" w:eastAsia="Arial" w:hAnsi="Arial"/>
          <w:sz w:val="16"/>
          <w:szCs w:val="16"/>
          <w:color w:val="4297CB"/>
        </w:rPr>
      </w:pPr>
    </w:p>
    <w:p>
      <w:pPr>
        <w:ind w:left="180" w:hanging="175"/>
        <w:spacing w:after="0"/>
        <w:tabs>
          <w:tab w:leader="none" w:pos="180" w:val="left"/>
        </w:tabs>
        <w:numPr>
          <w:ilvl w:val="0"/>
          <w:numId w:val="17"/>
        </w:numPr>
        <w:rPr>
          <w:rFonts w:ascii="Arial" w:cs="Arial" w:eastAsia="Arial" w:hAnsi="Arial"/>
          <w:sz w:val="16"/>
          <w:szCs w:val="16"/>
          <w:color w:val="4297CB"/>
        </w:rPr>
      </w:pPr>
      <w:r>
        <w:rPr>
          <w:rFonts w:ascii="Arial" w:cs="Arial" w:eastAsia="Arial" w:hAnsi="Arial"/>
          <w:sz w:val="16"/>
          <w:szCs w:val="16"/>
          <w:color w:val="auto"/>
        </w:rPr>
        <w:t>rolling three-year performance targets discourage short-term risk taking;</w:t>
      </w:r>
    </w:p>
    <w:p>
      <w:pPr>
        <w:spacing w:after="0" w:line="70" w:lineRule="exact"/>
        <w:rPr>
          <w:rFonts w:ascii="Arial" w:cs="Arial" w:eastAsia="Arial" w:hAnsi="Arial"/>
          <w:sz w:val="16"/>
          <w:szCs w:val="16"/>
          <w:color w:val="4297CB"/>
        </w:rPr>
      </w:pPr>
    </w:p>
    <w:p>
      <w:pPr>
        <w:ind w:left="180" w:hanging="175"/>
        <w:spacing w:after="0"/>
        <w:tabs>
          <w:tab w:leader="none" w:pos="180" w:val="left"/>
        </w:tabs>
        <w:numPr>
          <w:ilvl w:val="0"/>
          <w:numId w:val="17"/>
        </w:numPr>
        <w:rPr>
          <w:rFonts w:ascii="Arial" w:cs="Arial" w:eastAsia="Arial" w:hAnsi="Arial"/>
          <w:sz w:val="16"/>
          <w:szCs w:val="16"/>
          <w:color w:val="4297CB"/>
        </w:rPr>
      </w:pPr>
      <w:r>
        <w:rPr>
          <w:rFonts w:ascii="Arial" w:cs="Arial" w:eastAsia="Arial" w:hAnsi="Arial"/>
          <w:sz w:val="16"/>
          <w:szCs w:val="16"/>
          <w:color w:val="auto"/>
        </w:rPr>
        <w:t>incentive awards are capped by the Compensation Committee which discourages excessive risk taking; and</w:t>
      </w:r>
    </w:p>
    <w:p>
      <w:pPr>
        <w:spacing w:after="0" w:line="83" w:lineRule="exact"/>
        <w:rPr>
          <w:rFonts w:ascii="Arial" w:cs="Arial" w:eastAsia="Arial" w:hAnsi="Arial"/>
          <w:sz w:val="16"/>
          <w:szCs w:val="16"/>
          <w:color w:val="4297CB"/>
        </w:rPr>
      </w:pPr>
    </w:p>
    <w:p>
      <w:pPr>
        <w:ind w:left="180" w:hanging="175"/>
        <w:spacing w:after="0"/>
        <w:tabs>
          <w:tab w:leader="none" w:pos="180" w:val="left"/>
        </w:tabs>
        <w:numPr>
          <w:ilvl w:val="0"/>
          <w:numId w:val="17"/>
        </w:numPr>
        <w:rPr>
          <w:rFonts w:ascii="Arial" w:cs="Arial" w:eastAsia="Arial" w:hAnsi="Arial"/>
          <w:sz w:val="16"/>
          <w:szCs w:val="16"/>
          <w:color w:val="4297CB"/>
        </w:rPr>
      </w:pPr>
      <w:r>
        <w:rPr>
          <w:rFonts w:ascii="Arial" w:cs="Arial" w:eastAsia="Arial" w:hAnsi="Arial"/>
          <w:sz w:val="16"/>
          <w:szCs w:val="16"/>
          <w:color w:val="auto"/>
        </w:rPr>
        <w:t>equity ownership guidelines discourage excessive risk taking.</w:t>
      </w:r>
    </w:p>
    <w:p>
      <w:pPr>
        <w:spacing w:after="0" w:line="375" w:lineRule="exact"/>
        <w:rPr>
          <w:sz w:val="20"/>
          <w:szCs w:val="20"/>
          <w:color w:val="auto"/>
        </w:rPr>
      </w:pPr>
    </w:p>
    <w:p>
      <w:pPr>
        <w:spacing w:after="0"/>
        <w:rPr>
          <w:sz w:val="20"/>
          <w:szCs w:val="20"/>
          <w:color w:val="auto"/>
        </w:rPr>
      </w:pPr>
      <w:r>
        <w:rPr>
          <w:rFonts w:ascii="Arial" w:cs="Arial" w:eastAsia="Arial" w:hAnsi="Arial"/>
          <w:sz w:val="23"/>
          <w:szCs w:val="23"/>
          <w:color w:val="0C426A"/>
        </w:rPr>
        <w:t>Oversight of Cybersecurity Risk</w:t>
      </w:r>
    </w:p>
    <w:p>
      <w:pPr>
        <w:spacing w:after="0" w:line="181" w:lineRule="exact"/>
        <w:rPr>
          <w:sz w:val="20"/>
          <w:szCs w:val="20"/>
          <w:color w:val="auto"/>
        </w:rPr>
      </w:pPr>
    </w:p>
    <w:p>
      <w:pPr>
        <w:ind w:right="79"/>
        <w:spacing w:after="0" w:line="249" w:lineRule="auto"/>
        <w:rPr>
          <w:sz w:val="20"/>
          <w:szCs w:val="20"/>
          <w:color w:val="auto"/>
        </w:rPr>
      </w:pPr>
      <w:r>
        <w:rPr>
          <w:rFonts w:ascii="Arial" w:cs="Arial" w:eastAsia="Arial" w:hAnsi="Arial"/>
          <w:sz w:val="16"/>
          <w:szCs w:val="16"/>
          <w:color w:val="auto"/>
        </w:rPr>
        <w:t>Our Board understands the importance of maintaining a secure environment for our products, data and systems that effectively supports our business objectives and customer needs. The Company has adopted a comprehensive approach with respect to acceptable use, risk management, data privacy, education and awareness, security incident management and reporting, identity and access management, third-party management, security (with respect to physical assets, products, networks and systems), security monitoring and vulnerability identification. The Company also maintains a global incident response plan and regularly conducts exercises to help with our overall preparedness. The Company takes measures to improve and update our cybersecurity program, including independent third party assessments, penetration testing and scanning of our systems for vulnerabilities. The Company pairs with assessors, consultants, auditors, and other third-party service providers and advisers to assist in monitoring cybersecurity risks.</w:t>
      </w:r>
    </w:p>
    <w:p>
      <w:pPr>
        <w:spacing w:after="0" w:line="130" w:lineRule="exact"/>
        <w:rPr>
          <w:sz w:val="20"/>
          <w:szCs w:val="20"/>
          <w:color w:val="auto"/>
        </w:rPr>
      </w:pPr>
    </w:p>
    <w:p>
      <w:pPr>
        <w:ind w:right="59"/>
        <w:spacing w:after="0" w:line="252" w:lineRule="auto"/>
        <w:rPr>
          <w:sz w:val="20"/>
          <w:szCs w:val="20"/>
          <w:color w:val="auto"/>
        </w:rPr>
      </w:pPr>
      <w:r>
        <w:rPr>
          <w:rFonts w:ascii="Arial" w:cs="Arial" w:eastAsia="Arial" w:hAnsi="Arial"/>
          <w:sz w:val="16"/>
          <w:szCs w:val="16"/>
          <w:color w:val="auto"/>
        </w:rPr>
        <w:t>Cybersecurity risks are overseen by the Audit Committee. The Company provides ongoing and continuing reports to the Audit Committee, which reports include information about cyber-risk management, the effectiveness of the Company’s cybersecurity framework, and benchmarking the Company against its industry peers. In addition to these regularly scheduled updates, the Audit Committee and the Company maintain an ongoing dialogue regarding the Company’s cybersecurity risk and posture. Risk is assessed utilizing internal key performance indicators and external evaluations to determine the Company’s cybersecurity score in comparison to its peer group.</w:t>
      </w:r>
    </w:p>
    <w:p>
      <w:pPr>
        <w:spacing w:after="0" w:line="126" w:lineRule="exact"/>
        <w:rPr>
          <w:sz w:val="20"/>
          <w:szCs w:val="20"/>
          <w:color w:val="auto"/>
        </w:rPr>
      </w:pPr>
    </w:p>
    <w:p>
      <w:pPr>
        <w:ind w:right="139"/>
        <w:spacing w:after="0" w:line="263" w:lineRule="auto"/>
        <w:rPr>
          <w:sz w:val="20"/>
          <w:szCs w:val="20"/>
          <w:color w:val="auto"/>
        </w:rPr>
      </w:pPr>
      <w:r>
        <w:rPr>
          <w:rFonts w:ascii="Arial" w:cs="Arial" w:eastAsia="Arial" w:hAnsi="Arial"/>
          <w:sz w:val="16"/>
          <w:szCs w:val="16"/>
          <w:color w:val="auto"/>
        </w:rPr>
        <w:t>The Company has instituted a Cybersecurity Awareness Month program and the Cybersecurity Champion Network for continuous improvement via trainings and continued awareness on emerging cybersecurity risks. Our Board also participates in all enterprise annual security awareness training and phishing campaigns.</w:t>
      </w:r>
    </w:p>
    <w:p>
      <w:pPr>
        <w:spacing w:after="0" w:line="342" w:lineRule="exact"/>
        <w:rPr>
          <w:sz w:val="20"/>
          <w:szCs w:val="20"/>
          <w:color w:val="auto"/>
        </w:rPr>
      </w:pPr>
    </w:p>
    <w:p>
      <w:pPr>
        <w:spacing w:after="0"/>
        <w:rPr>
          <w:sz w:val="20"/>
          <w:szCs w:val="20"/>
          <w:color w:val="auto"/>
        </w:rPr>
      </w:pPr>
      <w:r>
        <w:rPr>
          <w:rFonts w:ascii="Arial" w:cs="Arial" w:eastAsia="Arial" w:hAnsi="Arial"/>
          <w:sz w:val="23"/>
          <w:szCs w:val="23"/>
          <w:color w:val="0C426A"/>
        </w:rPr>
        <w:t>Oversight of Management Succession Planning</w:t>
      </w:r>
    </w:p>
    <w:p>
      <w:pPr>
        <w:spacing w:after="0" w:line="181" w:lineRule="exact"/>
        <w:rPr>
          <w:sz w:val="20"/>
          <w:szCs w:val="20"/>
          <w:color w:val="auto"/>
        </w:rPr>
      </w:pPr>
    </w:p>
    <w:p>
      <w:pPr>
        <w:ind w:right="159"/>
        <w:spacing w:after="0" w:line="263" w:lineRule="auto"/>
        <w:rPr>
          <w:sz w:val="20"/>
          <w:szCs w:val="20"/>
          <w:color w:val="auto"/>
        </w:rPr>
      </w:pPr>
      <w:r>
        <w:rPr>
          <w:rFonts w:ascii="Arial" w:cs="Arial" w:eastAsia="Arial" w:hAnsi="Arial"/>
          <w:sz w:val="16"/>
          <w:szCs w:val="16"/>
          <w:color w:val="auto"/>
        </w:rPr>
        <w:t>Under our Corporate Governance Guidelines, the performance of the CEO is reviewed annually by the Board. The Compensation Committee reviews and makes periodic reports to the Board regarding management succession planning and talent management efforts. The Governance Committee has oversight of CEO succession planning.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760" w:type="dxa"/>
            <w:vAlign w:val="bottom"/>
          </w:tcPr>
          <w:p>
            <w:pPr>
              <w:jc w:val="right"/>
              <w:ind w:right="529"/>
              <w:spacing w:after="0"/>
              <w:rPr>
                <w:sz w:val="20"/>
                <w:szCs w:val="20"/>
                <w:color w:val="auto"/>
              </w:rPr>
            </w:pPr>
            <w:r>
              <w:rPr>
                <w:rFonts w:ascii="Arial" w:cs="Arial" w:eastAsia="Arial" w:hAnsi="Arial"/>
                <w:sz w:val="14"/>
                <w:szCs w:val="14"/>
                <w:b w:val="1"/>
                <w:bCs w:val="1"/>
                <w:color w:val="auto"/>
                <w:w w:val="89"/>
              </w:rPr>
              <w:t>32</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170180</wp:posOffset>
            </wp:positionV>
            <wp:extent cx="693801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35" w:name="page36"/>
    <w:bookmarkEnd w:id="35"/>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right"/>
        <w:ind w:right="980"/>
        <w:spacing w:after="0"/>
        <w:rPr>
          <w:sz w:val="20"/>
          <w:szCs w:val="20"/>
          <w:color w:val="auto"/>
        </w:rPr>
      </w:pPr>
      <w:r>
        <w:rPr>
          <w:rFonts w:ascii="Arial" w:cs="Arial" w:eastAsia="Arial" w:hAnsi="Arial"/>
          <w:sz w:val="12"/>
          <w:szCs w:val="12"/>
          <w:color w:val="auto"/>
        </w:rPr>
        <w:t>Corporate Governance</w:t>
      </w:r>
    </w:p>
    <w:p>
      <w:pPr>
        <w:spacing w:after="0" w:line="169" w:lineRule="exact"/>
        <w:rPr>
          <w:sz w:val="20"/>
          <w:szCs w:val="20"/>
          <w:color w:val="auto"/>
        </w:rPr>
      </w:pPr>
    </w:p>
    <w:p>
      <w:pPr>
        <w:ind w:left="960"/>
        <w:spacing w:after="0"/>
        <w:rPr>
          <w:sz w:val="20"/>
          <w:szCs w:val="20"/>
          <w:color w:val="auto"/>
        </w:rPr>
      </w:pPr>
      <w:r>
        <w:rPr>
          <w:rFonts w:ascii="Arial" w:cs="Arial" w:eastAsia="Arial" w:hAnsi="Arial"/>
          <w:sz w:val="29"/>
          <w:szCs w:val="29"/>
          <w:color w:val="636466"/>
        </w:rPr>
        <w:t>Stockholder Engagement and Director Communications</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23"/>
          <w:szCs w:val="23"/>
          <w:color w:val="0C426A"/>
        </w:rPr>
        <w:t>Stockholder Engagement</w:t>
      </w:r>
    </w:p>
    <w:p>
      <w:pPr>
        <w:spacing w:after="0" w:line="181" w:lineRule="exact"/>
        <w:rPr>
          <w:sz w:val="20"/>
          <w:szCs w:val="20"/>
          <w:color w:val="auto"/>
        </w:rPr>
      </w:pPr>
    </w:p>
    <w:p>
      <w:pPr>
        <w:ind w:left="960" w:right="980"/>
        <w:spacing w:after="0" w:line="254" w:lineRule="auto"/>
        <w:rPr>
          <w:sz w:val="20"/>
          <w:szCs w:val="20"/>
          <w:color w:val="auto"/>
        </w:rPr>
      </w:pPr>
      <w:r>
        <w:rPr>
          <w:rFonts w:ascii="Arial" w:cs="Arial" w:eastAsia="Arial" w:hAnsi="Arial"/>
          <w:sz w:val="16"/>
          <w:szCs w:val="16"/>
          <w:color w:val="auto"/>
        </w:rPr>
        <w:t>Ongoing engagement with our stockholders is important to us. We value our stockholders’ views, and their input is important to us. Our Investor Relations and Finance teams are dedicated to leading our engagement efforts and collaborating with Wabtec’s management teams and subject matter experts in order to provide appropriate resources for engagement with our stockholders. We believe our engagements with stockholders have been constructive and have provided management and the Board with insights on issues and initiatives that are important to our stockholders and other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215265</wp:posOffset>
            </wp:positionV>
            <wp:extent cx="5713730" cy="24828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13730" cy="2482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207010</wp:posOffset>
            </wp:positionV>
            <wp:extent cx="5713730" cy="14706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13730" cy="1470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9140" w:type="dxa"/>
            <w:vAlign w:val="bottom"/>
          </w:tcPr>
          <w:p>
            <w:pPr>
              <w:ind w:left="636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800" w:type="dxa"/>
            <w:vAlign w:val="bottom"/>
          </w:tcPr>
          <w:p>
            <w:pPr>
              <w:jc w:val="right"/>
              <w:ind w:right="909"/>
              <w:spacing w:after="0"/>
              <w:rPr>
                <w:sz w:val="20"/>
                <w:szCs w:val="20"/>
                <w:color w:val="auto"/>
              </w:rPr>
            </w:pPr>
            <w:r>
              <w:rPr>
                <w:rFonts w:ascii="Arial" w:cs="Arial" w:eastAsia="Arial" w:hAnsi="Arial"/>
                <w:sz w:val="14"/>
                <w:szCs w:val="14"/>
                <w:b w:val="1"/>
                <w:bCs w:val="1"/>
                <w:color w:val="auto"/>
              </w:rPr>
              <w:t>33</w:t>
            </w:r>
          </w:p>
        </w:tc>
      </w:tr>
      <w:tr>
        <w:trPr>
          <w:trHeight w:val="355"/>
        </w:trPr>
        <w:tc>
          <w:tcPr>
            <w:tcW w:w="9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-407670</wp:posOffset>
            </wp:positionV>
            <wp:extent cx="501650" cy="1701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Corporate Governance</w:t>
      </w:r>
    </w:p>
    <w:p>
      <w:pPr>
        <w:spacing w:after="0" w:line="107" w:lineRule="exact"/>
        <w:rPr>
          <w:sz w:val="20"/>
          <w:szCs w:val="20"/>
          <w:color w:val="auto"/>
        </w:rPr>
      </w:pPr>
    </w:p>
    <w:p>
      <w:pPr>
        <w:ind w:right="139"/>
        <w:spacing w:after="0" w:line="252" w:lineRule="auto"/>
        <w:rPr>
          <w:sz w:val="20"/>
          <w:szCs w:val="20"/>
          <w:color w:val="auto"/>
        </w:rPr>
      </w:pPr>
      <w:r>
        <w:rPr>
          <w:rFonts w:ascii="Arial" w:cs="Arial" w:eastAsia="Arial" w:hAnsi="Arial"/>
          <w:sz w:val="16"/>
          <w:szCs w:val="16"/>
          <w:color w:val="auto"/>
        </w:rPr>
        <w:t>We communicate with our stockholders through a variety of means, including direct interface, investor presentations, investor conferences, company hosted events, analyst meetings, one-on-one meetings, our website, and publications we issue. We also initiate formal outreach efforts in the months prior to our annual meeting of stockholders. Through that process, we contact stockholders and invite them to engage in discussions with our senior management team and subject matter experts on a variety of topics, including the stockholders’ priorities and interests, our Proxy Statement disclosures, stockholder proposals, and company strategy. In 2023, conversations with stockholders focused on the following key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29845</wp:posOffset>
            </wp:positionV>
            <wp:extent cx="5713730" cy="1785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13730" cy="178562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p>
      <w:pPr>
        <w:spacing w:after="0" w:line="220" w:lineRule="exact"/>
        <w:rPr>
          <w:sz w:val="20"/>
          <w:szCs w:val="20"/>
          <w:color w:val="auto"/>
        </w:rPr>
      </w:pPr>
    </w:p>
    <w:p>
      <w:pPr>
        <w:ind w:left="440" w:hanging="163"/>
        <w:spacing w:after="0" w:line="263" w:lineRule="auto"/>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ongoing conflict between Russia</w:t>
      </w:r>
      <w:r>
        <w:rPr>
          <w:rFonts w:ascii="Arial" w:cs="Arial" w:eastAsia="Arial" w:hAnsi="Arial"/>
          <w:sz w:val="16"/>
          <w:szCs w:val="16"/>
          <w:color w:val="4297CB"/>
        </w:rPr>
        <w:t xml:space="preserve"> </w:t>
      </w:r>
      <w:r>
        <w:rPr>
          <w:rFonts w:ascii="Arial" w:cs="Arial" w:eastAsia="Arial" w:hAnsi="Arial"/>
          <w:sz w:val="16"/>
          <w:szCs w:val="16"/>
          <w:color w:val="000000"/>
        </w:rPr>
        <w:t>and Ukraine and the resultant sanctions on Russia and Belarus;</w:t>
      </w:r>
    </w:p>
    <w:p>
      <w:pPr>
        <w:spacing w:after="0" w:line="24" w:lineRule="exact"/>
        <w:rPr>
          <w:sz w:val="20"/>
          <w:szCs w:val="20"/>
          <w:color w:val="auto"/>
        </w:rPr>
      </w:pPr>
    </w:p>
    <w:p>
      <w:pPr>
        <w:ind w:left="26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business strategy;</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financial performance;</w:t>
      </w:r>
    </w:p>
    <w:p>
      <w:pPr>
        <w:spacing w:after="0" w:line="70" w:lineRule="exact"/>
        <w:rPr>
          <w:sz w:val="20"/>
          <w:szCs w:val="20"/>
          <w:color w:val="auto"/>
        </w:rPr>
      </w:pPr>
    </w:p>
    <w:p>
      <w:pPr>
        <w:ind w:left="440" w:right="260" w:hanging="163"/>
        <w:spacing w:after="0" w:line="263" w:lineRule="auto"/>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Company culture and ongoing</w:t>
      </w:r>
      <w:r>
        <w:rPr>
          <w:rFonts w:ascii="Arial" w:cs="Arial" w:eastAsia="Arial" w:hAnsi="Arial"/>
          <w:sz w:val="16"/>
          <w:szCs w:val="16"/>
          <w:color w:val="4297CB"/>
        </w:rPr>
        <w:t xml:space="preserve"> </w:t>
      </w:r>
      <w:r>
        <w:rPr>
          <w:rFonts w:ascii="Arial" w:cs="Arial" w:eastAsia="Arial" w:hAnsi="Arial"/>
          <w:sz w:val="16"/>
          <w:szCs w:val="16"/>
          <w:color w:val="000000"/>
        </w:rPr>
        <w:t>integration and restructuring efforts;</w:t>
      </w:r>
    </w:p>
    <w:p>
      <w:pPr>
        <w:spacing w:after="0" w:line="2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470535</wp:posOffset>
            </wp:positionV>
            <wp:extent cx="50800" cy="7480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0800" cy="748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16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executive compensation;</w:t>
      </w:r>
    </w:p>
    <w:p>
      <w:pPr>
        <w:spacing w:after="0" w:line="70" w:lineRule="exact"/>
        <w:rPr>
          <w:sz w:val="20"/>
          <w:szCs w:val="20"/>
          <w:color w:val="auto"/>
        </w:rPr>
      </w:pPr>
    </w:p>
    <w:p>
      <w:pPr>
        <w:ind w:left="320" w:right="580" w:hanging="163"/>
        <w:spacing w:after="0" w:line="282" w:lineRule="auto"/>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financial impacts from lower</w:t>
      </w:r>
      <w:r>
        <w:rPr>
          <w:rFonts w:ascii="Arial" w:cs="Arial" w:eastAsia="Arial" w:hAnsi="Arial"/>
          <w:sz w:val="16"/>
          <w:szCs w:val="16"/>
          <w:color w:val="4297CB"/>
        </w:rPr>
        <w:t xml:space="preserve"> </w:t>
      </w:r>
      <w:r>
        <w:rPr>
          <w:rFonts w:ascii="Arial" w:cs="Arial" w:eastAsia="Arial" w:hAnsi="Arial"/>
          <w:sz w:val="16"/>
          <w:szCs w:val="16"/>
          <w:color w:val="000000"/>
        </w:rPr>
        <w:t>carload volumes;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status/impact of Erie strikes;</w:t>
      </w:r>
    </w:p>
    <w:p>
      <w:pPr>
        <w:spacing w:after="0" w:line="70" w:lineRule="exact"/>
        <w:rPr>
          <w:sz w:val="20"/>
          <w:szCs w:val="20"/>
          <w:color w:val="auto"/>
        </w:rPr>
      </w:pPr>
    </w:p>
    <w:p>
      <w:pPr>
        <w:ind w:left="16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acquisition contributions to 2023</w:t>
      </w:r>
    </w:p>
    <w:tbl>
      <w:tblPr>
        <w:tblLayout w:type="fixed"/>
        <w:tblInd w:w="0" w:type="dxa"/>
        <w:tblCellMar>
          <w:top w:w="0" w:type="dxa"/>
          <w:left w:w="0" w:type="dxa"/>
          <w:bottom w:w="0" w:type="dxa"/>
          <w:right w:w="0" w:type="dxa"/>
        </w:tblCellMar>
      </w:tblPr>
      <w:tr>
        <w:trPr>
          <w:trHeight w:val="121"/>
        </w:trPr>
        <w:tc>
          <w:tcPr>
            <w:tcW w:w="200" w:type="dxa"/>
            <w:vAlign w:val="bottom"/>
          </w:tcPr>
          <w:p>
            <w:pPr>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840" w:type="dxa"/>
            <w:vAlign w:val="bottom"/>
          </w:tcPr>
          <w:p>
            <w:pPr>
              <w:ind w:left="120"/>
              <w:spacing w:after="0" w:line="111" w:lineRule="exact"/>
              <w:rPr>
                <w:sz w:val="20"/>
                <w:szCs w:val="20"/>
                <w:color w:val="auto"/>
              </w:rPr>
            </w:pPr>
            <w:r>
              <w:rPr>
                <w:rFonts w:ascii="Arial" w:cs="Arial" w:eastAsia="Arial" w:hAnsi="Arial"/>
                <w:sz w:val="12"/>
                <w:szCs w:val="12"/>
                <w:color w:val="auto"/>
              </w:rPr>
              <w:t>financials;</w:t>
            </w:r>
          </w:p>
        </w:tc>
      </w:tr>
    </w:tbl>
    <w:p>
      <w:pPr>
        <w:spacing w:after="0" w:line="137" w:lineRule="exact"/>
        <w:rPr>
          <w:sz w:val="20"/>
          <w:szCs w:val="20"/>
          <w:color w:val="auto"/>
        </w:rPr>
      </w:pPr>
    </w:p>
    <w:p>
      <w:pPr>
        <w:ind w:left="320" w:hanging="163"/>
        <w:spacing w:after="0" w:line="282" w:lineRule="auto"/>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order pipeline and cadence of multi-year backlog;</w:t>
      </w:r>
    </w:p>
    <w:p>
      <w:pPr>
        <w:spacing w:after="0" w:line="23" w:lineRule="exact"/>
        <w:rPr>
          <w:sz w:val="20"/>
          <w:szCs w:val="20"/>
          <w:color w:val="auto"/>
        </w:rPr>
      </w:pPr>
    </w:p>
    <w:p>
      <w:pPr>
        <w:ind w:left="320" w:right="200" w:hanging="163"/>
        <w:spacing w:after="0" w:line="282" w:lineRule="auto"/>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operating leverage in Freight and</w:t>
      </w:r>
      <w:r>
        <w:rPr>
          <w:rFonts w:ascii="Arial" w:cs="Arial" w:eastAsia="Arial" w:hAnsi="Arial"/>
          <w:sz w:val="16"/>
          <w:szCs w:val="16"/>
          <w:color w:val="4297CB"/>
        </w:rPr>
        <w:t xml:space="preserve"> </w:t>
      </w:r>
      <w:r>
        <w:rPr>
          <w:rFonts w:ascii="Arial" w:cs="Arial" w:eastAsia="Arial" w:hAnsi="Arial"/>
          <w:sz w:val="16"/>
          <w:szCs w:val="16"/>
          <w:color w:val="000000"/>
        </w:rPr>
        <w:t>Transit segments;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capital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-1807845</wp:posOffset>
            </wp:positionH>
            <wp:positionV relativeFrom="paragraph">
              <wp:posOffset>138430</wp:posOffset>
            </wp:positionV>
            <wp:extent cx="5662295" cy="7480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62295" cy="748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16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corporate governance practices;</w:t>
      </w:r>
    </w:p>
    <w:p>
      <w:pPr>
        <w:spacing w:after="0" w:line="70" w:lineRule="exact"/>
        <w:rPr>
          <w:sz w:val="20"/>
          <w:szCs w:val="20"/>
          <w:color w:val="auto"/>
        </w:rPr>
      </w:pPr>
    </w:p>
    <w:p>
      <w:pPr>
        <w:ind w:left="320" w:right="439" w:hanging="163"/>
        <w:spacing w:after="0" w:line="282" w:lineRule="auto"/>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next generation technology</w:t>
      </w:r>
      <w:r>
        <w:rPr>
          <w:rFonts w:ascii="Arial" w:cs="Arial" w:eastAsia="Arial" w:hAnsi="Arial"/>
          <w:sz w:val="16"/>
          <w:szCs w:val="16"/>
          <w:color w:val="4297CB"/>
        </w:rPr>
        <w:t xml:space="preserve"> </w:t>
      </w:r>
      <w:r>
        <w:rPr>
          <w:rFonts w:ascii="Arial" w:cs="Arial" w:eastAsia="Arial" w:hAnsi="Arial"/>
          <w:sz w:val="16"/>
          <w:szCs w:val="16"/>
          <w:color w:val="000000"/>
        </w:rPr>
        <w:t>(hydrogen/ battery locomotives);</w:t>
      </w:r>
    </w:p>
    <w:p>
      <w:pPr>
        <w:spacing w:after="0" w:line="23" w:lineRule="exact"/>
        <w:rPr>
          <w:sz w:val="20"/>
          <w:szCs w:val="20"/>
          <w:color w:val="auto"/>
        </w:rPr>
      </w:pPr>
    </w:p>
    <w:p>
      <w:pPr>
        <w:ind w:left="320" w:right="119" w:hanging="163"/>
        <w:spacing w:after="0" w:line="254" w:lineRule="auto"/>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impact from regulations and potential</w:t>
      </w:r>
      <w:r>
        <w:rPr>
          <w:rFonts w:ascii="Arial" w:cs="Arial" w:eastAsia="Arial" w:hAnsi="Arial"/>
          <w:sz w:val="16"/>
          <w:szCs w:val="16"/>
          <w:color w:val="4297CB"/>
        </w:rPr>
        <w:t xml:space="preserve"> </w:t>
      </w:r>
      <w:r>
        <w:rPr>
          <w:rFonts w:ascii="Arial" w:cs="Arial" w:eastAsia="Arial" w:hAnsi="Arial"/>
          <w:sz w:val="16"/>
          <w:szCs w:val="16"/>
          <w:color w:val="000000"/>
        </w:rPr>
        <w:t>emission changes in</w:t>
      </w:r>
    </w:p>
    <w:p>
      <w:pPr>
        <w:spacing w:after="0"/>
        <w:tabs>
          <w:tab w:leader="none" w:pos="60" w:val="left"/>
          <w:tab w:leader="none" w:pos="300" w:val="left"/>
        </w:tabs>
        <w:rPr>
          <w:sz w:val="20"/>
          <w:szCs w:val="20"/>
          <w:color w:val="auto"/>
        </w:rPr>
      </w:pPr>
      <w:r>
        <w:rPr>
          <w:rFonts w:ascii="Times New Roman" w:cs="Times New Roman" w:eastAsia="Times New Roman" w:hAnsi="Times New Roman"/>
          <w:sz w:val="5"/>
          <w:szCs w:val="5"/>
          <w:color w:val="auto"/>
          <w:vertAlign w:val="subscript"/>
        </w:rPr>
        <w:t>​</w:t>
      </w:r>
      <w:r>
        <w:rPr>
          <w:sz w:val="20"/>
          <w:szCs w:val="20"/>
          <w:color w:val="auto"/>
        </w:rPr>
        <w:tab/>
      </w:r>
      <w:r>
        <w:rPr>
          <w:rFonts w:ascii="Times New Roman" w:cs="Times New Roman" w:eastAsia="Times New Roman" w:hAnsi="Times New Roman"/>
          <w:sz w:val="5"/>
          <w:szCs w:val="5"/>
          <w:color w:val="auto"/>
          <w:vertAlign w:val="subscript"/>
        </w:rPr>
        <w:t>​</w:t>
      </w:r>
      <w:r>
        <w:rPr>
          <w:sz w:val="20"/>
          <w:szCs w:val="20"/>
          <w:color w:val="auto"/>
        </w:rPr>
        <w:tab/>
      </w:r>
      <w:r>
        <w:rPr>
          <w:rFonts w:ascii="Arial" w:cs="Arial" w:eastAsia="Arial" w:hAnsi="Arial"/>
          <w:sz w:val="16"/>
          <w:szCs w:val="16"/>
          <w:color w:val="auto"/>
        </w:rPr>
        <w:t>California;</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Board composition; and</w:t>
      </w:r>
    </w:p>
    <w:p>
      <w:pPr>
        <w:spacing w:after="0" w:line="70" w:lineRule="exact"/>
        <w:rPr>
          <w:sz w:val="20"/>
          <w:szCs w:val="20"/>
          <w:color w:val="auto"/>
        </w:rPr>
      </w:pPr>
    </w:p>
    <w:p>
      <w:pPr>
        <w:ind w:left="320" w:right="99" w:hanging="163"/>
        <w:spacing w:after="0" w:line="282" w:lineRule="auto"/>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other topics, including climate-related</w:t>
      </w:r>
      <w:r>
        <w:rPr>
          <w:rFonts w:ascii="Arial" w:cs="Arial" w:eastAsia="Arial" w:hAnsi="Arial"/>
          <w:sz w:val="16"/>
          <w:szCs w:val="16"/>
          <w:color w:val="4297CB"/>
        </w:rPr>
        <w:t xml:space="preserve"> </w:t>
      </w:r>
      <w:r>
        <w:rPr>
          <w:rFonts w:ascii="Arial" w:cs="Arial" w:eastAsia="Arial" w:hAnsi="Arial"/>
          <w:sz w:val="16"/>
          <w:szCs w:val="16"/>
          <w:color w:val="000000"/>
        </w:rPr>
        <w:t>risks and opportunities.</w:t>
      </w:r>
    </w:p>
    <w:p>
      <w:pPr>
        <w:spacing w:after="0" w:line="661" w:lineRule="exact"/>
        <w:rPr>
          <w:sz w:val="20"/>
          <w:szCs w:val="20"/>
          <w:color w:val="auto"/>
        </w:rPr>
      </w:pPr>
    </w:p>
    <w:p>
      <w:pPr>
        <w:sectPr>
          <w:pgSz w:w="11900" w:h="16838" w:orient="portrait"/>
          <w:cols w:equalWidth="0" w:num="3">
            <w:col w:w="2820" w:space="120"/>
            <w:col w:w="2860" w:space="160"/>
            <w:col w:w="3059"/>
          </w:cols>
          <w:pgMar w:left="1440" w:top="116" w:right="1440" w:bottom="1440" w:gutter="0" w:footer="0" w:header="0"/>
          <w:type w:val="continuous"/>
        </w:sectPr>
      </w:pPr>
    </w:p>
    <w:p>
      <w:pPr>
        <w:spacing w:after="0" w:line="219" w:lineRule="exact"/>
        <w:rPr>
          <w:sz w:val="20"/>
          <w:szCs w:val="20"/>
          <w:color w:val="auto"/>
        </w:rPr>
      </w:pPr>
    </w:p>
    <w:p>
      <w:pPr>
        <w:ind w:left="400" w:right="139"/>
        <w:spacing w:after="0" w:line="257" w:lineRule="auto"/>
        <w:rPr>
          <w:sz w:val="20"/>
          <w:szCs w:val="20"/>
          <w:color w:val="auto"/>
        </w:rPr>
      </w:pPr>
      <w:r>
        <w:rPr>
          <w:rFonts w:ascii="Arial" w:cs="Arial" w:eastAsia="Arial" w:hAnsi="Arial"/>
          <w:sz w:val="16"/>
          <w:szCs w:val="16"/>
          <w:color w:val="auto"/>
        </w:rPr>
        <w:t>Following our Annual Meeting, our engagement efforts continue so that we may follow up on matters brought to our attention and/or discuss new issues of interest. We also respond routinely to individual stockholders and other stakeholders who inquire about our business. Input from our stockholders helps us formulate an appropriate action plan for addressing certain issues.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3"/>
          <w:szCs w:val="23"/>
          <w:color w:val="0C426A"/>
        </w:rPr>
        <w:t>Communication with the Board</w:t>
      </w:r>
    </w:p>
    <w:p>
      <w:pPr>
        <w:spacing w:after="0" w:line="181" w:lineRule="exact"/>
        <w:rPr>
          <w:sz w:val="20"/>
          <w:szCs w:val="20"/>
          <w:color w:val="auto"/>
        </w:rPr>
      </w:pPr>
    </w:p>
    <w:p>
      <w:pPr>
        <w:ind w:right="99"/>
        <w:spacing w:after="0" w:line="254" w:lineRule="auto"/>
        <w:rPr>
          <w:sz w:val="20"/>
          <w:szCs w:val="20"/>
          <w:color w:val="auto"/>
        </w:rPr>
      </w:pPr>
      <w:r>
        <w:rPr>
          <w:rFonts w:ascii="Arial" w:cs="Arial" w:eastAsia="Arial" w:hAnsi="Arial"/>
          <w:sz w:val="16"/>
          <w:szCs w:val="16"/>
          <w:color w:val="auto"/>
        </w:rPr>
        <w:t xml:space="preserve">The Board provides a process for interested parties to send communications to the Board or any of the directors of Wabtec. Communications to the Board or any director should be sent c/o the Secretary of Wabtec, 30 Isabella Street, Pittsburgh, PA 15212. All such communications except for spam, junk mail, mass mailings, solicitations, resumes, job inquiries, surveys or other matters unrelated to the Company, will be compiled by the Secretary of Wabtec and submitted to the Board or the individual director at the next regularly scheduled meeting of the Board. Interested parties may also communicate directly with the Lead Independent Director at the email address </w:t>
      </w:r>
      <w:r>
        <w:rPr>
          <w:rFonts w:ascii="Arial" w:cs="Arial" w:eastAsia="Arial" w:hAnsi="Arial"/>
          <w:sz w:val="16"/>
          <w:szCs w:val="16"/>
          <w:b w:val="1"/>
          <w:bCs w:val="1"/>
          <w:color w:val="4297CB"/>
        </w:rPr>
        <w:t>nonmanagementdirectors@wabtec.com.</w:t>
      </w:r>
    </w:p>
    <w:p>
      <w:pPr>
        <w:spacing w:after="0" w:line="367" w:lineRule="exact"/>
        <w:rPr>
          <w:sz w:val="20"/>
          <w:szCs w:val="20"/>
          <w:color w:val="auto"/>
        </w:rPr>
      </w:pPr>
    </w:p>
    <w:p>
      <w:pPr>
        <w:spacing w:after="0"/>
        <w:rPr>
          <w:sz w:val="20"/>
          <w:szCs w:val="20"/>
          <w:color w:val="auto"/>
        </w:rPr>
      </w:pPr>
      <w:r>
        <w:rPr>
          <w:rFonts w:ascii="Arial" w:cs="Arial" w:eastAsia="Arial" w:hAnsi="Arial"/>
          <w:sz w:val="29"/>
          <w:szCs w:val="29"/>
          <w:color w:val="636466"/>
        </w:rPr>
        <w:t>Governance Policies and Practices</w:t>
      </w:r>
    </w:p>
    <w:p>
      <w:pPr>
        <w:spacing w:after="0" w:line="230" w:lineRule="exact"/>
        <w:rPr>
          <w:sz w:val="20"/>
          <w:szCs w:val="20"/>
          <w:color w:val="auto"/>
        </w:rPr>
      </w:pPr>
    </w:p>
    <w:p>
      <w:pPr>
        <w:ind w:right="1459"/>
        <w:spacing w:after="0" w:line="292" w:lineRule="auto"/>
        <w:rPr>
          <w:sz w:val="20"/>
          <w:szCs w:val="20"/>
          <w:color w:val="auto"/>
        </w:rPr>
      </w:pPr>
      <w:r>
        <w:rPr>
          <w:rFonts w:ascii="Arial" w:cs="Arial" w:eastAsia="Arial" w:hAnsi="Arial"/>
          <w:sz w:val="23"/>
          <w:szCs w:val="23"/>
          <w:color w:val="0C426A"/>
        </w:rPr>
        <w:t>Corporate Governance Guidelines, Code of Conduct and Business Ethics and Compliance Program Charter</w:t>
      </w:r>
    </w:p>
    <w:p>
      <w:pPr>
        <w:spacing w:after="0" w:line="83" w:lineRule="exact"/>
        <w:rPr>
          <w:sz w:val="20"/>
          <w:szCs w:val="20"/>
          <w:color w:val="auto"/>
        </w:rPr>
      </w:pPr>
    </w:p>
    <w:p>
      <w:pPr>
        <w:ind w:right="139"/>
        <w:spacing w:after="0" w:line="260" w:lineRule="auto"/>
        <w:rPr>
          <w:sz w:val="20"/>
          <w:szCs w:val="20"/>
          <w:color w:val="auto"/>
        </w:rPr>
      </w:pPr>
      <w:r>
        <w:rPr>
          <w:rFonts w:ascii="Arial" w:cs="Arial" w:eastAsia="Arial" w:hAnsi="Arial"/>
          <w:sz w:val="16"/>
          <w:szCs w:val="16"/>
          <w:color w:val="auto"/>
        </w:rPr>
        <w:t xml:space="preserve">Wabtec has adopted Corporate Governance Guidelines and a Code of Conduct and Business Ethics that are applicable to all directors, officers and employees, each of which includes the provisions required under applicable SEC and NYSE regulations. Copies of our Corporate Governance Guidelines and Code of Conduct and Business Ethics are posted on our website at </w:t>
      </w:r>
      <w:r>
        <w:rPr>
          <w:rFonts w:ascii="Arial" w:cs="Arial" w:eastAsia="Arial" w:hAnsi="Arial"/>
          <w:sz w:val="16"/>
          <w:szCs w:val="16"/>
          <w:b w:val="1"/>
          <w:bCs w:val="1"/>
          <w:color w:val="4297CB"/>
        </w:rPr>
        <w:t>http://www.wabteccorp.com -&gt; investor relations -&gt; corporate governance</w:t>
      </w:r>
      <w:r>
        <w:rPr>
          <w:rFonts w:ascii="Arial" w:cs="Arial" w:eastAsia="Arial" w:hAnsi="Arial"/>
          <w:sz w:val="16"/>
          <w:szCs w:val="16"/>
          <w:color w:val="auto"/>
        </w:rPr>
        <w: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760" w:type="dxa"/>
            <w:vAlign w:val="bottom"/>
          </w:tcPr>
          <w:p>
            <w:pPr>
              <w:jc w:val="right"/>
              <w:ind w:right="529"/>
              <w:spacing w:after="0"/>
              <w:rPr>
                <w:sz w:val="20"/>
                <w:szCs w:val="20"/>
                <w:color w:val="auto"/>
              </w:rPr>
            </w:pPr>
            <w:r>
              <w:rPr>
                <w:rFonts w:ascii="Arial" w:cs="Arial" w:eastAsia="Arial" w:hAnsi="Arial"/>
                <w:sz w:val="14"/>
                <w:szCs w:val="14"/>
                <w:b w:val="1"/>
                <w:bCs w:val="1"/>
                <w:color w:val="auto"/>
                <w:w w:val="89"/>
              </w:rPr>
              <w:t>34</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170180</wp:posOffset>
            </wp:positionV>
            <wp:extent cx="693801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type w:val="continuous"/>
        </w:sectPr>
      </w:pPr>
    </w:p>
    <w:bookmarkStart w:id="37" w:name="page38"/>
    <w:bookmarkEnd w:id="37"/>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right"/>
        <w:ind w:right="980"/>
        <w:spacing w:after="0"/>
        <w:rPr>
          <w:sz w:val="20"/>
          <w:szCs w:val="20"/>
          <w:color w:val="auto"/>
        </w:rPr>
      </w:pPr>
      <w:r>
        <w:rPr>
          <w:rFonts w:ascii="Arial" w:cs="Arial" w:eastAsia="Arial" w:hAnsi="Arial"/>
          <w:sz w:val="12"/>
          <w:szCs w:val="12"/>
          <w:color w:val="auto"/>
        </w:rPr>
        <w:t>Corporate Governance</w:t>
      </w:r>
    </w:p>
    <w:p>
      <w:pPr>
        <w:spacing w:after="0" w:line="143" w:lineRule="exact"/>
        <w:rPr>
          <w:sz w:val="20"/>
          <w:szCs w:val="20"/>
          <w:color w:val="auto"/>
        </w:rPr>
      </w:pPr>
    </w:p>
    <w:p>
      <w:pPr>
        <w:ind w:left="960"/>
        <w:spacing w:after="0"/>
        <w:rPr>
          <w:sz w:val="20"/>
          <w:szCs w:val="20"/>
          <w:color w:val="auto"/>
        </w:rPr>
      </w:pPr>
      <w:r>
        <w:rPr>
          <w:rFonts w:ascii="Arial" w:cs="Arial" w:eastAsia="Arial" w:hAnsi="Arial"/>
          <w:sz w:val="23"/>
          <w:szCs w:val="23"/>
          <w:color w:val="0C426A"/>
        </w:rPr>
        <w:t>Business Relationships and Related Party Transactions</w:t>
      </w:r>
    </w:p>
    <w:p>
      <w:pPr>
        <w:spacing w:after="0" w:line="154"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Pre-existing Relationships</w:t>
      </w:r>
    </w:p>
    <w:p>
      <w:pPr>
        <w:spacing w:after="0" w:line="164" w:lineRule="exact"/>
        <w:rPr>
          <w:sz w:val="20"/>
          <w:szCs w:val="20"/>
          <w:color w:val="auto"/>
        </w:rPr>
      </w:pPr>
    </w:p>
    <w:p>
      <w:pPr>
        <w:ind w:left="960" w:right="1240"/>
        <w:spacing w:after="0" w:line="282" w:lineRule="auto"/>
        <w:rPr>
          <w:sz w:val="20"/>
          <w:szCs w:val="20"/>
          <w:color w:val="auto"/>
        </w:rPr>
      </w:pPr>
      <w:r>
        <w:rPr>
          <w:rFonts w:ascii="Arial" w:cs="Arial" w:eastAsia="Arial" w:hAnsi="Arial"/>
          <w:sz w:val="16"/>
          <w:szCs w:val="16"/>
          <w:color w:val="auto"/>
        </w:rPr>
        <w:t>Pursuant to the terms of Wabtec’s amended and restated by-laws, William E. Kassling will be nominated to be a member of the Board so long as he is able and willing to serve and beneficially owns a certain percentage of Wabtec common stock.</w:t>
      </w:r>
    </w:p>
    <w:p>
      <w:pPr>
        <w:spacing w:after="0" w:line="157"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Related Party Transaction Approval Policy</w:t>
      </w:r>
    </w:p>
    <w:p>
      <w:pPr>
        <w:spacing w:after="0" w:line="164" w:lineRule="exact"/>
        <w:rPr>
          <w:sz w:val="20"/>
          <w:szCs w:val="20"/>
          <w:color w:val="auto"/>
        </w:rPr>
      </w:pPr>
    </w:p>
    <w:p>
      <w:pPr>
        <w:ind w:left="960" w:right="1040"/>
        <w:spacing w:after="0" w:line="250" w:lineRule="auto"/>
        <w:rPr>
          <w:sz w:val="20"/>
          <w:szCs w:val="20"/>
          <w:color w:val="auto"/>
        </w:rPr>
      </w:pPr>
      <w:r>
        <w:rPr>
          <w:rFonts w:ascii="Arial" w:cs="Arial" w:eastAsia="Arial" w:hAnsi="Arial"/>
          <w:sz w:val="16"/>
          <w:szCs w:val="16"/>
          <w:color w:val="auto"/>
        </w:rPr>
        <w:t xml:space="preserve">Our Board has adopted a written policy regarding related party transactions, a copy of which is available on Wabtec’s website at </w:t>
      </w:r>
      <w:r>
        <w:rPr>
          <w:rFonts w:ascii="Arial" w:cs="Arial" w:eastAsia="Arial" w:hAnsi="Arial"/>
          <w:sz w:val="16"/>
          <w:szCs w:val="16"/>
          <w:b w:val="1"/>
          <w:bCs w:val="1"/>
          <w:color w:val="4297CB"/>
        </w:rPr>
        <w:t>http://www.wabteccorp.com</w:t>
      </w:r>
      <w:r>
        <w:rPr>
          <w:rFonts w:ascii="Arial" w:cs="Arial" w:eastAsia="Arial" w:hAnsi="Arial"/>
          <w:sz w:val="16"/>
          <w:szCs w:val="16"/>
          <w:color w:val="auto"/>
        </w:rPr>
        <w:t>. Under this policy, the Governance Committee must review and approve in advance all related party transactions that are required to be disclosed pursuant to Item 404 of Regulation S-K promulgated by the SEC. If advance approval is not feasible, the Governance Committee must approve or ratify the transaction at its next scheduled meeting. Transactions required to be disclosed pursuant to Item 404 include any transaction or series of similar transactions, arrangements or relationships in which Wabtec or any of its subsidiaries was, is, or will be a participant, the amount involved exceeds $120,000 and in which any of the following persons had, has or will have a direct or indirect material interest:</w:t>
      </w:r>
    </w:p>
    <w:p>
      <w:pPr>
        <w:spacing w:after="0" w:line="38" w:lineRule="exact"/>
        <w:rPr>
          <w:sz w:val="20"/>
          <w:szCs w:val="20"/>
          <w:color w:val="auto"/>
        </w:rPr>
      </w:pPr>
    </w:p>
    <w:p>
      <w:pPr>
        <w:ind w:left="1320" w:hanging="176"/>
        <w:spacing w:after="0"/>
        <w:tabs>
          <w:tab w:leader="none" w:pos="1320" w:val="left"/>
        </w:tabs>
        <w:numPr>
          <w:ilvl w:val="0"/>
          <w:numId w:val="18"/>
        </w:numPr>
        <w:rPr>
          <w:rFonts w:ascii="Arial" w:cs="Arial" w:eastAsia="Arial" w:hAnsi="Arial"/>
          <w:sz w:val="16"/>
          <w:szCs w:val="16"/>
          <w:color w:val="4297CB"/>
        </w:rPr>
      </w:pPr>
      <w:r>
        <w:rPr>
          <w:rFonts w:ascii="Arial" w:cs="Arial" w:eastAsia="Arial" w:hAnsi="Arial"/>
          <w:sz w:val="16"/>
          <w:szCs w:val="16"/>
          <w:color w:val="auto"/>
        </w:rPr>
        <w:t>any director, director nominee, or executive officer of Wabtec;</w:t>
      </w:r>
    </w:p>
    <w:p>
      <w:pPr>
        <w:spacing w:after="0" w:line="70" w:lineRule="exact"/>
        <w:rPr>
          <w:rFonts w:ascii="Arial" w:cs="Arial" w:eastAsia="Arial" w:hAnsi="Arial"/>
          <w:sz w:val="16"/>
          <w:szCs w:val="16"/>
          <w:color w:val="4297CB"/>
        </w:rPr>
      </w:pPr>
    </w:p>
    <w:p>
      <w:pPr>
        <w:ind w:left="1320" w:hanging="176"/>
        <w:spacing w:after="0"/>
        <w:tabs>
          <w:tab w:leader="none" w:pos="1320" w:val="left"/>
        </w:tabs>
        <w:numPr>
          <w:ilvl w:val="0"/>
          <w:numId w:val="18"/>
        </w:numPr>
        <w:rPr>
          <w:rFonts w:ascii="Arial" w:cs="Arial" w:eastAsia="Arial" w:hAnsi="Arial"/>
          <w:sz w:val="16"/>
          <w:szCs w:val="16"/>
          <w:color w:val="4297CB"/>
        </w:rPr>
      </w:pPr>
      <w:r>
        <w:rPr>
          <w:rFonts w:ascii="Arial" w:cs="Arial" w:eastAsia="Arial" w:hAnsi="Arial"/>
          <w:sz w:val="16"/>
          <w:szCs w:val="16"/>
          <w:color w:val="auto"/>
        </w:rPr>
        <w:t>any holder of more than five percent of Wabtec’s common stock;</w:t>
      </w:r>
    </w:p>
    <w:p>
      <w:pPr>
        <w:spacing w:after="0" w:line="83" w:lineRule="exact"/>
        <w:rPr>
          <w:rFonts w:ascii="Arial" w:cs="Arial" w:eastAsia="Arial" w:hAnsi="Arial"/>
          <w:sz w:val="16"/>
          <w:szCs w:val="16"/>
          <w:color w:val="4297CB"/>
        </w:rPr>
      </w:pPr>
    </w:p>
    <w:p>
      <w:pPr>
        <w:ind w:left="1320" w:hanging="176"/>
        <w:spacing w:after="0"/>
        <w:tabs>
          <w:tab w:leader="none" w:pos="1320" w:val="left"/>
        </w:tabs>
        <w:numPr>
          <w:ilvl w:val="0"/>
          <w:numId w:val="18"/>
        </w:numPr>
        <w:rPr>
          <w:rFonts w:ascii="Arial" w:cs="Arial" w:eastAsia="Arial" w:hAnsi="Arial"/>
          <w:sz w:val="16"/>
          <w:szCs w:val="16"/>
          <w:color w:val="4297CB"/>
        </w:rPr>
      </w:pPr>
      <w:r>
        <w:rPr>
          <w:rFonts w:ascii="Arial" w:cs="Arial" w:eastAsia="Arial" w:hAnsi="Arial"/>
          <w:sz w:val="16"/>
          <w:szCs w:val="16"/>
          <w:color w:val="auto"/>
        </w:rPr>
        <w:t>any Immediate Family Member (as defined in the policy) of any of the foregoing persons; and</w:t>
      </w:r>
    </w:p>
    <w:p>
      <w:pPr>
        <w:spacing w:after="0" w:line="70" w:lineRule="exact"/>
        <w:rPr>
          <w:rFonts w:ascii="Arial" w:cs="Arial" w:eastAsia="Arial" w:hAnsi="Arial"/>
          <w:sz w:val="16"/>
          <w:szCs w:val="16"/>
          <w:color w:val="4297CB"/>
        </w:rPr>
      </w:pPr>
    </w:p>
    <w:p>
      <w:pPr>
        <w:ind w:left="1320" w:hanging="176"/>
        <w:spacing w:after="0"/>
        <w:tabs>
          <w:tab w:leader="none" w:pos="1320" w:val="left"/>
        </w:tabs>
        <w:numPr>
          <w:ilvl w:val="0"/>
          <w:numId w:val="18"/>
        </w:numPr>
        <w:rPr>
          <w:rFonts w:ascii="Arial" w:cs="Arial" w:eastAsia="Arial" w:hAnsi="Arial"/>
          <w:sz w:val="16"/>
          <w:szCs w:val="16"/>
          <w:color w:val="4297CB"/>
        </w:rPr>
      </w:pPr>
      <w:r>
        <w:rPr>
          <w:rFonts w:ascii="Arial" w:cs="Arial" w:eastAsia="Arial" w:hAnsi="Arial"/>
          <w:sz w:val="16"/>
          <w:szCs w:val="16"/>
          <w:color w:val="auto"/>
        </w:rPr>
        <w:t>any entity which is controlled by someone listed above.</w:t>
      </w:r>
    </w:p>
    <w:p>
      <w:pPr>
        <w:spacing w:after="0" w:line="164" w:lineRule="exact"/>
        <w:rPr>
          <w:sz w:val="20"/>
          <w:szCs w:val="20"/>
          <w:color w:val="auto"/>
        </w:rPr>
      </w:pPr>
    </w:p>
    <w:p>
      <w:pPr>
        <w:ind w:left="960" w:right="980"/>
        <w:spacing w:after="0" w:line="257" w:lineRule="auto"/>
        <w:rPr>
          <w:sz w:val="20"/>
          <w:szCs w:val="20"/>
          <w:color w:val="auto"/>
        </w:rPr>
      </w:pPr>
      <w:r>
        <w:rPr>
          <w:rFonts w:ascii="Arial" w:cs="Arial" w:eastAsia="Arial" w:hAnsi="Arial"/>
          <w:sz w:val="16"/>
          <w:szCs w:val="16"/>
          <w:color w:val="auto"/>
        </w:rPr>
        <w:t>In reviewing related party transactions, the Governance Committee evaluates all material facts about the transaction, including the nature of the transaction, the benefit provided to Wabtec, whether the transaction is on commercially reasonable terms that would have been available from an unrelated third-party and any other factors necessary to its determination that the transaction is fair to Wabtec.</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2023 Related Party Transactions</w:t>
      </w:r>
    </w:p>
    <w:p>
      <w:pPr>
        <w:spacing w:after="0" w:line="16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During 2023, Wabtec sourced approximately $23 million worth of goods from Dana Incorporated. One of our directors,</w:t>
      </w:r>
    </w:p>
    <w:p>
      <w:pPr>
        <w:spacing w:after="0" w:line="19" w:lineRule="exact"/>
        <w:rPr>
          <w:sz w:val="20"/>
          <w:szCs w:val="20"/>
          <w:color w:val="auto"/>
        </w:rPr>
      </w:pPr>
    </w:p>
    <w:p>
      <w:pPr>
        <w:ind w:left="960" w:right="1180"/>
        <w:spacing w:after="0" w:line="262" w:lineRule="auto"/>
        <w:rPr>
          <w:sz w:val="20"/>
          <w:szCs w:val="20"/>
          <w:color w:val="auto"/>
        </w:rPr>
      </w:pPr>
      <w:r>
        <w:rPr>
          <w:rFonts w:ascii="Arial" w:cs="Arial" w:eastAsia="Arial" w:hAnsi="Arial"/>
          <w:sz w:val="16"/>
          <w:szCs w:val="16"/>
          <w:color w:val="auto"/>
        </w:rPr>
        <w:t>Mr. Foster, currently serves as an executive officer of Dana Incorporated and his interest in this transaction is limited to such capacity. The Board’s Governance Committee has reviewed and approved this transaction.</w:t>
      </w:r>
    </w:p>
    <w:p>
      <w:pPr>
        <w:spacing w:after="0" w:line="118" w:lineRule="exact"/>
        <w:rPr>
          <w:sz w:val="20"/>
          <w:szCs w:val="20"/>
          <w:color w:val="auto"/>
        </w:rPr>
      </w:pPr>
    </w:p>
    <w:p>
      <w:pPr>
        <w:ind w:left="960" w:right="1060"/>
        <w:spacing w:after="0" w:line="263" w:lineRule="auto"/>
        <w:rPr>
          <w:sz w:val="20"/>
          <w:szCs w:val="20"/>
          <w:color w:val="auto"/>
        </w:rPr>
      </w:pPr>
      <w:r>
        <w:rPr>
          <w:rFonts w:ascii="Arial" w:cs="Arial" w:eastAsia="Arial" w:hAnsi="Arial"/>
          <w:sz w:val="16"/>
          <w:szCs w:val="16"/>
          <w:color w:val="auto"/>
        </w:rPr>
        <w:t>During 2023, Wabtec sourced approximately $32 million worth of goods from Parker-Hannifin Corporation. One of our directors, Mr. Banks served as an executive officer of Parker-Hannifin Corporation and his interest in this transaction is limited to such capacity. The Board’s Governance Committee has reviewed and approved this transaction.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9140" w:type="dxa"/>
            <w:vAlign w:val="bottom"/>
          </w:tcPr>
          <w:p>
            <w:pPr>
              <w:ind w:left="636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800" w:type="dxa"/>
            <w:vAlign w:val="bottom"/>
          </w:tcPr>
          <w:p>
            <w:pPr>
              <w:jc w:val="right"/>
              <w:ind w:right="909"/>
              <w:spacing w:after="0"/>
              <w:rPr>
                <w:sz w:val="20"/>
                <w:szCs w:val="20"/>
                <w:color w:val="auto"/>
              </w:rPr>
            </w:pPr>
            <w:r>
              <w:rPr>
                <w:rFonts w:ascii="Arial" w:cs="Arial" w:eastAsia="Arial" w:hAnsi="Arial"/>
                <w:sz w:val="14"/>
                <w:szCs w:val="14"/>
                <w:b w:val="1"/>
                <w:bCs w:val="1"/>
                <w:color w:val="auto"/>
              </w:rPr>
              <w:t>35</w:t>
            </w:r>
          </w:p>
        </w:tc>
      </w:tr>
      <w:tr>
        <w:trPr>
          <w:trHeight w:val="342"/>
        </w:trPr>
        <w:tc>
          <w:tcPr>
            <w:tcW w:w="9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-407670</wp:posOffset>
            </wp:positionV>
            <wp:extent cx="501650" cy="1701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Corporate Governance</w:t>
      </w:r>
    </w:p>
    <w:p>
      <w:pPr>
        <w:spacing w:after="0" w:line="254" w:lineRule="exact"/>
        <w:rPr>
          <w:sz w:val="20"/>
          <w:szCs w:val="20"/>
          <w:color w:val="auto"/>
        </w:rPr>
      </w:pPr>
    </w:p>
    <w:p>
      <w:pPr>
        <w:spacing w:after="0"/>
        <w:rPr>
          <w:sz w:val="20"/>
          <w:szCs w:val="20"/>
          <w:color w:val="auto"/>
        </w:rPr>
      </w:pPr>
      <w:r>
        <w:rPr>
          <w:rFonts w:ascii="Arial" w:cs="Arial" w:eastAsia="Arial" w:hAnsi="Arial"/>
          <w:sz w:val="43"/>
          <w:szCs w:val="43"/>
          <w:color w:val="E02826"/>
        </w:rPr>
        <w:t>Sustainability</w:t>
      </w:r>
    </w:p>
    <w:p>
      <w:pPr>
        <w:spacing w:after="0" w:line="243" w:lineRule="exact"/>
        <w:rPr>
          <w:sz w:val="20"/>
          <w:szCs w:val="20"/>
          <w:color w:val="auto"/>
        </w:rPr>
      </w:pPr>
    </w:p>
    <w:p>
      <w:pPr>
        <w:ind w:right="59"/>
        <w:spacing w:after="0" w:line="252" w:lineRule="auto"/>
        <w:rPr>
          <w:sz w:val="20"/>
          <w:szCs w:val="20"/>
          <w:color w:val="auto"/>
        </w:rPr>
      </w:pPr>
      <w:r>
        <w:rPr>
          <w:rFonts w:ascii="Arial" w:cs="Arial" w:eastAsia="Arial" w:hAnsi="Arial"/>
          <w:sz w:val="16"/>
          <w:szCs w:val="16"/>
          <w:color w:val="auto"/>
        </w:rPr>
        <w:t>At Wabtec, we are committed to a strong environmental, social, and governance framework that ensures not only our own long-term success, but also leads our industry and stakeholders to a sustainable, cleaner, safer, and more inclusive transportation future. To that end, our sustainability priorities are embedded into our governance framework, stakeholder engagement, strategic decision making, and our evolving portfolio of products and services that we deliver for customers. This commitment starts at the top of the organization as both our Board of Directors and executive leadership team are actively engaged in Wabtec’s ESG strategy development and oversight.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This commitment helps to shape Wabtec’s sustainability vision:</w:t>
      </w:r>
    </w:p>
    <w:p>
      <w:pPr>
        <w:spacing w:after="0" w:line="166" w:lineRule="exact"/>
        <w:rPr>
          <w:sz w:val="20"/>
          <w:szCs w:val="20"/>
          <w:color w:val="auto"/>
        </w:rPr>
      </w:pPr>
    </w:p>
    <w:p>
      <w:pPr>
        <w:ind w:right="19"/>
        <w:spacing w:after="0" w:line="259" w:lineRule="auto"/>
        <w:rPr>
          <w:sz w:val="20"/>
          <w:szCs w:val="20"/>
          <w:color w:val="auto"/>
        </w:rPr>
      </w:pPr>
      <w:r>
        <w:rPr>
          <w:rFonts w:ascii="Arial" w:cs="Arial" w:eastAsia="Arial" w:hAnsi="Arial"/>
          <w:sz w:val="16"/>
          <w:szCs w:val="16"/>
          <w:b w:val="1"/>
          <w:bCs w:val="1"/>
          <w:i w:val="1"/>
          <w:iCs w:val="1"/>
          <w:color w:val="auto"/>
        </w:rPr>
        <w:t>Wabtec is committed to sustainable value creation. Our strategy is to contribute to a better, more sustainable world through our unique business offerings, leading technologies, and sustainable business practices. These help us capitalize on market opportunities and reduce safety and environmental risks, while creating value for our customers, employees, and other stakeholders.</w:t>
      </w:r>
    </w:p>
    <w:p>
      <w:pPr>
        <w:spacing w:after="0" w:line="364" w:lineRule="exact"/>
        <w:rPr>
          <w:sz w:val="20"/>
          <w:szCs w:val="20"/>
          <w:color w:val="auto"/>
        </w:rPr>
      </w:pPr>
    </w:p>
    <w:p>
      <w:pPr>
        <w:spacing w:after="0"/>
        <w:rPr>
          <w:sz w:val="20"/>
          <w:szCs w:val="20"/>
          <w:color w:val="auto"/>
        </w:rPr>
      </w:pPr>
      <w:r>
        <w:rPr>
          <w:rFonts w:ascii="Arial" w:cs="Arial" w:eastAsia="Arial" w:hAnsi="Arial"/>
          <w:sz w:val="29"/>
          <w:szCs w:val="29"/>
          <w:color w:val="636466"/>
        </w:rPr>
        <w:t>Oversight of Sustainability</w:t>
      </w:r>
    </w:p>
    <w:p>
      <w:pPr>
        <w:spacing w:after="0" w:line="180" w:lineRule="exact"/>
        <w:rPr>
          <w:sz w:val="20"/>
          <w:szCs w:val="20"/>
          <w:color w:val="auto"/>
        </w:rPr>
      </w:pPr>
    </w:p>
    <w:p>
      <w:pPr>
        <w:ind w:right="39"/>
        <w:spacing w:after="0" w:line="250" w:lineRule="auto"/>
        <w:rPr>
          <w:sz w:val="20"/>
          <w:szCs w:val="20"/>
          <w:color w:val="auto"/>
        </w:rPr>
      </w:pPr>
      <w:r>
        <w:rPr>
          <w:rFonts w:ascii="Arial" w:cs="Arial" w:eastAsia="Arial" w:hAnsi="Arial"/>
          <w:sz w:val="16"/>
          <w:szCs w:val="16"/>
          <w:color w:val="auto"/>
        </w:rPr>
        <w:t>Our ESG governance framework starts with our Board of Directors, who oversee the execution of the Company’s ESG strategy within their oversight of Wabtec’s overall business, risks and opportunities. The Board, under the leadership of the Governance Committee and its ESG Subcommittee, oversees our sustainability strategy and execution against our ESG goals; reviews climate-related risks and opportunities; enhances enterprise risk strategy and management systems; addresses Environmental, Health, and Safety (EHS) matters; and shapes public policy and advocacy efforts. In 2023, Wabtec elevated our commitment by creating a new role — Chief Strategy and Sustainability Officer who manages the Company’s overall strategic sustainable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177165</wp:posOffset>
            </wp:positionV>
            <wp:extent cx="4378960" cy="34690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78960" cy="3469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760" w:type="dxa"/>
            <w:vAlign w:val="bottom"/>
          </w:tcPr>
          <w:p>
            <w:pPr>
              <w:jc w:val="right"/>
              <w:ind w:right="529"/>
              <w:spacing w:after="0"/>
              <w:rPr>
                <w:sz w:val="20"/>
                <w:szCs w:val="20"/>
                <w:color w:val="auto"/>
              </w:rPr>
            </w:pPr>
            <w:r>
              <w:rPr>
                <w:rFonts w:ascii="Arial" w:cs="Arial" w:eastAsia="Arial" w:hAnsi="Arial"/>
                <w:sz w:val="14"/>
                <w:szCs w:val="14"/>
                <w:b w:val="1"/>
                <w:bCs w:val="1"/>
                <w:color w:val="auto"/>
                <w:w w:val="89"/>
              </w:rPr>
              <w:t>36</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179070</wp:posOffset>
            </wp:positionV>
            <wp:extent cx="693801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39" w:name="page40"/>
    <w:bookmarkEnd w:id="39"/>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8700"/>
        <w:spacing w:after="0"/>
        <w:rPr>
          <w:sz w:val="20"/>
          <w:szCs w:val="20"/>
          <w:color w:val="auto"/>
        </w:rPr>
      </w:pPr>
      <w:r>
        <w:rPr>
          <w:rFonts w:ascii="Arial" w:cs="Arial" w:eastAsia="Arial" w:hAnsi="Arial"/>
          <w:sz w:val="12"/>
          <w:szCs w:val="12"/>
          <w:color w:val="auto"/>
        </w:rPr>
        <w:t>Corporate Governance</w:t>
      </w:r>
    </w:p>
    <w:p>
      <w:pPr>
        <w:spacing w:after="0" w:line="107" w:lineRule="exact"/>
        <w:rPr>
          <w:sz w:val="20"/>
          <w:szCs w:val="20"/>
          <w:color w:val="auto"/>
        </w:rPr>
      </w:pPr>
    </w:p>
    <w:p>
      <w:pPr>
        <w:ind w:left="960" w:right="1000"/>
        <w:spacing w:after="0" w:line="257" w:lineRule="auto"/>
        <w:rPr>
          <w:sz w:val="20"/>
          <w:szCs w:val="20"/>
          <w:color w:val="auto"/>
        </w:rPr>
      </w:pPr>
      <w:r>
        <w:rPr>
          <w:rFonts w:ascii="Arial" w:cs="Arial" w:eastAsia="Arial" w:hAnsi="Arial"/>
          <w:sz w:val="16"/>
          <w:szCs w:val="16"/>
          <w:color w:val="auto"/>
        </w:rPr>
        <w:t>Internally, the Wabtec Sustainability Task Force meets quarterly to advance the Company’s sustainability strategy. This team is comprised of leaders across all functions and business segments, including EHS, Operations, Engineering, Finance, Sourcing, Legal, and Human Resources. They are responsible for implementing actions within those functions that support Wabtec’s ESG framework and strategy.</w:t>
      </w:r>
    </w:p>
    <w:p>
      <w:pPr>
        <w:spacing w:after="0" w:line="122" w:lineRule="exact"/>
        <w:rPr>
          <w:sz w:val="20"/>
          <w:szCs w:val="20"/>
          <w:color w:val="auto"/>
        </w:rPr>
      </w:pPr>
    </w:p>
    <w:p>
      <w:pPr>
        <w:ind w:left="960" w:right="1320"/>
        <w:spacing w:after="0" w:line="263" w:lineRule="auto"/>
        <w:rPr>
          <w:sz w:val="20"/>
          <w:szCs w:val="20"/>
          <w:color w:val="auto"/>
        </w:rPr>
      </w:pPr>
      <w:r>
        <w:rPr>
          <w:rFonts w:ascii="Arial" w:cs="Arial" w:eastAsia="Arial" w:hAnsi="Arial"/>
          <w:sz w:val="16"/>
          <w:szCs w:val="16"/>
          <w:color w:val="auto"/>
        </w:rPr>
        <w:t>These processes complement, and are complemented by, our broader ERM process, which is our primary vehicle for assessing and managing operational, strategic, financial, and compliance risk. Guarding against ESG risks is a critical risk area evaluated as part of this process.</w:t>
      </w:r>
    </w:p>
    <w:p>
      <w:pPr>
        <w:spacing w:after="0" w:line="368" w:lineRule="exact"/>
        <w:rPr>
          <w:sz w:val="20"/>
          <w:szCs w:val="20"/>
          <w:color w:val="auto"/>
        </w:rPr>
      </w:pPr>
    </w:p>
    <w:p>
      <w:pPr>
        <w:ind w:left="960"/>
        <w:spacing w:after="0"/>
        <w:rPr>
          <w:sz w:val="20"/>
          <w:szCs w:val="20"/>
          <w:color w:val="auto"/>
        </w:rPr>
      </w:pPr>
      <w:r>
        <w:rPr>
          <w:rFonts w:ascii="Arial" w:cs="Arial" w:eastAsia="Arial" w:hAnsi="Arial"/>
          <w:sz w:val="29"/>
          <w:szCs w:val="29"/>
          <w:color w:val="636466"/>
        </w:rPr>
        <w:t>Sustainability Highlights</w:t>
      </w:r>
    </w:p>
    <w:p>
      <w:pPr>
        <w:spacing w:after="0" w:line="193"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Wabtec continues to make progress delivering on its sustainability goals</w:t>
      </w:r>
      <w:r>
        <w:rPr>
          <w:rFonts w:ascii="Arial" w:cs="Arial" w:eastAsia="Arial" w:hAnsi="Arial"/>
          <w:sz w:val="16"/>
          <w:szCs w:val="16"/>
          <w:color w:val="auto"/>
        </w:rPr>
        <w:t>:</w:t>
      </w:r>
    </w:p>
    <w:p>
      <w:pPr>
        <w:spacing w:after="0" w:line="178" w:lineRule="exact"/>
        <w:rPr>
          <w:sz w:val="20"/>
          <w:szCs w:val="20"/>
          <w:color w:val="auto"/>
        </w:rPr>
      </w:pPr>
    </w:p>
    <w:p>
      <w:pPr>
        <w:ind w:left="1320" w:hanging="176"/>
        <w:spacing w:after="0"/>
        <w:tabs>
          <w:tab w:leader="none" w:pos="1320" w:val="left"/>
        </w:tabs>
        <w:numPr>
          <w:ilvl w:val="0"/>
          <w:numId w:val="19"/>
        </w:numPr>
        <w:rPr>
          <w:rFonts w:ascii="Arial" w:cs="Arial" w:eastAsia="Arial" w:hAnsi="Arial"/>
          <w:sz w:val="16"/>
          <w:szCs w:val="16"/>
          <w:color w:val="4297CB"/>
        </w:rPr>
      </w:pPr>
      <w:r>
        <w:rPr>
          <w:rFonts w:ascii="Arial" w:cs="Arial" w:eastAsia="Arial" w:hAnsi="Arial"/>
          <w:sz w:val="16"/>
          <w:szCs w:val="16"/>
          <w:color w:val="auto"/>
        </w:rPr>
        <w:t>Created new executive role, Chief Strategy and Sustainability Officer.</w:t>
      </w:r>
    </w:p>
    <w:p>
      <w:pPr>
        <w:spacing w:after="0" w:line="83" w:lineRule="exact"/>
        <w:rPr>
          <w:rFonts w:ascii="Arial" w:cs="Arial" w:eastAsia="Arial" w:hAnsi="Arial"/>
          <w:sz w:val="16"/>
          <w:szCs w:val="16"/>
          <w:color w:val="4297CB"/>
        </w:rPr>
      </w:pPr>
    </w:p>
    <w:p>
      <w:pPr>
        <w:ind w:left="1320" w:right="1380" w:hanging="176"/>
        <w:spacing w:after="0" w:line="282" w:lineRule="auto"/>
        <w:tabs>
          <w:tab w:leader="none" w:pos="1320" w:val="left"/>
        </w:tabs>
        <w:numPr>
          <w:ilvl w:val="0"/>
          <w:numId w:val="19"/>
        </w:numPr>
        <w:rPr>
          <w:rFonts w:ascii="Arial" w:cs="Arial" w:eastAsia="Arial" w:hAnsi="Arial"/>
          <w:sz w:val="16"/>
          <w:szCs w:val="16"/>
          <w:color w:val="4297CB"/>
        </w:rPr>
      </w:pPr>
      <w:r>
        <w:rPr>
          <w:rFonts w:ascii="Arial" w:cs="Arial" w:eastAsia="Arial" w:hAnsi="Arial"/>
          <w:sz w:val="16"/>
          <w:szCs w:val="16"/>
          <w:color w:val="auto"/>
        </w:rPr>
        <w:t>Joined the United Nations Global Compact in 2022 demonstrating our existing and ongoing commitment to universal sustainability principles.</w:t>
      </w:r>
    </w:p>
    <w:p>
      <w:pPr>
        <w:spacing w:after="0" w:line="9" w:lineRule="exact"/>
        <w:rPr>
          <w:rFonts w:ascii="Arial" w:cs="Arial" w:eastAsia="Arial" w:hAnsi="Arial"/>
          <w:sz w:val="16"/>
          <w:szCs w:val="16"/>
          <w:color w:val="4297CB"/>
        </w:rPr>
      </w:pPr>
    </w:p>
    <w:p>
      <w:pPr>
        <w:ind w:left="1320" w:right="1260" w:hanging="176"/>
        <w:spacing w:after="0" w:line="282" w:lineRule="auto"/>
        <w:tabs>
          <w:tab w:leader="none" w:pos="1320" w:val="left"/>
        </w:tabs>
        <w:numPr>
          <w:ilvl w:val="0"/>
          <w:numId w:val="19"/>
        </w:numPr>
        <w:rPr>
          <w:rFonts w:ascii="Arial" w:cs="Arial" w:eastAsia="Arial" w:hAnsi="Arial"/>
          <w:sz w:val="16"/>
          <w:szCs w:val="16"/>
          <w:color w:val="4297CB"/>
        </w:rPr>
      </w:pPr>
      <w:r>
        <w:rPr>
          <w:rFonts w:ascii="Arial" w:cs="Arial" w:eastAsia="Arial" w:hAnsi="Arial"/>
          <w:sz w:val="16"/>
          <w:szCs w:val="16"/>
          <w:color w:val="auto"/>
        </w:rPr>
        <w:t>Set new near-term absolute greenhouse gas (GHG) reduction goal to reduce our Scope 1 and 2 emissions by 50% by 2030, from a 2019 baseline.</w:t>
      </w:r>
    </w:p>
    <w:p>
      <w:pPr>
        <w:spacing w:after="0" w:line="9" w:lineRule="exact"/>
        <w:rPr>
          <w:rFonts w:ascii="Arial" w:cs="Arial" w:eastAsia="Arial" w:hAnsi="Arial"/>
          <w:sz w:val="16"/>
          <w:szCs w:val="16"/>
          <w:color w:val="4297CB"/>
        </w:rPr>
      </w:pPr>
    </w:p>
    <w:p>
      <w:pPr>
        <w:ind w:left="1320" w:hanging="176"/>
        <w:spacing w:after="0"/>
        <w:tabs>
          <w:tab w:leader="none" w:pos="1320" w:val="left"/>
        </w:tabs>
        <w:numPr>
          <w:ilvl w:val="0"/>
          <w:numId w:val="19"/>
        </w:numPr>
        <w:rPr>
          <w:rFonts w:ascii="Arial" w:cs="Arial" w:eastAsia="Arial" w:hAnsi="Arial"/>
          <w:sz w:val="16"/>
          <w:szCs w:val="16"/>
          <w:color w:val="4297CB"/>
        </w:rPr>
      </w:pPr>
      <w:r>
        <w:rPr>
          <w:rFonts w:ascii="Arial" w:cs="Arial" w:eastAsia="Arial" w:hAnsi="Arial"/>
          <w:sz w:val="16"/>
          <w:szCs w:val="16"/>
          <w:color w:val="auto"/>
        </w:rPr>
        <w:t>Disclosed Wabtec’s Scope 3 greenhouse gas emissions across our full value chain for the first time.</w:t>
      </w:r>
    </w:p>
    <w:p>
      <w:pPr>
        <w:spacing w:after="0" w:line="83" w:lineRule="exact"/>
        <w:rPr>
          <w:rFonts w:ascii="Arial" w:cs="Arial" w:eastAsia="Arial" w:hAnsi="Arial"/>
          <w:sz w:val="16"/>
          <w:szCs w:val="16"/>
          <w:color w:val="4297CB"/>
        </w:rPr>
      </w:pPr>
    </w:p>
    <w:p>
      <w:pPr>
        <w:ind w:left="1320" w:right="1620" w:hanging="176"/>
        <w:spacing w:after="0" w:line="282" w:lineRule="auto"/>
        <w:tabs>
          <w:tab w:leader="none" w:pos="1320" w:val="left"/>
        </w:tabs>
        <w:numPr>
          <w:ilvl w:val="0"/>
          <w:numId w:val="19"/>
        </w:numPr>
        <w:rPr>
          <w:rFonts w:ascii="Arial" w:cs="Arial" w:eastAsia="Arial" w:hAnsi="Arial"/>
          <w:sz w:val="16"/>
          <w:szCs w:val="16"/>
          <w:color w:val="4297CB"/>
        </w:rPr>
      </w:pPr>
      <w:r>
        <w:rPr>
          <w:rFonts w:ascii="Arial" w:cs="Arial" w:eastAsia="Arial" w:hAnsi="Arial"/>
          <w:sz w:val="16"/>
          <w:szCs w:val="16"/>
          <w:color w:val="auto"/>
        </w:rPr>
        <w:t>Partnered with the rail industry to accelerate the development, validation, and adoption of lower carbon fuels and alternative clean energy technologies.</w:t>
      </w:r>
    </w:p>
    <w:p>
      <w:pPr>
        <w:spacing w:after="0" w:line="9" w:lineRule="exact"/>
        <w:rPr>
          <w:rFonts w:ascii="Arial" w:cs="Arial" w:eastAsia="Arial" w:hAnsi="Arial"/>
          <w:sz w:val="16"/>
          <w:szCs w:val="16"/>
          <w:color w:val="4297CB"/>
        </w:rPr>
      </w:pPr>
    </w:p>
    <w:p>
      <w:pPr>
        <w:ind w:left="1320" w:hanging="176"/>
        <w:spacing w:after="0"/>
        <w:tabs>
          <w:tab w:leader="none" w:pos="1320" w:val="left"/>
        </w:tabs>
        <w:numPr>
          <w:ilvl w:val="0"/>
          <w:numId w:val="19"/>
        </w:numPr>
        <w:rPr>
          <w:rFonts w:ascii="Arial" w:cs="Arial" w:eastAsia="Arial" w:hAnsi="Arial"/>
          <w:sz w:val="16"/>
          <w:szCs w:val="16"/>
          <w:color w:val="4297CB"/>
        </w:rPr>
      </w:pPr>
      <w:r>
        <w:rPr>
          <w:rFonts w:ascii="Arial" w:cs="Arial" w:eastAsia="Arial" w:hAnsi="Arial"/>
          <w:sz w:val="16"/>
          <w:szCs w:val="16"/>
          <w:color w:val="auto"/>
        </w:rPr>
        <w:t>Largely on-track to achieve Wabtec’s 2030 sustainability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138430</wp:posOffset>
            </wp:positionV>
            <wp:extent cx="1845310" cy="12668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45310" cy="1266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9140" w:type="dxa"/>
            <w:vAlign w:val="bottom"/>
          </w:tcPr>
          <w:p>
            <w:pPr>
              <w:ind w:left="636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800" w:type="dxa"/>
            <w:vAlign w:val="bottom"/>
          </w:tcPr>
          <w:p>
            <w:pPr>
              <w:jc w:val="right"/>
              <w:ind w:right="909"/>
              <w:spacing w:after="0"/>
              <w:rPr>
                <w:sz w:val="20"/>
                <w:szCs w:val="20"/>
                <w:color w:val="auto"/>
              </w:rPr>
            </w:pPr>
            <w:r>
              <w:rPr>
                <w:rFonts w:ascii="Arial" w:cs="Arial" w:eastAsia="Arial" w:hAnsi="Arial"/>
                <w:sz w:val="14"/>
                <w:szCs w:val="14"/>
                <w:b w:val="1"/>
                <w:bCs w:val="1"/>
                <w:color w:val="auto"/>
              </w:rPr>
              <w:t>37</w:t>
            </w:r>
          </w:p>
        </w:tc>
      </w:tr>
      <w:tr>
        <w:trPr>
          <w:trHeight w:val="355"/>
        </w:trPr>
        <w:tc>
          <w:tcPr>
            <w:tcW w:w="9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-407670</wp:posOffset>
            </wp:positionV>
            <wp:extent cx="501650" cy="1701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Corporate Governance</w:t>
      </w:r>
    </w:p>
    <w:p>
      <w:pPr>
        <w:spacing w:after="0" w:line="169" w:lineRule="exact"/>
        <w:rPr>
          <w:sz w:val="20"/>
          <w:szCs w:val="20"/>
          <w:color w:val="auto"/>
        </w:rPr>
      </w:pPr>
    </w:p>
    <w:p>
      <w:pPr>
        <w:spacing w:after="0"/>
        <w:rPr>
          <w:sz w:val="20"/>
          <w:szCs w:val="20"/>
          <w:color w:val="auto"/>
        </w:rPr>
      </w:pPr>
      <w:r>
        <w:rPr>
          <w:rFonts w:ascii="Arial" w:cs="Arial" w:eastAsia="Arial" w:hAnsi="Arial"/>
          <w:sz w:val="29"/>
          <w:szCs w:val="29"/>
          <w:color w:val="636466"/>
        </w:rPr>
        <w:t>Progress Drives Performance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Wabtec is committed to continued progress on the sustainability areas we believe are critical to long-term success.</w:t>
      </w:r>
    </w:p>
    <w:p>
      <w:pPr>
        <w:spacing w:after="0" w:line="164" w:lineRule="exact"/>
        <w:rPr>
          <w:sz w:val="20"/>
          <w:szCs w:val="20"/>
          <w:color w:val="auto"/>
        </w:rPr>
      </w:pPr>
    </w:p>
    <w:p>
      <w:pPr>
        <w:ind w:right="439"/>
        <w:spacing w:after="0" w:line="263" w:lineRule="auto"/>
        <w:rPr>
          <w:sz w:val="20"/>
          <w:szCs w:val="20"/>
          <w:color w:val="auto"/>
        </w:rPr>
      </w:pPr>
      <w:r>
        <w:rPr>
          <w:rFonts w:ascii="Arial" w:cs="Arial" w:eastAsia="Arial" w:hAnsi="Arial"/>
          <w:sz w:val="16"/>
          <w:szCs w:val="16"/>
          <w:color w:val="auto"/>
        </w:rPr>
        <w:t>The recent publication of our 2023 Sustainability Report reflects our efforts to enhance our sustainability reporting and transparency. Our reporting process not only helps us manage and measure our progress, but also helps us engage with internal and external stakeholders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177800</wp:posOffset>
            </wp:positionV>
            <wp:extent cx="2644140" cy="4337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644140" cy="433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178" w:lineRule="exact"/>
        <w:rPr>
          <w:sz w:val="20"/>
          <w:szCs w:val="20"/>
          <w:color w:val="auto"/>
        </w:rPr>
      </w:pPr>
    </w:p>
    <w:p>
      <w:pPr>
        <w:ind w:left="360" w:right="499" w:hanging="176"/>
        <w:spacing w:after="0" w:line="282" w:lineRule="auto"/>
        <w:tabs>
          <w:tab w:leader="none" w:pos="360" w:val="left"/>
        </w:tabs>
        <w:numPr>
          <w:ilvl w:val="0"/>
          <w:numId w:val="20"/>
        </w:numPr>
        <w:rPr>
          <w:rFonts w:ascii="Arial" w:cs="Arial" w:eastAsia="Arial" w:hAnsi="Arial"/>
          <w:sz w:val="16"/>
          <w:szCs w:val="16"/>
          <w:color w:val="4297CB"/>
        </w:rPr>
      </w:pPr>
      <w:r>
        <w:rPr>
          <w:rFonts w:ascii="Arial" w:cs="Arial" w:eastAsia="Arial" w:hAnsi="Arial"/>
          <w:sz w:val="16"/>
          <w:szCs w:val="16"/>
          <w:color w:val="auto"/>
        </w:rPr>
        <w:t>More than 24,000 locomotives globally traveled over 1.8 billion miles and helped end customers eliminate over 138 million metric tons of GHG emissions by choosing rail over truck transportation.</w:t>
      </w:r>
    </w:p>
    <w:p>
      <w:pPr>
        <w:spacing w:after="0" w:line="22" w:lineRule="exact"/>
        <w:rPr>
          <w:rFonts w:ascii="Arial" w:cs="Arial" w:eastAsia="Arial" w:hAnsi="Arial"/>
          <w:sz w:val="16"/>
          <w:szCs w:val="16"/>
          <w:color w:val="4297CB"/>
        </w:rPr>
      </w:pPr>
    </w:p>
    <w:p>
      <w:pPr>
        <w:ind w:left="360" w:right="419" w:hanging="176"/>
        <w:spacing w:after="0" w:line="282" w:lineRule="auto"/>
        <w:tabs>
          <w:tab w:leader="none" w:pos="360" w:val="left"/>
        </w:tabs>
        <w:numPr>
          <w:ilvl w:val="0"/>
          <w:numId w:val="20"/>
        </w:numPr>
        <w:rPr>
          <w:rFonts w:ascii="Arial" w:cs="Arial" w:eastAsia="Arial" w:hAnsi="Arial"/>
          <w:sz w:val="16"/>
          <w:szCs w:val="16"/>
          <w:color w:val="4297CB"/>
        </w:rPr>
      </w:pPr>
      <w:r>
        <w:rPr>
          <w:rFonts w:ascii="Arial" w:cs="Arial" w:eastAsia="Arial" w:hAnsi="Arial"/>
          <w:sz w:val="16"/>
          <w:szCs w:val="16"/>
          <w:color w:val="auto"/>
        </w:rPr>
        <w:t>Approximately 336 million pounds of end-of-life material was sent back to global remanufacturing facilities, with 82% being reused or remanufactured and 18% recycled, leaving less than 1% waste.</w:t>
      </w:r>
    </w:p>
    <w:p>
      <w:pPr>
        <w:spacing w:after="0" w:line="9" w:lineRule="exact"/>
        <w:rPr>
          <w:rFonts w:ascii="Arial" w:cs="Arial" w:eastAsia="Arial" w:hAnsi="Arial"/>
          <w:sz w:val="16"/>
          <w:szCs w:val="16"/>
          <w:color w:val="4297CB"/>
        </w:rPr>
      </w:pPr>
    </w:p>
    <w:p>
      <w:pPr>
        <w:ind w:left="360" w:right="179" w:hanging="176"/>
        <w:spacing w:after="0" w:line="282" w:lineRule="auto"/>
        <w:tabs>
          <w:tab w:leader="none" w:pos="360" w:val="left"/>
        </w:tabs>
        <w:numPr>
          <w:ilvl w:val="0"/>
          <w:numId w:val="20"/>
        </w:numPr>
        <w:rPr>
          <w:rFonts w:ascii="Arial" w:cs="Arial" w:eastAsia="Arial" w:hAnsi="Arial"/>
          <w:sz w:val="16"/>
          <w:szCs w:val="16"/>
          <w:color w:val="4297CB"/>
        </w:rPr>
      </w:pPr>
      <w:r>
        <w:rPr>
          <w:rFonts w:ascii="Arial" w:cs="Arial" w:eastAsia="Arial" w:hAnsi="Arial"/>
          <w:sz w:val="16"/>
          <w:szCs w:val="16"/>
          <w:color w:val="auto"/>
        </w:rPr>
        <w:t>Reduced fine particulate matter emissions by up to 90% with our Transit Green Friction product deployed on metro train braking systems.</w:t>
      </w:r>
    </w:p>
    <w:p>
      <w:pPr>
        <w:spacing w:after="0" w:line="9" w:lineRule="exact"/>
        <w:rPr>
          <w:rFonts w:ascii="Arial" w:cs="Arial" w:eastAsia="Arial" w:hAnsi="Arial"/>
          <w:sz w:val="16"/>
          <w:szCs w:val="16"/>
          <w:color w:val="4297CB"/>
        </w:rPr>
      </w:pPr>
    </w:p>
    <w:p>
      <w:pPr>
        <w:ind w:left="360" w:right="219" w:hanging="176"/>
        <w:spacing w:after="0" w:line="282" w:lineRule="auto"/>
        <w:tabs>
          <w:tab w:leader="none" w:pos="360" w:val="left"/>
        </w:tabs>
        <w:numPr>
          <w:ilvl w:val="0"/>
          <w:numId w:val="20"/>
        </w:numPr>
        <w:rPr>
          <w:rFonts w:ascii="Arial" w:cs="Arial" w:eastAsia="Arial" w:hAnsi="Arial"/>
          <w:sz w:val="16"/>
          <w:szCs w:val="16"/>
          <w:color w:val="4297CB"/>
        </w:rPr>
      </w:pPr>
      <w:r>
        <w:rPr>
          <w:rFonts w:ascii="Arial" w:cs="Arial" w:eastAsia="Arial" w:hAnsi="Arial"/>
          <w:sz w:val="16"/>
          <w:szCs w:val="16"/>
          <w:color w:val="auto"/>
        </w:rPr>
        <w:t>Awarded Norfolk Southern’s inaugural Thoroughbred Sustainability Partner Award, recognizing partner companies who are leaders in the categories of energy efficiency, innovation, and environmental stewardship.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168275</wp:posOffset>
            </wp:positionV>
            <wp:extent cx="3256280" cy="4337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56280" cy="433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78" w:lineRule="exact"/>
        <w:rPr>
          <w:sz w:val="20"/>
          <w:szCs w:val="20"/>
          <w:color w:val="auto"/>
        </w:rPr>
      </w:pPr>
    </w:p>
    <w:p>
      <w:pPr>
        <w:ind w:left="360" w:right="479" w:hanging="176"/>
        <w:spacing w:after="0" w:line="282" w:lineRule="auto"/>
        <w:tabs>
          <w:tab w:leader="none" w:pos="360" w:val="left"/>
        </w:tabs>
        <w:numPr>
          <w:ilvl w:val="0"/>
          <w:numId w:val="21"/>
        </w:numPr>
        <w:rPr>
          <w:rFonts w:ascii="Arial" w:cs="Arial" w:eastAsia="Arial" w:hAnsi="Arial"/>
          <w:sz w:val="16"/>
          <w:szCs w:val="16"/>
          <w:color w:val="4297CB"/>
        </w:rPr>
      </w:pPr>
      <w:r>
        <w:rPr>
          <w:rFonts w:ascii="Arial" w:cs="Arial" w:eastAsia="Arial" w:hAnsi="Arial"/>
          <w:sz w:val="16"/>
          <w:szCs w:val="16"/>
          <w:color w:val="auto"/>
        </w:rPr>
        <w:t>35% reduction in Scope 1 and 2 GHG emissions compared to 2019 baseline, on track toward our 2030 goal of 50% reduction.</w:t>
      </w:r>
    </w:p>
    <w:p>
      <w:pPr>
        <w:spacing w:after="0" w:line="22" w:lineRule="exact"/>
        <w:rPr>
          <w:rFonts w:ascii="Arial" w:cs="Arial" w:eastAsia="Arial" w:hAnsi="Arial"/>
          <w:sz w:val="16"/>
          <w:szCs w:val="16"/>
          <w:color w:val="4297CB"/>
        </w:rPr>
      </w:pPr>
    </w:p>
    <w:p>
      <w:pPr>
        <w:ind w:left="360" w:hanging="176"/>
        <w:spacing w:after="0"/>
        <w:tabs>
          <w:tab w:leader="none" w:pos="360" w:val="left"/>
        </w:tabs>
        <w:numPr>
          <w:ilvl w:val="0"/>
          <w:numId w:val="21"/>
        </w:numPr>
        <w:rPr>
          <w:rFonts w:ascii="Arial" w:cs="Arial" w:eastAsia="Arial" w:hAnsi="Arial"/>
          <w:sz w:val="16"/>
          <w:szCs w:val="16"/>
          <w:color w:val="4297CB"/>
        </w:rPr>
      </w:pPr>
      <w:r>
        <w:rPr>
          <w:rFonts w:ascii="Arial" w:cs="Arial" w:eastAsia="Arial" w:hAnsi="Arial"/>
          <w:sz w:val="16"/>
          <w:szCs w:val="16"/>
          <w:color w:val="auto"/>
        </w:rPr>
        <w:t>18% reduction in water consumption compared to 2019 baseline.</w:t>
      </w:r>
    </w:p>
    <w:p>
      <w:pPr>
        <w:spacing w:after="0" w:line="70" w:lineRule="exact"/>
        <w:rPr>
          <w:rFonts w:ascii="Arial" w:cs="Arial" w:eastAsia="Arial" w:hAnsi="Arial"/>
          <w:sz w:val="16"/>
          <w:szCs w:val="16"/>
          <w:color w:val="4297CB"/>
        </w:rPr>
      </w:pPr>
    </w:p>
    <w:p>
      <w:pPr>
        <w:ind w:left="360" w:hanging="176"/>
        <w:spacing w:after="0"/>
        <w:tabs>
          <w:tab w:leader="none" w:pos="360" w:val="left"/>
        </w:tabs>
        <w:numPr>
          <w:ilvl w:val="0"/>
          <w:numId w:val="21"/>
        </w:numPr>
        <w:rPr>
          <w:rFonts w:ascii="Arial" w:cs="Arial" w:eastAsia="Arial" w:hAnsi="Arial"/>
          <w:sz w:val="16"/>
          <w:szCs w:val="16"/>
          <w:color w:val="4297CB"/>
        </w:rPr>
      </w:pPr>
      <w:r>
        <w:rPr>
          <w:rFonts w:ascii="Arial" w:cs="Arial" w:eastAsia="Arial" w:hAnsi="Arial"/>
          <w:sz w:val="16"/>
          <w:szCs w:val="16"/>
          <w:color w:val="auto"/>
        </w:rPr>
        <w:t>20% reduction in the total recordable injury and illness rate compared to 2019 baseline.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11430</wp:posOffset>
            </wp:positionV>
            <wp:extent cx="3910965" cy="3740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910965" cy="37401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78" w:lineRule="exact"/>
        <w:rPr>
          <w:sz w:val="20"/>
          <w:szCs w:val="20"/>
          <w:color w:val="auto"/>
        </w:rPr>
      </w:pPr>
    </w:p>
    <w:p>
      <w:pPr>
        <w:ind w:left="360" w:hanging="176"/>
        <w:spacing w:after="0"/>
        <w:tabs>
          <w:tab w:leader="none" w:pos="360" w:val="left"/>
        </w:tabs>
        <w:numPr>
          <w:ilvl w:val="0"/>
          <w:numId w:val="22"/>
        </w:numPr>
        <w:rPr>
          <w:rFonts w:ascii="Arial" w:cs="Arial" w:eastAsia="Arial" w:hAnsi="Arial"/>
          <w:sz w:val="16"/>
          <w:szCs w:val="16"/>
          <w:color w:val="4297CB"/>
        </w:rPr>
      </w:pPr>
      <w:r>
        <w:rPr>
          <w:rFonts w:ascii="Arial" w:cs="Arial" w:eastAsia="Arial" w:hAnsi="Arial"/>
          <w:sz w:val="16"/>
          <w:szCs w:val="16"/>
          <w:color w:val="auto"/>
        </w:rPr>
        <w:t>Significant year-over-year progress on all diversity, equity, and inclusion targets.</w:t>
      </w:r>
    </w:p>
    <w:p>
      <w:pPr>
        <w:spacing w:after="0" w:line="70" w:lineRule="exact"/>
        <w:rPr>
          <w:rFonts w:ascii="Arial" w:cs="Arial" w:eastAsia="Arial" w:hAnsi="Arial"/>
          <w:sz w:val="16"/>
          <w:szCs w:val="16"/>
          <w:color w:val="4297CB"/>
        </w:rPr>
      </w:pPr>
    </w:p>
    <w:p>
      <w:pPr>
        <w:ind w:left="360" w:hanging="176"/>
        <w:spacing w:after="0"/>
        <w:tabs>
          <w:tab w:leader="none" w:pos="360" w:val="left"/>
        </w:tabs>
        <w:numPr>
          <w:ilvl w:val="0"/>
          <w:numId w:val="22"/>
        </w:numPr>
        <w:rPr>
          <w:rFonts w:ascii="Arial" w:cs="Arial" w:eastAsia="Arial" w:hAnsi="Arial"/>
          <w:sz w:val="16"/>
          <w:szCs w:val="16"/>
          <w:color w:val="4297CB"/>
        </w:rPr>
      </w:pPr>
      <w:r>
        <w:rPr>
          <w:rFonts w:ascii="Arial" w:cs="Arial" w:eastAsia="Arial" w:hAnsi="Arial"/>
          <w:sz w:val="16"/>
          <w:szCs w:val="16"/>
          <w:color w:val="auto"/>
        </w:rPr>
        <w:t>11% increase in female representation globally.</w:t>
      </w:r>
    </w:p>
    <w:p>
      <w:pPr>
        <w:spacing w:after="0" w:line="83" w:lineRule="exact"/>
        <w:rPr>
          <w:rFonts w:ascii="Arial" w:cs="Arial" w:eastAsia="Arial" w:hAnsi="Arial"/>
          <w:sz w:val="16"/>
          <w:szCs w:val="16"/>
          <w:color w:val="4297CB"/>
        </w:rPr>
      </w:pPr>
    </w:p>
    <w:p>
      <w:pPr>
        <w:ind w:left="360" w:hanging="176"/>
        <w:spacing w:after="0"/>
        <w:tabs>
          <w:tab w:leader="none" w:pos="360" w:val="left"/>
        </w:tabs>
        <w:numPr>
          <w:ilvl w:val="0"/>
          <w:numId w:val="22"/>
        </w:numPr>
        <w:rPr>
          <w:rFonts w:ascii="Arial" w:cs="Arial" w:eastAsia="Arial" w:hAnsi="Arial"/>
          <w:sz w:val="16"/>
          <w:szCs w:val="16"/>
          <w:color w:val="4297CB"/>
        </w:rPr>
      </w:pPr>
      <w:r>
        <w:rPr>
          <w:rFonts w:ascii="Arial" w:cs="Arial" w:eastAsia="Arial" w:hAnsi="Arial"/>
          <w:sz w:val="16"/>
          <w:szCs w:val="16"/>
          <w:color w:val="auto"/>
        </w:rPr>
        <w:t>2023 Best Place to work for Disability Inclusion: Disability Equality Index</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5713730" cy="6121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13730" cy="612140"/>
                    </a:xfrm>
                    <a:prstGeom prst="rect">
                      <a:avLst/>
                    </a:prstGeom>
                    <a:noFill/>
                  </pic:spPr>
                </pic:pic>
              </a:graphicData>
            </a:graphic>
          </wp:anchor>
        </w:drawing>
      </w:r>
    </w:p>
    <w:p>
      <w:pPr>
        <w:spacing w:after="0" w:line="238" w:lineRule="exact"/>
        <w:rPr>
          <w:sz w:val="20"/>
          <w:szCs w:val="20"/>
          <w:color w:val="auto"/>
        </w:rPr>
      </w:pPr>
    </w:p>
    <w:p>
      <w:pPr>
        <w:ind w:left="40" w:right="59"/>
        <w:spacing w:after="0" w:line="260" w:lineRule="auto"/>
        <w:rPr>
          <w:sz w:val="20"/>
          <w:szCs w:val="20"/>
          <w:color w:val="auto"/>
        </w:rPr>
      </w:pPr>
      <w:r>
        <w:rPr>
          <w:rFonts w:ascii="Arial" w:cs="Arial" w:eastAsia="Arial" w:hAnsi="Arial"/>
          <w:sz w:val="16"/>
          <w:szCs w:val="16"/>
          <w:b w:val="1"/>
          <w:bCs w:val="1"/>
          <w:color w:val="auto"/>
        </w:rPr>
        <w:t xml:space="preserve">Our 2023 Sustainability Report provides information on our continued progress to improve our performance on environmental, social, and governance matters, and to drive a better future for people and the planet. The report also shares notable actions taken by Wabtec to advance its sustainability strategy. The report can be found at </w:t>
      </w:r>
      <w:r>
        <w:rPr>
          <w:rFonts w:ascii="Arial" w:cs="Arial" w:eastAsia="Arial" w:hAnsi="Arial"/>
          <w:sz w:val="16"/>
          <w:szCs w:val="16"/>
          <w:b w:val="1"/>
          <w:bCs w:val="1"/>
          <w:color w:val="4297CB"/>
        </w:rPr>
        <w:t>https://www.wabteccorp.com/sustainability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46990</wp:posOffset>
            </wp:positionV>
            <wp:extent cx="57137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760" w:type="dxa"/>
            <w:vAlign w:val="bottom"/>
          </w:tcPr>
          <w:p>
            <w:pPr>
              <w:jc w:val="right"/>
              <w:ind w:right="529"/>
              <w:spacing w:after="0"/>
              <w:rPr>
                <w:sz w:val="20"/>
                <w:szCs w:val="20"/>
                <w:color w:val="auto"/>
              </w:rPr>
            </w:pPr>
            <w:r>
              <w:rPr>
                <w:rFonts w:ascii="Arial" w:cs="Arial" w:eastAsia="Arial" w:hAnsi="Arial"/>
                <w:sz w:val="14"/>
                <w:szCs w:val="14"/>
                <w:b w:val="1"/>
                <w:bCs w:val="1"/>
                <w:color w:val="auto"/>
                <w:w w:val="89"/>
              </w:rPr>
              <w:t>38</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170180</wp:posOffset>
            </wp:positionV>
            <wp:extent cx="693801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41" w:name="page42"/>
    <w:bookmarkEnd w:id="41"/>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right"/>
        <w:ind w:right="980"/>
        <w:spacing w:after="0"/>
        <w:rPr>
          <w:sz w:val="20"/>
          <w:szCs w:val="20"/>
          <w:color w:val="auto"/>
        </w:rPr>
      </w:pPr>
      <w:r>
        <w:rPr>
          <w:rFonts w:ascii="Arial" w:cs="Arial" w:eastAsia="Arial" w:hAnsi="Arial"/>
          <w:sz w:val="12"/>
          <w:szCs w:val="12"/>
          <w:color w:val="auto"/>
        </w:rPr>
        <w:t>Corporate Governance</w:t>
      </w:r>
    </w:p>
    <w:p>
      <w:pPr>
        <w:spacing w:after="0" w:line="254" w:lineRule="exact"/>
        <w:rPr>
          <w:sz w:val="20"/>
          <w:szCs w:val="20"/>
          <w:color w:val="auto"/>
        </w:rPr>
      </w:pPr>
    </w:p>
    <w:p>
      <w:pPr>
        <w:ind w:left="960"/>
        <w:spacing w:after="0"/>
        <w:rPr>
          <w:sz w:val="20"/>
          <w:szCs w:val="20"/>
          <w:color w:val="auto"/>
        </w:rPr>
      </w:pPr>
      <w:r>
        <w:rPr>
          <w:rFonts w:ascii="Arial" w:cs="Arial" w:eastAsia="Arial" w:hAnsi="Arial"/>
          <w:sz w:val="43"/>
          <w:szCs w:val="43"/>
          <w:color w:val="E02826"/>
        </w:rPr>
        <w:t>Director Compensation</w:t>
      </w:r>
    </w:p>
    <w:p>
      <w:pPr>
        <w:spacing w:after="0" w:line="345" w:lineRule="exact"/>
        <w:rPr>
          <w:sz w:val="20"/>
          <w:szCs w:val="20"/>
          <w:color w:val="auto"/>
        </w:rPr>
      </w:pPr>
    </w:p>
    <w:p>
      <w:pPr>
        <w:ind w:left="960"/>
        <w:spacing w:after="0"/>
        <w:rPr>
          <w:sz w:val="20"/>
          <w:szCs w:val="20"/>
          <w:color w:val="auto"/>
        </w:rPr>
      </w:pPr>
      <w:r>
        <w:rPr>
          <w:rFonts w:ascii="Arial" w:cs="Arial" w:eastAsia="Arial" w:hAnsi="Arial"/>
          <w:sz w:val="29"/>
          <w:szCs w:val="29"/>
          <w:color w:val="636466"/>
        </w:rPr>
        <w:t>Overview</w:t>
      </w:r>
    </w:p>
    <w:p>
      <w:pPr>
        <w:spacing w:after="0" w:line="149" w:lineRule="exact"/>
        <w:rPr>
          <w:sz w:val="20"/>
          <w:szCs w:val="20"/>
          <w:color w:val="auto"/>
        </w:rPr>
      </w:pPr>
    </w:p>
    <w:p>
      <w:pPr>
        <w:ind w:left="960"/>
        <w:spacing w:after="0"/>
        <w:rPr>
          <w:sz w:val="20"/>
          <w:szCs w:val="20"/>
          <w:color w:val="auto"/>
        </w:rPr>
      </w:pPr>
      <w:r>
        <w:rPr>
          <w:rFonts w:ascii="Arial" w:cs="Arial" w:eastAsia="Arial" w:hAnsi="Arial"/>
          <w:sz w:val="23"/>
          <w:szCs w:val="23"/>
          <w:color w:val="0C426A"/>
        </w:rPr>
        <w:t>Elements of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2113280</wp:posOffset>
            </wp:positionH>
            <wp:positionV relativeFrom="paragraph">
              <wp:posOffset>200660</wp:posOffset>
            </wp:positionV>
            <wp:extent cx="2720975" cy="13265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20975" cy="1326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xml:space="preserve">  </w:t>
      </w:r>
    </w:p>
    <w:p>
      <w:pPr>
        <w:spacing w:after="0" w:line="164" w:lineRule="exact"/>
        <w:rPr>
          <w:sz w:val="20"/>
          <w:szCs w:val="20"/>
          <w:color w:val="auto"/>
        </w:rPr>
      </w:pPr>
    </w:p>
    <w:p>
      <w:pPr>
        <w:ind w:left="960" w:right="1140"/>
        <w:spacing w:after="0" w:line="282" w:lineRule="auto"/>
        <w:rPr>
          <w:sz w:val="20"/>
          <w:szCs w:val="20"/>
          <w:color w:val="auto"/>
        </w:rPr>
      </w:pPr>
      <w:r>
        <w:rPr>
          <w:rFonts w:ascii="Arial" w:cs="Arial" w:eastAsia="Arial" w:hAnsi="Arial"/>
          <w:sz w:val="16"/>
          <w:szCs w:val="16"/>
          <w:color w:val="auto"/>
        </w:rPr>
        <w:t>Each director is paid a cash retainer of $125,000 and an annual stock retainer of $180,000. In addition, each director serving in certain positions receives additional cash retainers as detailed below. </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Additional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90805</wp:posOffset>
            </wp:positionV>
            <wp:extent cx="57137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238" w:lineRule="exact"/>
        <w:rPr>
          <w:sz w:val="20"/>
          <w:szCs w:val="20"/>
          <w:color w:val="auto"/>
        </w:rPr>
      </w:pPr>
    </w:p>
    <w:p>
      <w:pPr>
        <w:ind w:left="1440"/>
        <w:spacing w:after="0"/>
        <w:tabs>
          <w:tab w:leader="none" w:pos="3400" w:val="left"/>
          <w:tab w:leader="none" w:pos="5220" w:val="left"/>
          <w:tab w:leader="none" w:pos="6740" w:val="left"/>
          <w:tab w:leader="none" w:pos="8660" w:val="left"/>
        </w:tabs>
        <w:rPr>
          <w:sz w:val="20"/>
          <w:szCs w:val="20"/>
          <w:color w:val="auto"/>
        </w:rPr>
      </w:pPr>
      <w:r>
        <w:rPr>
          <w:rFonts w:ascii="Arial" w:cs="Arial" w:eastAsia="Arial" w:hAnsi="Arial"/>
          <w:sz w:val="14"/>
          <w:szCs w:val="14"/>
          <w:b w:val="1"/>
          <w:bCs w:val="1"/>
          <w:color w:val="auto"/>
        </w:rPr>
        <w:t>Chairman</w:t>
      </w:r>
      <w:r>
        <w:rPr>
          <w:sz w:val="20"/>
          <w:szCs w:val="20"/>
          <w:color w:val="auto"/>
        </w:rPr>
        <w:tab/>
      </w:r>
      <w:r>
        <w:rPr>
          <w:rFonts w:ascii="Arial" w:cs="Arial" w:eastAsia="Arial" w:hAnsi="Arial"/>
          <w:sz w:val="14"/>
          <w:szCs w:val="14"/>
          <w:b w:val="1"/>
          <w:bCs w:val="1"/>
          <w:color w:val="auto"/>
        </w:rPr>
        <w:t>Lead</w:t>
      </w:r>
      <w:r>
        <w:rPr>
          <w:sz w:val="20"/>
          <w:szCs w:val="20"/>
          <w:color w:val="auto"/>
        </w:rPr>
        <w:tab/>
      </w:r>
      <w:r>
        <w:rPr>
          <w:rFonts w:ascii="Arial" w:cs="Arial" w:eastAsia="Arial" w:hAnsi="Arial"/>
          <w:sz w:val="14"/>
          <w:szCs w:val="14"/>
          <w:b w:val="1"/>
          <w:bCs w:val="1"/>
          <w:color w:val="auto"/>
        </w:rPr>
        <w:t>Audit</w:t>
      </w:r>
      <w:r>
        <w:rPr>
          <w:sz w:val="20"/>
          <w:szCs w:val="20"/>
          <w:color w:val="auto"/>
        </w:rPr>
        <w:tab/>
      </w:r>
      <w:r>
        <w:rPr>
          <w:rFonts w:ascii="Arial" w:cs="Arial" w:eastAsia="Arial" w:hAnsi="Arial"/>
          <w:sz w:val="14"/>
          <w:szCs w:val="14"/>
          <w:b w:val="1"/>
          <w:bCs w:val="1"/>
          <w:color w:val="auto"/>
        </w:rPr>
        <w:t>Compensation</w:t>
      </w:r>
      <w:r>
        <w:rPr>
          <w:sz w:val="20"/>
          <w:szCs w:val="20"/>
          <w:color w:val="auto"/>
        </w:rPr>
        <w:tab/>
      </w:r>
      <w:r>
        <w:rPr>
          <w:rFonts w:ascii="Arial" w:cs="Arial" w:eastAsia="Arial" w:hAnsi="Arial"/>
          <w:sz w:val="14"/>
          <w:szCs w:val="14"/>
          <w:b w:val="1"/>
          <w:bCs w:val="1"/>
          <w:color w:val="auto"/>
        </w:rPr>
        <w:t>Governance</w:t>
      </w:r>
    </w:p>
    <w:p>
      <w:pPr>
        <w:ind w:left="2620"/>
        <w:spacing w:after="0"/>
        <w:tabs>
          <w:tab w:leader="none" w:pos="2680" w:val="left"/>
          <w:tab w:leader="none" w:pos="4420" w:val="left"/>
          <w:tab w:leader="none" w:pos="4500" w:val="left"/>
          <w:tab w:leader="none" w:pos="6260" w:val="left"/>
          <w:tab w:leader="none" w:pos="6340" w:val="left"/>
          <w:tab w:leader="none" w:pos="8100" w:val="left"/>
          <w:tab w:leader="none" w:pos="818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ind w:left="1380"/>
        <w:spacing w:after="0"/>
        <w:tabs>
          <w:tab w:leader="none" w:pos="2880" w:val="left"/>
          <w:tab w:leader="none" w:pos="4620" w:val="left"/>
          <w:tab w:leader="none" w:pos="6440" w:val="left"/>
          <w:tab w:leader="none" w:pos="8300" w:val="left"/>
        </w:tabs>
        <w:rPr>
          <w:sz w:val="20"/>
          <w:szCs w:val="20"/>
          <w:color w:val="auto"/>
        </w:rPr>
      </w:pPr>
      <w:r>
        <w:rPr>
          <w:rFonts w:ascii="Arial" w:cs="Arial" w:eastAsia="Arial" w:hAnsi="Arial"/>
          <w:sz w:val="14"/>
          <w:szCs w:val="14"/>
          <w:b w:val="1"/>
          <w:bCs w:val="1"/>
          <w:color w:val="auto"/>
        </w:rPr>
        <w:t>of the Board</w:t>
      </w:r>
      <w:r>
        <w:rPr>
          <w:sz w:val="20"/>
          <w:szCs w:val="20"/>
          <w:color w:val="auto"/>
        </w:rPr>
        <w:tab/>
      </w:r>
      <w:r>
        <w:rPr>
          <w:rFonts w:ascii="Arial" w:cs="Arial" w:eastAsia="Arial" w:hAnsi="Arial"/>
          <w:sz w:val="14"/>
          <w:szCs w:val="14"/>
          <w:b w:val="1"/>
          <w:bCs w:val="1"/>
          <w:color w:val="auto"/>
        </w:rPr>
        <w:t>Independent Director</w:t>
      </w:r>
      <w:r>
        <w:rPr>
          <w:sz w:val="20"/>
          <w:szCs w:val="20"/>
          <w:color w:val="auto"/>
        </w:rPr>
        <w:tab/>
      </w:r>
      <w:r>
        <w:rPr>
          <w:rFonts w:ascii="Arial" w:cs="Arial" w:eastAsia="Arial" w:hAnsi="Arial"/>
          <w:sz w:val="14"/>
          <w:szCs w:val="14"/>
          <w:b w:val="1"/>
          <w:bCs w:val="1"/>
          <w:color w:val="auto"/>
        </w:rPr>
        <w:t>Committee Chairperson</w:t>
        <w:tab/>
        <w:t>Committee Chairperson</w:t>
        <w:tab/>
        <w:t>Committee 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81915</wp:posOffset>
            </wp:positionV>
            <wp:extent cx="57137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166" w:lineRule="exact"/>
        <w:rPr>
          <w:sz w:val="20"/>
          <w:szCs w:val="20"/>
          <w:color w:val="auto"/>
        </w:rPr>
      </w:pPr>
    </w:p>
    <w:tbl>
      <w:tblPr>
        <w:tblLayout w:type="fixed"/>
        <w:tblInd w:w="980" w:type="dxa"/>
        <w:tblCellMar>
          <w:top w:w="0" w:type="dxa"/>
          <w:left w:w="0" w:type="dxa"/>
          <w:bottom w:w="0" w:type="dxa"/>
          <w:right w:w="0" w:type="dxa"/>
        </w:tblCellMar>
      </w:tblPr>
      <w:tr>
        <w:trPr>
          <w:trHeight w:val="194"/>
        </w:trPr>
        <w:tc>
          <w:tcPr>
            <w:tcW w:w="1400" w:type="dxa"/>
            <w:vAlign w:val="bottom"/>
          </w:tcPr>
          <w:p>
            <w:pPr>
              <w:jc w:val="right"/>
              <w:ind w:right="160"/>
              <w:spacing w:after="0"/>
              <w:rPr>
                <w:sz w:val="20"/>
                <w:szCs w:val="20"/>
                <w:color w:val="auto"/>
              </w:rPr>
            </w:pPr>
            <w:r>
              <w:rPr>
                <w:rFonts w:ascii="Arial" w:cs="Arial" w:eastAsia="Arial" w:hAnsi="Arial"/>
                <w:sz w:val="16"/>
                <w:szCs w:val="16"/>
                <w:color w:val="auto"/>
              </w:rPr>
              <w:t>$200,000</w:t>
            </w:r>
          </w:p>
        </w:tc>
        <w:tc>
          <w:tcPr>
            <w:tcW w:w="300" w:type="dxa"/>
            <w:vAlign w:val="bottom"/>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right"/>
              <w:ind w:right="200"/>
              <w:spacing w:after="0"/>
              <w:rPr>
                <w:sz w:val="20"/>
                <w:szCs w:val="20"/>
                <w:color w:val="auto"/>
              </w:rPr>
            </w:pPr>
            <w:r>
              <w:rPr>
                <w:rFonts w:ascii="Arial" w:cs="Arial" w:eastAsia="Arial" w:hAnsi="Arial"/>
                <w:sz w:val="16"/>
                <w:szCs w:val="16"/>
                <w:color w:val="auto"/>
              </w:rPr>
              <w:t>$35,000</w:t>
            </w:r>
          </w:p>
        </w:tc>
        <w:tc>
          <w:tcPr>
            <w:tcW w:w="66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right"/>
              <w:ind w:right="180"/>
              <w:spacing w:after="0"/>
              <w:rPr>
                <w:sz w:val="20"/>
                <w:szCs w:val="20"/>
                <w:color w:val="auto"/>
              </w:rPr>
            </w:pPr>
            <w:r>
              <w:rPr>
                <w:rFonts w:ascii="Arial" w:cs="Arial" w:eastAsia="Arial" w:hAnsi="Arial"/>
                <w:sz w:val="16"/>
                <w:szCs w:val="16"/>
                <w:color w:val="auto"/>
              </w:rPr>
              <w:t>$25,000</w:t>
            </w:r>
          </w:p>
        </w:tc>
        <w:tc>
          <w:tcPr>
            <w:tcW w:w="68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right"/>
              <w:ind w:right="200"/>
              <w:spacing w:after="0"/>
              <w:rPr>
                <w:sz w:val="20"/>
                <w:szCs w:val="20"/>
                <w:color w:val="auto"/>
              </w:rPr>
            </w:pPr>
            <w:r>
              <w:rPr>
                <w:rFonts w:ascii="Arial" w:cs="Arial" w:eastAsia="Arial" w:hAnsi="Arial"/>
                <w:sz w:val="16"/>
                <w:szCs w:val="16"/>
                <w:color w:val="auto"/>
              </w:rPr>
              <w:t>$25,000</w:t>
            </w:r>
          </w:p>
        </w:tc>
        <w:tc>
          <w:tcPr>
            <w:tcW w:w="680" w:type="dxa"/>
            <w:vAlign w:val="bottom"/>
          </w:tcPr>
          <w:p>
            <w:pPr>
              <w:ind w:left="28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440" w:type="dxa"/>
            <w:vAlign w:val="bottom"/>
          </w:tcPr>
          <w:p>
            <w:pPr>
              <w:jc w:val="right"/>
              <w:ind w:right="480"/>
              <w:spacing w:after="0"/>
              <w:rPr>
                <w:sz w:val="20"/>
                <w:szCs w:val="20"/>
                <w:color w:val="auto"/>
              </w:rPr>
            </w:pPr>
            <w:r>
              <w:rPr>
                <w:rFonts w:ascii="Arial" w:cs="Arial" w:eastAsia="Arial" w:hAnsi="Arial"/>
                <w:sz w:val="16"/>
                <w:szCs w:val="16"/>
                <w:color w:val="auto"/>
              </w:rPr>
              <w:t>$20,000</w:t>
            </w:r>
          </w:p>
        </w:tc>
      </w:tr>
      <w:tr>
        <w:trPr>
          <w:trHeight w:val="191"/>
        </w:trPr>
        <w:tc>
          <w:tcPr>
            <w:tcW w:w="140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116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116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116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1440" w:type="dxa"/>
            <w:vAlign w:val="bottom"/>
            <w:tcBorders>
              <w:bottom w:val="single" w:sz="8" w:color="808080"/>
            </w:tcBorders>
          </w:tcPr>
          <w:p>
            <w:pPr>
              <w:spacing w:after="0"/>
              <w:rPr>
                <w:sz w:val="16"/>
                <w:szCs w:val="16"/>
                <w:color w:val="auto"/>
              </w:rPr>
            </w:pPr>
          </w:p>
        </w:tc>
      </w:tr>
    </w:tbl>
    <w:p>
      <w:pPr>
        <w:spacing w:after="0" w:line="356" w:lineRule="exact"/>
        <w:rPr>
          <w:sz w:val="20"/>
          <w:szCs w:val="20"/>
          <w:color w:val="auto"/>
        </w:rPr>
      </w:pPr>
    </w:p>
    <w:p>
      <w:pPr>
        <w:ind w:left="960"/>
        <w:spacing w:after="0"/>
        <w:rPr>
          <w:sz w:val="20"/>
          <w:szCs w:val="20"/>
          <w:color w:val="auto"/>
        </w:rPr>
      </w:pPr>
      <w:r>
        <w:rPr>
          <w:rFonts w:ascii="Arial" w:cs="Arial" w:eastAsia="Arial" w:hAnsi="Arial"/>
          <w:sz w:val="29"/>
          <w:szCs w:val="29"/>
          <w:color w:val="636466"/>
        </w:rPr>
        <w:t>2023 Director Compensation</w:t>
      </w:r>
    </w:p>
    <w:p>
      <w:pPr>
        <w:spacing w:after="0" w:line="180" w:lineRule="exact"/>
        <w:rPr>
          <w:sz w:val="20"/>
          <w:szCs w:val="20"/>
          <w:color w:val="auto"/>
        </w:rPr>
      </w:pPr>
    </w:p>
    <w:p>
      <w:pPr>
        <w:ind w:left="960" w:right="1040"/>
        <w:spacing w:after="0" w:line="282" w:lineRule="auto"/>
        <w:rPr>
          <w:sz w:val="20"/>
          <w:szCs w:val="20"/>
          <w:color w:val="auto"/>
        </w:rPr>
      </w:pPr>
      <w:r>
        <w:rPr>
          <w:rFonts w:ascii="Arial" w:cs="Arial" w:eastAsia="Arial" w:hAnsi="Arial"/>
          <w:sz w:val="16"/>
          <w:szCs w:val="16"/>
          <w:color w:val="auto"/>
        </w:rPr>
        <w:t>The following table provides information concerning the compensation of our non-employee directors for the period January 1, 2023 through December 31, 2023:</w:t>
      </w:r>
    </w:p>
    <w:p>
      <w:pPr>
        <w:spacing w:after="0" w:line="12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center"/>
              <w:ind w:left="149"/>
              <w:spacing w:after="0"/>
              <w:rPr>
                <w:sz w:val="20"/>
                <w:szCs w:val="20"/>
                <w:color w:val="auto"/>
              </w:rPr>
            </w:pPr>
            <w:r>
              <w:rPr>
                <w:rFonts w:ascii="Arial" w:cs="Arial" w:eastAsia="Arial" w:hAnsi="Arial"/>
                <w:sz w:val="14"/>
                <w:szCs w:val="14"/>
                <w:b w:val="1"/>
                <w:bCs w:val="1"/>
                <w:color w:val="auto"/>
                <w:w w:val="99"/>
              </w:rPr>
              <w:t>Stock</w:t>
            </w:r>
          </w:p>
        </w:tc>
        <w:tc>
          <w:tcPr>
            <w:tcW w:w="1160" w:type="dxa"/>
            <w:vAlign w:val="bottom"/>
          </w:tcPr>
          <w:p>
            <w:pPr>
              <w:spacing w:after="0"/>
              <w:rPr>
                <w:sz w:val="14"/>
                <w:szCs w:val="14"/>
                <w:color w:val="auto"/>
              </w:rPr>
            </w:pPr>
          </w:p>
        </w:tc>
      </w:tr>
      <w:tr>
        <w:trPr>
          <w:trHeight w:val="170"/>
        </w:trPr>
        <w:tc>
          <w:tcPr>
            <w:tcW w:w="4460" w:type="dxa"/>
            <w:vAlign w:val="bottom"/>
          </w:tcPr>
          <w:p>
            <w:pPr>
              <w:ind w:left="4300"/>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420" w:type="dxa"/>
            <w:vAlign w:val="bottom"/>
          </w:tcPr>
          <w:p>
            <w:pPr>
              <w:ind w:left="180"/>
              <w:spacing w:after="0"/>
              <w:rPr>
                <w:sz w:val="20"/>
                <w:szCs w:val="20"/>
                <w:color w:val="auto"/>
              </w:rPr>
            </w:pPr>
            <w:r>
              <w:rPr>
                <w:rFonts w:ascii="Arial" w:cs="Arial" w:eastAsia="Arial" w:hAnsi="Arial"/>
                <w:sz w:val="14"/>
                <w:szCs w:val="14"/>
                <w:b w:val="1"/>
                <w:bCs w:val="1"/>
                <w:color w:val="auto"/>
              </w:rPr>
              <w:t xml:space="preserve">Fees Earned or </w:t>
            </w:r>
            <w:r>
              <w:rPr>
                <w:rFonts w:ascii="Times New Roman" w:cs="Times New Roman" w:eastAsia="Times New Roman" w:hAnsi="Times New Roman"/>
                <w:sz w:val="3"/>
                <w:szCs w:val="3"/>
                <w:color w:val="auto"/>
              </w:rPr>
              <w:t>​</w:t>
            </w:r>
          </w:p>
        </w:tc>
        <w:tc>
          <w:tcPr>
            <w:tcW w:w="52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jc w:val="center"/>
              <w:ind w:left="129"/>
              <w:spacing w:after="0"/>
              <w:rPr>
                <w:sz w:val="20"/>
                <w:szCs w:val="20"/>
                <w:color w:val="auto"/>
              </w:rPr>
            </w:pPr>
            <w:r>
              <w:rPr>
                <w:rFonts w:ascii="Arial" w:cs="Arial" w:eastAsia="Arial" w:hAnsi="Arial"/>
                <w:sz w:val="14"/>
                <w:szCs w:val="14"/>
                <w:b w:val="1"/>
                <w:bCs w:val="1"/>
                <w:color w:val="auto"/>
              </w:rPr>
              <w:t>Awards</w:t>
            </w:r>
            <w:r>
              <w:rPr>
                <w:rFonts w:ascii="Times New Roman" w:cs="Times New Roman" w:eastAsia="Times New Roman" w:hAnsi="Times New Roman"/>
                <w:sz w:val="3"/>
                <w:szCs w:val="3"/>
                <w:color w:val="auto"/>
              </w:rPr>
              <w:t>​</w:t>
            </w:r>
          </w:p>
        </w:tc>
        <w:tc>
          <w:tcPr>
            <w:tcW w:w="116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r>
      <w:tr>
        <w:trPr>
          <w:trHeight w:val="325"/>
        </w:trPr>
        <w:tc>
          <w:tcPr>
            <w:tcW w:w="44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24"/>
                <w:szCs w:val="24"/>
                <w:color w:val="auto"/>
              </w:rPr>
            </w:pPr>
          </w:p>
        </w:tc>
        <w:tc>
          <w:tcPr>
            <w:tcW w:w="1420" w:type="dxa"/>
            <w:vAlign w:val="bottom"/>
          </w:tcPr>
          <w:p>
            <w:pPr>
              <w:ind w:left="180"/>
              <w:spacing w:after="0"/>
              <w:rPr>
                <w:sz w:val="20"/>
                <w:szCs w:val="20"/>
                <w:color w:val="auto"/>
              </w:rPr>
            </w:pPr>
            <w:r>
              <w:rPr>
                <w:rFonts w:ascii="Arial" w:cs="Arial" w:eastAsia="Arial" w:hAnsi="Arial"/>
                <w:sz w:val="14"/>
                <w:szCs w:val="14"/>
                <w:b w:val="1"/>
                <w:bCs w:val="1"/>
                <w:color w:val="auto"/>
              </w:rPr>
              <w:t>Paid in Cash ($)</w:t>
            </w:r>
          </w:p>
        </w:tc>
        <w:tc>
          <w:tcPr>
            <w:tcW w:w="520" w:type="dxa"/>
            <w:vAlign w:val="bottom"/>
          </w:tcPr>
          <w:p>
            <w:pPr>
              <w:spacing w:after="0"/>
              <w:rPr>
                <w:sz w:val="24"/>
                <w:szCs w:val="24"/>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1,2</w:t>
            </w:r>
          </w:p>
        </w:tc>
        <w:tc>
          <w:tcPr>
            <w:tcW w:w="1160" w:type="dxa"/>
            <w:vAlign w:val="bottom"/>
          </w:tcPr>
          <w:p>
            <w:pPr>
              <w:ind w:left="620"/>
              <w:spacing w:after="0"/>
              <w:rPr>
                <w:sz w:val="20"/>
                <w:szCs w:val="20"/>
                <w:color w:val="auto"/>
              </w:rPr>
            </w:pPr>
            <w:r>
              <w:rPr>
                <w:rFonts w:ascii="Arial" w:cs="Arial" w:eastAsia="Arial" w:hAnsi="Arial"/>
                <w:sz w:val="14"/>
                <w:szCs w:val="14"/>
                <w:b w:val="1"/>
                <w:bCs w:val="1"/>
                <w:color w:val="auto"/>
                <w:w w:val="95"/>
              </w:rPr>
              <w:t>Total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-18415</wp:posOffset>
            </wp:positionV>
            <wp:extent cx="57137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sectPr>
      </w:pPr>
    </w:p>
    <w:p>
      <w:pPr>
        <w:spacing w:after="0" w:line="8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0C426A"/>
        </w:rPr>
        <w:t>Albert J. Neupaver, Chair</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tabs>
          <w:tab w:leader="none" w:pos="320" w:val="left"/>
          <w:tab w:leader="none" w:pos="1160" w:val="left"/>
          <w:tab w:leader="none" w:pos="2100" w:val="left"/>
          <w:tab w:leader="none" w:pos="2700" w:val="left"/>
          <w:tab w:leader="none" w:pos="3660" w:val="left"/>
          <w:tab w:leader="none" w:pos="40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4"/>
          <w:szCs w:val="14"/>
          <w:color w:val="auto"/>
        </w:rPr>
        <w:t>$325,000</w:t>
      </w: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4"/>
          <w:szCs w:val="14"/>
          <w:color w:val="auto"/>
        </w:rPr>
        <w:t>$180,013</w:t>
      </w: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4"/>
          <w:szCs w:val="14"/>
          <w:color w:val="auto"/>
        </w:rPr>
        <w:t>$505,013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-2747645</wp:posOffset>
            </wp:positionH>
            <wp:positionV relativeFrom="paragraph">
              <wp:posOffset>48260</wp:posOffset>
            </wp:positionV>
            <wp:extent cx="571373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147" w:lineRule="exact"/>
        <w:rPr>
          <w:sz w:val="20"/>
          <w:szCs w:val="20"/>
          <w:color w:val="auto"/>
        </w:rPr>
      </w:pPr>
    </w:p>
    <w:p>
      <w:pPr>
        <w:sectPr>
          <w:pgSz w:w="11900" w:h="16838" w:orient="portrait"/>
          <w:cols w:equalWidth="0" w:num="2">
            <w:col w:w="4580" w:space="720"/>
            <w:col w:w="5640"/>
          </w:cols>
          <w:pgMar w:left="480" w:top="116" w:right="479" w:bottom="1440" w:gutter="0" w:footer="0" w:header="0"/>
          <w:type w:val="continuous"/>
        </w:sectPr>
      </w:pPr>
    </w:p>
    <w:p>
      <w:pPr>
        <w:ind w:left="1000"/>
        <w:spacing w:after="0"/>
        <w:rPr>
          <w:sz w:val="20"/>
          <w:szCs w:val="20"/>
          <w:color w:val="auto"/>
        </w:rPr>
      </w:pPr>
      <w:r>
        <w:rPr>
          <w:rFonts w:ascii="Arial" w:cs="Arial" w:eastAsia="Arial" w:hAnsi="Arial"/>
          <w:sz w:val="14"/>
          <w:szCs w:val="14"/>
          <w:b w:val="1"/>
          <w:bCs w:val="1"/>
          <w:color w:val="0C426A"/>
        </w:rPr>
        <w:t>Beverley A. Babcock</w:t>
      </w:r>
    </w:p>
    <w:p>
      <w:pPr>
        <w:spacing w:after="0" w:line="20" w:lineRule="exact"/>
        <w:rPr>
          <w:sz w:val="20"/>
          <w:szCs w:val="20"/>
          <w:color w:val="auto"/>
        </w:rPr>
      </w:pPr>
      <w:r>
        <w:rPr>
          <w:sz w:val="20"/>
          <w:szCs w:val="20"/>
          <w:color w:val="auto"/>
        </w:rPr>
        <w:br w:type="column"/>
      </w:r>
    </w:p>
    <w:p>
      <w:pPr>
        <w:spacing w:after="0"/>
        <w:tabs>
          <w:tab w:leader="none" w:pos="320" w:val="left"/>
          <w:tab w:leader="none" w:pos="1160" w:val="left"/>
          <w:tab w:leader="none" w:pos="2100" w:val="left"/>
          <w:tab w:leader="none" w:pos="2700" w:val="left"/>
          <w:tab w:leader="none" w:pos="3660" w:val="left"/>
          <w:tab w:leader="none" w:pos="40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4"/>
          <w:szCs w:val="14"/>
          <w:color w:val="auto"/>
        </w:rPr>
        <w:t>$125,000</w:t>
      </w: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4"/>
          <w:szCs w:val="14"/>
          <w:color w:val="auto"/>
        </w:rPr>
        <w:t>$180,013</w:t>
      </w: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4"/>
          <w:szCs w:val="14"/>
          <w:color w:val="auto"/>
        </w:rPr>
        <w:t>$305,013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-2747645</wp:posOffset>
            </wp:positionH>
            <wp:positionV relativeFrom="paragraph">
              <wp:posOffset>48260</wp:posOffset>
            </wp:positionV>
            <wp:extent cx="57137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147" w:lineRule="exact"/>
        <w:rPr>
          <w:sz w:val="20"/>
          <w:szCs w:val="20"/>
          <w:color w:val="auto"/>
        </w:rPr>
      </w:pPr>
    </w:p>
    <w:p>
      <w:pPr>
        <w:sectPr>
          <w:pgSz w:w="11900" w:h="16838" w:orient="portrait"/>
          <w:cols w:equalWidth="0" w:num="2">
            <w:col w:w="4580" w:space="720"/>
            <w:col w:w="5640"/>
          </w:cols>
          <w:pgMar w:left="480" w:top="116" w:right="479" w:bottom="1440" w:gutter="0" w:footer="0" w:header="0"/>
          <w:type w:val="continuous"/>
        </w:sectPr>
      </w:pPr>
    </w:p>
    <w:p>
      <w:pPr>
        <w:ind w:left="1000"/>
        <w:spacing w:after="0"/>
        <w:tabs>
          <w:tab w:leader="none" w:pos="5280" w:val="left"/>
          <w:tab w:leader="none" w:pos="5620" w:val="left"/>
          <w:tab w:leader="none" w:pos="6460" w:val="left"/>
          <w:tab w:leader="none" w:pos="7400" w:val="left"/>
          <w:tab w:leader="none" w:pos="8000" w:val="left"/>
          <w:tab w:leader="none" w:pos="8960" w:val="left"/>
          <w:tab w:leader="none" w:pos="9340" w:val="left"/>
        </w:tabs>
        <w:rPr>
          <w:sz w:val="20"/>
          <w:szCs w:val="20"/>
          <w:color w:val="auto"/>
        </w:rPr>
      </w:pPr>
      <w:r>
        <w:rPr>
          <w:rFonts w:ascii="Arial" w:cs="Arial" w:eastAsia="Arial" w:hAnsi="Arial"/>
          <w:sz w:val="14"/>
          <w:szCs w:val="14"/>
          <w:b w:val="1"/>
          <w:bCs w:val="1"/>
          <w:color w:val="0C426A"/>
        </w:rPr>
        <w:t>Lee C. Banks</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4"/>
          <w:szCs w:val="14"/>
          <w:color w:val="auto"/>
        </w:rPr>
        <w:t>$125,000</w:t>
      </w: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4"/>
          <w:szCs w:val="14"/>
          <w:color w:val="auto"/>
        </w:rPr>
        <w:t>$180,013</w:t>
      </w: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4"/>
          <w:szCs w:val="14"/>
          <w:color w:val="auto"/>
        </w:rPr>
        <w:t>$305,013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48260</wp:posOffset>
            </wp:positionV>
            <wp:extent cx="57137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type w:val="continuous"/>
        </w:sectPr>
      </w:pPr>
    </w:p>
    <w:p>
      <w:pPr>
        <w:spacing w:after="0" w:line="147"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0C426A"/>
        </w:rPr>
        <w:t>Byron S. Foster</w:t>
      </w:r>
    </w:p>
    <w:p>
      <w:pPr>
        <w:spacing w:after="0" w:line="147"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0C426A"/>
        </w:rPr>
        <w:t>Linda A. Harty</w:t>
      </w:r>
    </w:p>
    <w:p>
      <w:pPr>
        <w:spacing w:after="0" w:line="147"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0C426A"/>
        </w:rPr>
        <w:t>William E. Kassling</w:t>
      </w:r>
    </w:p>
    <w:p>
      <w:pPr>
        <w:spacing w:after="0" w:line="147"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0C426A"/>
        </w:rPr>
        <w:t>Brian P. Hehir</w:t>
      </w:r>
    </w:p>
    <w:p>
      <w:pPr>
        <w:spacing w:after="0" w:line="147"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0C426A"/>
        </w:rPr>
        <w:t>Ann R. Klee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tcPr>
          <w:p>
            <w:pPr>
              <w:ind w:left="420"/>
              <w:spacing w:after="0"/>
              <w:rPr>
                <w:sz w:val="20"/>
                <w:szCs w:val="20"/>
                <w:color w:val="auto"/>
              </w:rPr>
            </w:pPr>
            <w:r>
              <w:rPr>
                <w:rFonts w:ascii="Arial" w:cs="Arial" w:eastAsia="Arial" w:hAnsi="Arial"/>
                <w:sz w:val="14"/>
                <w:szCs w:val="14"/>
                <w:color w:val="auto"/>
              </w:rPr>
              <w:t>$125,000</w:t>
            </w:r>
            <w:r>
              <w:rPr>
                <w:rFonts w:ascii="Times New Roman" w:cs="Times New Roman" w:eastAsia="Times New Roman" w:hAnsi="Times New Roman"/>
                <w:sz w:val="3"/>
                <w:szCs w:val="3"/>
                <w:color w:val="auto"/>
              </w:rPr>
              <w:t>​</w:t>
            </w:r>
          </w:p>
        </w:tc>
        <w:tc>
          <w:tcPr>
            <w:tcW w:w="4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ind w:left="300"/>
              <w:spacing w:after="0"/>
              <w:rPr>
                <w:sz w:val="20"/>
                <w:szCs w:val="20"/>
                <w:color w:val="auto"/>
              </w:rPr>
            </w:pPr>
            <w:r>
              <w:rPr>
                <w:rFonts w:ascii="Arial" w:cs="Arial" w:eastAsia="Arial" w:hAnsi="Arial"/>
                <w:sz w:val="14"/>
                <w:szCs w:val="14"/>
                <w:color w:val="auto"/>
              </w:rPr>
              <w:t>$180,013</w:t>
            </w:r>
            <w:r>
              <w:rPr>
                <w:rFonts w:ascii="Times New Roman" w:cs="Times New Roman" w:eastAsia="Times New Roman" w:hAnsi="Times New Roman"/>
                <w:sz w:val="3"/>
                <w:szCs w:val="3"/>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$305,013</w:t>
            </w:r>
          </w:p>
        </w:tc>
      </w:tr>
      <w:tr>
        <w:trPr>
          <w:trHeight w:val="308"/>
        </w:trPr>
        <w:tc>
          <w:tcPr>
            <w:tcW w:w="1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tcPr>
          <w:p>
            <w:pPr>
              <w:ind w:left="420"/>
              <w:spacing w:after="0"/>
              <w:rPr>
                <w:sz w:val="20"/>
                <w:szCs w:val="20"/>
                <w:color w:val="auto"/>
              </w:rPr>
            </w:pPr>
            <w:r>
              <w:rPr>
                <w:rFonts w:ascii="Arial" w:cs="Arial" w:eastAsia="Arial" w:hAnsi="Arial"/>
                <w:sz w:val="14"/>
                <w:szCs w:val="14"/>
                <w:color w:val="auto"/>
              </w:rPr>
              <w:t>$180,000</w:t>
            </w:r>
            <w:r>
              <w:rPr>
                <w:rFonts w:ascii="Times New Roman" w:cs="Times New Roman" w:eastAsia="Times New Roman" w:hAnsi="Times New Roman"/>
                <w:sz w:val="3"/>
                <w:szCs w:val="3"/>
                <w:color w:val="auto"/>
              </w:rPr>
              <w:t>​</w:t>
            </w:r>
          </w:p>
        </w:tc>
        <w:tc>
          <w:tcPr>
            <w:tcW w:w="4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ind w:left="300"/>
              <w:spacing w:after="0"/>
              <w:rPr>
                <w:sz w:val="20"/>
                <w:szCs w:val="20"/>
                <w:color w:val="auto"/>
              </w:rPr>
            </w:pPr>
            <w:r>
              <w:rPr>
                <w:rFonts w:ascii="Arial" w:cs="Arial" w:eastAsia="Arial" w:hAnsi="Arial"/>
                <w:sz w:val="14"/>
                <w:szCs w:val="14"/>
                <w:color w:val="auto"/>
              </w:rPr>
              <w:t>$180,013</w:t>
            </w:r>
            <w:r>
              <w:rPr>
                <w:rFonts w:ascii="Times New Roman" w:cs="Times New Roman" w:eastAsia="Times New Roman" w:hAnsi="Times New Roman"/>
                <w:sz w:val="3"/>
                <w:szCs w:val="3"/>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$360,013</w:t>
            </w:r>
          </w:p>
        </w:tc>
      </w:tr>
      <w:tr>
        <w:trPr>
          <w:trHeight w:val="308"/>
        </w:trPr>
        <w:tc>
          <w:tcPr>
            <w:tcW w:w="1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tcPr>
          <w:p>
            <w:pPr>
              <w:ind w:left="420"/>
              <w:spacing w:after="0"/>
              <w:rPr>
                <w:sz w:val="20"/>
                <w:szCs w:val="20"/>
                <w:color w:val="auto"/>
              </w:rPr>
            </w:pPr>
            <w:r>
              <w:rPr>
                <w:rFonts w:ascii="Arial" w:cs="Arial" w:eastAsia="Arial" w:hAnsi="Arial"/>
                <w:sz w:val="14"/>
                <w:szCs w:val="14"/>
                <w:color w:val="auto"/>
              </w:rPr>
              <w:t>$125,000</w:t>
            </w:r>
            <w:r>
              <w:rPr>
                <w:rFonts w:ascii="Times New Roman" w:cs="Times New Roman" w:eastAsia="Times New Roman" w:hAnsi="Times New Roman"/>
                <w:sz w:val="3"/>
                <w:szCs w:val="3"/>
                <w:color w:val="auto"/>
              </w:rPr>
              <w:t>​</w:t>
            </w:r>
          </w:p>
        </w:tc>
        <w:tc>
          <w:tcPr>
            <w:tcW w:w="4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ind w:left="300"/>
              <w:spacing w:after="0"/>
              <w:rPr>
                <w:sz w:val="20"/>
                <w:szCs w:val="20"/>
                <w:color w:val="auto"/>
              </w:rPr>
            </w:pPr>
            <w:r>
              <w:rPr>
                <w:rFonts w:ascii="Arial" w:cs="Arial" w:eastAsia="Arial" w:hAnsi="Arial"/>
                <w:sz w:val="14"/>
                <w:szCs w:val="14"/>
                <w:color w:val="auto"/>
              </w:rPr>
              <w:t>$180,013</w:t>
            </w:r>
            <w:r>
              <w:rPr>
                <w:rFonts w:ascii="Times New Roman" w:cs="Times New Roman" w:eastAsia="Times New Roman" w:hAnsi="Times New Roman"/>
                <w:sz w:val="3"/>
                <w:szCs w:val="3"/>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$305,013</w:t>
            </w:r>
          </w:p>
        </w:tc>
      </w:tr>
      <w:tr>
        <w:trPr>
          <w:trHeight w:val="308"/>
        </w:trPr>
        <w:tc>
          <w:tcPr>
            <w:tcW w:w="1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tcPr>
          <w:p>
            <w:pPr>
              <w:ind w:left="420"/>
              <w:spacing w:after="0"/>
              <w:rPr>
                <w:sz w:val="20"/>
                <w:szCs w:val="20"/>
                <w:color w:val="auto"/>
              </w:rPr>
            </w:pPr>
            <w:r>
              <w:rPr>
                <w:rFonts w:ascii="Arial" w:cs="Arial" w:eastAsia="Arial" w:hAnsi="Arial"/>
                <w:sz w:val="14"/>
                <w:szCs w:val="14"/>
                <w:color w:val="auto"/>
              </w:rPr>
              <w:t>$150,000</w:t>
            </w:r>
            <w:r>
              <w:rPr>
                <w:rFonts w:ascii="Times New Roman" w:cs="Times New Roman" w:eastAsia="Times New Roman" w:hAnsi="Times New Roman"/>
                <w:sz w:val="3"/>
                <w:szCs w:val="3"/>
                <w:color w:val="auto"/>
              </w:rPr>
              <w:t>​</w:t>
            </w:r>
          </w:p>
        </w:tc>
        <w:tc>
          <w:tcPr>
            <w:tcW w:w="4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ind w:left="300"/>
              <w:spacing w:after="0"/>
              <w:rPr>
                <w:sz w:val="20"/>
                <w:szCs w:val="20"/>
                <w:color w:val="auto"/>
              </w:rPr>
            </w:pPr>
            <w:r>
              <w:rPr>
                <w:rFonts w:ascii="Arial" w:cs="Arial" w:eastAsia="Arial" w:hAnsi="Arial"/>
                <w:sz w:val="14"/>
                <w:szCs w:val="14"/>
                <w:color w:val="auto"/>
              </w:rPr>
              <w:t>$180,013</w:t>
            </w:r>
            <w:r>
              <w:rPr>
                <w:rFonts w:ascii="Times New Roman" w:cs="Times New Roman" w:eastAsia="Times New Roman" w:hAnsi="Times New Roman"/>
                <w:sz w:val="3"/>
                <w:szCs w:val="3"/>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$330,013</w:t>
            </w:r>
          </w:p>
        </w:tc>
      </w:tr>
      <w:tr>
        <w:trPr>
          <w:trHeight w:val="308"/>
        </w:trPr>
        <w:tc>
          <w:tcPr>
            <w:tcW w:w="1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tcPr>
          <w:p>
            <w:pPr>
              <w:ind w:left="420"/>
              <w:spacing w:after="0"/>
              <w:rPr>
                <w:sz w:val="20"/>
                <w:szCs w:val="20"/>
                <w:color w:val="auto"/>
              </w:rPr>
            </w:pPr>
            <w:r>
              <w:rPr>
                <w:rFonts w:ascii="Arial" w:cs="Arial" w:eastAsia="Arial" w:hAnsi="Arial"/>
                <w:sz w:val="14"/>
                <w:szCs w:val="14"/>
                <w:color w:val="auto"/>
              </w:rPr>
              <w:t>$150,000</w:t>
            </w:r>
            <w:r>
              <w:rPr>
                <w:rFonts w:ascii="Times New Roman" w:cs="Times New Roman" w:eastAsia="Times New Roman" w:hAnsi="Times New Roman"/>
                <w:sz w:val="3"/>
                <w:szCs w:val="3"/>
                <w:color w:val="auto"/>
              </w:rPr>
              <w:t>​</w:t>
            </w:r>
          </w:p>
        </w:tc>
        <w:tc>
          <w:tcPr>
            <w:tcW w:w="4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ind w:left="300"/>
              <w:spacing w:after="0"/>
              <w:rPr>
                <w:sz w:val="20"/>
                <w:szCs w:val="20"/>
                <w:color w:val="auto"/>
              </w:rPr>
            </w:pPr>
            <w:r>
              <w:rPr>
                <w:rFonts w:ascii="Arial" w:cs="Arial" w:eastAsia="Arial" w:hAnsi="Arial"/>
                <w:sz w:val="14"/>
                <w:szCs w:val="14"/>
                <w:color w:val="auto"/>
              </w:rPr>
              <w:t>$180,013</w:t>
            </w:r>
            <w:r>
              <w:rPr>
                <w:rFonts w:ascii="Times New Roman" w:cs="Times New Roman" w:eastAsia="Times New Roman" w:hAnsi="Times New Roman"/>
                <w:sz w:val="3"/>
                <w:szCs w:val="3"/>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$330,013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-2747645</wp:posOffset>
            </wp:positionH>
            <wp:positionV relativeFrom="paragraph">
              <wp:posOffset>30480</wp:posOffset>
            </wp:positionV>
            <wp:extent cx="57137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13730" cy="8255"/>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-164465</wp:posOffset>
            </wp:positionV>
            <wp:extent cx="57137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13730" cy="8255"/>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-360045</wp:posOffset>
            </wp:positionV>
            <wp:extent cx="57137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13730" cy="8255"/>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-555625</wp:posOffset>
            </wp:positionV>
            <wp:extent cx="57137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13730" cy="8255"/>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-751205</wp:posOffset>
            </wp:positionV>
            <wp:extent cx="57137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80" w:space="720"/>
            <w:col w:w="5640"/>
          </w:cols>
          <w:pgMar w:left="480" w:top="116" w:right="479" w:bottom="1440" w:gutter="0" w:footer="0" w:header="0"/>
          <w:type w:val="continuous"/>
        </w:sectPr>
      </w:pPr>
    </w:p>
    <w:p>
      <w:pPr>
        <w:spacing w:after="0" w:line="13" w:lineRule="exact"/>
        <w:rPr>
          <w:sz w:val="20"/>
          <w:szCs w:val="20"/>
          <w:color w:val="auto"/>
        </w:rPr>
      </w:pPr>
    </w:p>
    <w:p>
      <w:pPr>
        <w:ind w:left="1140" w:right="1020" w:hanging="175"/>
        <w:spacing w:after="0" w:line="195" w:lineRule="auto"/>
        <w:tabs>
          <w:tab w:leader="none" w:pos="1140" w:val="left"/>
        </w:tabs>
        <w:numPr>
          <w:ilvl w:val="0"/>
          <w:numId w:val="23"/>
        </w:numPr>
        <w:rPr>
          <w:rFonts w:ascii="Arial" w:cs="Arial" w:eastAsia="Arial" w:hAnsi="Arial"/>
          <w:sz w:val="21"/>
          <w:szCs w:val="21"/>
          <w:color w:val="auto"/>
          <w:vertAlign w:val="superscript"/>
        </w:rPr>
      </w:pPr>
      <w:r>
        <w:rPr>
          <w:rFonts w:ascii="Arial" w:cs="Arial" w:eastAsia="Arial" w:hAnsi="Arial"/>
          <w:sz w:val="14"/>
          <w:szCs w:val="14"/>
          <w:color w:val="auto"/>
        </w:rPr>
        <w:t>Reflects the aggregate grant date fair value dollar amount calculated in accordance with ASC 718 related to the awards of stock to the non-employee directors under the 1995 Non-Employee Directors’ Fee and Stock Option Plan.</w:t>
      </w:r>
    </w:p>
    <w:p>
      <w:pPr>
        <w:spacing w:after="0" w:line="48" w:lineRule="exact"/>
        <w:rPr>
          <w:sz w:val="20"/>
          <w:szCs w:val="20"/>
          <w:color w:val="auto"/>
        </w:rPr>
      </w:pPr>
    </w:p>
    <w:p>
      <w:pPr>
        <w:ind w:left="1140" w:right="1020" w:hanging="175"/>
        <w:spacing w:after="0" w:line="225" w:lineRule="auto"/>
        <w:tabs>
          <w:tab w:leader="none" w:pos="1140" w:val="left"/>
        </w:tabs>
        <w:numPr>
          <w:ilvl w:val="0"/>
          <w:numId w:val="24"/>
        </w:numPr>
        <w:rPr>
          <w:rFonts w:ascii="Arial" w:cs="Arial" w:eastAsia="Arial" w:hAnsi="Arial"/>
          <w:sz w:val="21"/>
          <w:szCs w:val="21"/>
          <w:color w:val="auto"/>
          <w:vertAlign w:val="superscript"/>
        </w:rPr>
      </w:pPr>
      <w:r>
        <w:rPr>
          <w:rFonts w:ascii="Arial" w:cs="Arial" w:eastAsia="Arial" w:hAnsi="Arial"/>
          <w:sz w:val="14"/>
          <w:szCs w:val="14"/>
          <w:color w:val="auto"/>
        </w:rPr>
        <w:t>The annual award of the $180,013 stock retainer was made on May 16, 2023, with each non-employee director being granted 1,857 restricted shares of Wabtec common stock with a grant date fair market value of $96.94 per share. Such restricted shares generally vest 12 months from the date of grant. If a director voluntarily resigns or is otherwise terminated within 12 months from the grant date of the restricted shares, the director will forfeit the restricted shares. See “</w:t>
      </w:r>
      <w:r>
        <w:rPr>
          <w:rFonts w:ascii="Arial" w:cs="Arial" w:eastAsia="Arial" w:hAnsi="Arial"/>
          <w:sz w:val="14"/>
          <w:szCs w:val="14"/>
          <w:i w:val="1"/>
          <w:iCs w:val="1"/>
          <w:color w:val="auto"/>
        </w:rPr>
        <w:t>Common Stock Ownership</w:t>
      </w:r>
      <w:r>
        <w:rPr>
          <w:rFonts w:ascii="Arial" w:cs="Arial" w:eastAsia="Arial" w:hAnsi="Arial"/>
          <w:sz w:val="14"/>
          <w:szCs w:val="14"/>
          <w:color w:val="auto"/>
        </w:rPr>
        <w:t>” for a description of outstanding awards held by the non-employee directors.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9140" w:type="dxa"/>
            <w:vAlign w:val="bottom"/>
          </w:tcPr>
          <w:p>
            <w:pPr>
              <w:ind w:left="636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800" w:type="dxa"/>
            <w:vAlign w:val="bottom"/>
          </w:tcPr>
          <w:p>
            <w:pPr>
              <w:jc w:val="right"/>
              <w:ind w:right="909"/>
              <w:spacing w:after="0"/>
              <w:rPr>
                <w:sz w:val="20"/>
                <w:szCs w:val="20"/>
                <w:color w:val="auto"/>
              </w:rPr>
            </w:pPr>
            <w:r>
              <w:rPr>
                <w:rFonts w:ascii="Arial" w:cs="Arial" w:eastAsia="Arial" w:hAnsi="Arial"/>
                <w:sz w:val="14"/>
                <w:szCs w:val="14"/>
                <w:b w:val="1"/>
                <w:bCs w:val="1"/>
                <w:color w:val="auto"/>
              </w:rPr>
              <w:t>39</w:t>
            </w:r>
          </w:p>
        </w:tc>
      </w:tr>
      <w:tr>
        <w:trPr>
          <w:trHeight w:val="355"/>
        </w:trPr>
        <w:tc>
          <w:tcPr>
            <w:tcW w:w="9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-415925</wp:posOffset>
            </wp:positionV>
            <wp:extent cx="501650" cy="1701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Corporate Governance</w:t>
      </w:r>
    </w:p>
    <w:p>
      <w:pPr>
        <w:spacing w:after="0" w:line="107" w:lineRule="exact"/>
        <w:rPr>
          <w:sz w:val="20"/>
          <w:szCs w:val="20"/>
          <w:color w:val="auto"/>
        </w:rPr>
      </w:pPr>
    </w:p>
    <w:p>
      <w:pPr>
        <w:ind w:right="179"/>
        <w:spacing w:after="0" w:line="252" w:lineRule="auto"/>
        <w:rPr>
          <w:sz w:val="20"/>
          <w:szCs w:val="20"/>
          <w:color w:val="auto"/>
        </w:rPr>
      </w:pPr>
      <w:r>
        <w:rPr>
          <w:rFonts w:ascii="Arial" w:cs="Arial" w:eastAsia="Arial" w:hAnsi="Arial"/>
          <w:sz w:val="16"/>
          <w:szCs w:val="16"/>
          <w:color w:val="auto"/>
        </w:rPr>
        <w:t>All directors are reimbursed for their out of pocket expenses incurred in connection with attendance at meetings and other activities related to the Board or its Committees. The Company offers a Deferred Compensation Plan for non-employee directors. Under the terms of the plan, eligible directors may defer the annual stock and/or cash retainer, provided that any deferral of the stock retainer will be subject to the same vesting and forfeiture conditions as if the stock retainer had not been deferred. Deferred amounts, including any applicable earnings credited on the deferrals, will be paid out to the director following his termination of service with the Board. Ms. Babcock has deferred 1550 shares.</w:t>
      </w:r>
    </w:p>
    <w:p>
      <w:pPr>
        <w:spacing w:after="0" w:line="126" w:lineRule="exact"/>
        <w:rPr>
          <w:sz w:val="20"/>
          <w:szCs w:val="20"/>
          <w:color w:val="auto"/>
        </w:rPr>
      </w:pPr>
    </w:p>
    <w:p>
      <w:pPr>
        <w:ind w:right="119"/>
        <w:spacing w:after="0" w:line="252" w:lineRule="auto"/>
        <w:rPr>
          <w:sz w:val="20"/>
          <w:szCs w:val="20"/>
          <w:color w:val="auto"/>
        </w:rPr>
      </w:pPr>
      <w:r>
        <w:rPr>
          <w:rFonts w:ascii="Arial" w:cs="Arial" w:eastAsia="Arial" w:hAnsi="Arial"/>
          <w:sz w:val="16"/>
          <w:szCs w:val="16"/>
          <w:color w:val="auto"/>
        </w:rPr>
        <w:t>The Compensation Committee reviews director compensation on an annual basis. At the May Compensation Committee meeting, the Board’s external compensation consultant provides the Compensation Committee with a market analysis detailing: i) cash retainers, ii) equity compensation, and iii) Board leadership retainers. The market analysis provides market data, trends and findings from both peer group and general industry data. Upon review and discussion of the data, the Compensation Committee recommends and the Board approves the compensation cash retainer, Board leadership retainers, and equity compensation for the upcoming year.</w:t>
      </w:r>
    </w:p>
    <w:p>
      <w:pPr>
        <w:spacing w:after="0" w:line="337" w:lineRule="exact"/>
        <w:rPr>
          <w:sz w:val="20"/>
          <w:szCs w:val="20"/>
          <w:color w:val="auto"/>
        </w:rPr>
      </w:pPr>
    </w:p>
    <w:p>
      <w:pPr>
        <w:spacing w:after="0"/>
        <w:rPr>
          <w:sz w:val="20"/>
          <w:szCs w:val="20"/>
          <w:color w:val="auto"/>
        </w:rPr>
      </w:pPr>
      <w:r>
        <w:rPr>
          <w:rFonts w:ascii="Arial" w:cs="Arial" w:eastAsia="Arial" w:hAnsi="Arial"/>
          <w:sz w:val="23"/>
          <w:szCs w:val="23"/>
          <w:color w:val="0C426A"/>
        </w:rPr>
        <w:t>Director Compensation Policies and Practices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Ownership Guidelines</w:t>
      </w:r>
    </w:p>
    <w:p>
      <w:pPr>
        <w:spacing w:after="0" w:line="178" w:lineRule="exact"/>
        <w:rPr>
          <w:sz w:val="20"/>
          <w:szCs w:val="20"/>
          <w:color w:val="auto"/>
        </w:rPr>
      </w:pPr>
    </w:p>
    <w:p>
      <w:pPr>
        <w:ind w:right="59"/>
        <w:spacing w:after="0" w:line="252" w:lineRule="auto"/>
        <w:rPr>
          <w:sz w:val="20"/>
          <w:szCs w:val="20"/>
          <w:color w:val="auto"/>
        </w:rPr>
      </w:pPr>
      <w:r>
        <w:rPr>
          <w:rFonts w:ascii="Arial" w:cs="Arial" w:eastAsia="Arial" w:hAnsi="Arial"/>
          <w:sz w:val="16"/>
          <w:szCs w:val="16"/>
          <w:color w:val="auto"/>
        </w:rPr>
        <w:t>Wabtec has established stock ownership guidelines to encourage Board members to own and retain shares of stock. Non-employee Board members are required to accumulate shares having a value equal to six times their cash retainer. Directors are given five years to satisfy these guidelines. Shares that count toward the holding requirement include any shares owned by the director in Wabtec’s share administration platform, the deferred compensation plan, personal accounts, or any unvested restricted shares. All directors except for Mr. Foster and Ms. Babcock have met the ownership guidelines. Mr. Foster and Ms. Babcock are within the 5-year compliance period and are on-track to meet the compliance requirement.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760" w:type="dxa"/>
            <w:vAlign w:val="bottom"/>
          </w:tcPr>
          <w:p>
            <w:pPr>
              <w:jc w:val="right"/>
              <w:ind w:right="529"/>
              <w:spacing w:after="0"/>
              <w:rPr>
                <w:sz w:val="20"/>
                <w:szCs w:val="20"/>
                <w:color w:val="auto"/>
              </w:rPr>
            </w:pPr>
            <w:r>
              <w:rPr>
                <w:rFonts w:ascii="Arial" w:cs="Arial" w:eastAsia="Arial" w:hAnsi="Arial"/>
                <w:sz w:val="14"/>
                <w:szCs w:val="14"/>
                <w:b w:val="1"/>
                <w:bCs w:val="1"/>
                <w:color w:val="auto"/>
                <w:w w:val="89"/>
              </w:rPr>
              <w:t>40</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179070</wp:posOffset>
            </wp:positionV>
            <wp:extent cx="693801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43" w:name="page44"/>
    <w:bookmarkEnd w:id="43"/>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100330</wp:posOffset>
            </wp:positionV>
            <wp:extent cx="5713730" cy="12160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13730" cy="1216025"/>
                    </a:xfrm>
                    <a:prstGeom prst="rect">
                      <a:avLst/>
                    </a:prstGeom>
                    <a:noFill/>
                  </pic:spPr>
                </pic:pic>
              </a:graphicData>
            </a:graphic>
          </wp:anchor>
        </w:drawing>
      </w:r>
    </w:p>
    <w:p>
      <w:pPr>
        <w:spacing w:after="0" w:line="279" w:lineRule="exact"/>
        <w:rPr>
          <w:sz w:val="20"/>
          <w:szCs w:val="20"/>
          <w:color w:val="auto"/>
        </w:rPr>
      </w:pPr>
    </w:p>
    <w:p>
      <w:pPr>
        <w:ind w:left="1200"/>
        <w:spacing w:after="0"/>
        <w:tabs>
          <w:tab w:leader="none" w:pos="2300" w:val="left"/>
        </w:tabs>
        <w:rPr>
          <w:sz w:val="20"/>
          <w:szCs w:val="20"/>
          <w:color w:val="auto"/>
        </w:rPr>
      </w:pPr>
      <w:r>
        <w:rPr>
          <w:rFonts w:ascii="Arial" w:cs="Arial" w:eastAsia="Arial" w:hAnsi="Arial"/>
          <w:sz w:val="18"/>
          <w:szCs w:val="18"/>
          <w:b w:val="1"/>
          <w:bCs w:val="1"/>
          <w:color w:val="FFFFFF"/>
        </w:rPr>
        <w:t>Proposal</w:t>
      </w:r>
      <w:r>
        <w:rPr>
          <w:sz w:val="20"/>
          <w:szCs w:val="20"/>
          <w:color w:val="auto"/>
        </w:rPr>
        <w:tab/>
      </w:r>
      <w:r>
        <w:rPr>
          <w:rFonts w:ascii="Arial" w:cs="Arial" w:eastAsia="Arial" w:hAnsi="Arial"/>
          <w:sz w:val="43"/>
          <w:szCs w:val="43"/>
          <w:color w:val="0C426A"/>
        </w:rPr>
        <w:t>Advisory Vote To Approve</w:t>
      </w:r>
    </w:p>
    <w:p>
      <w:pPr>
        <w:spacing w:after="0" w:line="32" w:lineRule="exact"/>
        <w:rPr>
          <w:sz w:val="20"/>
          <w:szCs w:val="20"/>
          <w:color w:val="auto"/>
        </w:rPr>
      </w:pPr>
    </w:p>
    <w:p>
      <w:pPr>
        <w:ind w:left="2320" w:right="2960" w:hanging="974"/>
        <w:spacing w:after="0" w:line="180" w:lineRule="auto"/>
        <w:tabs>
          <w:tab w:leader="none" w:pos="2320" w:val="left"/>
        </w:tabs>
        <w:numPr>
          <w:ilvl w:val="0"/>
          <w:numId w:val="25"/>
        </w:numPr>
        <w:rPr>
          <w:rFonts w:ascii="Arial" w:cs="Arial" w:eastAsia="Arial" w:hAnsi="Arial"/>
          <w:sz w:val="81"/>
          <w:szCs w:val="81"/>
          <w:b w:val="1"/>
          <w:bCs w:val="1"/>
          <w:color w:val="FFFFFF"/>
        </w:rPr>
      </w:pPr>
      <w:r>
        <w:rPr>
          <w:rFonts w:ascii="Arial" w:cs="Arial" w:eastAsia="Arial" w:hAnsi="Arial"/>
          <w:sz w:val="42"/>
          <w:szCs w:val="42"/>
          <w:color w:val="0C426A"/>
        </w:rPr>
        <w:t>Compensation Of Our Named Executive Officers</w:t>
      </w:r>
    </w:p>
    <w:p>
      <w:pPr>
        <w:spacing w:after="0" w:line="200" w:lineRule="exact"/>
        <w:rPr>
          <w:sz w:val="20"/>
          <w:szCs w:val="20"/>
          <w:color w:val="auto"/>
        </w:rPr>
      </w:pPr>
    </w:p>
    <w:p>
      <w:pPr>
        <w:spacing w:after="0" w:line="346" w:lineRule="exact"/>
        <w:rPr>
          <w:sz w:val="20"/>
          <w:szCs w:val="20"/>
          <w:color w:val="auto"/>
        </w:rPr>
      </w:pPr>
    </w:p>
    <w:p>
      <w:pPr>
        <w:ind w:left="960" w:right="1040"/>
        <w:spacing w:after="0" w:line="252" w:lineRule="auto"/>
        <w:rPr>
          <w:sz w:val="20"/>
          <w:szCs w:val="20"/>
          <w:color w:val="auto"/>
        </w:rPr>
      </w:pPr>
      <w:r>
        <w:rPr>
          <w:rFonts w:ascii="Arial" w:cs="Arial" w:eastAsia="Arial" w:hAnsi="Arial"/>
          <w:sz w:val="16"/>
          <w:szCs w:val="16"/>
          <w:color w:val="auto"/>
        </w:rPr>
        <w:t>As required under the Dodd-Frank Wall Street Reform and Consumer Protection Act (the “Dodd- Frank Act”), we are providing our stockholders with the opportunity to cast a non-binding vote to approve our executive compensation programs and arrangements in accordance with Section 14A of the Exchange Act. In 2023, our stockholders indicated their approval of the Board of Directors’ recommendation that we solicit an advisory vote such as this on an annual basis. Our Board of Directors has adopted a policy that is consistent with that preference and, accordingly, we are providing our stockholders with an opportunity to vote on this proposal at this Annual Meeting.</w:t>
      </w:r>
    </w:p>
    <w:p>
      <w:pPr>
        <w:spacing w:after="0" w:line="126" w:lineRule="exact"/>
        <w:rPr>
          <w:sz w:val="20"/>
          <w:szCs w:val="20"/>
          <w:color w:val="auto"/>
        </w:rPr>
      </w:pPr>
    </w:p>
    <w:p>
      <w:pPr>
        <w:ind w:left="960" w:right="980"/>
        <w:spacing w:after="0" w:line="247" w:lineRule="auto"/>
        <w:rPr>
          <w:sz w:val="20"/>
          <w:szCs w:val="20"/>
          <w:color w:val="auto"/>
        </w:rPr>
      </w:pPr>
      <w:r>
        <w:rPr>
          <w:rFonts w:ascii="Arial" w:cs="Arial" w:eastAsia="Arial" w:hAnsi="Arial"/>
          <w:sz w:val="16"/>
          <w:szCs w:val="16"/>
          <w:color w:val="auto"/>
        </w:rPr>
        <w:t xml:space="preserve">As described in greater detail under the heading “Compensation Discussion and Analysis,” on page </w:t>
      </w:r>
      <w:r>
        <w:rPr>
          <w:rFonts w:ascii="Arial" w:cs="Arial" w:eastAsia="Arial" w:hAnsi="Arial"/>
          <w:sz w:val="16"/>
          <w:szCs w:val="16"/>
          <w:u w:val="single" w:color="auto"/>
          <w:color w:val="0000EE"/>
        </w:rPr>
        <w:t>43</w:t>
      </w:r>
      <w:r>
        <w:rPr>
          <w:rFonts w:ascii="Arial" w:cs="Arial" w:eastAsia="Arial" w:hAnsi="Arial"/>
          <w:sz w:val="16"/>
          <w:szCs w:val="16"/>
          <w:color w:val="auto"/>
        </w:rPr>
        <w:t xml:space="preserve"> we seek to closely align the interests of our named executive officers with the interests of our stockholders. Our compensation programs are designed to reward our named executive officers for the achievement of short-term and long-term strategic and operational goals and the achievement of increased total stockholder return, while at the same time avoiding the encouragement of unnecessary or excessive risk-taking. The overall objectives of our executive compensation program are to (i) enable us to attract, motivate and retain key executive talent essential to the achievement of our short-term and long-term business objectives; (ii) provide compensation competitive with others in our industry; (iii) reward senior executive officers in a “pay for performance” manner for accomplishment of pre-defined business goals and objectives; and (iv) align the interests of our executives with those of our stockholders. A significant portion of total executive compensation is variable compensation linked to corporate, business unit and individual performance. Our objective is to provide a significant portion of an executive’s total compensation in a form that is contingent upon achieving established performance goals that are intended to align the executives’ interests with those of our stockholders. In regard to compensation based on performance, our objective is to provide a significant portion of such compensation in the form of equity awards.</w:t>
      </w:r>
    </w:p>
    <w:p>
      <w:pPr>
        <w:spacing w:after="0" w:line="136" w:lineRule="exact"/>
        <w:rPr>
          <w:sz w:val="20"/>
          <w:szCs w:val="20"/>
          <w:color w:val="auto"/>
        </w:rPr>
      </w:pPr>
    </w:p>
    <w:p>
      <w:pPr>
        <w:ind w:left="960" w:right="1060"/>
        <w:spacing w:after="0" w:line="248" w:lineRule="auto"/>
        <w:rPr>
          <w:sz w:val="20"/>
          <w:szCs w:val="20"/>
          <w:color w:val="auto"/>
        </w:rPr>
      </w:pPr>
      <w:r>
        <w:rPr>
          <w:rFonts w:ascii="Arial" w:cs="Arial" w:eastAsia="Arial" w:hAnsi="Arial"/>
          <w:sz w:val="16"/>
          <w:szCs w:val="16"/>
          <w:color w:val="auto"/>
        </w:rPr>
        <w:t>Under the Dodd-Frank Act and the related SEC rules, your vote on this resolution is an advisory or “non-binding” vote. This means that the purpose of the vote is to provide stockholders with a method to give their opinion to the Board of Directors of the Company about certain issues, like executive compensation. None of the Board, its Committees or the Company is required by law to take any action in response to the stockholder vote. However, the Board values our stockholders’ opinions, and the Board intends to evaluate the results of this year’s vote carefully when making future decisions regarding compensation of the named executive officers. The stockholder advisory vote in connection with our 2023 annual meeting received approximately 93% approval by our stockholders, indicating support of our compensation programs and policies. We believe that providing our stockholders with the opportunity to cast an advisory vote on our executive compensation program on an annual basis will further enhance communication with our stockholders, and it meets our obligations under the Dodd-Frank Act and the SEC’s rules.</w:t>
      </w:r>
    </w:p>
    <w:p>
      <w:pPr>
        <w:spacing w:after="0" w:line="134" w:lineRule="exact"/>
        <w:rPr>
          <w:sz w:val="20"/>
          <w:szCs w:val="20"/>
          <w:color w:val="auto"/>
        </w:rPr>
      </w:pPr>
    </w:p>
    <w:p>
      <w:pPr>
        <w:ind w:left="960" w:right="980"/>
        <w:spacing w:after="0" w:line="254" w:lineRule="auto"/>
        <w:rPr>
          <w:sz w:val="20"/>
          <w:szCs w:val="20"/>
          <w:color w:val="auto"/>
        </w:rPr>
      </w:pPr>
      <w:r>
        <w:rPr>
          <w:rFonts w:ascii="Arial" w:cs="Arial" w:eastAsia="Arial" w:hAnsi="Arial"/>
          <w:sz w:val="16"/>
          <w:szCs w:val="16"/>
          <w:color w:val="auto"/>
        </w:rPr>
        <w:t>We are required to seek a stockholder vote on the frequency of the advisory vote to approve our executive compensation programs and arrangements (the “SOP Frequency Vote”) every six years. As noted above, in 2023, we conducted a SOP Frequency Vote, and our stockholders indicated their approval of the Board’s recommendation that we solicit an advisory vote to approve named executive officer compensation on an annual basis. The next SOP Frequency Vote is expected to be held at our 2029 annual meeting of stockholders.</w:t>
      </w:r>
    </w:p>
    <w:p>
      <w:pPr>
        <w:spacing w:after="0" w:line="178"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Vote Required</w:t>
      </w:r>
    </w:p>
    <w:p>
      <w:pPr>
        <w:spacing w:after="0" w:line="164" w:lineRule="exact"/>
        <w:rPr>
          <w:sz w:val="20"/>
          <w:szCs w:val="20"/>
          <w:color w:val="auto"/>
        </w:rPr>
      </w:pPr>
    </w:p>
    <w:p>
      <w:pPr>
        <w:ind w:left="960" w:right="1000"/>
        <w:spacing w:after="0" w:line="252" w:lineRule="auto"/>
        <w:rPr>
          <w:sz w:val="20"/>
          <w:szCs w:val="20"/>
          <w:color w:val="auto"/>
        </w:rPr>
      </w:pPr>
      <w:r>
        <w:rPr>
          <w:rFonts w:ascii="Arial" w:cs="Arial" w:eastAsia="Arial" w:hAnsi="Arial"/>
          <w:sz w:val="16"/>
          <w:szCs w:val="16"/>
          <w:color w:val="auto"/>
        </w:rPr>
        <w:t>This proposal is adopted if a majority of the shares present in person or by proxy vote for the proposal. Because the total shares voted “for,” “against,” or “abstain” are counted to determine the minimum votes required for approval, if you abstain from voting, it has the same legal effect as if you vote against. If a broker limits the number of shares voted on the proposal on its proxy card or indicates that the shares represented by the proxy card are not being voted on the proposal, it is considered a broker non-vote. Broker non-votes are not counted as a vote or used to determine the favorable votes required to approve the proposal.</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9140" w:type="dxa"/>
            <w:vAlign w:val="bottom"/>
          </w:tcPr>
          <w:p>
            <w:pPr>
              <w:ind w:left="636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800" w:type="dxa"/>
            <w:vAlign w:val="bottom"/>
          </w:tcPr>
          <w:p>
            <w:pPr>
              <w:jc w:val="right"/>
              <w:ind w:right="909"/>
              <w:spacing w:after="0"/>
              <w:rPr>
                <w:sz w:val="20"/>
                <w:szCs w:val="20"/>
                <w:color w:val="auto"/>
              </w:rPr>
            </w:pPr>
            <w:r>
              <w:rPr>
                <w:rFonts w:ascii="Arial" w:cs="Arial" w:eastAsia="Arial" w:hAnsi="Arial"/>
                <w:sz w:val="14"/>
                <w:szCs w:val="14"/>
                <w:b w:val="1"/>
                <w:bCs w:val="1"/>
                <w:color w:val="auto"/>
              </w:rPr>
              <w:t>41</w:t>
            </w:r>
          </w:p>
        </w:tc>
      </w:tr>
      <w:tr>
        <w:trPr>
          <w:trHeight w:val="355"/>
        </w:trPr>
        <w:tc>
          <w:tcPr>
            <w:tcW w:w="9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-407670</wp:posOffset>
            </wp:positionV>
            <wp:extent cx="501650" cy="1701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Proposal 2: Advisory Vote To Approve Compensation Of Our Named Executive Officers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Board recommends that you approve the following resolution:</w:t>
      </w:r>
    </w:p>
    <w:p>
      <w:pPr>
        <w:spacing w:after="0" w:line="164" w:lineRule="exact"/>
        <w:rPr>
          <w:sz w:val="20"/>
          <w:szCs w:val="20"/>
          <w:color w:val="auto"/>
        </w:rPr>
      </w:pPr>
    </w:p>
    <w:p>
      <w:pPr>
        <w:ind w:left="360" w:right="179"/>
        <w:spacing w:after="0" w:line="263" w:lineRule="auto"/>
        <w:rPr>
          <w:sz w:val="20"/>
          <w:szCs w:val="20"/>
          <w:color w:val="auto"/>
        </w:rPr>
      </w:pPr>
      <w:r>
        <w:rPr>
          <w:rFonts w:ascii="Arial" w:cs="Arial" w:eastAsia="Arial" w:hAnsi="Arial"/>
          <w:sz w:val="16"/>
          <w:szCs w:val="16"/>
          <w:color w:val="auto"/>
        </w:rPr>
        <w:t>RESOLVED, that the stockholders approve the 2023 compensation of the named executive officers, as disclosed in this Proxy Statement pursuant to Item 402 of Regulation S-K of the SEC, including the Compensation Discussion and Analysis, the compensation tables and other narrative executive compensation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24765</wp:posOffset>
            </wp:positionV>
            <wp:extent cx="5713730" cy="9010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13730" cy="901065"/>
                    </a:xfrm>
                    <a:prstGeom prst="rect">
                      <a:avLst/>
                    </a:prstGeom>
                    <a:noFill/>
                  </pic:spPr>
                </pic:pic>
              </a:graphicData>
            </a:graphic>
          </wp:anchor>
        </w:drawing>
      </w:r>
    </w:p>
    <w:p>
      <w:pPr>
        <w:spacing w:after="0" w:line="338" w:lineRule="exact"/>
        <w:rPr>
          <w:sz w:val="20"/>
          <w:szCs w:val="20"/>
          <w:color w:val="auto"/>
        </w:rPr>
      </w:pPr>
    </w:p>
    <w:p>
      <w:pPr>
        <w:ind w:left="860" w:right="99" w:hanging="108"/>
        <w:spacing w:after="0" w:line="260" w:lineRule="auto"/>
        <w:rPr>
          <w:sz w:val="20"/>
          <w:szCs w:val="20"/>
          <w:color w:val="auto"/>
        </w:rPr>
      </w:pPr>
      <w:r>
        <w:rPr>
          <w:rFonts w:ascii="Arial" w:cs="Arial" w:eastAsia="Arial" w:hAnsi="Arial"/>
          <w:sz w:val="21"/>
          <w:szCs w:val="21"/>
          <w:color w:val="auto"/>
        </w:rPr>
        <w:t xml:space="preserve">  The Board recommends you vote </w:t>
      </w:r>
      <w:r>
        <w:rPr>
          <w:rFonts w:ascii="Arial" w:cs="Arial" w:eastAsia="Arial" w:hAnsi="Arial"/>
          <w:sz w:val="21"/>
          <w:szCs w:val="21"/>
          <w:b w:val="1"/>
          <w:bCs w:val="1"/>
          <w:color w:val="4297CB"/>
        </w:rPr>
        <w:t>FOR</w:t>
      </w:r>
      <w:r>
        <w:rPr>
          <w:rFonts w:ascii="Arial" w:cs="Arial" w:eastAsia="Arial" w:hAnsi="Arial"/>
          <w:sz w:val="21"/>
          <w:szCs w:val="21"/>
          <w:color w:val="auto"/>
        </w:rPr>
        <w:t xml:space="preserve"> the approval of the 2023 compensation of our named executive officers, as disclosed in this Proxy Statement pursuant to Regulation S-K of the SEC.</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760" w:type="dxa"/>
            <w:vAlign w:val="bottom"/>
          </w:tcPr>
          <w:p>
            <w:pPr>
              <w:jc w:val="right"/>
              <w:ind w:right="529"/>
              <w:spacing w:after="0"/>
              <w:rPr>
                <w:sz w:val="20"/>
                <w:szCs w:val="20"/>
                <w:color w:val="auto"/>
              </w:rPr>
            </w:pPr>
            <w:r>
              <w:rPr>
                <w:rFonts w:ascii="Arial" w:cs="Arial" w:eastAsia="Arial" w:hAnsi="Arial"/>
                <w:sz w:val="14"/>
                <w:szCs w:val="14"/>
                <w:b w:val="1"/>
                <w:bCs w:val="1"/>
                <w:color w:val="auto"/>
                <w:w w:val="89"/>
              </w:rPr>
              <w:t>42</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170180</wp:posOffset>
            </wp:positionV>
            <wp:extent cx="693801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45" w:name="page46"/>
    <w:bookmarkEnd w:id="45"/>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ind w:left="960"/>
        <w:spacing w:after="0"/>
        <w:rPr>
          <w:sz w:val="20"/>
          <w:szCs w:val="20"/>
          <w:color w:val="auto"/>
        </w:rPr>
      </w:pPr>
      <w:r>
        <w:rPr>
          <w:rFonts w:ascii="Arial" w:cs="Arial" w:eastAsia="Arial" w:hAnsi="Arial"/>
          <w:sz w:val="43"/>
          <w:szCs w:val="43"/>
          <w:color w:val="E02826"/>
        </w:rPr>
        <w:t>Compensation Discussion and Analysis</w:t>
      </w:r>
    </w:p>
    <w:p>
      <w:pPr>
        <w:spacing w:after="0" w:line="358" w:lineRule="exact"/>
        <w:rPr>
          <w:sz w:val="20"/>
          <w:szCs w:val="20"/>
          <w:color w:val="auto"/>
        </w:rPr>
      </w:pPr>
    </w:p>
    <w:p>
      <w:pPr>
        <w:ind w:left="960"/>
        <w:spacing w:after="0"/>
        <w:rPr>
          <w:sz w:val="20"/>
          <w:szCs w:val="20"/>
          <w:color w:val="auto"/>
        </w:rPr>
      </w:pPr>
      <w:r>
        <w:rPr>
          <w:rFonts w:ascii="Arial" w:cs="Arial" w:eastAsia="Arial" w:hAnsi="Arial"/>
          <w:sz w:val="29"/>
          <w:szCs w:val="29"/>
          <w:color w:val="636466"/>
        </w:rPr>
        <w:t>CD&amp;A 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63500</wp:posOffset>
            </wp:positionV>
            <wp:extent cx="2686685" cy="24999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86685" cy="2499995"/>
                    </a:xfrm>
                    <a:prstGeom prst="rect">
                      <a:avLst/>
                    </a:prstGeom>
                    <a:noFill/>
                  </pic:spPr>
                </pic:pic>
              </a:graphicData>
            </a:graphic>
          </wp:anchor>
        </w:drawing>
      </w:r>
    </w:p>
    <w:p>
      <w:pPr>
        <w:spacing w:after="0" w:line="80" w:lineRule="exact"/>
        <w:rPr>
          <w:sz w:val="20"/>
          <w:szCs w:val="20"/>
          <w:color w:val="auto"/>
        </w:rPr>
      </w:pPr>
    </w:p>
    <w:tbl>
      <w:tblPr>
        <w:tblLayout w:type="fixed"/>
        <w:tblInd w:w="980" w:type="dxa"/>
        <w:tblCellMar>
          <w:top w:w="0" w:type="dxa"/>
          <w:left w:w="0" w:type="dxa"/>
          <w:bottom w:w="0" w:type="dxa"/>
          <w:right w:w="0" w:type="dxa"/>
        </w:tblCellMar>
      </w:tblPr>
      <w:tr>
        <w:trPr>
          <w:trHeight w:val="509"/>
        </w:trPr>
        <w:tc>
          <w:tcPr>
            <w:tcW w:w="160" w:type="dxa"/>
            <w:vAlign w:val="bottom"/>
            <w:shd w:val="clear" w:color="auto" w:fill="E9EFF7"/>
          </w:tcPr>
          <w:p>
            <w:pPr>
              <w:spacing w:after="0"/>
              <w:rPr>
                <w:sz w:val="24"/>
                <w:szCs w:val="24"/>
                <w:color w:val="auto"/>
              </w:rPr>
            </w:pPr>
          </w:p>
        </w:tc>
        <w:tc>
          <w:tcPr>
            <w:tcW w:w="3980" w:type="dxa"/>
            <w:vAlign w:val="bottom"/>
            <w:gridSpan w:val="11"/>
            <w:shd w:val="clear" w:color="auto" w:fill="E9EFF7"/>
          </w:tcPr>
          <w:p>
            <w:pPr>
              <w:spacing w:after="0"/>
              <w:rPr>
                <w:sz w:val="20"/>
                <w:szCs w:val="20"/>
                <w:color w:val="auto"/>
              </w:rPr>
            </w:pPr>
            <w:r>
              <w:rPr>
                <w:rFonts w:ascii="Arial" w:cs="Arial" w:eastAsia="Arial" w:hAnsi="Arial"/>
                <w:sz w:val="16"/>
                <w:szCs w:val="16"/>
                <w:b w:val="1"/>
                <w:bCs w:val="1"/>
                <w:color w:val="0000EE"/>
              </w:rPr>
              <w:t>Named Executive Officers</w:t>
            </w:r>
          </w:p>
        </w:tc>
        <w:tc>
          <w:tcPr>
            <w:tcW w:w="140" w:type="dxa"/>
            <w:vAlign w:val="bottom"/>
            <w:shd w:val="clear" w:color="auto" w:fill="E9EFF7"/>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right w:val="single" w:sz="8" w:color="E9EFF7"/>
            </w:tcBorders>
            <w:shd w:val="clear" w:color="auto" w:fill="E9EFF7"/>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gridSpan w:val="3"/>
            <w:shd w:val="clear" w:color="auto" w:fill="E9EFF7"/>
          </w:tcPr>
          <w:p>
            <w:pPr>
              <w:jc w:val="right"/>
              <w:ind w:right="60"/>
              <w:spacing w:after="0"/>
              <w:rPr>
                <w:sz w:val="20"/>
                <w:szCs w:val="20"/>
                <w:color w:val="auto"/>
              </w:rPr>
            </w:pPr>
            <w:r>
              <w:rPr>
                <w:rFonts w:ascii="Arial" w:cs="Arial" w:eastAsia="Arial" w:hAnsi="Arial"/>
                <w:sz w:val="16"/>
                <w:szCs w:val="16"/>
                <w:color w:val="0000EE"/>
              </w:rPr>
              <w:t xml:space="preserve">43 </w:t>
            </w:r>
            <w:r>
              <w:rPr>
                <w:rFonts w:ascii="Times New Roman" w:cs="Times New Roman" w:eastAsia="Times New Roman" w:hAnsi="Times New Roman"/>
                <w:sz w:val="3"/>
                <w:szCs w:val="3"/>
                <w:color w:val="000000"/>
              </w:rPr>
              <w:t>​</w:t>
            </w:r>
          </w:p>
        </w:tc>
        <w:tc>
          <w:tcPr>
            <w:tcW w:w="220" w:type="dxa"/>
            <w:vAlign w:val="bottom"/>
            <w:tcBorders>
              <w:right w:val="single" w:sz="8" w:color="E9EFF7"/>
            </w:tcBorders>
            <w:gridSpan w:val="2"/>
            <w:shd w:val="clear" w:color="auto" w:fill="E9EFF7"/>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400" w:type="dxa"/>
            <w:vAlign w:val="bottom"/>
            <w:gridSpan w:val="11"/>
            <w:shd w:val="clear" w:color="auto" w:fill="E9EFF7"/>
          </w:tcPr>
          <w:p>
            <w:pPr>
              <w:spacing w:after="0"/>
              <w:rPr>
                <w:sz w:val="20"/>
                <w:szCs w:val="20"/>
                <w:color w:val="auto"/>
              </w:rPr>
            </w:pPr>
            <w:r>
              <w:rPr>
                <w:rFonts w:ascii="Arial" w:cs="Arial" w:eastAsia="Arial" w:hAnsi="Arial"/>
                <w:sz w:val="16"/>
                <w:szCs w:val="16"/>
                <w:b w:val="1"/>
                <w:bCs w:val="1"/>
                <w:color w:val="0000EE"/>
              </w:rPr>
              <w:t>2023 NEO Compensation</w:t>
            </w:r>
          </w:p>
        </w:tc>
        <w:tc>
          <w:tcPr>
            <w:tcW w:w="180" w:type="dxa"/>
            <w:vAlign w:val="bottom"/>
            <w:shd w:val="clear" w:color="auto" w:fill="E9EFF7"/>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right w:val="single" w:sz="8" w:color="E9EFF7"/>
            </w:tcBorders>
            <w:gridSpan w:val="2"/>
            <w:shd w:val="clear" w:color="auto" w:fill="E9EFF7"/>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right w:val="single" w:sz="8" w:color="E9EFF7"/>
            </w:tcBorders>
            <w:shd w:val="clear" w:color="auto" w:fill="E9EFF7"/>
          </w:tcPr>
          <w:p>
            <w:pPr>
              <w:jc w:val="right"/>
              <w:spacing w:after="0"/>
              <w:rPr>
                <w:sz w:val="20"/>
                <w:szCs w:val="20"/>
                <w:color w:val="auto"/>
              </w:rPr>
            </w:pPr>
            <w:r>
              <w:rPr>
                <w:rFonts w:ascii="Arial" w:cs="Arial" w:eastAsia="Arial" w:hAnsi="Arial"/>
                <w:sz w:val="16"/>
                <w:szCs w:val="16"/>
                <w:color w:val="0000EE"/>
                <w:w w:val="89"/>
              </w:rPr>
              <w:t>49</w:t>
            </w:r>
          </w:p>
        </w:tc>
      </w:tr>
      <w:tr>
        <w:trPr>
          <w:trHeight w:val="60"/>
        </w:trPr>
        <w:tc>
          <w:tcPr>
            <w:tcW w:w="160" w:type="dxa"/>
            <w:vAlign w:val="bottom"/>
            <w:tcBorders>
              <w:top w:val="single" w:sz="8" w:color="E9EFF7"/>
            </w:tcBorders>
            <w:shd w:val="clear" w:color="auto" w:fill="E9EFF7"/>
          </w:tcPr>
          <w:p>
            <w:pPr>
              <w:spacing w:after="0"/>
              <w:rPr>
                <w:sz w:val="5"/>
                <w:szCs w:val="5"/>
                <w:color w:val="auto"/>
              </w:rPr>
            </w:pPr>
          </w:p>
        </w:tc>
        <w:tc>
          <w:tcPr>
            <w:tcW w:w="840" w:type="dxa"/>
            <w:vAlign w:val="bottom"/>
            <w:tcBorders>
              <w:top w:val="single" w:sz="8" w:color="0000EE"/>
            </w:tcBorders>
            <w:shd w:val="clear" w:color="auto" w:fill="E9EFF7"/>
          </w:tcPr>
          <w:p>
            <w:pPr>
              <w:spacing w:after="0"/>
              <w:rPr>
                <w:sz w:val="5"/>
                <w:szCs w:val="5"/>
                <w:color w:val="auto"/>
              </w:rPr>
            </w:pPr>
          </w:p>
        </w:tc>
        <w:tc>
          <w:tcPr>
            <w:tcW w:w="580" w:type="dxa"/>
            <w:vAlign w:val="bottom"/>
            <w:tcBorders>
              <w:top w:val="single" w:sz="8" w:color="0000EE"/>
            </w:tcBorders>
            <w:shd w:val="clear" w:color="auto" w:fill="E9EFF7"/>
          </w:tcPr>
          <w:p>
            <w:pPr>
              <w:spacing w:after="0"/>
              <w:rPr>
                <w:sz w:val="5"/>
                <w:szCs w:val="5"/>
                <w:color w:val="auto"/>
              </w:rPr>
            </w:pPr>
          </w:p>
        </w:tc>
        <w:tc>
          <w:tcPr>
            <w:tcW w:w="120" w:type="dxa"/>
            <w:vAlign w:val="bottom"/>
            <w:tcBorders>
              <w:top w:val="single" w:sz="8" w:color="0000EE"/>
            </w:tcBorders>
            <w:shd w:val="clear" w:color="auto" w:fill="E9EFF7"/>
          </w:tcPr>
          <w:p>
            <w:pPr>
              <w:spacing w:after="0"/>
              <w:rPr>
                <w:sz w:val="5"/>
                <w:szCs w:val="5"/>
                <w:color w:val="auto"/>
              </w:rPr>
            </w:pPr>
          </w:p>
        </w:tc>
        <w:tc>
          <w:tcPr>
            <w:tcW w:w="340" w:type="dxa"/>
            <w:vAlign w:val="bottom"/>
            <w:tcBorders>
              <w:top w:val="single" w:sz="8" w:color="0000EE"/>
            </w:tcBorders>
            <w:shd w:val="clear" w:color="auto" w:fill="E9EFF7"/>
          </w:tcPr>
          <w:p>
            <w:pPr>
              <w:spacing w:after="0"/>
              <w:rPr>
                <w:sz w:val="5"/>
                <w:szCs w:val="5"/>
                <w:color w:val="auto"/>
              </w:rPr>
            </w:pPr>
          </w:p>
        </w:tc>
        <w:tc>
          <w:tcPr>
            <w:tcW w:w="100" w:type="dxa"/>
            <w:vAlign w:val="bottom"/>
            <w:tcBorders>
              <w:top w:val="single" w:sz="8" w:color="0000EE"/>
            </w:tcBorders>
            <w:shd w:val="clear" w:color="auto" w:fill="E9EFF7"/>
          </w:tcPr>
          <w:p>
            <w:pPr>
              <w:spacing w:after="0"/>
              <w:rPr>
                <w:sz w:val="5"/>
                <w:szCs w:val="5"/>
                <w:color w:val="auto"/>
              </w:rPr>
            </w:pPr>
          </w:p>
        </w:tc>
        <w:tc>
          <w:tcPr>
            <w:tcW w:w="100" w:type="dxa"/>
            <w:vAlign w:val="bottom"/>
            <w:tcBorders>
              <w:top w:val="single" w:sz="8" w:color="E9EFF7"/>
            </w:tcBorders>
            <w:shd w:val="clear" w:color="auto" w:fill="E9EFF7"/>
          </w:tcPr>
          <w:p>
            <w:pPr>
              <w:spacing w:after="0"/>
              <w:rPr>
                <w:sz w:val="5"/>
                <w:szCs w:val="5"/>
                <w:color w:val="auto"/>
              </w:rPr>
            </w:pPr>
          </w:p>
        </w:tc>
        <w:tc>
          <w:tcPr>
            <w:tcW w:w="120" w:type="dxa"/>
            <w:vAlign w:val="bottom"/>
            <w:tcBorders>
              <w:top w:val="single" w:sz="8" w:color="E9EFF7"/>
            </w:tcBorders>
            <w:shd w:val="clear" w:color="auto" w:fill="E9EFF7"/>
          </w:tcPr>
          <w:p>
            <w:pPr>
              <w:spacing w:after="0"/>
              <w:rPr>
                <w:sz w:val="5"/>
                <w:szCs w:val="5"/>
                <w:color w:val="auto"/>
              </w:rPr>
            </w:pPr>
          </w:p>
        </w:tc>
        <w:tc>
          <w:tcPr>
            <w:tcW w:w="840" w:type="dxa"/>
            <w:vAlign w:val="bottom"/>
            <w:tcBorders>
              <w:top w:val="single" w:sz="8" w:color="E9EFF7"/>
            </w:tcBorders>
            <w:shd w:val="clear" w:color="auto" w:fill="E9EFF7"/>
          </w:tcPr>
          <w:p>
            <w:pPr>
              <w:spacing w:after="0"/>
              <w:rPr>
                <w:sz w:val="5"/>
                <w:szCs w:val="5"/>
                <w:color w:val="auto"/>
              </w:rPr>
            </w:pPr>
          </w:p>
        </w:tc>
        <w:tc>
          <w:tcPr>
            <w:tcW w:w="180" w:type="dxa"/>
            <w:vAlign w:val="bottom"/>
            <w:tcBorders>
              <w:top w:val="single" w:sz="8" w:color="E9EFF7"/>
            </w:tcBorders>
            <w:shd w:val="clear" w:color="auto" w:fill="E9EFF7"/>
          </w:tcPr>
          <w:p>
            <w:pPr>
              <w:spacing w:after="0"/>
              <w:rPr>
                <w:sz w:val="5"/>
                <w:szCs w:val="5"/>
                <w:color w:val="auto"/>
              </w:rPr>
            </w:pPr>
          </w:p>
        </w:tc>
        <w:tc>
          <w:tcPr>
            <w:tcW w:w="680" w:type="dxa"/>
            <w:vAlign w:val="bottom"/>
            <w:tcBorders>
              <w:top w:val="single" w:sz="8" w:color="E9EFF7"/>
            </w:tcBorders>
            <w:shd w:val="clear" w:color="auto" w:fill="E9EFF7"/>
          </w:tcPr>
          <w:p>
            <w:pPr>
              <w:spacing w:after="0"/>
              <w:rPr>
                <w:sz w:val="5"/>
                <w:szCs w:val="5"/>
                <w:color w:val="auto"/>
              </w:rPr>
            </w:pPr>
          </w:p>
        </w:tc>
        <w:tc>
          <w:tcPr>
            <w:tcW w:w="80" w:type="dxa"/>
            <w:vAlign w:val="bottom"/>
            <w:tcBorders>
              <w:top w:val="single" w:sz="8" w:color="E9EFF7"/>
            </w:tcBorders>
            <w:shd w:val="clear" w:color="auto" w:fill="E9EFF7"/>
          </w:tcPr>
          <w:p>
            <w:pPr>
              <w:spacing w:after="0"/>
              <w:rPr>
                <w:sz w:val="5"/>
                <w:szCs w:val="5"/>
                <w:color w:val="auto"/>
              </w:rPr>
            </w:pPr>
          </w:p>
        </w:tc>
        <w:tc>
          <w:tcPr>
            <w:tcW w:w="140" w:type="dxa"/>
            <w:vAlign w:val="bottom"/>
            <w:tcBorders>
              <w:top w:val="single" w:sz="8" w:color="E9EFF7"/>
            </w:tcBorders>
            <w:shd w:val="clear" w:color="auto" w:fill="E9EFF7"/>
          </w:tcPr>
          <w:p>
            <w:pPr>
              <w:spacing w:after="0"/>
              <w:rPr>
                <w:sz w:val="5"/>
                <w:szCs w:val="5"/>
                <w:color w:val="auto"/>
              </w:rPr>
            </w:pPr>
          </w:p>
        </w:tc>
        <w:tc>
          <w:tcPr>
            <w:tcW w:w="120" w:type="dxa"/>
            <w:vAlign w:val="bottom"/>
            <w:tcBorders>
              <w:top w:val="single" w:sz="8" w:color="E9EFF7"/>
              <w:right w:val="single" w:sz="8" w:color="E9EFF7"/>
            </w:tcBorders>
            <w:shd w:val="clear" w:color="auto" w:fill="E9EFF7"/>
          </w:tcPr>
          <w:p>
            <w:pPr>
              <w:spacing w:after="0"/>
              <w:rPr>
                <w:sz w:val="5"/>
                <w:szCs w:val="5"/>
                <w:color w:val="auto"/>
              </w:rPr>
            </w:pPr>
          </w:p>
        </w:tc>
        <w:tc>
          <w:tcPr>
            <w:tcW w:w="100" w:type="dxa"/>
            <w:vAlign w:val="bottom"/>
            <w:tcBorders>
              <w:top w:val="single" w:sz="8" w:color="E9EFF7"/>
              <w:right w:val="single" w:sz="8" w:color="E9EFF7"/>
            </w:tcBorders>
            <w:shd w:val="clear" w:color="auto" w:fill="E9EFF7"/>
          </w:tcPr>
          <w:p>
            <w:pPr>
              <w:spacing w:after="0"/>
              <w:rPr>
                <w:sz w:val="5"/>
                <w:szCs w:val="5"/>
                <w:color w:val="auto"/>
              </w:rPr>
            </w:pPr>
          </w:p>
        </w:tc>
        <w:tc>
          <w:tcPr>
            <w:tcW w:w="140" w:type="dxa"/>
            <w:vAlign w:val="bottom"/>
            <w:tcBorders>
              <w:top w:val="single" w:sz="8" w:color="0000EE"/>
            </w:tcBorders>
            <w:shd w:val="clear" w:color="auto" w:fill="E9EFF7"/>
          </w:tcPr>
          <w:p>
            <w:pPr>
              <w:spacing w:after="0"/>
              <w:rPr>
                <w:sz w:val="5"/>
                <w:szCs w:val="5"/>
                <w:color w:val="auto"/>
              </w:rPr>
            </w:pPr>
          </w:p>
        </w:tc>
        <w:tc>
          <w:tcPr>
            <w:tcW w:w="120" w:type="dxa"/>
            <w:vAlign w:val="bottom"/>
            <w:tcBorders>
              <w:top w:val="single" w:sz="8" w:color="E9EFF7"/>
            </w:tcBorders>
            <w:shd w:val="clear" w:color="auto" w:fill="E9EFF7"/>
          </w:tcPr>
          <w:p>
            <w:pPr>
              <w:spacing w:after="0"/>
              <w:rPr>
                <w:sz w:val="5"/>
                <w:szCs w:val="5"/>
                <w:color w:val="auto"/>
              </w:rPr>
            </w:pPr>
          </w:p>
        </w:tc>
        <w:tc>
          <w:tcPr>
            <w:tcW w:w="60" w:type="dxa"/>
            <w:vAlign w:val="bottom"/>
            <w:tcBorders>
              <w:top w:val="single" w:sz="8" w:color="E9EFF7"/>
            </w:tcBorders>
            <w:shd w:val="clear" w:color="auto" w:fill="E9EFF7"/>
          </w:tcPr>
          <w:p>
            <w:pPr>
              <w:spacing w:after="0"/>
              <w:rPr>
                <w:sz w:val="5"/>
                <w:szCs w:val="5"/>
                <w:color w:val="auto"/>
              </w:rPr>
            </w:pPr>
          </w:p>
        </w:tc>
        <w:tc>
          <w:tcPr>
            <w:tcW w:w="160" w:type="dxa"/>
            <w:vAlign w:val="bottom"/>
            <w:tcBorders>
              <w:top w:val="single" w:sz="8" w:color="E9EFF7"/>
              <w:right w:val="single" w:sz="8" w:color="E9EFF7"/>
            </w:tcBorders>
            <w:shd w:val="clear" w:color="auto" w:fill="E9EFF7"/>
          </w:tcPr>
          <w:p>
            <w:pPr>
              <w:spacing w:after="0"/>
              <w:rPr>
                <w:sz w:val="5"/>
                <w:szCs w:val="5"/>
                <w:color w:val="auto"/>
              </w:rPr>
            </w:pPr>
          </w:p>
        </w:tc>
        <w:tc>
          <w:tcPr>
            <w:tcW w:w="700" w:type="dxa"/>
            <w:vAlign w:val="bottom"/>
            <w:tcBorders>
              <w:top w:val="single" w:sz="8" w:color="0000EE"/>
            </w:tcBorders>
            <w:shd w:val="clear" w:color="auto" w:fill="E9EFF7"/>
          </w:tcPr>
          <w:p>
            <w:pPr>
              <w:spacing w:after="0"/>
              <w:rPr>
                <w:sz w:val="5"/>
                <w:szCs w:val="5"/>
                <w:color w:val="auto"/>
              </w:rPr>
            </w:pPr>
          </w:p>
        </w:tc>
        <w:tc>
          <w:tcPr>
            <w:tcW w:w="140" w:type="dxa"/>
            <w:vAlign w:val="bottom"/>
            <w:tcBorders>
              <w:top w:val="single" w:sz="8" w:color="0000EE"/>
            </w:tcBorders>
            <w:shd w:val="clear" w:color="auto" w:fill="E9EFF7"/>
          </w:tcPr>
          <w:p>
            <w:pPr>
              <w:spacing w:after="0"/>
              <w:rPr>
                <w:sz w:val="5"/>
                <w:szCs w:val="5"/>
                <w:color w:val="auto"/>
              </w:rPr>
            </w:pPr>
          </w:p>
        </w:tc>
        <w:tc>
          <w:tcPr>
            <w:tcW w:w="300" w:type="dxa"/>
            <w:vAlign w:val="bottom"/>
            <w:tcBorders>
              <w:top w:val="single" w:sz="8" w:color="0000EE"/>
            </w:tcBorders>
            <w:shd w:val="clear" w:color="auto" w:fill="E9EFF7"/>
          </w:tcPr>
          <w:p>
            <w:pPr>
              <w:spacing w:after="0"/>
              <w:rPr>
                <w:sz w:val="5"/>
                <w:szCs w:val="5"/>
                <w:color w:val="auto"/>
              </w:rPr>
            </w:pPr>
          </w:p>
        </w:tc>
        <w:tc>
          <w:tcPr>
            <w:tcW w:w="460" w:type="dxa"/>
            <w:vAlign w:val="bottom"/>
            <w:tcBorders>
              <w:top w:val="single" w:sz="8" w:color="0000EE"/>
              <w:right w:val="single" w:sz="8" w:color="E9EFF7"/>
            </w:tcBorders>
            <w:shd w:val="clear" w:color="auto" w:fill="E9EFF7"/>
          </w:tcPr>
          <w:p>
            <w:pPr>
              <w:spacing w:after="0"/>
              <w:rPr>
                <w:sz w:val="5"/>
                <w:szCs w:val="5"/>
                <w:color w:val="auto"/>
              </w:rPr>
            </w:pPr>
          </w:p>
        </w:tc>
        <w:tc>
          <w:tcPr>
            <w:tcW w:w="280" w:type="dxa"/>
            <w:vAlign w:val="bottom"/>
            <w:tcBorders>
              <w:top w:val="single" w:sz="8" w:color="0000EE"/>
            </w:tcBorders>
            <w:shd w:val="clear" w:color="auto" w:fill="E9EFF7"/>
          </w:tcPr>
          <w:p>
            <w:pPr>
              <w:spacing w:after="0"/>
              <w:rPr>
                <w:sz w:val="5"/>
                <w:szCs w:val="5"/>
                <w:color w:val="auto"/>
              </w:rPr>
            </w:pPr>
          </w:p>
        </w:tc>
        <w:tc>
          <w:tcPr>
            <w:tcW w:w="120" w:type="dxa"/>
            <w:vAlign w:val="bottom"/>
            <w:tcBorders>
              <w:top w:val="single" w:sz="8" w:color="E9EFF7"/>
            </w:tcBorders>
            <w:shd w:val="clear" w:color="auto" w:fill="E9EFF7"/>
          </w:tcPr>
          <w:p>
            <w:pPr>
              <w:spacing w:after="0"/>
              <w:rPr>
                <w:sz w:val="5"/>
                <w:szCs w:val="5"/>
                <w:color w:val="auto"/>
              </w:rPr>
            </w:pPr>
          </w:p>
        </w:tc>
        <w:tc>
          <w:tcPr>
            <w:tcW w:w="240" w:type="dxa"/>
            <w:vAlign w:val="bottom"/>
            <w:tcBorders>
              <w:top w:val="single" w:sz="8" w:color="E9EFF7"/>
            </w:tcBorders>
            <w:shd w:val="clear" w:color="auto" w:fill="E9EFF7"/>
          </w:tcPr>
          <w:p>
            <w:pPr>
              <w:spacing w:after="0"/>
              <w:rPr>
                <w:sz w:val="5"/>
                <w:szCs w:val="5"/>
                <w:color w:val="auto"/>
              </w:rPr>
            </w:pPr>
          </w:p>
        </w:tc>
        <w:tc>
          <w:tcPr>
            <w:tcW w:w="220" w:type="dxa"/>
            <w:vAlign w:val="bottom"/>
            <w:tcBorders>
              <w:top w:val="single" w:sz="8" w:color="E9EFF7"/>
            </w:tcBorders>
            <w:shd w:val="clear" w:color="auto" w:fill="E9EFF7"/>
          </w:tcPr>
          <w:p>
            <w:pPr>
              <w:spacing w:after="0"/>
              <w:rPr>
                <w:sz w:val="5"/>
                <w:szCs w:val="5"/>
                <w:color w:val="auto"/>
              </w:rPr>
            </w:pPr>
          </w:p>
        </w:tc>
        <w:tc>
          <w:tcPr>
            <w:tcW w:w="40" w:type="dxa"/>
            <w:vAlign w:val="bottom"/>
            <w:tcBorders>
              <w:top w:val="single" w:sz="8" w:color="E9EFF7"/>
            </w:tcBorders>
            <w:shd w:val="clear" w:color="auto" w:fill="E9EFF7"/>
          </w:tcPr>
          <w:p>
            <w:pPr>
              <w:spacing w:after="0"/>
              <w:rPr>
                <w:sz w:val="5"/>
                <w:szCs w:val="5"/>
                <w:color w:val="auto"/>
              </w:rPr>
            </w:pPr>
          </w:p>
        </w:tc>
        <w:tc>
          <w:tcPr>
            <w:tcW w:w="800" w:type="dxa"/>
            <w:vAlign w:val="bottom"/>
            <w:tcBorders>
              <w:top w:val="single" w:sz="8" w:color="E9EFF7"/>
            </w:tcBorders>
            <w:shd w:val="clear" w:color="auto" w:fill="E9EFF7"/>
          </w:tcPr>
          <w:p>
            <w:pPr>
              <w:spacing w:after="0"/>
              <w:rPr>
                <w:sz w:val="5"/>
                <w:szCs w:val="5"/>
                <w:color w:val="auto"/>
              </w:rPr>
            </w:pPr>
          </w:p>
        </w:tc>
        <w:tc>
          <w:tcPr>
            <w:tcW w:w="100" w:type="dxa"/>
            <w:vAlign w:val="bottom"/>
            <w:tcBorders>
              <w:top w:val="single" w:sz="8" w:color="E9EFF7"/>
            </w:tcBorders>
            <w:shd w:val="clear" w:color="auto" w:fill="E9EFF7"/>
          </w:tcPr>
          <w:p>
            <w:pPr>
              <w:spacing w:after="0"/>
              <w:rPr>
                <w:sz w:val="5"/>
                <w:szCs w:val="5"/>
                <w:color w:val="auto"/>
              </w:rPr>
            </w:pPr>
          </w:p>
        </w:tc>
        <w:tc>
          <w:tcPr>
            <w:tcW w:w="180" w:type="dxa"/>
            <w:vAlign w:val="bottom"/>
            <w:tcBorders>
              <w:top w:val="single" w:sz="8" w:color="E9EFF7"/>
            </w:tcBorders>
            <w:shd w:val="clear" w:color="auto" w:fill="E9EFF7"/>
          </w:tcPr>
          <w:p>
            <w:pPr>
              <w:spacing w:after="0"/>
              <w:rPr>
                <w:sz w:val="5"/>
                <w:szCs w:val="5"/>
                <w:color w:val="auto"/>
              </w:rPr>
            </w:pPr>
          </w:p>
        </w:tc>
        <w:tc>
          <w:tcPr>
            <w:tcW w:w="60" w:type="dxa"/>
            <w:vAlign w:val="bottom"/>
            <w:tcBorders>
              <w:top w:val="single" w:sz="8" w:color="E9EFF7"/>
            </w:tcBorders>
            <w:shd w:val="clear" w:color="auto" w:fill="E9EFF7"/>
          </w:tcPr>
          <w:p>
            <w:pPr>
              <w:spacing w:after="0"/>
              <w:rPr>
                <w:sz w:val="5"/>
                <w:szCs w:val="5"/>
                <w:color w:val="auto"/>
              </w:rPr>
            </w:pPr>
          </w:p>
        </w:tc>
        <w:tc>
          <w:tcPr>
            <w:tcW w:w="140" w:type="dxa"/>
            <w:vAlign w:val="bottom"/>
            <w:tcBorders>
              <w:top w:val="single" w:sz="8" w:color="E9EFF7"/>
              <w:right w:val="single" w:sz="8" w:color="E9EFF7"/>
            </w:tcBorders>
            <w:shd w:val="clear" w:color="auto" w:fill="E9EFF7"/>
          </w:tcPr>
          <w:p>
            <w:pPr>
              <w:spacing w:after="0"/>
              <w:rPr>
                <w:sz w:val="5"/>
                <w:szCs w:val="5"/>
                <w:color w:val="auto"/>
              </w:rPr>
            </w:pPr>
          </w:p>
        </w:tc>
        <w:tc>
          <w:tcPr>
            <w:tcW w:w="220" w:type="dxa"/>
            <w:vAlign w:val="bottom"/>
            <w:tcBorders>
              <w:top w:val="single" w:sz="8" w:color="0000EE"/>
              <w:right w:val="single" w:sz="8" w:color="E9EFF7"/>
            </w:tcBorders>
            <w:shd w:val="clear" w:color="auto" w:fill="E9EFF7"/>
          </w:tcPr>
          <w:p>
            <w:pPr>
              <w:spacing w:after="0"/>
              <w:rPr>
                <w:sz w:val="5"/>
                <w:szCs w:val="5"/>
                <w:color w:val="auto"/>
              </w:rPr>
            </w:pPr>
          </w:p>
        </w:tc>
      </w:tr>
      <w:tr>
        <w:trPr>
          <w:trHeight w:val="281"/>
        </w:trPr>
        <w:tc>
          <w:tcPr>
            <w:tcW w:w="160" w:type="dxa"/>
            <w:vAlign w:val="bottom"/>
          </w:tcPr>
          <w:p>
            <w:pPr>
              <w:spacing w:after="0"/>
              <w:rPr>
                <w:sz w:val="24"/>
                <w:szCs w:val="24"/>
                <w:color w:val="auto"/>
              </w:rPr>
            </w:pPr>
          </w:p>
        </w:tc>
        <w:tc>
          <w:tcPr>
            <w:tcW w:w="3980" w:type="dxa"/>
            <w:vAlign w:val="bottom"/>
            <w:gridSpan w:val="11"/>
          </w:tcPr>
          <w:p>
            <w:pPr>
              <w:spacing w:after="0"/>
              <w:rPr>
                <w:sz w:val="20"/>
                <w:szCs w:val="20"/>
                <w:color w:val="auto"/>
              </w:rPr>
            </w:pPr>
            <w:r>
              <w:rPr>
                <w:rFonts w:ascii="Arial" w:cs="Arial" w:eastAsia="Arial" w:hAnsi="Arial"/>
                <w:sz w:val="16"/>
                <w:szCs w:val="16"/>
                <w:b w:val="1"/>
                <w:bCs w:val="1"/>
                <w:color w:val="0000EE"/>
              </w:rPr>
              <w:t>Executive Summary</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gridSpan w:val="3"/>
          </w:tcPr>
          <w:p>
            <w:pPr>
              <w:jc w:val="right"/>
              <w:ind w:right="60"/>
              <w:spacing w:after="0"/>
              <w:rPr>
                <w:sz w:val="20"/>
                <w:szCs w:val="20"/>
                <w:color w:val="auto"/>
              </w:rPr>
            </w:pPr>
            <w:r>
              <w:rPr>
                <w:rFonts w:ascii="Arial" w:cs="Arial" w:eastAsia="Arial" w:hAnsi="Arial"/>
                <w:sz w:val="16"/>
                <w:szCs w:val="16"/>
                <w:color w:val="0000EE"/>
              </w:rPr>
              <w:t xml:space="preserve">44 </w:t>
            </w:r>
            <w:r>
              <w:rPr>
                <w:rFonts w:ascii="Times New Roman" w:cs="Times New Roman" w:eastAsia="Times New Roman" w:hAnsi="Times New Roman"/>
                <w:sz w:val="3"/>
                <w:szCs w:val="3"/>
                <w:color w:val="000000"/>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400" w:type="dxa"/>
            <w:vAlign w:val="bottom"/>
            <w:gridSpan w:val="11"/>
          </w:tcPr>
          <w:p>
            <w:pPr>
              <w:spacing w:after="0"/>
              <w:rPr>
                <w:sz w:val="20"/>
                <w:szCs w:val="20"/>
                <w:color w:val="auto"/>
              </w:rPr>
            </w:pPr>
            <w:r>
              <w:rPr>
                <w:rFonts w:ascii="Arial" w:cs="Arial" w:eastAsia="Arial" w:hAnsi="Arial"/>
                <w:sz w:val="16"/>
                <w:szCs w:val="16"/>
                <w:color w:val="0000EE"/>
              </w:rPr>
              <w:t>Base Salary</w:t>
            </w:r>
          </w:p>
        </w:tc>
        <w:tc>
          <w:tcPr>
            <w:tcW w:w="18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0000EE"/>
                <w:w w:val="89"/>
              </w:rPr>
              <w:t>49</w:t>
            </w:r>
          </w:p>
        </w:tc>
      </w:tr>
      <w:tr>
        <w:trPr>
          <w:trHeight w:val="60"/>
        </w:trPr>
        <w:tc>
          <w:tcPr>
            <w:tcW w:w="160" w:type="dxa"/>
            <w:vAlign w:val="bottom"/>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r>
      <w:tr>
        <w:trPr>
          <w:trHeight w:val="281"/>
        </w:trPr>
        <w:tc>
          <w:tcPr>
            <w:tcW w:w="160" w:type="dxa"/>
            <w:vAlign w:val="bottom"/>
          </w:tcPr>
          <w:p>
            <w:pPr>
              <w:spacing w:after="0"/>
              <w:rPr>
                <w:sz w:val="24"/>
                <w:szCs w:val="24"/>
                <w:color w:val="auto"/>
              </w:rPr>
            </w:pPr>
          </w:p>
        </w:tc>
        <w:tc>
          <w:tcPr>
            <w:tcW w:w="2080" w:type="dxa"/>
            <w:vAlign w:val="bottom"/>
            <w:gridSpan w:val="6"/>
          </w:tcPr>
          <w:p>
            <w:pPr>
              <w:spacing w:after="0"/>
              <w:rPr>
                <w:sz w:val="20"/>
                <w:szCs w:val="20"/>
                <w:color w:val="auto"/>
              </w:rPr>
            </w:pPr>
            <w:r>
              <w:rPr>
                <w:rFonts w:ascii="Arial" w:cs="Arial" w:eastAsia="Arial" w:hAnsi="Arial"/>
                <w:sz w:val="16"/>
                <w:szCs w:val="16"/>
                <w:color w:val="0000EE"/>
                <w:w w:val="99"/>
              </w:rPr>
              <w:t>2023 Performance Highlights</w:t>
            </w:r>
          </w:p>
        </w:tc>
        <w:tc>
          <w:tcPr>
            <w:tcW w:w="1900" w:type="dxa"/>
            <w:vAlign w:val="bottom"/>
            <w:gridSpan w:val="5"/>
          </w:tcPr>
          <w:p>
            <w:pPr>
              <w:spacing w:after="0"/>
              <w:rPr>
                <w:sz w:val="24"/>
                <w:szCs w:val="24"/>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right w:val="single" w:sz="8" w:color="E9EFF7"/>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right w:val="single" w:sz="8" w:color="E9EFF7"/>
            </w:tcBorders>
            <w:shd w:val="clear" w:color="auto" w:fill="E9EFF7"/>
          </w:tcPr>
          <w:p>
            <w:pPr>
              <w:spacing w:after="0"/>
              <w:rPr>
                <w:sz w:val="24"/>
                <w:szCs w:val="24"/>
                <w:color w:val="auto"/>
              </w:rPr>
            </w:pPr>
          </w:p>
        </w:tc>
        <w:tc>
          <w:tcPr>
            <w:tcW w:w="260" w:type="dxa"/>
            <w:vAlign w:val="bottom"/>
            <w:gridSpan w:val="2"/>
            <w:shd w:val="clear" w:color="auto" w:fill="E9EFF7"/>
          </w:tcPr>
          <w:p>
            <w:pPr>
              <w:jc w:val="right"/>
              <w:ind w:right="60"/>
              <w:spacing w:after="0"/>
              <w:rPr>
                <w:sz w:val="20"/>
                <w:szCs w:val="20"/>
                <w:color w:val="auto"/>
              </w:rPr>
            </w:pPr>
            <w:r>
              <w:rPr>
                <w:rFonts w:ascii="Arial" w:cs="Arial" w:eastAsia="Arial" w:hAnsi="Arial"/>
                <w:sz w:val="16"/>
                <w:szCs w:val="16"/>
                <w:color w:val="0000EE"/>
                <w:w w:val="80"/>
              </w:rPr>
              <w:t xml:space="preserve">44 </w:t>
            </w:r>
            <w:r>
              <w:rPr>
                <w:rFonts w:ascii="Times New Roman" w:cs="Times New Roman" w:eastAsia="Times New Roman" w:hAnsi="Times New Roman"/>
                <w:sz w:val="3"/>
                <w:szCs w:val="3"/>
                <w:color w:val="000000"/>
                <w:w w:val="80"/>
              </w:rPr>
              <w:t>​</w:t>
            </w:r>
          </w:p>
        </w:tc>
        <w:tc>
          <w:tcPr>
            <w:tcW w:w="220" w:type="dxa"/>
            <w:vAlign w:val="bottom"/>
            <w:tcBorders>
              <w:right w:val="single" w:sz="8" w:color="E9EFF7"/>
            </w:tcBorders>
            <w:gridSpan w:val="2"/>
            <w:shd w:val="clear" w:color="auto" w:fill="E9EFF7"/>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400" w:type="dxa"/>
            <w:vAlign w:val="bottom"/>
            <w:gridSpan w:val="11"/>
            <w:shd w:val="clear" w:color="auto" w:fill="E9EFF7"/>
          </w:tcPr>
          <w:p>
            <w:pPr>
              <w:spacing w:after="0"/>
              <w:rPr>
                <w:sz w:val="20"/>
                <w:szCs w:val="20"/>
                <w:color w:val="auto"/>
              </w:rPr>
            </w:pPr>
            <w:r>
              <w:rPr>
                <w:rFonts w:ascii="Arial" w:cs="Arial" w:eastAsia="Arial" w:hAnsi="Arial"/>
                <w:sz w:val="16"/>
                <w:szCs w:val="16"/>
                <w:color w:val="0000EE"/>
              </w:rPr>
              <w:t>Annual Incentive Compensation</w:t>
            </w:r>
          </w:p>
        </w:tc>
        <w:tc>
          <w:tcPr>
            <w:tcW w:w="180" w:type="dxa"/>
            <w:vAlign w:val="bottom"/>
            <w:shd w:val="clear" w:color="auto" w:fill="E9EFF7"/>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right w:val="single" w:sz="8" w:color="E9EFF7"/>
            </w:tcBorders>
            <w:gridSpan w:val="2"/>
            <w:shd w:val="clear" w:color="auto" w:fill="E9EFF7"/>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right w:val="single" w:sz="8" w:color="E9EFF7"/>
            </w:tcBorders>
            <w:shd w:val="clear" w:color="auto" w:fill="E9EFF7"/>
          </w:tcPr>
          <w:p>
            <w:pPr>
              <w:jc w:val="right"/>
              <w:spacing w:after="0"/>
              <w:rPr>
                <w:sz w:val="20"/>
                <w:szCs w:val="20"/>
                <w:color w:val="auto"/>
              </w:rPr>
            </w:pPr>
            <w:r>
              <w:rPr>
                <w:rFonts w:ascii="Arial" w:cs="Arial" w:eastAsia="Arial" w:hAnsi="Arial"/>
                <w:sz w:val="16"/>
                <w:szCs w:val="16"/>
                <w:color w:val="0000EE"/>
                <w:w w:val="89"/>
              </w:rPr>
              <w:t>50</w:t>
            </w:r>
          </w:p>
        </w:tc>
      </w:tr>
      <w:tr>
        <w:trPr>
          <w:trHeight w:val="20"/>
        </w:trPr>
        <w:tc>
          <w:tcPr>
            <w:tcW w:w="1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E9EFF7"/>
            </w:tcBorders>
          </w:tcPr>
          <w:p>
            <w:pPr>
              <w:spacing w:after="0" w:line="20" w:lineRule="exact"/>
              <w:rPr>
                <w:sz w:val="1"/>
                <w:szCs w:val="1"/>
                <w:color w:val="auto"/>
              </w:rPr>
            </w:pPr>
          </w:p>
        </w:tc>
        <w:tc>
          <w:tcPr>
            <w:tcW w:w="100" w:type="dxa"/>
            <w:vAlign w:val="bottom"/>
            <w:tcBorders>
              <w:right w:val="single" w:sz="8" w:color="0000EE"/>
            </w:tcBorders>
            <w:shd w:val="clear" w:color="auto" w:fill="E9EFF7"/>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E9EFF7"/>
          </w:tcPr>
          <w:p>
            <w:pPr>
              <w:spacing w:after="0" w:line="20" w:lineRule="exact"/>
              <w:rPr>
                <w:sz w:val="1"/>
                <w:szCs w:val="1"/>
                <w:color w:val="auto"/>
              </w:rPr>
            </w:pPr>
          </w:p>
        </w:tc>
        <w:tc>
          <w:tcPr>
            <w:tcW w:w="60" w:type="dxa"/>
            <w:vAlign w:val="bottom"/>
            <w:shd w:val="clear" w:color="auto" w:fill="E9EFF7"/>
          </w:tcPr>
          <w:p>
            <w:pPr>
              <w:spacing w:after="0" w:line="20" w:lineRule="exact"/>
              <w:rPr>
                <w:sz w:val="1"/>
                <w:szCs w:val="1"/>
                <w:color w:val="auto"/>
              </w:rPr>
            </w:pPr>
          </w:p>
        </w:tc>
        <w:tc>
          <w:tcPr>
            <w:tcW w:w="160" w:type="dxa"/>
            <w:vAlign w:val="bottom"/>
            <w:tcBorders>
              <w:right w:val="single" w:sz="8" w:color="0000EE"/>
            </w:tcBorders>
            <w:shd w:val="clear" w:color="auto" w:fill="E9EFF7"/>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E9EFF7"/>
          </w:tcPr>
          <w:p>
            <w:pPr>
              <w:spacing w:after="0" w:line="20" w:lineRule="exact"/>
              <w:rPr>
                <w:sz w:val="1"/>
                <w:szCs w:val="1"/>
                <w:color w:val="auto"/>
              </w:rPr>
            </w:pPr>
          </w:p>
        </w:tc>
        <w:tc>
          <w:tcPr>
            <w:tcW w:w="40" w:type="dxa"/>
            <w:vAlign w:val="bottom"/>
            <w:shd w:val="clear" w:color="auto" w:fill="E9EFF7"/>
          </w:tcPr>
          <w:p>
            <w:pPr>
              <w:spacing w:after="0" w:line="20" w:lineRule="exact"/>
              <w:rPr>
                <w:sz w:val="1"/>
                <w:szCs w:val="1"/>
                <w:color w:val="auto"/>
              </w:rPr>
            </w:pPr>
          </w:p>
        </w:tc>
        <w:tc>
          <w:tcPr>
            <w:tcW w:w="800" w:type="dxa"/>
            <w:vAlign w:val="bottom"/>
            <w:shd w:val="clear" w:color="auto" w:fill="E9EFF7"/>
          </w:tcPr>
          <w:p>
            <w:pPr>
              <w:spacing w:after="0" w:line="20" w:lineRule="exact"/>
              <w:rPr>
                <w:sz w:val="1"/>
                <w:szCs w:val="1"/>
                <w:color w:val="auto"/>
              </w:rPr>
            </w:pPr>
          </w:p>
        </w:tc>
        <w:tc>
          <w:tcPr>
            <w:tcW w:w="100" w:type="dxa"/>
            <w:vAlign w:val="bottom"/>
            <w:shd w:val="clear" w:color="auto" w:fill="E9EFF7"/>
          </w:tcPr>
          <w:p>
            <w:pPr>
              <w:spacing w:after="0" w:line="20" w:lineRule="exact"/>
              <w:rPr>
                <w:sz w:val="1"/>
                <w:szCs w:val="1"/>
                <w:color w:val="auto"/>
              </w:rPr>
            </w:pPr>
          </w:p>
        </w:tc>
        <w:tc>
          <w:tcPr>
            <w:tcW w:w="180" w:type="dxa"/>
            <w:vAlign w:val="bottom"/>
            <w:shd w:val="clear" w:color="auto" w:fill="E9EFF7"/>
          </w:tcPr>
          <w:p>
            <w:pPr>
              <w:spacing w:after="0" w:line="20" w:lineRule="exact"/>
              <w:rPr>
                <w:sz w:val="1"/>
                <w:szCs w:val="1"/>
                <w:color w:val="auto"/>
              </w:rPr>
            </w:pPr>
          </w:p>
        </w:tc>
        <w:tc>
          <w:tcPr>
            <w:tcW w:w="60" w:type="dxa"/>
            <w:vAlign w:val="bottom"/>
            <w:shd w:val="clear" w:color="auto" w:fill="E9EFF7"/>
          </w:tcPr>
          <w:p>
            <w:pPr>
              <w:spacing w:after="0" w:line="20" w:lineRule="exact"/>
              <w:rPr>
                <w:sz w:val="1"/>
                <w:szCs w:val="1"/>
                <w:color w:val="auto"/>
              </w:rPr>
            </w:pPr>
          </w:p>
        </w:tc>
        <w:tc>
          <w:tcPr>
            <w:tcW w:w="140" w:type="dxa"/>
            <w:vAlign w:val="bottom"/>
            <w:tcBorders>
              <w:right w:val="single" w:sz="8" w:color="E9EFF7"/>
            </w:tcBorders>
            <w:shd w:val="clear" w:color="auto" w:fill="E9EFF7"/>
          </w:tcPr>
          <w:p>
            <w:pPr>
              <w:spacing w:after="0" w:line="20" w:lineRule="exact"/>
              <w:rPr>
                <w:sz w:val="1"/>
                <w:szCs w:val="1"/>
                <w:color w:val="auto"/>
              </w:rPr>
            </w:pPr>
          </w:p>
        </w:tc>
        <w:tc>
          <w:tcPr>
            <w:tcW w:w="220" w:type="dxa"/>
            <w:vAlign w:val="bottom"/>
            <w:tcBorders>
              <w:right w:val="single" w:sz="8" w:color="E9EFF7"/>
            </w:tcBorders>
            <w:shd w:val="clear" w:color="auto" w:fill="0000EE"/>
          </w:tcPr>
          <w:p>
            <w:pPr>
              <w:spacing w:after="0" w:line="20" w:lineRule="exact"/>
              <w:rPr>
                <w:sz w:val="1"/>
                <w:szCs w:val="1"/>
                <w:color w:val="auto"/>
              </w:rPr>
            </w:pPr>
          </w:p>
        </w:tc>
      </w:tr>
      <w:tr>
        <w:trPr>
          <w:trHeight w:val="275"/>
        </w:trPr>
        <w:tc>
          <w:tcPr>
            <w:tcW w:w="160" w:type="dxa"/>
            <w:vAlign w:val="bottom"/>
          </w:tcPr>
          <w:p>
            <w:pPr>
              <w:spacing w:after="0"/>
              <w:rPr>
                <w:sz w:val="23"/>
                <w:szCs w:val="23"/>
                <w:color w:val="auto"/>
              </w:rPr>
            </w:pPr>
          </w:p>
        </w:tc>
        <w:tc>
          <w:tcPr>
            <w:tcW w:w="3980" w:type="dxa"/>
            <w:vAlign w:val="bottom"/>
            <w:gridSpan w:val="11"/>
          </w:tcPr>
          <w:p>
            <w:pPr>
              <w:spacing w:after="0"/>
              <w:rPr>
                <w:sz w:val="20"/>
                <w:szCs w:val="20"/>
                <w:color w:val="auto"/>
              </w:rPr>
            </w:pPr>
            <w:r>
              <w:rPr>
                <w:rFonts w:ascii="Arial" w:cs="Arial" w:eastAsia="Arial" w:hAnsi="Arial"/>
                <w:sz w:val="16"/>
                <w:szCs w:val="16"/>
                <w:color w:val="0000EE"/>
              </w:rPr>
              <w:t>2023 Compensation Highlights</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right w:val="single" w:sz="8" w:color="E9EFF7"/>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right w:val="single" w:sz="8" w:color="E9EFF7"/>
            </w:tcBorders>
            <w:shd w:val="clear" w:color="auto" w:fill="E9EFF7"/>
          </w:tcPr>
          <w:p>
            <w:pPr>
              <w:spacing w:after="0"/>
              <w:rPr>
                <w:sz w:val="23"/>
                <w:szCs w:val="23"/>
                <w:color w:val="auto"/>
              </w:rPr>
            </w:pPr>
          </w:p>
        </w:tc>
        <w:tc>
          <w:tcPr>
            <w:tcW w:w="260" w:type="dxa"/>
            <w:vAlign w:val="bottom"/>
            <w:gridSpan w:val="2"/>
            <w:shd w:val="clear" w:color="auto" w:fill="E9EFF7"/>
          </w:tcPr>
          <w:p>
            <w:pPr>
              <w:jc w:val="right"/>
              <w:ind w:right="60"/>
              <w:spacing w:after="0"/>
              <w:rPr>
                <w:sz w:val="20"/>
                <w:szCs w:val="20"/>
                <w:color w:val="auto"/>
              </w:rPr>
            </w:pPr>
            <w:r>
              <w:rPr>
                <w:rFonts w:ascii="Arial" w:cs="Arial" w:eastAsia="Arial" w:hAnsi="Arial"/>
                <w:sz w:val="16"/>
                <w:szCs w:val="16"/>
                <w:color w:val="0000EE"/>
                <w:w w:val="80"/>
              </w:rPr>
              <w:t xml:space="preserve">45 </w:t>
            </w:r>
            <w:r>
              <w:rPr>
                <w:rFonts w:ascii="Times New Roman" w:cs="Times New Roman" w:eastAsia="Times New Roman" w:hAnsi="Times New Roman"/>
                <w:sz w:val="3"/>
                <w:szCs w:val="3"/>
                <w:color w:val="000000"/>
                <w:w w:val="80"/>
              </w:rPr>
              <w:t>​</w:t>
            </w:r>
          </w:p>
        </w:tc>
        <w:tc>
          <w:tcPr>
            <w:tcW w:w="220" w:type="dxa"/>
            <w:vAlign w:val="bottom"/>
            <w:tcBorders>
              <w:right w:val="single" w:sz="8" w:color="E9EFF7"/>
            </w:tcBorders>
            <w:gridSpan w:val="2"/>
            <w:shd w:val="clear" w:color="auto" w:fill="E9EFF7"/>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400" w:type="dxa"/>
            <w:vAlign w:val="bottom"/>
            <w:gridSpan w:val="11"/>
            <w:shd w:val="clear" w:color="auto" w:fill="E9EFF7"/>
          </w:tcPr>
          <w:p>
            <w:pPr>
              <w:spacing w:after="0"/>
              <w:rPr>
                <w:sz w:val="20"/>
                <w:szCs w:val="20"/>
                <w:color w:val="auto"/>
              </w:rPr>
            </w:pPr>
            <w:r>
              <w:rPr>
                <w:rFonts w:ascii="Arial" w:cs="Arial" w:eastAsia="Arial" w:hAnsi="Arial"/>
                <w:sz w:val="16"/>
                <w:szCs w:val="16"/>
                <w:color w:val="0000EE"/>
              </w:rPr>
              <w:t>Long-Term Incentive Compensation</w:t>
            </w:r>
          </w:p>
        </w:tc>
        <w:tc>
          <w:tcPr>
            <w:tcW w:w="180" w:type="dxa"/>
            <w:vAlign w:val="bottom"/>
            <w:shd w:val="clear" w:color="auto" w:fill="E9EFF7"/>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right w:val="single" w:sz="8" w:color="E9EFF7"/>
            </w:tcBorders>
            <w:gridSpan w:val="2"/>
            <w:shd w:val="clear" w:color="auto" w:fill="E9EFF7"/>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right w:val="single" w:sz="8" w:color="E9EFF7"/>
            </w:tcBorders>
            <w:shd w:val="clear" w:color="auto" w:fill="E9EFF7"/>
          </w:tcPr>
          <w:p>
            <w:pPr>
              <w:jc w:val="right"/>
              <w:spacing w:after="0"/>
              <w:rPr>
                <w:sz w:val="20"/>
                <w:szCs w:val="20"/>
                <w:color w:val="auto"/>
              </w:rPr>
            </w:pPr>
            <w:r>
              <w:rPr>
                <w:rFonts w:ascii="Arial" w:cs="Arial" w:eastAsia="Arial" w:hAnsi="Arial"/>
                <w:sz w:val="16"/>
                <w:szCs w:val="16"/>
                <w:color w:val="0000EE"/>
                <w:w w:val="89"/>
              </w:rPr>
              <w:t>53</w:t>
            </w:r>
          </w:p>
        </w:tc>
      </w:tr>
      <w:tr>
        <w:trPr>
          <w:trHeight w:val="60"/>
        </w:trPr>
        <w:tc>
          <w:tcPr>
            <w:tcW w:w="160" w:type="dxa"/>
            <w:vAlign w:val="bottom"/>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right w:val="single" w:sz="8" w:color="E9EFF7"/>
            </w:tcBorders>
          </w:tcPr>
          <w:p>
            <w:pPr>
              <w:spacing w:after="0"/>
              <w:rPr>
                <w:sz w:val="5"/>
                <w:szCs w:val="5"/>
                <w:color w:val="auto"/>
              </w:rPr>
            </w:pPr>
          </w:p>
        </w:tc>
        <w:tc>
          <w:tcPr>
            <w:tcW w:w="100" w:type="dxa"/>
            <w:vAlign w:val="bottom"/>
            <w:tcBorders>
              <w:top w:val="single" w:sz="8" w:color="E9EFF7"/>
              <w:right w:val="single" w:sz="8" w:color="E9EFF7"/>
            </w:tcBorders>
            <w:shd w:val="clear" w:color="auto" w:fill="E9EFF7"/>
          </w:tcPr>
          <w:p>
            <w:pPr>
              <w:spacing w:after="0"/>
              <w:rPr>
                <w:sz w:val="5"/>
                <w:szCs w:val="5"/>
                <w:color w:val="auto"/>
              </w:rPr>
            </w:pPr>
          </w:p>
        </w:tc>
        <w:tc>
          <w:tcPr>
            <w:tcW w:w="140" w:type="dxa"/>
            <w:vAlign w:val="bottom"/>
            <w:tcBorders>
              <w:top w:val="single" w:sz="8" w:color="0000EE"/>
            </w:tcBorders>
            <w:shd w:val="clear" w:color="auto" w:fill="E9EFF7"/>
          </w:tcPr>
          <w:p>
            <w:pPr>
              <w:spacing w:after="0"/>
              <w:rPr>
                <w:sz w:val="5"/>
                <w:szCs w:val="5"/>
                <w:color w:val="auto"/>
              </w:rPr>
            </w:pPr>
          </w:p>
        </w:tc>
        <w:tc>
          <w:tcPr>
            <w:tcW w:w="120" w:type="dxa"/>
            <w:vAlign w:val="bottom"/>
            <w:tcBorders>
              <w:top w:val="single" w:sz="8" w:color="E9EFF7"/>
            </w:tcBorders>
            <w:shd w:val="clear" w:color="auto" w:fill="E9EFF7"/>
          </w:tcPr>
          <w:p>
            <w:pPr>
              <w:spacing w:after="0"/>
              <w:rPr>
                <w:sz w:val="5"/>
                <w:szCs w:val="5"/>
                <w:color w:val="auto"/>
              </w:rPr>
            </w:pPr>
          </w:p>
        </w:tc>
        <w:tc>
          <w:tcPr>
            <w:tcW w:w="60" w:type="dxa"/>
            <w:vAlign w:val="bottom"/>
            <w:tcBorders>
              <w:top w:val="single" w:sz="8" w:color="E9EFF7"/>
            </w:tcBorders>
            <w:shd w:val="clear" w:color="auto" w:fill="E9EFF7"/>
          </w:tcPr>
          <w:p>
            <w:pPr>
              <w:spacing w:after="0"/>
              <w:rPr>
                <w:sz w:val="5"/>
                <w:szCs w:val="5"/>
                <w:color w:val="auto"/>
              </w:rPr>
            </w:pPr>
          </w:p>
        </w:tc>
        <w:tc>
          <w:tcPr>
            <w:tcW w:w="160" w:type="dxa"/>
            <w:vAlign w:val="bottom"/>
            <w:tcBorders>
              <w:top w:val="single" w:sz="8" w:color="E9EFF7"/>
              <w:right w:val="single" w:sz="8" w:color="E9EFF7"/>
            </w:tcBorders>
            <w:shd w:val="clear" w:color="auto" w:fill="E9EFF7"/>
          </w:tcPr>
          <w:p>
            <w:pPr>
              <w:spacing w:after="0"/>
              <w:rPr>
                <w:sz w:val="5"/>
                <w:szCs w:val="5"/>
                <w:color w:val="auto"/>
              </w:rPr>
            </w:pPr>
          </w:p>
        </w:tc>
        <w:tc>
          <w:tcPr>
            <w:tcW w:w="700" w:type="dxa"/>
            <w:vAlign w:val="bottom"/>
            <w:tcBorders>
              <w:top w:val="single" w:sz="8" w:color="0000EE"/>
            </w:tcBorders>
            <w:shd w:val="clear" w:color="auto" w:fill="E9EFF7"/>
          </w:tcPr>
          <w:p>
            <w:pPr>
              <w:spacing w:after="0"/>
              <w:rPr>
                <w:sz w:val="5"/>
                <w:szCs w:val="5"/>
                <w:color w:val="auto"/>
              </w:rPr>
            </w:pPr>
          </w:p>
        </w:tc>
        <w:tc>
          <w:tcPr>
            <w:tcW w:w="140" w:type="dxa"/>
            <w:vAlign w:val="bottom"/>
            <w:tcBorders>
              <w:top w:val="single" w:sz="8" w:color="0000EE"/>
            </w:tcBorders>
            <w:shd w:val="clear" w:color="auto" w:fill="E9EFF7"/>
          </w:tcPr>
          <w:p>
            <w:pPr>
              <w:spacing w:after="0"/>
              <w:rPr>
                <w:sz w:val="5"/>
                <w:szCs w:val="5"/>
                <w:color w:val="auto"/>
              </w:rPr>
            </w:pPr>
          </w:p>
        </w:tc>
        <w:tc>
          <w:tcPr>
            <w:tcW w:w="300" w:type="dxa"/>
            <w:vAlign w:val="bottom"/>
            <w:tcBorders>
              <w:top w:val="single" w:sz="8" w:color="0000EE"/>
            </w:tcBorders>
            <w:shd w:val="clear" w:color="auto" w:fill="E9EFF7"/>
          </w:tcPr>
          <w:p>
            <w:pPr>
              <w:spacing w:after="0"/>
              <w:rPr>
                <w:sz w:val="5"/>
                <w:szCs w:val="5"/>
                <w:color w:val="auto"/>
              </w:rPr>
            </w:pPr>
          </w:p>
        </w:tc>
        <w:tc>
          <w:tcPr>
            <w:tcW w:w="460" w:type="dxa"/>
            <w:vAlign w:val="bottom"/>
            <w:tcBorders>
              <w:top w:val="single" w:sz="8" w:color="0000EE"/>
              <w:right w:val="single" w:sz="8" w:color="E9EFF7"/>
            </w:tcBorders>
            <w:shd w:val="clear" w:color="auto" w:fill="E9EFF7"/>
          </w:tcPr>
          <w:p>
            <w:pPr>
              <w:spacing w:after="0"/>
              <w:rPr>
                <w:sz w:val="5"/>
                <w:szCs w:val="5"/>
                <w:color w:val="auto"/>
              </w:rPr>
            </w:pPr>
          </w:p>
        </w:tc>
        <w:tc>
          <w:tcPr>
            <w:tcW w:w="280" w:type="dxa"/>
            <w:vAlign w:val="bottom"/>
            <w:tcBorders>
              <w:top w:val="single" w:sz="8" w:color="0000EE"/>
            </w:tcBorders>
            <w:shd w:val="clear" w:color="auto" w:fill="E9EFF7"/>
          </w:tcPr>
          <w:p>
            <w:pPr>
              <w:spacing w:after="0"/>
              <w:rPr>
                <w:sz w:val="5"/>
                <w:szCs w:val="5"/>
                <w:color w:val="auto"/>
              </w:rPr>
            </w:pPr>
          </w:p>
        </w:tc>
        <w:tc>
          <w:tcPr>
            <w:tcW w:w="120" w:type="dxa"/>
            <w:vAlign w:val="bottom"/>
            <w:tcBorders>
              <w:top w:val="single" w:sz="8" w:color="0000EE"/>
            </w:tcBorders>
            <w:shd w:val="clear" w:color="auto" w:fill="E9EFF7"/>
          </w:tcPr>
          <w:p>
            <w:pPr>
              <w:spacing w:after="0"/>
              <w:rPr>
                <w:sz w:val="5"/>
                <w:szCs w:val="5"/>
                <w:color w:val="auto"/>
              </w:rPr>
            </w:pPr>
          </w:p>
        </w:tc>
        <w:tc>
          <w:tcPr>
            <w:tcW w:w="240" w:type="dxa"/>
            <w:vAlign w:val="bottom"/>
            <w:tcBorders>
              <w:top w:val="single" w:sz="8" w:color="0000EE"/>
            </w:tcBorders>
            <w:shd w:val="clear" w:color="auto" w:fill="E9EFF7"/>
          </w:tcPr>
          <w:p>
            <w:pPr>
              <w:spacing w:after="0"/>
              <w:rPr>
                <w:sz w:val="5"/>
                <w:szCs w:val="5"/>
                <w:color w:val="auto"/>
              </w:rPr>
            </w:pPr>
          </w:p>
        </w:tc>
        <w:tc>
          <w:tcPr>
            <w:tcW w:w="220" w:type="dxa"/>
            <w:vAlign w:val="bottom"/>
            <w:tcBorders>
              <w:top w:val="single" w:sz="8" w:color="0000EE"/>
            </w:tcBorders>
            <w:shd w:val="clear" w:color="auto" w:fill="E9EFF7"/>
          </w:tcPr>
          <w:p>
            <w:pPr>
              <w:spacing w:after="0"/>
              <w:rPr>
                <w:sz w:val="5"/>
                <w:szCs w:val="5"/>
                <w:color w:val="auto"/>
              </w:rPr>
            </w:pPr>
          </w:p>
        </w:tc>
        <w:tc>
          <w:tcPr>
            <w:tcW w:w="40" w:type="dxa"/>
            <w:vAlign w:val="bottom"/>
            <w:tcBorders>
              <w:top w:val="single" w:sz="8" w:color="0000EE"/>
            </w:tcBorders>
            <w:shd w:val="clear" w:color="auto" w:fill="E9EFF7"/>
          </w:tcPr>
          <w:p>
            <w:pPr>
              <w:spacing w:after="0"/>
              <w:rPr>
                <w:sz w:val="5"/>
                <w:szCs w:val="5"/>
                <w:color w:val="auto"/>
              </w:rPr>
            </w:pPr>
          </w:p>
        </w:tc>
        <w:tc>
          <w:tcPr>
            <w:tcW w:w="800" w:type="dxa"/>
            <w:vAlign w:val="bottom"/>
            <w:tcBorders>
              <w:top w:val="single" w:sz="8" w:color="E9EFF7"/>
            </w:tcBorders>
            <w:shd w:val="clear" w:color="auto" w:fill="E9EFF7"/>
          </w:tcPr>
          <w:p>
            <w:pPr>
              <w:spacing w:after="0"/>
              <w:rPr>
                <w:sz w:val="5"/>
                <w:szCs w:val="5"/>
                <w:color w:val="auto"/>
              </w:rPr>
            </w:pPr>
          </w:p>
        </w:tc>
        <w:tc>
          <w:tcPr>
            <w:tcW w:w="100" w:type="dxa"/>
            <w:vAlign w:val="bottom"/>
            <w:tcBorders>
              <w:top w:val="single" w:sz="8" w:color="E9EFF7"/>
            </w:tcBorders>
            <w:shd w:val="clear" w:color="auto" w:fill="E9EFF7"/>
          </w:tcPr>
          <w:p>
            <w:pPr>
              <w:spacing w:after="0"/>
              <w:rPr>
                <w:sz w:val="5"/>
                <w:szCs w:val="5"/>
                <w:color w:val="auto"/>
              </w:rPr>
            </w:pPr>
          </w:p>
        </w:tc>
        <w:tc>
          <w:tcPr>
            <w:tcW w:w="180" w:type="dxa"/>
            <w:vAlign w:val="bottom"/>
            <w:tcBorders>
              <w:top w:val="single" w:sz="8" w:color="E9EFF7"/>
            </w:tcBorders>
            <w:shd w:val="clear" w:color="auto" w:fill="E9EFF7"/>
          </w:tcPr>
          <w:p>
            <w:pPr>
              <w:spacing w:after="0"/>
              <w:rPr>
                <w:sz w:val="5"/>
                <w:szCs w:val="5"/>
                <w:color w:val="auto"/>
              </w:rPr>
            </w:pPr>
          </w:p>
        </w:tc>
        <w:tc>
          <w:tcPr>
            <w:tcW w:w="60" w:type="dxa"/>
            <w:vAlign w:val="bottom"/>
            <w:tcBorders>
              <w:top w:val="single" w:sz="8" w:color="E9EFF7"/>
            </w:tcBorders>
            <w:shd w:val="clear" w:color="auto" w:fill="E9EFF7"/>
          </w:tcPr>
          <w:p>
            <w:pPr>
              <w:spacing w:after="0"/>
              <w:rPr>
                <w:sz w:val="5"/>
                <w:szCs w:val="5"/>
                <w:color w:val="auto"/>
              </w:rPr>
            </w:pPr>
          </w:p>
        </w:tc>
        <w:tc>
          <w:tcPr>
            <w:tcW w:w="140" w:type="dxa"/>
            <w:vAlign w:val="bottom"/>
            <w:tcBorders>
              <w:top w:val="single" w:sz="8" w:color="E9EFF7"/>
              <w:right w:val="single" w:sz="8" w:color="E9EFF7"/>
            </w:tcBorders>
            <w:shd w:val="clear" w:color="auto" w:fill="E9EFF7"/>
          </w:tcPr>
          <w:p>
            <w:pPr>
              <w:spacing w:after="0"/>
              <w:rPr>
                <w:sz w:val="5"/>
                <w:szCs w:val="5"/>
                <w:color w:val="auto"/>
              </w:rPr>
            </w:pPr>
          </w:p>
        </w:tc>
        <w:tc>
          <w:tcPr>
            <w:tcW w:w="220" w:type="dxa"/>
            <w:vAlign w:val="bottom"/>
            <w:tcBorders>
              <w:top w:val="single" w:sz="8" w:color="0000EE"/>
              <w:right w:val="single" w:sz="8" w:color="E9EFF7"/>
            </w:tcBorders>
            <w:shd w:val="clear" w:color="auto" w:fill="E9EFF7"/>
          </w:tcPr>
          <w:p>
            <w:pPr>
              <w:spacing w:after="0"/>
              <w:rPr>
                <w:sz w:val="5"/>
                <w:szCs w:val="5"/>
                <w:color w:val="auto"/>
              </w:rPr>
            </w:pPr>
          </w:p>
        </w:tc>
      </w:tr>
      <w:tr>
        <w:trPr>
          <w:trHeight w:val="214"/>
        </w:trPr>
        <w:tc>
          <w:tcPr>
            <w:tcW w:w="160" w:type="dxa"/>
            <w:vAlign w:val="bottom"/>
          </w:tcPr>
          <w:p>
            <w:pPr>
              <w:spacing w:after="0"/>
              <w:rPr>
                <w:sz w:val="18"/>
                <w:szCs w:val="18"/>
                <w:color w:val="auto"/>
              </w:rPr>
            </w:pPr>
          </w:p>
        </w:tc>
        <w:tc>
          <w:tcPr>
            <w:tcW w:w="3980" w:type="dxa"/>
            <w:vAlign w:val="bottom"/>
            <w:gridSpan w:val="11"/>
          </w:tcPr>
          <w:p>
            <w:pPr>
              <w:spacing w:after="0"/>
              <w:rPr>
                <w:sz w:val="20"/>
                <w:szCs w:val="20"/>
                <w:color w:val="auto"/>
              </w:rPr>
            </w:pPr>
            <w:r>
              <w:rPr>
                <w:rFonts w:ascii="Arial" w:cs="Arial" w:eastAsia="Arial" w:hAnsi="Arial"/>
                <w:sz w:val="16"/>
                <w:szCs w:val="16"/>
                <w:color w:val="0000EE"/>
              </w:rPr>
              <w:t>Say-on-Pay Results</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right w:val="single" w:sz="8" w:color="E9EFF7"/>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right w:val="single" w:sz="8" w:color="E9EFF7"/>
            </w:tcBorders>
            <w:shd w:val="clear" w:color="auto" w:fill="E9EFF7"/>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0000EE"/>
                <w:w w:val="80"/>
              </w:rPr>
              <w:t xml:space="preserve">45 </w:t>
            </w:r>
            <w:r>
              <w:rPr>
                <w:rFonts w:ascii="Times New Roman" w:cs="Times New Roman" w:eastAsia="Times New Roman" w:hAnsi="Times New Roman"/>
                <w:sz w:val="3"/>
                <w:szCs w:val="3"/>
                <w:color w:val="000000"/>
                <w:w w:val="80"/>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18"/>
                <w:szCs w:val="18"/>
                <w:color w:val="auto"/>
              </w:rPr>
            </w:pPr>
          </w:p>
        </w:tc>
        <w:tc>
          <w:tcPr>
            <w:tcW w:w="3400" w:type="dxa"/>
            <w:vAlign w:val="bottom"/>
            <w:gridSpan w:val="11"/>
          </w:tcPr>
          <w:p>
            <w:pPr>
              <w:spacing w:after="0"/>
              <w:rPr>
                <w:sz w:val="20"/>
                <w:szCs w:val="20"/>
                <w:color w:val="auto"/>
              </w:rPr>
            </w:pPr>
            <w:r>
              <w:rPr>
                <w:rFonts w:ascii="Arial" w:cs="Arial" w:eastAsia="Arial" w:hAnsi="Arial"/>
                <w:sz w:val="16"/>
                <w:szCs w:val="16"/>
                <w:color w:val="0000EE"/>
              </w:rPr>
              <w:t>Additional Benefits and Perquisites</w:t>
            </w:r>
          </w:p>
        </w:tc>
        <w:tc>
          <w:tcPr>
            <w:tcW w:w="18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0000EE"/>
                <w:w w:val="89"/>
              </w:rPr>
              <w:t>56</w:t>
            </w:r>
          </w:p>
        </w:tc>
      </w:tr>
      <w:tr>
        <w:trPr>
          <w:trHeight w:val="60"/>
        </w:trPr>
        <w:tc>
          <w:tcPr>
            <w:tcW w:w="160" w:type="dxa"/>
            <w:vAlign w:val="bottom"/>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right w:val="single" w:sz="8" w:color="E9EFF7"/>
            </w:tcBorders>
          </w:tcPr>
          <w:p>
            <w:pPr>
              <w:spacing w:after="0"/>
              <w:rPr>
                <w:sz w:val="5"/>
                <w:szCs w:val="5"/>
                <w:color w:val="auto"/>
              </w:rPr>
            </w:pPr>
          </w:p>
        </w:tc>
        <w:tc>
          <w:tcPr>
            <w:tcW w:w="100" w:type="dxa"/>
            <w:vAlign w:val="bottom"/>
            <w:tcBorders>
              <w:top w:val="single" w:sz="8" w:color="E9EFF7"/>
              <w:right w:val="single" w:sz="8" w:color="E9EFF7"/>
            </w:tcBorders>
            <w:shd w:val="clear" w:color="auto" w:fill="E9EFF7"/>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r>
      <w:tr>
        <w:trPr>
          <w:trHeight w:val="281"/>
        </w:trPr>
        <w:tc>
          <w:tcPr>
            <w:tcW w:w="160" w:type="dxa"/>
            <w:vAlign w:val="bottom"/>
          </w:tcPr>
          <w:p>
            <w:pPr>
              <w:spacing w:after="0"/>
              <w:rPr>
                <w:sz w:val="24"/>
                <w:szCs w:val="24"/>
                <w:color w:val="auto"/>
              </w:rPr>
            </w:pPr>
          </w:p>
        </w:tc>
        <w:tc>
          <w:tcPr>
            <w:tcW w:w="3040" w:type="dxa"/>
            <w:vAlign w:val="bottom"/>
            <w:gridSpan w:val="8"/>
          </w:tcPr>
          <w:p>
            <w:pPr>
              <w:spacing w:after="0"/>
              <w:rPr>
                <w:sz w:val="20"/>
                <w:szCs w:val="20"/>
                <w:color w:val="auto"/>
              </w:rPr>
            </w:pPr>
            <w:r>
              <w:rPr>
                <w:rFonts w:ascii="Arial" w:cs="Arial" w:eastAsia="Arial" w:hAnsi="Arial"/>
                <w:sz w:val="16"/>
                <w:szCs w:val="16"/>
                <w:color w:val="0000EE"/>
              </w:rPr>
              <w:t>Compensation Governance Best Practices</w:t>
            </w:r>
          </w:p>
        </w:tc>
        <w:tc>
          <w:tcPr>
            <w:tcW w:w="940" w:type="dxa"/>
            <w:vAlign w:val="bottom"/>
            <w:gridSpan w:val="3"/>
          </w:tcPr>
          <w:p>
            <w:pPr>
              <w:spacing w:after="0"/>
              <w:rPr>
                <w:sz w:val="24"/>
                <w:szCs w:val="24"/>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right w:val="single" w:sz="8" w:color="E9EFF7"/>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right w:val="single" w:sz="8" w:color="E9EFF7"/>
            </w:tcBorders>
            <w:shd w:val="clear" w:color="auto" w:fill="E9EFF7"/>
          </w:tcPr>
          <w:p>
            <w:pPr>
              <w:spacing w:after="0"/>
              <w:rPr>
                <w:sz w:val="24"/>
                <w:szCs w:val="24"/>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0000EE"/>
                <w:w w:val="80"/>
              </w:rPr>
              <w:t xml:space="preserve">46 </w:t>
            </w:r>
            <w:r>
              <w:rPr>
                <w:rFonts w:ascii="Times New Roman" w:cs="Times New Roman" w:eastAsia="Times New Roman" w:hAnsi="Times New Roman"/>
                <w:sz w:val="3"/>
                <w:szCs w:val="3"/>
                <w:color w:val="000000"/>
                <w:w w:val="80"/>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right w:val="single" w:sz="8" w:color="E9EFF7"/>
            </w:tcBorders>
            <w:shd w:val="clear" w:color="auto" w:fill="E9EFF7"/>
          </w:tcPr>
          <w:p>
            <w:pPr>
              <w:spacing w:after="0"/>
              <w:rPr>
                <w:sz w:val="24"/>
                <w:szCs w:val="24"/>
                <w:color w:val="auto"/>
              </w:rPr>
            </w:pPr>
          </w:p>
        </w:tc>
        <w:tc>
          <w:tcPr>
            <w:tcW w:w="3400" w:type="dxa"/>
            <w:vAlign w:val="bottom"/>
            <w:gridSpan w:val="11"/>
            <w:shd w:val="clear" w:color="auto" w:fill="E9EFF7"/>
          </w:tcPr>
          <w:p>
            <w:pPr>
              <w:spacing w:after="0"/>
              <w:rPr>
                <w:sz w:val="20"/>
                <w:szCs w:val="20"/>
                <w:color w:val="auto"/>
              </w:rPr>
            </w:pPr>
            <w:r>
              <w:rPr>
                <w:rFonts w:ascii="Arial" w:cs="Arial" w:eastAsia="Arial" w:hAnsi="Arial"/>
                <w:sz w:val="16"/>
                <w:szCs w:val="16"/>
                <w:b w:val="1"/>
                <w:bCs w:val="1"/>
                <w:color w:val="0000EE"/>
              </w:rPr>
              <w:t>NEO Pay Summaries</w:t>
            </w:r>
          </w:p>
        </w:tc>
        <w:tc>
          <w:tcPr>
            <w:tcW w:w="180" w:type="dxa"/>
            <w:vAlign w:val="bottom"/>
            <w:shd w:val="clear" w:color="auto" w:fill="E9EFF7"/>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right w:val="single" w:sz="8" w:color="E9EFF7"/>
            </w:tcBorders>
            <w:gridSpan w:val="2"/>
            <w:shd w:val="clear" w:color="auto" w:fill="E9EFF7"/>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right w:val="single" w:sz="8" w:color="E9EFF7"/>
            </w:tcBorders>
            <w:shd w:val="clear" w:color="auto" w:fill="E9EFF7"/>
          </w:tcPr>
          <w:p>
            <w:pPr>
              <w:jc w:val="right"/>
              <w:spacing w:after="0"/>
              <w:rPr>
                <w:sz w:val="20"/>
                <w:szCs w:val="20"/>
                <w:color w:val="auto"/>
              </w:rPr>
            </w:pPr>
            <w:r>
              <w:rPr>
                <w:rFonts w:ascii="Arial" w:cs="Arial" w:eastAsia="Arial" w:hAnsi="Arial"/>
                <w:sz w:val="16"/>
                <w:szCs w:val="16"/>
                <w:color w:val="0000EE"/>
                <w:w w:val="89"/>
              </w:rPr>
              <w:t>57</w:t>
            </w:r>
          </w:p>
        </w:tc>
      </w:tr>
      <w:tr>
        <w:trPr>
          <w:trHeight w:val="20"/>
        </w:trPr>
        <w:tc>
          <w:tcPr>
            <w:tcW w:w="1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E9EFF7"/>
            </w:tcBorders>
          </w:tcPr>
          <w:p>
            <w:pPr>
              <w:spacing w:after="0" w:line="20" w:lineRule="exact"/>
              <w:rPr>
                <w:sz w:val="1"/>
                <w:szCs w:val="1"/>
                <w:color w:val="auto"/>
              </w:rPr>
            </w:pPr>
          </w:p>
        </w:tc>
        <w:tc>
          <w:tcPr>
            <w:tcW w:w="100" w:type="dxa"/>
            <w:vAlign w:val="bottom"/>
            <w:tcBorders>
              <w:right w:val="single" w:sz="8" w:color="0000EE"/>
            </w:tcBorders>
            <w:shd w:val="clear" w:color="auto" w:fill="E9EFF7"/>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E9EFF7"/>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tcBorders>
              <w:right w:val="single" w:sz="8" w:color="E9EFF7"/>
            </w:tcBorders>
            <w:shd w:val="clear" w:color="auto" w:fill="0000EE"/>
          </w:tcPr>
          <w:p>
            <w:pPr>
              <w:spacing w:after="0" w:line="20" w:lineRule="exact"/>
              <w:rPr>
                <w:sz w:val="1"/>
                <w:szCs w:val="1"/>
                <w:color w:val="auto"/>
              </w:rPr>
            </w:pPr>
          </w:p>
        </w:tc>
        <w:tc>
          <w:tcPr>
            <w:tcW w:w="280" w:type="dxa"/>
            <w:vAlign w:val="bottom"/>
            <w:shd w:val="clear" w:color="auto" w:fill="E9EFF7"/>
          </w:tcPr>
          <w:p>
            <w:pPr>
              <w:spacing w:after="0" w:line="20" w:lineRule="exact"/>
              <w:rPr>
                <w:sz w:val="1"/>
                <w:szCs w:val="1"/>
                <w:color w:val="auto"/>
              </w:rPr>
            </w:pPr>
          </w:p>
        </w:tc>
        <w:tc>
          <w:tcPr>
            <w:tcW w:w="120" w:type="dxa"/>
            <w:vAlign w:val="bottom"/>
            <w:shd w:val="clear" w:color="auto" w:fill="E9EFF7"/>
          </w:tcPr>
          <w:p>
            <w:pPr>
              <w:spacing w:after="0" w:line="20" w:lineRule="exact"/>
              <w:rPr>
                <w:sz w:val="1"/>
                <w:szCs w:val="1"/>
                <w:color w:val="auto"/>
              </w:rPr>
            </w:pPr>
          </w:p>
        </w:tc>
        <w:tc>
          <w:tcPr>
            <w:tcW w:w="240" w:type="dxa"/>
            <w:vAlign w:val="bottom"/>
            <w:shd w:val="clear" w:color="auto" w:fill="E9EFF7"/>
          </w:tcPr>
          <w:p>
            <w:pPr>
              <w:spacing w:after="0" w:line="20" w:lineRule="exact"/>
              <w:rPr>
                <w:sz w:val="1"/>
                <w:szCs w:val="1"/>
                <w:color w:val="auto"/>
              </w:rPr>
            </w:pPr>
          </w:p>
        </w:tc>
        <w:tc>
          <w:tcPr>
            <w:tcW w:w="220" w:type="dxa"/>
            <w:vAlign w:val="bottom"/>
            <w:shd w:val="clear" w:color="auto" w:fill="E9EFF7"/>
          </w:tcPr>
          <w:p>
            <w:pPr>
              <w:spacing w:after="0" w:line="20" w:lineRule="exact"/>
              <w:rPr>
                <w:sz w:val="1"/>
                <w:szCs w:val="1"/>
                <w:color w:val="auto"/>
              </w:rPr>
            </w:pPr>
          </w:p>
        </w:tc>
        <w:tc>
          <w:tcPr>
            <w:tcW w:w="40" w:type="dxa"/>
            <w:vAlign w:val="bottom"/>
            <w:shd w:val="clear" w:color="auto" w:fill="E9EFF7"/>
          </w:tcPr>
          <w:p>
            <w:pPr>
              <w:spacing w:after="0" w:line="20" w:lineRule="exact"/>
              <w:rPr>
                <w:sz w:val="1"/>
                <w:szCs w:val="1"/>
                <w:color w:val="auto"/>
              </w:rPr>
            </w:pPr>
          </w:p>
        </w:tc>
        <w:tc>
          <w:tcPr>
            <w:tcW w:w="800" w:type="dxa"/>
            <w:vAlign w:val="bottom"/>
            <w:shd w:val="clear" w:color="auto" w:fill="E9EFF7"/>
          </w:tcPr>
          <w:p>
            <w:pPr>
              <w:spacing w:after="0" w:line="20" w:lineRule="exact"/>
              <w:rPr>
                <w:sz w:val="1"/>
                <w:szCs w:val="1"/>
                <w:color w:val="auto"/>
              </w:rPr>
            </w:pPr>
          </w:p>
        </w:tc>
        <w:tc>
          <w:tcPr>
            <w:tcW w:w="100" w:type="dxa"/>
            <w:vAlign w:val="bottom"/>
            <w:shd w:val="clear" w:color="auto" w:fill="E9EFF7"/>
          </w:tcPr>
          <w:p>
            <w:pPr>
              <w:spacing w:after="0" w:line="20" w:lineRule="exact"/>
              <w:rPr>
                <w:sz w:val="1"/>
                <w:szCs w:val="1"/>
                <w:color w:val="auto"/>
              </w:rPr>
            </w:pPr>
          </w:p>
        </w:tc>
        <w:tc>
          <w:tcPr>
            <w:tcW w:w="180" w:type="dxa"/>
            <w:vAlign w:val="bottom"/>
            <w:shd w:val="clear" w:color="auto" w:fill="E9EFF7"/>
          </w:tcPr>
          <w:p>
            <w:pPr>
              <w:spacing w:after="0" w:line="20" w:lineRule="exact"/>
              <w:rPr>
                <w:sz w:val="1"/>
                <w:szCs w:val="1"/>
                <w:color w:val="auto"/>
              </w:rPr>
            </w:pPr>
          </w:p>
        </w:tc>
        <w:tc>
          <w:tcPr>
            <w:tcW w:w="60" w:type="dxa"/>
            <w:vAlign w:val="bottom"/>
            <w:shd w:val="clear" w:color="auto" w:fill="E9EFF7"/>
          </w:tcPr>
          <w:p>
            <w:pPr>
              <w:spacing w:after="0" w:line="20" w:lineRule="exact"/>
              <w:rPr>
                <w:sz w:val="1"/>
                <w:szCs w:val="1"/>
                <w:color w:val="auto"/>
              </w:rPr>
            </w:pPr>
          </w:p>
        </w:tc>
        <w:tc>
          <w:tcPr>
            <w:tcW w:w="140" w:type="dxa"/>
            <w:vAlign w:val="bottom"/>
            <w:tcBorders>
              <w:right w:val="single" w:sz="8" w:color="E9EFF7"/>
            </w:tcBorders>
            <w:shd w:val="clear" w:color="auto" w:fill="E9EFF7"/>
          </w:tcPr>
          <w:p>
            <w:pPr>
              <w:spacing w:after="0" w:line="20" w:lineRule="exact"/>
              <w:rPr>
                <w:sz w:val="1"/>
                <w:szCs w:val="1"/>
                <w:color w:val="auto"/>
              </w:rPr>
            </w:pPr>
          </w:p>
        </w:tc>
        <w:tc>
          <w:tcPr>
            <w:tcW w:w="220" w:type="dxa"/>
            <w:vAlign w:val="bottom"/>
            <w:tcBorders>
              <w:right w:val="single" w:sz="8" w:color="E9EFF7"/>
            </w:tcBorders>
            <w:shd w:val="clear" w:color="auto" w:fill="0000EE"/>
          </w:tcPr>
          <w:p>
            <w:pPr>
              <w:spacing w:after="0" w:line="20" w:lineRule="exact"/>
              <w:rPr>
                <w:sz w:val="1"/>
                <w:szCs w:val="1"/>
                <w:color w:val="auto"/>
              </w:rPr>
            </w:pPr>
          </w:p>
        </w:tc>
      </w:tr>
      <w:tr>
        <w:trPr>
          <w:trHeight w:val="342"/>
        </w:trPr>
        <w:tc>
          <w:tcPr>
            <w:tcW w:w="160" w:type="dxa"/>
            <w:vAlign w:val="bottom"/>
          </w:tcPr>
          <w:p>
            <w:pPr>
              <w:spacing w:after="0"/>
              <w:rPr>
                <w:sz w:val="24"/>
                <w:szCs w:val="24"/>
                <w:color w:val="auto"/>
              </w:rPr>
            </w:pPr>
          </w:p>
        </w:tc>
        <w:tc>
          <w:tcPr>
            <w:tcW w:w="3980" w:type="dxa"/>
            <w:vAlign w:val="bottom"/>
            <w:gridSpan w:val="11"/>
          </w:tcPr>
          <w:p>
            <w:pPr>
              <w:spacing w:after="0"/>
              <w:rPr>
                <w:sz w:val="20"/>
                <w:szCs w:val="20"/>
                <w:color w:val="auto"/>
              </w:rPr>
            </w:pPr>
            <w:r>
              <w:rPr>
                <w:rFonts w:ascii="Arial" w:cs="Arial" w:eastAsia="Arial" w:hAnsi="Arial"/>
                <w:sz w:val="16"/>
                <w:szCs w:val="16"/>
                <w:b w:val="1"/>
                <w:bCs w:val="1"/>
                <w:color w:val="0000EE"/>
              </w:rPr>
              <w:t>Compensation Philosophy and Objectives</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right w:val="single" w:sz="8" w:color="E9EFF7"/>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right w:val="single" w:sz="8" w:color="E9EFF7"/>
            </w:tcBorders>
            <w:shd w:val="clear" w:color="auto" w:fill="E9EFF7"/>
          </w:tcPr>
          <w:p>
            <w:pPr>
              <w:spacing w:after="0"/>
              <w:rPr>
                <w:sz w:val="24"/>
                <w:szCs w:val="24"/>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0000EE"/>
                <w:w w:val="80"/>
              </w:rPr>
              <w:t xml:space="preserve">46 </w:t>
            </w:r>
            <w:r>
              <w:rPr>
                <w:rFonts w:ascii="Times New Roman" w:cs="Times New Roman" w:eastAsia="Times New Roman" w:hAnsi="Times New Roman"/>
                <w:sz w:val="3"/>
                <w:szCs w:val="3"/>
                <w:color w:val="000000"/>
                <w:w w:val="80"/>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right w:val="single" w:sz="8" w:color="E9EFF7"/>
            </w:tcBorders>
            <w:shd w:val="clear" w:color="auto" w:fill="E9EFF7"/>
          </w:tcPr>
          <w:p>
            <w:pPr>
              <w:spacing w:after="0"/>
              <w:rPr>
                <w:sz w:val="24"/>
                <w:szCs w:val="24"/>
                <w:color w:val="auto"/>
              </w:rPr>
            </w:pPr>
          </w:p>
        </w:tc>
        <w:tc>
          <w:tcPr>
            <w:tcW w:w="3400" w:type="dxa"/>
            <w:vAlign w:val="bottom"/>
            <w:gridSpan w:val="11"/>
            <w:shd w:val="clear" w:color="auto" w:fill="E9EFF7"/>
          </w:tcPr>
          <w:p>
            <w:pPr>
              <w:spacing w:after="0"/>
              <w:rPr>
                <w:sz w:val="20"/>
                <w:szCs w:val="20"/>
                <w:color w:val="auto"/>
              </w:rPr>
            </w:pPr>
            <w:r>
              <w:rPr>
                <w:rFonts w:ascii="Arial" w:cs="Arial" w:eastAsia="Arial" w:hAnsi="Arial"/>
                <w:sz w:val="16"/>
                <w:szCs w:val="16"/>
                <w:b w:val="1"/>
                <w:bCs w:val="1"/>
                <w:color w:val="0000EE"/>
              </w:rPr>
              <w:t>Other Compensation Policies and Practices</w:t>
            </w:r>
          </w:p>
        </w:tc>
        <w:tc>
          <w:tcPr>
            <w:tcW w:w="180" w:type="dxa"/>
            <w:vAlign w:val="bottom"/>
            <w:shd w:val="clear" w:color="auto" w:fill="E9EFF7"/>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right w:val="single" w:sz="8" w:color="E9EFF7"/>
            </w:tcBorders>
            <w:gridSpan w:val="2"/>
            <w:shd w:val="clear" w:color="auto" w:fill="E9EFF7"/>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right w:val="single" w:sz="8" w:color="E9EFF7"/>
            </w:tcBorders>
            <w:shd w:val="clear" w:color="auto" w:fill="E9EFF7"/>
          </w:tcPr>
          <w:p>
            <w:pPr>
              <w:jc w:val="right"/>
              <w:spacing w:after="0"/>
              <w:rPr>
                <w:sz w:val="20"/>
                <w:szCs w:val="20"/>
                <w:color w:val="auto"/>
              </w:rPr>
            </w:pPr>
            <w:r>
              <w:rPr>
                <w:rFonts w:ascii="Arial" w:cs="Arial" w:eastAsia="Arial" w:hAnsi="Arial"/>
                <w:sz w:val="16"/>
                <w:szCs w:val="16"/>
                <w:color w:val="0000EE"/>
                <w:w w:val="89"/>
              </w:rPr>
              <w:t>58</w:t>
            </w:r>
          </w:p>
        </w:tc>
      </w:tr>
      <w:tr>
        <w:trPr>
          <w:trHeight w:val="60"/>
        </w:trPr>
        <w:tc>
          <w:tcPr>
            <w:tcW w:w="160" w:type="dxa"/>
            <w:vAlign w:val="bottom"/>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right w:val="single" w:sz="8" w:color="E9EFF7"/>
            </w:tcBorders>
          </w:tcPr>
          <w:p>
            <w:pPr>
              <w:spacing w:after="0"/>
              <w:rPr>
                <w:sz w:val="5"/>
                <w:szCs w:val="5"/>
                <w:color w:val="auto"/>
              </w:rPr>
            </w:pPr>
          </w:p>
        </w:tc>
        <w:tc>
          <w:tcPr>
            <w:tcW w:w="100" w:type="dxa"/>
            <w:vAlign w:val="bottom"/>
            <w:tcBorders>
              <w:top w:val="single" w:sz="8" w:color="E9EFF7"/>
              <w:right w:val="single" w:sz="8" w:color="E9EFF7"/>
            </w:tcBorders>
            <w:shd w:val="clear" w:color="auto" w:fill="E9EFF7"/>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top w:val="single" w:sz="8" w:color="E9EFF7"/>
              <w:right w:val="single" w:sz="8" w:color="E9EFF7"/>
            </w:tcBorders>
            <w:shd w:val="clear" w:color="auto" w:fill="E9EFF7"/>
          </w:tcPr>
          <w:p>
            <w:pPr>
              <w:spacing w:after="0"/>
              <w:rPr>
                <w:sz w:val="5"/>
                <w:szCs w:val="5"/>
                <w:color w:val="auto"/>
              </w:rPr>
            </w:pPr>
          </w:p>
        </w:tc>
        <w:tc>
          <w:tcPr>
            <w:tcW w:w="700" w:type="dxa"/>
            <w:vAlign w:val="bottom"/>
            <w:tcBorders>
              <w:top w:val="single" w:sz="8" w:color="0000EE"/>
            </w:tcBorders>
            <w:shd w:val="clear" w:color="auto" w:fill="E9EFF7"/>
          </w:tcPr>
          <w:p>
            <w:pPr>
              <w:spacing w:after="0"/>
              <w:rPr>
                <w:sz w:val="5"/>
                <w:szCs w:val="5"/>
                <w:color w:val="auto"/>
              </w:rPr>
            </w:pPr>
          </w:p>
        </w:tc>
        <w:tc>
          <w:tcPr>
            <w:tcW w:w="140" w:type="dxa"/>
            <w:vAlign w:val="bottom"/>
            <w:tcBorders>
              <w:top w:val="single" w:sz="8" w:color="0000EE"/>
            </w:tcBorders>
            <w:shd w:val="clear" w:color="auto" w:fill="E9EFF7"/>
          </w:tcPr>
          <w:p>
            <w:pPr>
              <w:spacing w:after="0"/>
              <w:rPr>
                <w:sz w:val="5"/>
                <w:szCs w:val="5"/>
                <w:color w:val="auto"/>
              </w:rPr>
            </w:pPr>
          </w:p>
        </w:tc>
        <w:tc>
          <w:tcPr>
            <w:tcW w:w="300" w:type="dxa"/>
            <w:vAlign w:val="bottom"/>
            <w:tcBorders>
              <w:top w:val="single" w:sz="8" w:color="0000EE"/>
            </w:tcBorders>
            <w:shd w:val="clear" w:color="auto" w:fill="E9EFF7"/>
          </w:tcPr>
          <w:p>
            <w:pPr>
              <w:spacing w:after="0"/>
              <w:rPr>
                <w:sz w:val="5"/>
                <w:szCs w:val="5"/>
                <w:color w:val="auto"/>
              </w:rPr>
            </w:pPr>
          </w:p>
        </w:tc>
        <w:tc>
          <w:tcPr>
            <w:tcW w:w="460" w:type="dxa"/>
            <w:vAlign w:val="bottom"/>
            <w:tcBorders>
              <w:top w:val="single" w:sz="8" w:color="0000EE"/>
              <w:right w:val="single" w:sz="8" w:color="E9EFF7"/>
            </w:tcBorders>
            <w:shd w:val="clear" w:color="auto" w:fill="E9EFF7"/>
          </w:tcPr>
          <w:p>
            <w:pPr>
              <w:spacing w:after="0"/>
              <w:rPr>
                <w:sz w:val="5"/>
                <w:szCs w:val="5"/>
                <w:color w:val="auto"/>
              </w:rPr>
            </w:pPr>
          </w:p>
        </w:tc>
        <w:tc>
          <w:tcPr>
            <w:tcW w:w="280" w:type="dxa"/>
            <w:vAlign w:val="bottom"/>
            <w:tcBorders>
              <w:top w:val="single" w:sz="8" w:color="0000EE"/>
            </w:tcBorders>
            <w:shd w:val="clear" w:color="auto" w:fill="E9EFF7"/>
          </w:tcPr>
          <w:p>
            <w:pPr>
              <w:spacing w:after="0"/>
              <w:rPr>
                <w:sz w:val="5"/>
                <w:szCs w:val="5"/>
                <w:color w:val="auto"/>
              </w:rPr>
            </w:pPr>
          </w:p>
        </w:tc>
        <w:tc>
          <w:tcPr>
            <w:tcW w:w="120" w:type="dxa"/>
            <w:vAlign w:val="bottom"/>
            <w:tcBorders>
              <w:top w:val="single" w:sz="8" w:color="0000EE"/>
            </w:tcBorders>
            <w:shd w:val="clear" w:color="auto" w:fill="E9EFF7"/>
          </w:tcPr>
          <w:p>
            <w:pPr>
              <w:spacing w:after="0"/>
              <w:rPr>
                <w:sz w:val="5"/>
                <w:szCs w:val="5"/>
                <w:color w:val="auto"/>
              </w:rPr>
            </w:pPr>
          </w:p>
        </w:tc>
        <w:tc>
          <w:tcPr>
            <w:tcW w:w="240" w:type="dxa"/>
            <w:vAlign w:val="bottom"/>
            <w:tcBorders>
              <w:top w:val="single" w:sz="8" w:color="0000EE"/>
            </w:tcBorders>
            <w:shd w:val="clear" w:color="auto" w:fill="E9EFF7"/>
          </w:tcPr>
          <w:p>
            <w:pPr>
              <w:spacing w:after="0"/>
              <w:rPr>
                <w:sz w:val="5"/>
                <w:szCs w:val="5"/>
                <w:color w:val="auto"/>
              </w:rPr>
            </w:pPr>
          </w:p>
        </w:tc>
        <w:tc>
          <w:tcPr>
            <w:tcW w:w="220" w:type="dxa"/>
            <w:vAlign w:val="bottom"/>
            <w:tcBorders>
              <w:top w:val="single" w:sz="8" w:color="0000EE"/>
            </w:tcBorders>
            <w:shd w:val="clear" w:color="auto" w:fill="E9EFF7"/>
          </w:tcPr>
          <w:p>
            <w:pPr>
              <w:spacing w:after="0"/>
              <w:rPr>
                <w:sz w:val="5"/>
                <w:szCs w:val="5"/>
                <w:color w:val="auto"/>
              </w:rPr>
            </w:pPr>
          </w:p>
        </w:tc>
        <w:tc>
          <w:tcPr>
            <w:tcW w:w="40" w:type="dxa"/>
            <w:vAlign w:val="bottom"/>
            <w:tcBorders>
              <w:top w:val="single" w:sz="8" w:color="0000EE"/>
            </w:tcBorders>
            <w:shd w:val="clear" w:color="auto" w:fill="E9EFF7"/>
          </w:tcPr>
          <w:p>
            <w:pPr>
              <w:spacing w:after="0"/>
              <w:rPr>
                <w:sz w:val="5"/>
                <w:szCs w:val="5"/>
                <w:color w:val="auto"/>
              </w:rPr>
            </w:pPr>
          </w:p>
        </w:tc>
        <w:tc>
          <w:tcPr>
            <w:tcW w:w="800" w:type="dxa"/>
            <w:vAlign w:val="bottom"/>
            <w:tcBorders>
              <w:top w:val="single" w:sz="8" w:color="0000EE"/>
            </w:tcBorders>
            <w:shd w:val="clear" w:color="auto" w:fill="E9EFF7"/>
          </w:tcPr>
          <w:p>
            <w:pPr>
              <w:spacing w:after="0"/>
              <w:rPr>
                <w:sz w:val="5"/>
                <w:szCs w:val="5"/>
                <w:color w:val="auto"/>
              </w:rPr>
            </w:pPr>
          </w:p>
        </w:tc>
        <w:tc>
          <w:tcPr>
            <w:tcW w:w="100" w:type="dxa"/>
            <w:vAlign w:val="bottom"/>
            <w:tcBorders>
              <w:top w:val="single" w:sz="8" w:color="E9EFF7"/>
            </w:tcBorders>
            <w:shd w:val="clear" w:color="auto" w:fill="E9EFF7"/>
          </w:tcPr>
          <w:p>
            <w:pPr>
              <w:spacing w:after="0"/>
              <w:rPr>
                <w:sz w:val="5"/>
                <w:szCs w:val="5"/>
                <w:color w:val="auto"/>
              </w:rPr>
            </w:pPr>
          </w:p>
        </w:tc>
        <w:tc>
          <w:tcPr>
            <w:tcW w:w="180" w:type="dxa"/>
            <w:vAlign w:val="bottom"/>
            <w:tcBorders>
              <w:top w:val="single" w:sz="8" w:color="E9EFF7"/>
            </w:tcBorders>
            <w:shd w:val="clear" w:color="auto" w:fill="E9EFF7"/>
          </w:tcPr>
          <w:p>
            <w:pPr>
              <w:spacing w:after="0"/>
              <w:rPr>
                <w:sz w:val="5"/>
                <w:szCs w:val="5"/>
                <w:color w:val="auto"/>
              </w:rPr>
            </w:pPr>
          </w:p>
        </w:tc>
        <w:tc>
          <w:tcPr>
            <w:tcW w:w="60" w:type="dxa"/>
            <w:vAlign w:val="bottom"/>
            <w:tcBorders>
              <w:top w:val="single" w:sz="8" w:color="E9EFF7"/>
            </w:tcBorders>
            <w:shd w:val="clear" w:color="auto" w:fill="E9EFF7"/>
          </w:tcPr>
          <w:p>
            <w:pPr>
              <w:spacing w:after="0"/>
              <w:rPr>
                <w:sz w:val="5"/>
                <w:szCs w:val="5"/>
                <w:color w:val="auto"/>
              </w:rPr>
            </w:pPr>
          </w:p>
        </w:tc>
        <w:tc>
          <w:tcPr>
            <w:tcW w:w="140" w:type="dxa"/>
            <w:vAlign w:val="bottom"/>
            <w:tcBorders>
              <w:top w:val="single" w:sz="8" w:color="E9EFF7"/>
              <w:right w:val="single" w:sz="8" w:color="E9EFF7"/>
            </w:tcBorders>
            <w:shd w:val="clear" w:color="auto" w:fill="E9EFF7"/>
          </w:tcPr>
          <w:p>
            <w:pPr>
              <w:spacing w:after="0"/>
              <w:rPr>
                <w:sz w:val="5"/>
                <w:szCs w:val="5"/>
                <w:color w:val="auto"/>
              </w:rPr>
            </w:pPr>
          </w:p>
        </w:tc>
        <w:tc>
          <w:tcPr>
            <w:tcW w:w="220" w:type="dxa"/>
            <w:vAlign w:val="bottom"/>
            <w:tcBorders>
              <w:top w:val="single" w:sz="8" w:color="0000EE"/>
              <w:right w:val="single" w:sz="8" w:color="E9EFF7"/>
            </w:tcBorders>
            <w:shd w:val="clear" w:color="auto" w:fill="E9EFF7"/>
          </w:tcPr>
          <w:p>
            <w:pPr>
              <w:spacing w:after="0"/>
              <w:rPr>
                <w:sz w:val="5"/>
                <w:szCs w:val="5"/>
                <w:color w:val="auto"/>
              </w:rPr>
            </w:pPr>
          </w:p>
        </w:tc>
      </w:tr>
      <w:tr>
        <w:trPr>
          <w:trHeight w:val="281"/>
        </w:trPr>
        <w:tc>
          <w:tcPr>
            <w:tcW w:w="160" w:type="dxa"/>
            <w:vAlign w:val="bottom"/>
          </w:tcPr>
          <w:p>
            <w:pPr>
              <w:spacing w:after="0"/>
              <w:rPr>
                <w:sz w:val="24"/>
                <w:szCs w:val="24"/>
                <w:color w:val="auto"/>
              </w:rPr>
            </w:pPr>
          </w:p>
        </w:tc>
        <w:tc>
          <w:tcPr>
            <w:tcW w:w="3980" w:type="dxa"/>
            <w:vAlign w:val="bottom"/>
            <w:gridSpan w:val="11"/>
          </w:tcPr>
          <w:p>
            <w:pPr>
              <w:spacing w:after="0"/>
              <w:rPr>
                <w:sz w:val="20"/>
                <w:szCs w:val="20"/>
                <w:color w:val="auto"/>
              </w:rPr>
            </w:pPr>
            <w:r>
              <w:rPr>
                <w:rFonts w:ascii="Arial" w:cs="Arial" w:eastAsia="Arial" w:hAnsi="Arial"/>
                <w:sz w:val="16"/>
                <w:szCs w:val="16"/>
                <w:b w:val="1"/>
                <w:bCs w:val="1"/>
                <w:color w:val="0000EE"/>
              </w:rPr>
              <w:t>Executive Compensation Decision-Making Process</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right w:val="single" w:sz="8" w:color="E9EFF7"/>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right w:val="single" w:sz="8" w:color="E9EFF7"/>
            </w:tcBorders>
            <w:shd w:val="clear" w:color="auto" w:fill="E9EFF7"/>
          </w:tcPr>
          <w:p>
            <w:pPr>
              <w:spacing w:after="0"/>
              <w:rPr>
                <w:sz w:val="24"/>
                <w:szCs w:val="24"/>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0000EE"/>
                <w:w w:val="80"/>
              </w:rPr>
              <w:t xml:space="preserve">47 </w:t>
            </w:r>
            <w:r>
              <w:rPr>
                <w:rFonts w:ascii="Times New Roman" w:cs="Times New Roman" w:eastAsia="Times New Roman" w:hAnsi="Times New Roman"/>
                <w:sz w:val="3"/>
                <w:szCs w:val="3"/>
                <w:color w:val="000000"/>
                <w:w w:val="80"/>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right w:val="single" w:sz="8" w:color="E9EFF7"/>
            </w:tcBorders>
            <w:shd w:val="clear" w:color="auto" w:fill="E9EFF7"/>
          </w:tcPr>
          <w:p>
            <w:pPr>
              <w:spacing w:after="0"/>
              <w:rPr>
                <w:sz w:val="24"/>
                <w:szCs w:val="24"/>
                <w:color w:val="auto"/>
              </w:rPr>
            </w:pPr>
          </w:p>
        </w:tc>
        <w:tc>
          <w:tcPr>
            <w:tcW w:w="3400" w:type="dxa"/>
            <w:vAlign w:val="bottom"/>
            <w:gridSpan w:val="11"/>
          </w:tcPr>
          <w:p>
            <w:pPr>
              <w:spacing w:after="0"/>
              <w:rPr>
                <w:sz w:val="20"/>
                <w:szCs w:val="20"/>
                <w:color w:val="auto"/>
              </w:rPr>
            </w:pPr>
            <w:r>
              <w:rPr>
                <w:rFonts w:ascii="Arial" w:cs="Arial" w:eastAsia="Arial" w:hAnsi="Arial"/>
                <w:sz w:val="16"/>
                <w:szCs w:val="16"/>
                <w:color w:val="0000EE"/>
              </w:rPr>
              <w:t>Stock Ownership Guidelines</w:t>
            </w:r>
          </w:p>
        </w:tc>
        <w:tc>
          <w:tcPr>
            <w:tcW w:w="18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0000EE"/>
                <w:w w:val="89"/>
              </w:rPr>
              <w:t>58</w:t>
            </w:r>
          </w:p>
        </w:tc>
      </w:tr>
      <w:tr>
        <w:trPr>
          <w:trHeight w:val="60"/>
        </w:trPr>
        <w:tc>
          <w:tcPr>
            <w:tcW w:w="160" w:type="dxa"/>
            <w:vAlign w:val="bottom"/>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right w:val="single" w:sz="8" w:color="E9EFF7"/>
            </w:tcBorders>
          </w:tcPr>
          <w:p>
            <w:pPr>
              <w:spacing w:after="0"/>
              <w:rPr>
                <w:sz w:val="5"/>
                <w:szCs w:val="5"/>
                <w:color w:val="auto"/>
              </w:rPr>
            </w:pPr>
          </w:p>
        </w:tc>
        <w:tc>
          <w:tcPr>
            <w:tcW w:w="100" w:type="dxa"/>
            <w:vAlign w:val="bottom"/>
            <w:tcBorders>
              <w:top w:val="single" w:sz="8" w:color="E9EFF7"/>
              <w:right w:val="single" w:sz="8" w:color="E9EFF7"/>
            </w:tcBorders>
            <w:shd w:val="clear" w:color="auto" w:fill="E9EFF7"/>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top w:val="single" w:sz="8" w:color="E9EFF7"/>
              <w:right w:val="single" w:sz="8" w:color="E9EFF7"/>
            </w:tcBorders>
            <w:shd w:val="clear" w:color="auto" w:fill="E9EFF7"/>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r>
      <w:tr>
        <w:trPr>
          <w:trHeight w:val="281"/>
        </w:trPr>
        <w:tc>
          <w:tcPr>
            <w:tcW w:w="160" w:type="dxa"/>
            <w:vAlign w:val="bottom"/>
          </w:tcPr>
          <w:p>
            <w:pPr>
              <w:spacing w:after="0"/>
              <w:rPr>
                <w:sz w:val="24"/>
                <w:szCs w:val="24"/>
                <w:color w:val="auto"/>
              </w:rPr>
            </w:pPr>
          </w:p>
        </w:tc>
        <w:tc>
          <w:tcPr>
            <w:tcW w:w="3980" w:type="dxa"/>
            <w:vAlign w:val="bottom"/>
            <w:gridSpan w:val="11"/>
          </w:tcPr>
          <w:p>
            <w:pPr>
              <w:spacing w:after="0"/>
              <w:rPr>
                <w:sz w:val="20"/>
                <w:szCs w:val="20"/>
                <w:color w:val="auto"/>
              </w:rPr>
            </w:pPr>
            <w:r>
              <w:rPr>
                <w:rFonts w:ascii="Arial" w:cs="Arial" w:eastAsia="Arial" w:hAnsi="Arial"/>
                <w:sz w:val="16"/>
                <w:szCs w:val="16"/>
                <w:color w:val="0000EE"/>
              </w:rPr>
              <w:t>Roles and Responsibilities</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right w:val="single" w:sz="8" w:color="E9EFF7"/>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right w:val="single" w:sz="8" w:color="E9EFF7"/>
            </w:tcBorders>
            <w:shd w:val="clear" w:color="auto" w:fill="E9EFF7"/>
          </w:tcPr>
          <w:p>
            <w:pPr>
              <w:spacing w:after="0"/>
              <w:rPr>
                <w:sz w:val="24"/>
                <w:szCs w:val="24"/>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0000EE"/>
                <w:w w:val="80"/>
              </w:rPr>
              <w:t xml:space="preserve">47 </w:t>
            </w:r>
            <w:r>
              <w:rPr>
                <w:rFonts w:ascii="Times New Roman" w:cs="Times New Roman" w:eastAsia="Times New Roman" w:hAnsi="Times New Roman"/>
                <w:sz w:val="3"/>
                <w:szCs w:val="3"/>
                <w:color w:val="000000"/>
                <w:w w:val="80"/>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right w:val="single" w:sz="8" w:color="E9EFF7"/>
            </w:tcBorders>
            <w:shd w:val="clear" w:color="auto" w:fill="E9EFF7"/>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6"/>
                <w:szCs w:val="16"/>
                <w:color w:val="0000EE"/>
                <w:w w:val="97"/>
              </w:rPr>
              <w:t>Clawback​</w:t>
            </w:r>
          </w:p>
        </w:tc>
        <w:tc>
          <w:tcPr>
            <w:tcW w:w="2700" w:type="dxa"/>
            <w:vAlign w:val="bottom"/>
            <w:gridSpan w:val="10"/>
          </w:tcPr>
          <w:p>
            <w:pPr>
              <w:ind w:left="20"/>
              <w:spacing w:after="0"/>
              <w:rPr>
                <w:sz w:val="20"/>
                <w:szCs w:val="20"/>
                <w:color w:val="auto"/>
              </w:rPr>
            </w:pPr>
            <w:r>
              <w:rPr>
                <w:rFonts w:ascii="Arial" w:cs="Arial" w:eastAsia="Arial" w:hAnsi="Arial"/>
                <w:sz w:val="16"/>
                <w:szCs w:val="16"/>
                <w:color w:val="0000EE"/>
              </w:rPr>
              <w:t>Policy</w:t>
            </w:r>
          </w:p>
        </w:tc>
        <w:tc>
          <w:tcPr>
            <w:tcW w:w="18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right w:val="single" w:sz="8" w:color="E9EFF7"/>
            </w:tcBorders>
            <w:shd w:val="clear" w:color="auto" w:fill="E9EFF7"/>
          </w:tcPr>
          <w:p>
            <w:pPr>
              <w:spacing w:after="0"/>
              <w:rPr>
                <w:sz w:val="24"/>
                <w:szCs w:val="24"/>
                <w:color w:val="auto"/>
              </w:rPr>
            </w:pPr>
          </w:p>
        </w:tc>
        <w:tc>
          <w:tcPr>
            <w:tcW w:w="220" w:type="dxa"/>
            <w:vAlign w:val="bottom"/>
            <w:tcBorders>
              <w:right w:val="single" w:sz="8" w:color="E9EFF7"/>
            </w:tcBorders>
            <w:shd w:val="clear" w:color="auto" w:fill="E9EFF7"/>
          </w:tcPr>
          <w:p>
            <w:pPr>
              <w:jc w:val="right"/>
              <w:spacing w:after="0"/>
              <w:rPr>
                <w:sz w:val="20"/>
                <w:szCs w:val="20"/>
                <w:color w:val="auto"/>
              </w:rPr>
            </w:pPr>
            <w:r>
              <w:rPr>
                <w:rFonts w:ascii="Arial" w:cs="Arial" w:eastAsia="Arial" w:hAnsi="Arial"/>
                <w:sz w:val="16"/>
                <w:szCs w:val="16"/>
                <w:color w:val="0000EE"/>
                <w:w w:val="89"/>
              </w:rPr>
              <w:t>59</w:t>
            </w:r>
          </w:p>
        </w:tc>
      </w:tr>
      <w:tr>
        <w:trPr>
          <w:trHeight w:val="20"/>
        </w:trPr>
        <w:tc>
          <w:tcPr>
            <w:tcW w:w="1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E9EFF7"/>
            </w:tcBorders>
          </w:tcPr>
          <w:p>
            <w:pPr>
              <w:spacing w:after="0" w:line="20" w:lineRule="exact"/>
              <w:rPr>
                <w:sz w:val="1"/>
                <w:szCs w:val="1"/>
                <w:color w:val="auto"/>
              </w:rPr>
            </w:pPr>
          </w:p>
        </w:tc>
        <w:tc>
          <w:tcPr>
            <w:tcW w:w="100" w:type="dxa"/>
            <w:vAlign w:val="bottom"/>
            <w:tcBorders>
              <w:right w:val="single" w:sz="8" w:color="0000EE"/>
            </w:tcBorders>
            <w:shd w:val="clear" w:color="auto" w:fill="E9EFF7"/>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E9EFF7"/>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E9EFF7"/>
            </w:tcBorders>
            <w:shd w:val="clear" w:color="auto" w:fill="E9EFF7"/>
          </w:tcPr>
          <w:p>
            <w:pPr>
              <w:spacing w:after="0" w:line="20" w:lineRule="exact"/>
              <w:rPr>
                <w:sz w:val="1"/>
                <w:szCs w:val="1"/>
                <w:color w:val="auto"/>
              </w:rPr>
            </w:pPr>
          </w:p>
        </w:tc>
        <w:tc>
          <w:tcPr>
            <w:tcW w:w="220" w:type="dxa"/>
            <w:vAlign w:val="bottom"/>
            <w:tcBorders>
              <w:right w:val="single" w:sz="8" w:color="E9EFF7"/>
            </w:tcBorders>
            <w:shd w:val="clear" w:color="auto" w:fill="0000EE"/>
          </w:tcPr>
          <w:p>
            <w:pPr>
              <w:spacing w:after="0" w:line="20" w:lineRule="exact"/>
              <w:rPr>
                <w:sz w:val="1"/>
                <w:szCs w:val="1"/>
                <w:color w:val="auto"/>
              </w:rPr>
            </w:pPr>
          </w:p>
        </w:tc>
      </w:tr>
      <w:tr>
        <w:trPr>
          <w:trHeight w:val="275"/>
        </w:trPr>
        <w:tc>
          <w:tcPr>
            <w:tcW w:w="160" w:type="dxa"/>
            <w:vAlign w:val="bottom"/>
          </w:tcPr>
          <w:p>
            <w:pPr>
              <w:spacing w:after="0"/>
              <w:rPr>
                <w:sz w:val="23"/>
                <w:szCs w:val="23"/>
                <w:color w:val="auto"/>
              </w:rPr>
            </w:pPr>
          </w:p>
        </w:tc>
        <w:tc>
          <w:tcPr>
            <w:tcW w:w="1880" w:type="dxa"/>
            <w:vAlign w:val="bottom"/>
            <w:gridSpan w:val="4"/>
          </w:tcPr>
          <w:p>
            <w:pPr>
              <w:spacing w:after="0"/>
              <w:rPr>
                <w:sz w:val="20"/>
                <w:szCs w:val="20"/>
                <w:color w:val="auto"/>
              </w:rPr>
            </w:pPr>
            <w:r>
              <w:rPr>
                <w:rFonts w:ascii="Arial" w:cs="Arial" w:eastAsia="Arial" w:hAnsi="Arial"/>
                <w:sz w:val="16"/>
                <w:szCs w:val="16"/>
                <w:color w:val="0000EE"/>
              </w:rPr>
              <w:t>Peer Group</w:t>
            </w:r>
          </w:p>
        </w:tc>
        <w:tc>
          <w:tcPr>
            <w:tcW w:w="2100" w:type="dxa"/>
            <w:vAlign w:val="bottom"/>
            <w:gridSpan w:val="7"/>
          </w:tcPr>
          <w:p>
            <w:pPr>
              <w:spacing w:after="0"/>
              <w:rPr>
                <w:sz w:val="23"/>
                <w:szCs w:val="23"/>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right w:val="single" w:sz="8" w:color="E9EFF7"/>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right w:val="single" w:sz="8" w:color="E9EFF7"/>
            </w:tcBorders>
            <w:shd w:val="clear" w:color="auto" w:fill="E9EFF7"/>
          </w:tcPr>
          <w:p>
            <w:pPr>
              <w:spacing w:after="0"/>
              <w:rPr>
                <w:sz w:val="23"/>
                <w:szCs w:val="23"/>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0000EE"/>
                <w:w w:val="80"/>
              </w:rPr>
              <w:t xml:space="preserve">48 </w:t>
            </w:r>
            <w:r>
              <w:rPr>
                <w:rFonts w:ascii="Times New Roman" w:cs="Times New Roman" w:eastAsia="Times New Roman" w:hAnsi="Times New Roman"/>
                <w:sz w:val="3"/>
                <w:szCs w:val="3"/>
                <w:color w:val="000000"/>
                <w:w w:val="80"/>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right w:val="single" w:sz="8" w:color="E9EFF7"/>
            </w:tcBorders>
            <w:shd w:val="clear" w:color="auto" w:fill="E9EFF7"/>
          </w:tcPr>
          <w:p>
            <w:pPr>
              <w:spacing w:after="0"/>
              <w:rPr>
                <w:sz w:val="23"/>
                <w:szCs w:val="23"/>
                <w:color w:val="auto"/>
              </w:rPr>
            </w:pPr>
          </w:p>
        </w:tc>
        <w:tc>
          <w:tcPr>
            <w:tcW w:w="3400" w:type="dxa"/>
            <w:vAlign w:val="bottom"/>
            <w:gridSpan w:val="11"/>
          </w:tcPr>
          <w:p>
            <w:pPr>
              <w:spacing w:after="0"/>
              <w:rPr>
                <w:sz w:val="20"/>
                <w:szCs w:val="20"/>
                <w:color w:val="auto"/>
              </w:rPr>
            </w:pPr>
            <w:r>
              <w:rPr>
                <w:rFonts w:ascii="Arial" w:cs="Arial" w:eastAsia="Arial" w:hAnsi="Arial"/>
                <w:sz w:val="16"/>
                <w:szCs w:val="16"/>
                <w:color w:val="0000EE"/>
              </w:rPr>
              <w:t>Prohibition on Hedging</w:t>
            </w:r>
          </w:p>
        </w:tc>
        <w:tc>
          <w:tcPr>
            <w:tcW w:w="18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right w:val="single" w:sz="8" w:color="E9EFF7"/>
            </w:tcBorders>
            <w:shd w:val="clear" w:color="auto" w:fill="E9EFF7"/>
          </w:tcPr>
          <w:p>
            <w:pPr>
              <w:spacing w:after="0"/>
              <w:rPr>
                <w:sz w:val="23"/>
                <w:szCs w:val="23"/>
                <w:color w:val="auto"/>
              </w:rPr>
            </w:pPr>
          </w:p>
        </w:tc>
        <w:tc>
          <w:tcPr>
            <w:tcW w:w="220" w:type="dxa"/>
            <w:vAlign w:val="bottom"/>
            <w:tcBorders>
              <w:right w:val="single" w:sz="8" w:color="E9EFF7"/>
            </w:tcBorders>
            <w:shd w:val="clear" w:color="auto" w:fill="E9EFF7"/>
          </w:tcPr>
          <w:p>
            <w:pPr>
              <w:jc w:val="right"/>
              <w:spacing w:after="0"/>
              <w:rPr>
                <w:sz w:val="20"/>
                <w:szCs w:val="20"/>
                <w:color w:val="auto"/>
              </w:rPr>
            </w:pPr>
            <w:r>
              <w:rPr>
                <w:rFonts w:ascii="Arial" w:cs="Arial" w:eastAsia="Arial" w:hAnsi="Arial"/>
                <w:sz w:val="16"/>
                <w:szCs w:val="16"/>
                <w:color w:val="0000EE"/>
                <w:w w:val="89"/>
              </w:rPr>
              <w:t>59</w:t>
            </w:r>
          </w:p>
        </w:tc>
      </w:tr>
      <w:tr>
        <w:trPr>
          <w:trHeight w:val="355"/>
        </w:trPr>
        <w:tc>
          <w:tcPr>
            <w:tcW w:w="160" w:type="dxa"/>
            <w:vAlign w:val="bottom"/>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right w:val="single" w:sz="8" w:color="E9EFF7"/>
            </w:tcBorders>
          </w:tcPr>
          <w:p>
            <w:pPr>
              <w:spacing w:after="0"/>
              <w:rPr>
                <w:sz w:val="24"/>
                <w:szCs w:val="24"/>
                <w:color w:val="auto"/>
              </w:rPr>
            </w:pPr>
          </w:p>
        </w:tc>
        <w:tc>
          <w:tcPr>
            <w:tcW w:w="100" w:type="dxa"/>
            <w:vAlign w:val="bottom"/>
            <w:tcBorders>
              <w:top w:val="single" w:sz="8" w:color="E9EFF7"/>
              <w:right w:val="single" w:sz="8" w:color="E9EFF7"/>
            </w:tcBorders>
            <w:shd w:val="clear" w:color="auto" w:fill="E9EFF7"/>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E9EFF7"/>
              <w:right w:val="single" w:sz="8" w:color="E9EFF7"/>
            </w:tcBorders>
            <w:shd w:val="clear" w:color="auto" w:fill="E9EFF7"/>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E9EFF7"/>
              <w:right w:val="single" w:sz="8" w:color="E9EFF7"/>
            </w:tcBorders>
            <w:shd w:val="clear" w:color="auto" w:fill="E9EFF7"/>
          </w:tcPr>
          <w:p>
            <w:pPr>
              <w:spacing w:after="0"/>
              <w:rPr>
                <w:sz w:val="24"/>
                <w:szCs w:val="24"/>
                <w:color w:val="auto"/>
              </w:rPr>
            </w:pPr>
          </w:p>
        </w:tc>
        <w:tc>
          <w:tcPr>
            <w:tcW w:w="220" w:type="dxa"/>
            <w:vAlign w:val="bottom"/>
            <w:tcBorders>
              <w:top w:val="single" w:sz="8" w:color="0000EE"/>
              <w:right w:val="single" w:sz="8" w:color="E9EFF7"/>
            </w:tcBorders>
            <w:shd w:val="clear" w:color="auto" w:fill="E9EFF7"/>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-2124710</wp:posOffset>
            </wp:positionV>
            <wp:extent cx="3027045" cy="21253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027045" cy="2125345"/>
                    </a:xfrm>
                    <a:prstGeom prst="rect">
                      <a:avLst/>
                    </a:prstGeom>
                    <a:noFill/>
                  </pic:spPr>
                </pic:pic>
              </a:graphicData>
            </a:graphic>
          </wp:anchor>
        </w:drawing>
      </w:r>
    </w:p>
    <w:p>
      <w:pPr>
        <w:spacing w:after="0" w:line="336" w:lineRule="exact"/>
        <w:rPr>
          <w:sz w:val="20"/>
          <w:szCs w:val="20"/>
          <w:color w:val="auto"/>
        </w:rPr>
      </w:pPr>
    </w:p>
    <w:p>
      <w:pPr>
        <w:ind w:left="960"/>
        <w:spacing w:after="0"/>
        <w:rPr>
          <w:sz w:val="20"/>
          <w:szCs w:val="20"/>
          <w:color w:val="auto"/>
        </w:rPr>
      </w:pPr>
      <w:r>
        <w:rPr>
          <w:rFonts w:ascii="Arial" w:cs="Arial" w:eastAsia="Arial" w:hAnsi="Arial"/>
          <w:sz w:val="29"/>
          <w:szCs w:val="29"/>
          <w:color w:val="636466"/>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72390</wp:posOffset>
            </wp:positionV>
            <wp:extent cx="57137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307" w:lineRule="exact"/>
        <w:rPr>
          <w:sz w:val="20"/>
          <w:szCs w:val="20"/>
          <w:color w:val="auto"/>
        </w:rPr>
      </w:pPr>
    </w:p>
    <w:p>
      <w:pPr>
        <w:ind w:left="960"/>
        <w:spacing w:after="0"/>
        <w:rPr>
          <w:sz w:val="20"/>
          <w:szCs w:val="20"/>
          <w:color w:val="auto"/>
        </w:rPr>
      </w:pPr>
      <w:r>
        <w:rPr>
          <w:rFonts w:ascii="Arial" w:cs="Arial" w:eastAsia="Arial" w:hAnsi="Arial"/>
          <w:sz w:val="16"/>
          <w:szCs w:val="16"/>
          <w:color w:val="auto"/>
        </w:rPr>
        <w:t>Our named executive officers (“NEOs”) for 2023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113030</wp:posOffset>
            </wp:positionV>
            <wp:extent cx="5526405" cy="8502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26405" cy="85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600"/>
        <w:spacing w:after="0"/>
        <w:tabs>
          <w:tab w:leader="none" w:pos="2680" w:val="left"/>
          <w:tab w:leader="none" w:pos="4420" w:val="left"/>
          <w:tab w:leader="none" w:pos="4540" w:val="left"/>
          <w:tab w:leader="none" w:pos="6300" w:val="left"/>
          <w:tab w:leader="none" w:pos="6400" w:val="left"/>
          <w:tab w:leader="none" w:pos="8140" w:val="left"/>
          <w:tab w:leader="none" w:pos="82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200" w:lineRule="exact"/>
        <w:rPr>
          <w:sz w:val="20"/>
          <w:szCs w:val="20"/>
          <w:color w:val="auto"/>
        </w:rPr>
      </w:pPr>
    </w:p>
    <w:p>
      <w:pPr>
        <w:spacing w:after="0" w:line="352" w:lineRule="exact"/>
        <w:rPr>
          <w:sz w:val="20"/>
          <w:szCs w:val="20"/>
          <w:color w:val="auto"/>
        </w:rPr>
      </w:pPr>
    </w:p>
    <w:p>
      <w:pPr>
        <w:ind w:left="960"/>
        <w:spacing w:after="0"/>
        <w:tabs>
          <w:tab w:leader="none" w:pos="2800" w:val="left"/>
          <w:tab w:leader="none" w:pos="4640" w:val="left"/>
          <w:tab w:leader="none" w:pos="6520" w:val="left"/>
          <w:tab w:leader="none" w:pos="8320" w:val="left"/>
        </w:tabs>
        <w:rPr>
          <w:sz w:val="20"/>
          <w:szCs w:val="20"/>
          <w:color w:val="auto"/>
        </w:rPr>
      </w:pPr>
      <w:r>
        <w:rPr>
          <w:rFonts w:ascii="Arial" w:cs="Arial" w:eastAsia="Arial" w:hAnsi="Arial"/>
          <w:sz w:val="16"/>
          <w:szCs w:val="16"/>
          <w:color w:val="auto"/>
        </w:rPr>
        <w:t xml:space="preserve">  </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 </w:t>
      </w:r>
    </w:p>
    <w:p>
      <w:pPr>
        <w:spacing w:after="0" w:line="226" w:lineRule="exact"/>
        <w:rPr>
          <w:sz w:val="20"/>
          <w:szCs w:val="20"/>
          <w:color w:val="auto"/>
        </w:rPr>
      </w:pPr>
    </w:p>
    <w:tbl>
      <w:tblPr>
        <w:tblLayout w:type="fixed"/>
        <w:tblInd w:w="1080" w:type="dxa"/>
        <w:tblCellMar>
          <w:top w:w="0" w:type="dxa"/>
          <w:left w:w="0" w:type="dxa"/>
          <w:bottom w:w="0" w:type="dxa"/>
          <w:right w:w="0" w:type="dxa"/>
        </w:tblCellMar>
      </w:tblPr>
      <w:tr>
        <w:trPr>
          <w:trHeight w:val="246"/>
        </w:trPr>
        <w:tc>
          <w:tcPr>
            <w:tcW w:w="1740" w:type="dxa"/>
            <w:vAlign w:val="bottom"/>
          </w:tcPr>
          <w:p>
            <w:pPr>
              <w:jc w:val="center"/>
              <w:ind w:right="257"/>
              <w:spacing w:after="0"/>
              <w:rPr>
                <w:sz w:val="20"/>
                <w:szCs w:val="20"/>
                <w:color w:val="auto"/>
              </w:rPr>
            </w:pPr>
            <w:r>
              <w:rPr>
                <w:rFonts w:ascii="Arial" w:cs="Arial" w:eastAsia="Arial" w:hAnsi="Arial"/>
                <w:sz w:val="18"/>
                <w:szCs w:val="18"/>
                <w:b w:val="1"/>
                <w:bCs w:val="1"/>
                <w:color w:val="0C426A"/>
                <w:w w:val="99"/>
              </w:rPr>
              <w:t>Rafael Santana</w:t>
            </w:r>
          </w:p>
        </w:tc>
        <w:tc>
          <w:tcPr>
            <w:tcW w:w="1800" w:type="dxa"/>
            <w:vAlign w:val="bottom"/>
          </w:tcPr>
          <w:p>
            <w:pPr>
              <w:jc w:val="center"/>
              <w:ind w:right="97"/>
              <w:spacing w:after="0"/>
              <w:rPr>
                <w:sz w:val="20"/>
                <w:szCs w:val="20"/>
                <w:color w:val="auto"/>
              </w:rPr>
            </w:pPr>
            <w:r>
              <w:rPr>
                <w:rFonts w:ascii="Arial" w:cs="Arial" w:eastAsia="Arial" w:hAnsi="Arial"/>
                <w:sz w:val="18"/>
                <w:szCs w:val="18"/>
                <w:b w:val="1"/>
                <w:bCs w:val="1"/>
                <w:color w:val="0C426A"/>
                <w:w w:val="98"/>
              </w:rPr>
              <w:t>John Olin</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0C426A"/>
                <w:w w:val="97"/>
              </w:rPr>
              <w:t>David L. DeNinno</w:t>
            </w:r>
          </w:p>
        </w:tc>
        <w:tc>
          <w:tcPr>
            <w:tcW w:w="2040" w:type="dxa"/>
            <w:vAlign w:val="bottom"/>
          </w:tcPr>
          <w:p>
            <w:pPr>
              <w:ind w:left="260"/>
              <w:spacing w:after="0"/>
              <w:rPr>
                <w:sz w:val="20"/>
                <w:szCs w:val="20"/>
                <w:color w:val="auto"/>
              </w:rPr>
            </w:pPr>
            <w:r>
              <w:rPr>
                <w:rFonts w:ascii="Arial" w:cs="Arial" w:eastAsia="Arial" w:hAnsi="Arial"/>
                <w:sz w:val="18"/>
                <w:szCs w:val="18"/>
                <w:b w:val="1"/>
                <w:bCs w:val="1"/>
                <w:color w:val="0C426A"/>
              </w:rPr>
              <w:t>Pascal Schweitzer</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0C426A"/>
                <w:w w:val="99"/>
              </w:rPr>
              <w:t>Eric Gebhardt</w:t>
            </w:r>
          </w:p>
        </w:tc>
      </w:tr>
      <w:tr>
        <w:trPr>
          <w:trHeight w:val="242"/>
        </w:trPr>
        <w:tc>
          <w:tcPr>
            <w:tcW w:w="1740" w:type="dxa"/>
            <w:vAlign w:val="bottom"/>
          </w:tcPr>
          <w:p>
            <w:pPr>
              <w:spacing w:after="0"/>
              <w:rPr>
                <w:sz w:val="20"/>
                <w:szCs w:val="20"/>
                <w:color w:val="auto"/>
              </w:rPr>
            </w:pPr>
            <w:r>
              <w:rPr>
                <w:rFonts w:ascii="Arial" w:cs="Arial" w:eastAsia="Arial" w:hAnsi="Arial"/>
                <w:sz w:val="16"/>
                <w:szCs w:val="16"/>
                <w:color w:val="auto"/>
              </w:rPr>
              <w:t xml:space="preserve">President and Chief  </w:t>
            </w:r>
            <w:r>
              <w:rPr>
                <w:rFonts w:ascii="Times New Roman" w:cs="Times New Roman" w:eastAsia="Times New Roman" w:hAnsi="Times New Roman"/>
                <w:sz w:val="3"/>
                <w:szCs w:val="3"/>
                <w:color w:val="auto"/>
              </w:rPr>
              <w:t>​      ​</w:t>
            </w:r>
          </w:p>
        </w:tc>
        <w:tc>
          <w:tcPr>
            <w:tcW w:w="1800" w:type="dxa"/>
            <w:vAlign w:val="bottom"/>
          </w:tcPr>
          <w:p>
            <w:pPr>
              <w:ind w:left="280"/>
              <w:spacing w:after="0"/>
              <w:rPr>
                <w:sz w:val="20"/>
                <w:szCs w:val="20"/>
                <w:color w:val="auto"/>
              </w:rPr>
            </w:pPr>
            <w:r>
              <w:rPr>
                <w:rFonts w:ascii="Arial" w:cs="Arial" w:eastAsia="Arial" w:hAnsi="Arial"/>
                <w:sz w:val="16"/>
                <w:szCs w:val="16"/>
                <w:color w:val="auto"/>
              </w:rPr>
              <w:t xml:space="preserve">Executive Vice    </w:t>
            </w:r>
            <w:r>
              <w:rPr>
                <w:rFonts w:ascii="Times New Roman" w:cs="Times New Roman" w:eastAsia="Times New Roman" w:hAnsi="Times New Roman"/>
                <w:sz w:val="3"/>
                <w:szCs w:val="3"/>
                <w:color w:val="auto"/>
              </w:rPr>
              <w:t>​      ​</w:t>
            </w:r>
          </w:p>
        </w:tc>
        <w:tc>
          <w:tcPr>
            <w:tcW w:w="1700" w:type="dxa"/>
            <w:vAlign w:val="bottom"/>
          </w:tcPr>
          <w:p>
            <w:pPr>
              <w:jc w:val="center"/>
              <w:spacing w:after="0"/>
              <w:rPr>
                <w:sz w:val="20"/>
                <w:szCs w:val="20"/>
                <w:color w:val="auto"/>
              </w:rPr>
            </w:pPr>
            <w:r>
              <w:rPr>
                <w:rFonts w:ascii="Arial" w:cs="Arial" w:eastAsia="Arial" w:hAnsi="Arial"/>
                <w:sz w:val="16"/>
                <w:szCs w:val="16"/>
                <w:color w:val="auto"/>
              </w:rPr>
              <w:t>Executive Vice</w:t>
            </w:r>
          </w:p>
        </w:tc>
        <w:tc>
          <w:tcPr>
            <w:tcW w:w="2040" w:type="dxa"/>
            <w:vAlign w:val="bottom"/>
          </w:tcPr>
          <w:p>
            <w:pPr>
              <w:spacing w:after="0" w:line="242" w:lineRule="exact"/>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6"/>
                <w:szCs w:val="16"/>
                <w:color w:val="auto"/>
              </w:rPr>
              <w:t>President, Transit</w:t>
            </w:r>
            <w:r>
              <w:rPr>
                <w:rFonts w:ascii="Arial" w:cs="Arial" w:eastAsia="Arial" w:hAnsi="Arial"/>
                <w:sz w:val="28"/>
                <w:szCs w:val="28"/>
                <w:color w:val="auto"/>
                <w:vertAlign w:val="superscript"/>
              </w:rPr>
              <w:t>(1)</w:t>
            </w:r>
            <w:r>
              <w:rPr>
                <w:rFonts w:ascii="Arial" w:cs="Arial" w:eastAsia="Arial" w:hAnsi="Arial"/>
                <w:sz w:val="16"/>
                <w:szCs w:val="16"/>
                <w:color w:val="auto"/>
              </w:rPr>
              <w:t xml:space="preserve"> </w:t>
            </w:r>
            <w:r>
              <w:rPr>
                <w:rFonts w:ascii="Times New Roman" w:cs="Times New Roman" w:eastAsia="Times New Roman" w:hAnsi="Times New Roman"/>
                <w:sz w:val="3"/>
                <w:szCs w:val="3"/>
                <w:color w:val="auto"/>
              </w:rPr>
              <w:t>​     ​</w:t>
            </w:r>
          </w:p>
        </w:tc>
        <w:tc>
          <w:tcPr>
            <w:tcW w:w="1500" w:type="dxa"/>
            <w:vAlign w:val="bottom"/>
          </w:tcPr>
          <w:p>
            <w:pPr>
              <w:jc w:val="center"/>
              <w:spacing w:after="0"/>
              <w:rPr>
                <w:sz w:val="20"/>
                <w:szCs w:val="20"/>
                <w:color w:val="auto"/>
              </w:rPr>
            </w:pPr>
            <w:r>
              <w:rPr>
                <w:rFonts w:ascii="Arial" w:cs="Arial" w:eastAsia="Arial" w:hAnsi="Arial"/>
                <w:sz w:val="16"/>
                <w:szCs w:val="16"/>
                <w:color w:val="auto"/>
              </w:rPr>
              <w:t>Executive Vice</w:t>
            </w:r>
          </w:p>
        </w:tc>
      </w:tr>
      <w:tr>
        <w:trPr>
          <w:trHeight w:val="160"/>
        </w:trPr>
        <w:tc>
          <w:tcPr>
            <w:tcW w:w="1740" w:type="dxa"/>
            <w:vAlign w:val="bottom"/>
          </w:tcPr>
          <w:p>
            <w:pPr>
              <w:jc w:val="center"/>
              <w:ind w:right="257"/>
              <w:spacing w:after="0" w:line="160" w:lineRule="exact"/>
              <w:rPr>
                <w:sz w:val="20"/>
                <w:szCs w:val="20"/>
                <w:color w:val="auto"/>
              </w:rPr>
            </w:pPr>
            <w:r>
              <w:rPr>
                <w:rFonts w:ascii="Arial" w:cs="Arial" w:eastAsia="Arial" w:hAnsi="Arial"/>
                <w:sz w:val="16"/>
                <w:szCs w:val="16"/>
                <w:color w:val="auto"/>
                <w:w w:val="99"/>
              </w:rPr>
              <w:t>Executive Officer</w:t>
            </w:r>
          </w:p>
        </w:tc>
        <w:tc>
          <w:tcPr>
            <w:tcW w:w="1800" w:type="dxa"/>
            <w:vAlign w:val="bottom"/>
          </w:tcPr>
          <w:p>
            <w:pPr>
              <w:jc w:val="center"/>
              <w:ind w:right="97"/>
              <w:spacing w:after="0" w:line="160" w:lineRule="exact"/>
              <w:rPr>
                <w:sz w:val="20"/>
                <w:szCs w:val="20"/>
                <w:color w:val="auto"/>
              </w:rPr>
            </w:pPr>
            <w:r>
              <w:rPr>
                <w:rFonts w:ascii="Arial" w:cs="Arial" w:eastAsia="Arial" w:hAnsi="Arial"/>
                <w:sz w:val="16"/>
                <w:szCs w:val="16"/>
                <w:color w:val="auto"/>
              </w:rPr>
              <w:t>President and Chief</w:t>
            </w:r>
          </w:p>
        </w:tc>
        <w:tc>
          <w:tcPr>
            <w:tcW w:w="1700" w:type="dxa"/>
            <w:vAlign w:val="bottom"/>
          </w:tcPr>
          <w:p>
            <w:pPr>
              <w:jc w:val="center"/>
              <w:spacing w:after="0" w:line="160" w:lineRule="exact"/>
              <w:rPr>
                <w:sz w:val="20"/>
                <w:szCs w:val="20"/>
                <w:color w:val="auto"/>
              </w:rPr>
            </w:pPr>
            <w:r>
              <w:rPr>
                <w:rFonts w:ascii="Arial" w:cs="Arial" w:eastAsia="Arial" w:hAnsi="Arial"/>
                <w:sz w:val="16"/>
                <w:szCs w:val="16"/>
                <w:color w:val="auto"/>
              </w:rPr>
              <w:t>President, General</w:t>
            </w:r>
          </w:p>
        </w:tc>
        <w:tc>
          <w:tcPr>
            <w:tcW w:w="2040" w:type="dxa"/>
            <w:vAlign w:val="bottom"/>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Arial" w:cs="Arial" w:eastAsia="Arial" w:hAnsi="Arial"/>
                <w:sz w:val="16"/>
                <w:szCs w:val="16"/>
                <w:color w:val="auto"/>
              </w:rPr>
              <w:t>President and Chief</w:t>
            </w:r>
          </w:p>
        </w:tc>
      </w:tr>
      <w:tr>
        <w:trPr>
          <w:trHeight w:val="213"/>
        </w:trPr>
        <w:tc>
          <w:tcPr>
            <w:tcW w:w="1740" w:type="dxa"/>
            <w:vAlign w:val="bottom"/>
          </w:tcPr>
          <w:p>
            <w:pPr>
              <w:spacing w:after="0"/>
              <w:rPr>
                <w:sz w:val="18"/>
                <w:szCs w:val="18"/>
                <w:color w:val="auto"/>
              </w:rPr>
            </w:pPr>
          </w:p>
        </w:tc>
        <w:tc>
          <w:tcPr>
            <w:tcW w:w="1800" w:type="dxa"/>
            <w:vAlign w:val="bottom"/>
          </w:tcPr>
          <w:p>
            <w:pPr>
              <w:jc w:val="center"/>
              <w:ind w:right="97"/>
              <w:spacing w:after="0"/>
              <w:rPr>
                <w:sz w:val="20"/>
                <w:szCs w:val="20"/>
                <w:color w:val="auto"/>
              </w:rPr>
            </w:pPr>
            <w:r>
              <w:rPr>
                <w:rFonts w:ascii="Arial" w:cs="Arial" w:eastAsia="Arial" w:hAnsi="Arial"/>
                <w:sz w:val="16"/>
                <w:szCs w:val="16"/>
                <w:color w:val="auto"/>
                <w:w w:val="98"/>
              </w:rPr>
              <w:t>Financial Officer</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Counsel and Secretary</w:t>
            </w:r>
          </w:p>
        </w:tc>
        <w:tc>
          <w:tcPr>
            <w:tcW w:w="20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Technology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137160</wp:posOffset>
            </wp:positionV>
            <wp:extent cx="571373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361" w:lineRule="exact"/>
        <w:rPr>
          <w:sz w:val="20"/>
          <w:szCs w:val="20"/>
          <w:color w:val="auto"/>
        </w:rPr>
      </w:pPr>
    </w:p>
    <w:p>
      <w:pPr>
        <w:ind w:left="1140" w:right="1400" w:hanging="175"/>
        <w:spacing w:after="0" w:line="208" w:lineRule="auto"/>
        <w:tabs>
          <w:tab w:leader="none" w:pos="1140" w:val="left"/>
        </w:tabs>
        <w:numPr>
          <w:ilvl w:val="0"/>
          <w:numId w:val="26"/>
        </w:numPr>
        <w:rPr>
          <w:rFonts w:ascii="Arial" w:cs="Arial" w:eastAsia="Arial" w:hAnsi="Arial"/>
          <w:sz w:val="21"/>
          <w:szCs w:val="21"/>
          <w:color w:val="auto"/>
          <w:vertAlign w:val="superscript"/>
        </w:rPr>
      </w:pPr>
      <w:r>
        <w:rPr>
          <w:rFonts w:ascii="Arial" w:cs="Arial" w:eastAsia="Arial" w:hAnsi="Arial"/>
          <w:sz w:val="14"/>
          <w:szCs w:val="14"/>
          <w:color w:val="auto"/>
        </w:rPr>
        <w:t>Pascal Schweitzer was named President, Transit in April 2023. Previously, Mr. Schweitzer served as President, Freight Services from February 2019 to April 2023.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9140" w:type="dxa"/>
            <w:vAlign w:val="bottom"/>
          </w:tcPr>
          <w:p>
            <w:pPr>
              <w:ind w:left="636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800" w:type="dxa"/>
            <w:vAlign w:val="bottom"/>
          </w:tcPr>
          <w:p>
            <w:pPr>
              <w:jc w:val="right"/>
              <w:ind w:right="909"/>
              <w:spacing w:after="0"/>
              <w:rPr>
                <w:sz w:val="20"/>
                <w:szCs w:val="20"/>
                <w:color w:val="auto"/>
              </w:rPr>
            </w:pPr>
            <w:r>
              <w:rPr>
                <w:rFonts w:ascii="Arial" w:cs="Arial" w:eastAsia="Arial" w:hAnsi="Arial"/>
                <w:sz w:val="14"/>
                <w:szCs w:val="14"/>
                <w:b w:val="1"/>
                <w:bCs w:val="1"/>
                <w:color w:val="auto"/>
              </w:rPr>
              <w:t>43</w:t>
            </w:r>
          </w:p>
        </w:tc>
      </w:tr>
      <w:tr>
        <w:trPr>
          <w:trHeight w:val="355"/>
        </w:trPr>
        <w:tc>
          <w:tcPr>
            <w:tcW w:w="9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-407670</wp:posOffset>
            </wp:positionV>
            <wp:extent cx="501650" cy="1701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Compensation Discussion and Analysis</w:t>
      </w:r>
    </w:p>
    <w:p>
      <w:pPr>
        <w:spacing w:after="0" w:line="169" w:lineRule="exact"/>
        <w:rPr>
          <w:sz w:val="20"/>
          <w:szCs w:val="20"/>
          <w:color w:val="auto"/>
        </w:rPr>
      </w:pPr>
    </w:p>
    <w:p>
      <w:pPr>
        <w:spacing w:after="0"/>
        <w:rPr>
          <w:sz w:val="20"/>
          <w:szCs w:val="20"/>
          <w:color w:val="auto"/>
        </w:rPr>
      </w:pPr>
      <w:r>
        <w:rPr>
          <w:rFonts w:ascii="Arial" w:cs="Arial" w:eastAsia="Arial" w:hAnsi="Arial"/>
          <w:sz w:val="29"/>
          <w:szCs w:val="29"/>
          <w:color w:val="636466"/>
        </w:rPr>
        <w:t>Executive Summary</w:t>
      </w:r>
    </w:p>
    <w:p>
      <w:pPr>
        <w:spacing w:after="0" w:line="180" w:lineRule="exact"/>
        <w:rPr>
          <w:sz w:val="20"/>
          <w:szCs w:val="20"/>
          <w:color w:val="auto"/>
        </w:rPr>
      </w:pPr>
    </w:p>
    <w:p>
      <w:pPr>
        <w:ind w:right="39"/>
        <w:spacing w:after="0" w:line="263" w:lineRule="auto"/>
        <w:rPr>
          <w:sz w:val="20"/>
          <w:szCs w:val="20"/>
          <w:color w:val="auto"/>
        </w:rPr>
      </w:pPr>
      <w:r>
        <w:rPr>
          <w:rFonts w:ascii="Arial" w:cs="Arial" w:eastAsia="Arial" w:hAnsi="Arial"/>
          <w:sz w:val="16"/>
          <w:szCs w:val="16"/>
          <w:color w:val="auto"/>
        </w:rPr>
        <w:t xml:space="preserve">This Compensation Discussion and Analysis should be read in conjunction with the tabular and narrative disclosures beginning on page </w:t>
      </w:r>
      <w:r>
        <w:rPr>
          <w:rFonts w:ascii="Arial" w:cs="Arial" w:eastAsia="Arial" w:hAnsi="Arial"/>
          <w:sz w:val="16"/>
          <w:szCs w:val="16"/>
          <w:u w:val="single" w:color="auto"/>
          <w:color w:val="0000EE"/>
        </w:rPr>
        <w:t>61</w:t>
      </w:r>
      <w:r>
        <w:rPr>
          <w:rFonts w:ascii="Arial" w:cs="Arial" w:eastAsia="Arial" w:hAnsi="Arial"/>
          <w:sz w:val="16"/>
          <w:szCs w:val="16"/>
          <w:color w:val="auto"/>
        </w:rPr>
        <w:t xml:space="preserve"> of this Proxy Statement. See “Compensation Philosophy and Objectives” on page </w:t>
      </w:r>
      <w:r>
        <w:rPr>
          <w:rFonts w:ascii="Arial" w:cs="Arial" w:eastAsia="Arial" w:hAnsi="Arial"/>
          <w:sz w:val="16"/>
          <w:szCs w:val="16"/>
          <w:u w:val="single" w:color="auto"/>
          <w:color w:val="0000EE"/>
        </w:rPr>
        <w:t>46</w:t>
      </w:r>
      <w:r>
        <w:rPr>
          <w:rFonts w:ascii="Arial" w:cs="Arial" w:eastAsia="Arial" w:hAnsi="Arial"/>
          <w:sz w:val="16"/>
          <w:szCs w:val="16"/>
          <w:color w:val="auto"/>
        </w:rPr>
        <w:t xml:space="preserve"> and the tables that follow for more information regarding our executive compensation programs.</w:t>
      </w:r>
    </w:p>
    <w:p>
      <w:pPr>
        <w:spacing w:after="0" w:line="118" w:lineRule="exact"/>
        <w:rPr>
          <w:sz w:val="20"/>
          <w:szCs w:val="20"/>
          <w:color w:val="auto"/>
        </w:rPr>
      </w:pPr>
    </w:p>
    <w:p>
      <w:pPr>
        <w:ind w:right="279"/>
        <w:spacing w:after="0" w:line="282" w:lineRule="auto"/>
        <w:rPr>
          <w:sz w:val="20"/>
          <w:szCs w:val="20"/>
          <w:color w:val="auto"/>
        </w:rPr>
      </w:pPr>
      <w:r>
        <w:rPr>
          <w:rFonts w:ascii="Arial" w:cs="Arial" w:eastAsia="Arial" w:hAnsi="Arial"/>
          <w:sz w:val="16"/>
          <w:szCs w:val="16"/>
          <w:color w:val="auto"/>
        </w:rPr>
        <w:t>In 2023, the Company reviewed and set executive base salaries, modified its annual cash incentive plan design and issued equity under the Company’s long-term incentive plan.</w:t>
      </w:r>
    </w:p>
    <w:p>
      <w:pPr>
        <w:spacing w:after="0" w:line="314" w:lineRule="exact"/>
        <w:rPr>
          <w:sz w:val="20"/>
          <w:szCs w:val="20"/>
          <w:color w:val="auto"/>
        </w:rPr>
      </w:pPr>
    </w:p>
    <w:p>
      <w:pPr>
        <w:spacing w:after="0"/>
        <w:rPr>
          <w:sz w:val="20"/>
          <w:szCs w:val="20"/>
          <w:color w:val="auto"/>
        </w:rPr>
      </w:pPr>
      <w:r>
        <w:rPr>
          <w:rFonts w:ascii="Arial" w:cs="Arial" w:eastAsia="Arial" w:hAnsi="Arial"/>
          <w:sz w:val="23"/>
          <w:szCs w:val="23"/>
          <w:color w:val="0C426A"/>
        </w:rPr>
        <w:t>2023 Performance Highlights</w:t>
      </w:r>
    </w:p>
    <w:p>
      <w:pPr>
        <w:spacing w:after="0" w:line="181" w:lineRule="exact"/>
        <w:rPr>
          <w:sz w:val="20"/>
          <w:szCs w:val="20"/>
          <w:color w:val="auto"/>
        </w:rPr>
      </w:pPr>
    </w:p>
    <w:p>
      <w:pPr>
        <w:ind w:right="59"/>
        <w:spacing w:after="0" w:line="257" w:lineRule="auto"/>
        <w:rPr>
          <w:sz w:val="20"/>
          <w:szCs w:val="20"/>
          <w:color w:val="auto"/>
        </w:rPr>
      </w:pPr>
      <w:r>
        <w:rPr>
          <w:rFonts w:ascii="Arial" w:cs="Arial" w:eastAsia="Arial" w:hAnsi="Arial"/>
          <w:sz w:val="16"/>
          <w:szCs w:val="16"/>
          <w:color w:val="auto"/>
        </w:rPr>
        <w:t>In 2023, the Company delivered strong financial performance as evidenced by higher year-over-year increases in revenues, operating margin expansion and earnings per share growth. The Company had strong execution in a volatile environment with increased sales driven by strong Freight and Transit growth. The Company had strong cash generation enabling investment for future growth while maximizing shareholder returns.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348"/>
        </w:trPr>
        <w:tc>
          <w:tcPr>
            <w:tcW w:w="1340" w:type="dxa"/>
            <w:vAlign w:val="bottom"/>
            <w:vMerge w:val="restart"/>
            <w:shd w:val="clear" w:color="auto" w:fill="0C426A"/>
          </w:tcPr>
          <w:p>
            <w:pPr>
              <w:ind w:left="40"/>
              <w:spacing w:after="0"/>
              <w:rPr>
                <w:sz w:val="20"/>
                <w:szCs w:val="20"/>
                <w:color w:val="auto"/>
              </w:rPr>
            </w:pPr>
            <w:r>
              <w:rPr>
                <w:rFonts w:ascii="Arial" w:cs="Arial" w:eastAsia="Arial" w:hAnsi="Arial"/>
                <w:sz w:val="21"/>
                <w:szCs w:val="21"/>
                <w:b w:val="1"/>
                <w:bCs w:val="1"/>
                <w:color w:val="FFFFFF"/>
              </w:rPr>
              <w:t>Sales</w:t>
            </w:r>
          </w:p>
        </w:tc>
        <w:tc>
          <w:tcPr>
            <w:tcW w:w="880" w:type="dxa"/>
            <w:vAlign w:val="bottom"/>
            <w:shd w:val="clear" w:color="auto" w:fill="0C426A"/>
          </w:tcPr>
          <w:p>
            <w:pPr>
              <w:ind w:left="760"/>
              <w:spacing w:after="0"/>
              <w:rPr>
                <w:sz w:val="20"/>
                <w:szCs w:val="20"/>
                <w:color w:val="auto"/>
              </w:rPr>
            </w:pPr>
            <w:r>
              <w:rPr>
                <w:rFonts w:ascii="Times New Roman" w:cs="Times New Roman" w:eastAsia="Times New Roman" w:hAnsi="Times New Roman"/>
                <w:sz w:val="4"/>
                <w:szCs w:val="4"/>
                <w:color w:val="auto"/>
              </w:rPr>
              <w:t>​​</w:t>
            </w:r>
          </w:p>
        </w:tc>
        <w:tc>
          <w:tcPr>
            <w:tcW w:w="2000" w:type="dxa"/>
            <w:vAlign w:val="bottom"/>
            <w:vMerge w:val="restart"/>
            <w:shd w:val="clear" w:color="auto" w:fill="0C426A"/>
          </w:tcPr>
          <w:p>
            <w:pPr>
              <w:ind w:left="40"/>
              <w:spacing w:after="0"/>
              <w:rPr>
                <w:sz w:val="20"/>
                <w:szCs w:val="20"/>
                <w:color w:val="auto"/>
              </w:rPr>
            </w:pPr>
            <w:r>
              <w:rPr>
                <w:rFonts w:ascii="Arial" w:cs="Arial" w:eastAsia="Arial" w:hAnsi="Arial"/>
                <w:sz w:val="21"/>
                <w:szCs w:val="21"/>
                <w:b w:val="1"/>
                <w:bCs w:val="1"/>
                <w:color w:val="FFFFFF"/>
              </w:rPr>
              <w:t>Operating Margin</w:t>
            </w:r>
          </w:p>
        </w:tc>
        <w:tc>
          <w:tcPr>
            <w:tcW w:w="300" w:type="dxa"/>
            <w:vAlign w:val="bottom"/>
            <w:shd w:val="clear" w:color="auto" w:fill="0C426A"/>
          </w:tcPr>
          <w:p>
            <w:pPr>
              <w:ind w:left="18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2080" w:type="dxa"/>
            <w:vAlign w:val="bottom"/>
            <w:vMerge w:val="restart"/>
            <w:shd w:val="clear" w:color="auto" w:fill="0C426A"/>
          </w:tcPr>
          <w:p>
            <w:pPr>
              <w:ind w:left="40"/>
              <w:spacing w:after="0"/>
              <w:rPr>
                <w:sz w:val="20"/>
                <w:szCs w:val="20"/>
                <w:color w:val="auto"/>
              </w:rPr>
            </w:pPr>
            <w:r>
              <w:rPr>
                <w:rFonts w:ascii="Arial" w:cs="Arial" w:eastAsia="Arial" w:hAnsi="Arial"/>
                <w:sz w:val="21"/>
                <w:szCs w:val="21"/>
                <w:b w:val="1"/>
                <w:bCs w:val="1"/>
                <w:color w:val="FFFFFF"/>
              </w:rPr>
              <w:t>Earnings per Share</w:t>
            </w:r>
          </w:p>
        </w:tc>
        <w:tc>
          <w:tcPr>
            <w:tcW w:w="200" w:type="dxa"/>
            <w:vAlign w:val="bottom"/>
            <w:shd w:val="clear" w:color="auto" w:fill="0C426A"/>
          </w:tcPr>
          <w:p>
            <w:pPr>
              <w:ind w:left="8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2180" w:type="dxa"/>
            <w:vAlign w:val="bottom"/>
            <w:shd w:val="clear" w:color="auto" w:fill="0C426A"/>
          </w:tcPr>
          <w:p>
            <w:pPr>
              <w:ind w:left="40"/>
              <w:spacing w:after="0"/>
              <w:rPr>
                <w:sz w:val="20"/>
                <w:szCs w:val="20"/>
                <w:color w:val="auto"/>
              </w:rPr>
            </w:pPr>
            <w:r>
              <w:rPr>
                <w:rFonts w:ascii="Arial" w:cs="Arial" w:eastAsia="Arial" w:hAnsi="Arial"/>
                <w:sz w:val="21"/>
                <w:szCs w:val="21"/>
                <w:b w:val="1"/>
                <w:bCs w:val="1"/>
                <w:color w:val="FFFFFF"/>
              </w:rPr>
              <w:t>Cash Flow</w:t>
            </w:r>
          </w:p>
        </w:tc>
        <w:tc>
          <w:tcPr>
            <w:tcW w:w="0" w:type="dxa"/>
            <w:vAlign w:val="bottom"/>
          </w:tcPr>
          <w:p>
            <w:pPr>
              <w:spacing w:after="0"/>
              <w:rPr>
                <w:sz w:val="1"/>
                <w:szCs w:val="1"/>
                <w:color w:val="auto"/>
              </w:rPr>
            </w:pPr>
          </w:p>
        </w:tc>
      </w:tr>
      <w:tr>
        <w:trPr>
          <w:trHeight w:val="296"/>
        </w:trPr>
        <w:tc>
          <w:tcPr>
            <w:tcW w:w="1340" w:type="dxa"/>
            <w:vAlign w:val="bottom"/>
            <w:vMerge w:val="continue"/>
            <w:shd w:val="clear" w:color="auto" w:fill="0C426A"/>
          </w:tcPr>
          <w:p>
            <w:pPr>
              <w:spacing w:after="0"/>
              <w:rPr>
                <w:sz w:val="24"/>
                <w:szCs w:val="24"/>
                <w:color w:val="auto"/>
              </w:rPr>
            </w:pPr>
          </w:p>
        </w:tc>
        <w:tc>
          <w:tcPr>
            <w:tcW w:w="880" w:type="dxa"/>
            <w:vAlign w:val="bottom"/>
            <w:shd w:val="clear" w:color="auto" w:fill="0C426A"/>
          </w:tcPr>
          <w:p>
            <w:pPr>
              <w:spacing w:after="0"/>
              <w:rPr>
                <w:sz w:val="24"/>
                <w:szCs w:val="24"/>
                <w:color w:val="auto"/>
              </w:rPr>
            </w:pPr>
          </w:p>
        </w:tc>
        <w:tc>
          <w:tcPr>
            <w:tcW w:w="2000" w:type="dxa"/>
            <w:vAlign w:val="bottom"/>
            <w:vMerge w:val="continue"/>
            <w:shd w:val="clear" w:color="auto" w:fill="0C426A"/>
          </w:tcPr>
          <w:p>
            <w:pPr>
              <w:spacing w:after="0"/>
              <w:rPr>
                <w:sz w:val="24"/>
                <w:szCs w:val="24"/>
                <w:color w:val="auto"/>
              </w:rPr>
            </w:pPr>
          </w:p>
        </w:tc>
        <w:tc>
          <w:tcPr>
            <w:tcW w:w="300" w:type="dxa"/>
            <w:vAlign w:val="bottom"/>
            <w:shd w:val="clear" w:color="auto" w:fill="0C426A"/>
          </w:tcPr>
          <w:p>
            <w:pPr>
              <w:spacing w:after="0"/>
              <w:rPr>
                <w:sz w:val="24"/>
                <w:szCs w:val="24"/>
                <w:color w:val="auto"/>
              </w:rPr>
            </w:pPr>
          </w:p>
        </w:tc>
        <w:tc>
          <w:tcPr>
            <w:tcW w:w="2080" w:type="dxa"/>
            <w:vAlign w:val="bottom"/>
            <w:vMerge w:val="continue"/>
            <w:shd w:val="clear" w:color="auto" w:fill="0C426A"/>
          </w:tcPr>
          <w:p>
            <w:pPr>
              <w:spacing w:after="0"/>
              <w:rPr>
                <w:sz w:val="24"/>
                <w:szCs w:val="24"/>
                <w:color w:val="auto"/>
              </w:rPr>
            </w:pPr>
          </w:p>
        </w:tc>
        <w:tc>
          <w:tcPr>
            <w:tcW w:w="200" w:type="dxa"/>
            <w:vAlign w:val="bottom"/>
            <w:shd w:val="clear" w:color="auto" w:fill="0C426A"/>
          </w:tcPr>
          <w:p>
            <w:pPr>
              <w:spacing w:after="0"/>
              <w:rPr>
                <w:sz w:val="24"/>
                <w:szCs w:val="24"/>
                <w:color w:val="auto"/>
              </w:rPr>
            </w:pPr>
          </w:p>
        </w:tc>
        <w:tc>
          <w:tcPr>
            <w:tcW w:w="2180" w:type="dxa"/>
            <w:vAlign w:val="bottom"/>
            <w:shd w:val="clear" w:color="auto" w:fill="0C426A"/>
          </w:tcPr>
          <w:p>
            <w:pPr>
              <w:ind w:left="40"/>
              <w:spacing w:after="0"/>
              <w:rPr>
                <w:sz w:val="20"/>
                <w:szCs w:val="20"/>
                <w:color w:val="auto"/>
              </w:rPr>
            </w:pPr>
            <w:r>
              <w:rPr>
                <w:rFonts w:ascii="Arial" w:cs="Arial" w:eastAsia="Arial" w:hAnsi="Arial"/>
                <w:sz w:val="21"/>
                <w:szCs w:val="21"/>
                <w:b w:val="1"/>
                <w:bCs w:val="1"/>
                <w:color w:val="FFFFFF"/>
              </w:rPr>
              <w:t>from Operations</w:t>
            </w:r>
          </w:p>
        </w:tc>
        <w:tc>
          <w:tcPr>
            <w:tcW w:w="0" w:type="dxa"/>
            <w:vAlign w:val="bottom"/>
          </w:tcPr>
          <w:p>
            <w:pPr>
              <w:spacing w:after="0"/>
              <w:rPr>
                <w:sz w:val="1"/>
                <w:szCs w:val="1"/>
                <w:color w:val="auto"/>
              </w:rPr>
            </w:pPr>
          </w:p>
        </w:tc>
      </w:tr>
      <w:tr>
        <w:trPr>
          <w:trHeight w:val="52"/>
        </w:trPr>
        <w:tc>
          <w:tcPr>
            <w:tcW w:w="1340" w:type="dxa"/>
            <w:vAlign w:val="bottom"/>
            <w:shd w:val="clear" w:color="auto" w:fill="0C426A"/>
          </w:tcPr>
          <w:p>
            <w:pPr>
              <w:spacing w:after="0"/>
              <w:rPr>
                <w:sz w:val="4"/>
                <w:szCs w:val="4"/>
                <w:color w:val="auto"/>
              </w:rPr>
            </w:pPr>
          </w:p>
        </w:tc>
        <w:tc>
          <w:tcPr>
            <w:tcW w:w="880" w:type="dxa"/>
            <w:vAlign w:val="bottom"/>
            <w:shd w:val="clear" w:color="auto" w:fill="0C426A"/>
          </w:tcPr>
          <w:p>
            <w:pPr>
              <w:spacing w:after="0"/>
              <w:rPr>
                <w:sz w:val="4"/>
                <w:szCs w:val="4"/>
                <w:color w:val="auto"/>
              </w:rPr>
            </w:pPr>
          </w:p>
        </w:tc>
        <w:tc>
          <w:tcPr>
            <w:tcW w:w="2000" w:type="dxa"/>
            <w:vAlign w:val="bottom"/>
            <w:shd w:val="clear" w:color="auto" w:fill="0C426A"/>
          </w:tcPr>
          <w:p>
            <w:pPr>
              <w:spacing w:after="0"/>
              <w:rPr>
                <w:sz w:val="4"/>
                <w:szCs w:val="4"/>
                <w:color w:val="auto"/>
              </w:rPr>
            </w:pPr>
          </w:p>
        </w:tc>
        <w:tc>
          <w:tcPr>
            <w:tcW w:w="300" w:type="dxa"/>
            <w:vAlign w:val="bottom"/>
            <w:shd w:val="clear" w:color="auto" w:fill="0C426A"/>
          </w:tcPr>
          <w:p>
            <w:pPr>
              <w:spacing w:after="0"/>
              <w:rPr>
                <w:sz w:val="4"/>
                <w:szCs w:val="4"/>
                <w:color w:val="auto"/>
              </w:rPr>
            </w:pPr>
          </w:p>
        </w:tc>
        <w:tc>
          <w:tcPr>
            <w:tcW w:w="2080" w:type="dxa"/>
            <w:vAlign w:val="bottom"/>
            <w:shd w:val="clear" w:color="auto" w:fill="0C426A"/>
          </w:tcPr>
          <w:p>
            <w:pPr>
              <w:spacing w:after="0"/>
              <w:rPr>
                <w:sz w:val="4"/>
                <w:szCs w:val="4"/>
                <w:color w:val="auto"/>
              </w:rPr>
            </w:pPr>
          </w:p>
        </w:tc>
        <w:tc>
          <w:tcPr>
            <w:tcW w:w="200" w:type="dxa"/>
            <w:vAlign w:val="bottom"/>
            <w:shd w:val="clear" w:color="auto" w:fill="0C426A"/>
          </w:tcPr>
          <w:p>
            <w:pPr>
              <w:spacing w:after="0"/>
              <w:rPr>
                <w:sz w:val="4"/>
                <w:szCs w:val="4"/>
                <w:color w:val="auto"/>
              </w:rPr>
            </w:pPr>
          </w:p>
        </w:tc>
        <w:tc>
          <w:tcPr>
            <w:tcW w:w="2180" w:type="dxa"/>
            <w:vAlign w:val="bottom"/>
            <w:shd w:val="clear" w:color="auto" w:fill="0C426A"/>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135890</wp:posOffset>
            </wp:positionV>
            <wp:extent cx="5713730" cy="2831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13730" cy="2831465"/>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60"/>
        <w:spacing w:after="0"/>
        <w:tabs>
          <w:tab w:leader="none" w:pos="2260" w:val="left"/>
        </w:tabs>
        <w:rPr>
          <w:sz w:val="20"/>
          <w:szCs w:val="20"/>
          <w:color w:val="auto"/>
        </w:rPr>
      </w:pPr>
      <w:r>
        <w:rPr>
          <w:rFonts w:ascii="Arial" w:cs="Arial" w:eastAsia="Arial" w:hAnsi="Arial"/>
          <w:sz w:val="43"/>
          <w:szCs w:val="43"/>
          <w:color w:val="0C426A"/>
        </w:rPr>
        <w:t>$9.68B</w:t>
      </w:r>
      <w:r>
        <w:rPr>
          <w:sz w:val="20"/>
          <w:szCs w:val="20"/>
          <w:color w:val="auto"/>
        </w:rPr>
        <w:tab/>
      </w:r>
      <w:r>
        <w:rPr>
          <w:rFonts w:ascii="Arial" w:cs="Arial" w:eastAsia="Arial" w:hAnsi="Arial"/>
          <w:sz w:val="43"/>
          <w:szCs w:val="43"/>
          <w:color w:val="0C426A"/>
        </w:rPr>
        <w:t>13.1%</w:t>
      </w:r>
    </w:p>
    <w:p>
      <w:pPr>
        <w:spacing w:after="0" w:line="127" w:lineRule="exact"/>
        <w:rPr>
          <w:sz w:val="20"/>
          <w:szCs w:val="20"/>
          <w:color w:val="auto"/>
        </w:rPr>
      </w:pPr>
    </w:p>
    <w:p>
      <w:pPr>
        <w:ind w:left="2120"/>
        <w:spacing w:after="0"/>
        <w:tabs>
          <w:tab w:leader="none" w:pos="2200" w:val="left"/>
        </w:tabs>
        <w:rPr>
          <w:sz w:val="20"/>
          <w:szCs w:val="20"/>
          <w:color w:val="auto"/>
        </w:rPr>
      </w:pPr>
      <w:r>
        <w:rPr>
          <w:rFonts w:ascii="Times New Roman" w:cs="Times New Roman" w:eastAsia="Times New Roman" w:hAnsi="Times New Roman"/>
          <w:sz w:val="7"/>
          <w:szCs w:val="7"/>
          <w:color w:val="auto"/>
          <w:vertAlign w:val="superscript"/>
        </w:rPr>
        <w:t>​</w:t>
      </w:r>
      <w:r>
        <w:rPr>
          <w:sz w:val="20"/>
          <w:szCs w:val="20"/>
          <w:color w:val="auto"/>
        </w:rPr>
        <w:tab/>
      </w:r>
      <w:r>
        <w:rPr>
          <w:rFonts w:ascii="Times New Roman" w:cs="Times New Roman" w:eastAsia="Times New Roman" w:hAnsi="Times New Roman"/>
          <w:sz w:val="7"/>
          <w:szCs w:val="7"/>
          <w:color w:val="auto"/>
          <w:vertAlign w:val="superscript"/>
        </w:rPr>
        <w:t>​</w:t>
      </w:r>
      <w:r>
        <w:rPr>
          <w:rFonts w:ascii="Arial" w:cs="Arial" w:eastAsia="Arial" w:hAnsi="Arial"/>
          <w:sz w:val="16"/>
          <w:szCs w:val="16"/>
          <w:color w:val="auto"/>
        </w:rPr>
        <w:t xml:space="preserve">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Arial" w:cs="Arial" w:eastAsia="Arial" w:hAnsi="Arial"/>
          <w:sz w:val="43"/>
          <w:szCs w:val="43"/>
          <w:color w:val="0C426A"/>
        </w:rPr>
        <w:t>Up 15.7%  17.0%</w:t>
      </w:r>
    </w:p>
    <w:p>
      <w:pPr>
        <w:spacing w:after="0" w:line="100" w:lineRule="exact"/>
        <w:rPr>
          <w:sz w:val="20"/>
          <w:szCs w:val="20"/>
          <w:color w:val="auto"/>
        </w:rPr>
      </w:pPr>
    </w:p>
    <w:p>
      <w:pPr>
        <w:ind w:left="60"/>
        <w:spacing w:after="0"/>
        <w:tabs>
          <w:tab w:leader="none" w:pos="2260" w:val="left"/>
        </w:tabs>
        <w:rPr>
          <w:sz w:val="20"/>
          <w:szCs w:val="20"/>
          <w:color w:val="auto"/>
        </w:rPr>
      </w:pPr>
      <w:r>
        <w:rPr>
          <w:rFonts w:ascii="Arial" w:cs="Arial" w:eastAsia="Arial" w:hAnsi="Arial"/>
          <w:sz w:val="16"/>
          <w:szCs w:val="16"/>
          <w:color w:val="auto"/>
        </w:rPr>
        <w:t>Year over Year</w:t>
      </w:r>
      <w:r>
        <w:rPr>
          <w:sz w:val="20"/>
          <w:szCs w:val="20"/>
          <w:color w:val="auto"/>
        </w:rPr>
        <w:tab/>
      </w:r>
      <w:r>
        <w:rPr>
          <w:rFonts w:ascii="Arial" w:cs="Arial" w:eastAsia="Arial" w:hAnsi="Arial"/>
          <w:sz w:val="15"/>
          <w:szCs w:val="15"/>
          <w:color w:val="auto"/>
        </w:rPr>
        <w:t>Adjusted</w:t>
      </w:r>
      <w:r>
        <w:rPr>
          <w:rFonts w:ascii="Arial" w:cs="Arial" w:eastAsia="Arial" w:hAnsi="Arial"/>
          <w:sz w:val="19"/>
          <w:szCs w:val="19"/>
          <w:color w:val="auto"/>
          <w:vertAlign w:val="superscript"/>
        </w:rPr>
        <w:t>(1)</w:t>
      </w:r>
    </w:p>
    <w:p>
      <w:pPr>
        <w:ind w:left="2120"/>
        <w:spacing w:after="0" w:line="217" w:lineRule="auto"/>
        <w:tabs>
          <w:tab w:leader="none" w:pos="220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Increased sales were driven</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by strong growth across the</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6"/>
          <w:szCs w:val="16"/>
          <w:color w:val="auto"/>
        </w:rPr>
        <w:t>Freight and Transit</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segments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ind w:left="160"/>
        <w:spacing w:after="0"/>
        <w:rPr>
          <w:sz w:val="20"/>
          <w:szCs w:val="20"/>
          <w:color w:val="auto"/>
        </w:rPr>
      </w:pPr>
      <w:r>
        <w:rPr>
          <w:rFonts w:ascii="Arial" w:cs="Arial" w:eastAsia="Arial" w:hAnsi="Arial"/>
          <w:sz w:val="43"/>
          <w:szCs w:val="43"/>
          <w:color w:val="0C426A"/>
        </w:rPr>
        <w:t>$4.53</w:t>
      </w:r>
    </w:p>
    <w:p>
      <w:pPr>
        <w:spacing w:after="0"/>
        <w:tabs>
          <w:tab w:leader="none" w:pos="60" w:val="left"/>
          <w:tab w:leader="none" w:pos="140" w:val="left"/>
          <w:tab w:leader="none" w:pos="2260" w:val="left"/>
          <w:tab w:leader="none" w:pos="236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32"/>
          <w:szCs w:val="32"/>
          <w:color w:val="auto"/>
          <w:vertAlign w:val="subscript"/>
        </w:rPr>
        <w:t>GAAP</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60"/>
        <w:spacing w:after="0"/>
        <w:rPr>
          <w:sz w:val="20"/>
          <w:szCs w:val="20"/>
          <w:color w:val="auto"/>
        </w:rPr>
      </w:pPr>
      <w:r>
        <w:rPr>
          <w:rFonts w:ascii="Arial" w:cs="Arial" w:eastAsia="Arial" w:hAnsi="Arial"/>
          <w:sz w:val="43"/>
          <w:szCs w:val="43"/>
          <w:color w:val="0C426A"/>
        </w:rPr>
        <w:t>$5.92</w:t>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Adjusted</w:t>
      </w:r>
      <w:r>
        <w:rPr>
          <w:rFonts w:ascii="Arial" w:cs="Arial" w:eastAsia="Arial" w:hAnsi="Arial"/>
          <w:sz w:val="20"/>
          <w:szCs w:val="20"/>
          <w:color w:val="auto"/>
          <w:vertAlign w:val="superscript"/>
        </w:rPr>
        <w:t>(1)</w:t>
      </w:r>
    </w:p>
    <w:tbl>
      <w:tblPr>
        <w:tblLayout w:type="fixed"/>
        <w:tblInd w:w="0" w:type="dxa"/>
        <w:tblCellMar>
          <w:top w:w="0" w:type="dxa"/>
          <w:left w:w="0" w:type="dxa"/>
          <w:bottom w:w="0" w:type="dxa"/>
          <w:right w:w="0" w:type="dxa"/>
        </w:tblCellMar>
      </w:tblPr>
      <w:tr>
        <w:trPr>
          <w:trHeight w:val="46"/>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ind w:left="110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r>
    </w:tbl>
    <w:p>
      <w:pPr>
        <w:spacing w:after="0" w:line="66" w:lineRule="exact"/>
        <w:rPr>
          <w:sz w:val="20"/>
          <w:szCs w:val="20"/>
          <w:color w:val="auto"/>
        </w:rPr>
      </w:pPr>
    </w:p>
    <w:p>
      <w:pPr>
        <w:ind w:left="160" w:right="320"/>
        <w:spacing w:after="0" w:line="282" w:lineRule="auto"/>
        <w:rPr>
          <w:sz w:val="20"/>
          <w:szCs w:val="20"/>
          <w:color w:val="auto"/>
        </w:rPr>
      </w:pPr>
      <w:r>
        <w:rPr>
          <w:rFonts w:ascii="Arial" w:cs="Arial" w:eastAsia="Arial" w:hAnsi="Arial"/>
          <w:sz w:val="16"/>
          <w:szCs w:val="16"/>
          <w:color w:val="auto"/>
        </w:rPr>
        <w:t>GAAP EPS up 30.9% Year over Year</w:t>
      </w:r>
    </w:p>
    <w:p>
      <w:pPr>
        <w:spacing w:after="0" w:line="9" w:lineRule="exact"/>
        <w:rPr>
          <w:sz w:val="20"/>
          <w:szCs w:val="20"/>
          <w:color w:val="auto"/>
        </w:rPr>
      </w:pPr>
    </w:p>
    <w:p>
      <w:pPr>
        <w:jc w:val="both"/>
        <w:ind w:left="160" w:right="140"/>
        <w:spacing w:after="0" w:line="263" w:lineRule="auto"/>
        <w:rPr>
          <w:sz w:val="20"/>
          <w:szCs w:val="20"/>
          <w:color w:val="auto"/>
        </w:rPr>
      </w:pPr>
      <w:r>
        <w:rPr>
          <w:rFonts w:ascii="Arial" w:cs="Arial" w:eastAsia="Arial" w:hAnsi="Arial"/>
          <w:sz w:val="16"/>
          <w:szCs w:val="16"/>
          <w:color w:val="auto"/>
        </w:rPr>
        <w:t>Adjusted EPS up 21.8% Year over Year from higher Freight and Transit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43"/>
          <w:szCs w:val="43"/>
          <w:color w:val="0C426A"/>
        </w:rPr>
        <w:t>$1.2B</w:t>
      </w:r>
    </w:p>
    <w:p>
      <w:pPr>
        <w:spacing w:after="0" w:line="135" w:lineRule="exact"/>
        <w:rPr>
          <w:sz w:val="20"/>
          <w:szCs w:val="20"/>
          <w:color w:val="auto"/>
        </w:rPr>
      </w:pPr>
    </w:p>
    <w:p>
      <w:pPr>
        <w:ind w:right="39"/>
        <w:spacing w:after="0" w:line="254" w:lineRule="auto"/>
        <w:rPr>
          <w:sz w:val="20"/>
          <w:szCs w:val="20"/>
          <w:color w:val="auto"/>
        </w:rPr>
      </w:pPr>
      <w:r>
        <w:rPr>
          <w:rFonts w:ascii="Arial" w:cs="Arial" w:eastAsia="Arial" w:hAnsi="Arial"/>
          <w:sz w:val="16"/>
          <w:szCs w:val="16"/>
          <w:color w:val="auto"/>
        </w:rPr>
        <w:t>Operating cash flow driven by higher net income tempered by higher working capital to support strong sales growth across the portfolio</w:t>
      </w:r>
    </w:p>
    <w:p>
      <w:pPr>
        <w:spacing w:after="0" w:line="2602" w:lineRule="exact"/>
        <w:rPr>
          <w:sz w:val="20"/>
          <w:szCs w:val="20"/>
          <w:color w:val="auto"/>
        </w:rPr>
      </w:pPr>
    </w:p>
    <w:p>
      <w:pPr>
        <w:sectPr>
          <w:pgSz w:w="11900" w:h="16838" w:orient="portrait"/>
          <w:cols w:equalWidth="0" w:num="3">
            <w:col w:w="3700" w:space="720"/>
            <w:col w:w="2380" w:space="60"/>
            <w:col w:w="2159"/>
          </w:cols>
          <w:pgMar w:left="1440" w:top="116" w:right="1440" w:bottom="1440" w:gutter="0" w:footer="0" w:header="0"/>
          <w:type w:val="continuous"/>
        </w:sectPr>
      </w:pPr>
    </w:p>
    <w:p>
      <w:pPr>
        <w:spacing w:after="0" w:line="44" w:lineRule="exact"/>
        <w:rPr>
          <w:sz w:val="20"/>
          <w:szCs w:val="20"/>
          <w:color w:val="auto"/>
        </w:rPr>
      </w:pPr>
    </w:p>
    <w:p>
      <w:pPr>
        <w:ind w:left="180" w:right="159" w:hanging="175"/>
        <w:spacing w:after="0" w:line="208" w:lineRule="auto"/>
        <w:tabs>
          <w:tab w:leader="none" w:pos="180" w:val="left"/>
        </w:tabs>
        <w:numPr>
          <w:ilvl w:val="0"/>
          <w:numId w:val="27"/>
        </w:numPr>
        <w:rPr>
          <w:rFonts w:ascii="Arial" w:cs="Arial" w:eastAsia="Arial" w:hAnsi="Arial"/>
          <w:sz w:val="21"/>
          <w:szCs w:val="21"/>
          <w:color w:val="auto"/>
          <w:vertAlign w:val="superscript"/>
        </w:rPr>
      </w:pPr>
      <w:r>
        <w:rPr>
          <w:rFonts w:ascii="Arial" w:cs="Arial" w:eastAsia="Arial" w:hAnsi="Arial"/>
          <w:sz w:val="14"/>
          <w:szCs w:val="14"/>
          <w:color w:val="auto"/>
        </w:rPr>
        <w:t>Please refer to the Appendix to this Proxy Statement for a description and reconciliation of these non-GAAP financial measures relative to reported GAAP financial measures.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760" w:type="dxa"/>
            <w:vAlign w:val="bottom"/>
          </w:tcPr>
          <w:p>
            <w:pPr>
              <w:jc w:val="right"/>
              <w:ind w:right="529"/>
              <w:spacing w:after="0"/>
              <w:rPr>
                <w:sz w:val="20"/>
                <w:szCs w:val="20"/>
                <w:color w:val="auto"/>
              </w:rPr>
            </w:pPr>
            <w:r>
              <w:rPr>
                <w:rFonts w:ascii="Arial" w:cs="Arial" w:eastAsia="Arial" w:hAnsi="Arial"/>
                <w:sz w:val="14"/>
                <w:szCs w:val="14"/>
                <w:b w:val="1"/>
                <w:bCs w:val="1"/>
                <w:color w:val="auto"/>
                <w:w w:val="89"/>
              </w:rPr>
              <w:t>44</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179070</wp:posOffset>
            </wp:positionV>
            <wp:extent cx="693801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6820"/>
        <w:spacing w:after="0"/>
        <w:rPr>
          <w:sz w:val="20"/>
          <w:szCs w:val="20"/>
          <w:color w:val="auto"/>
        </w:rPr>
      </w:pPr>
      <w:r>
        <w:rPr>
          <w:rFonts w:ascii="Arial" w:cs="Arial" w:eastAsia="Arial" w:hAnsi="Arial"/>
          <w:sz w:val="12"/>
          <w:szCs w:val="12"/>
          <w:color w:val="auto"/>
        </w:rPr>
        <w:t>Compensation Discussion and Analysis</w:t>
      </w:r>
    </w:p>
    <w:p>
      <w:pPr>
        <w:spacing w:after="0" w:line="143" w:lineRule="exact"/>
        <w:rPr>
          <w:sz w:val="20"/>
          <w:szCs w:val="20"/>
          <w:color w:val="auto"/>
        </w:rPr>
      </w:pPr>
    </w:p>
    <w:p>
      <w:pPr>
        <w:spacing w:after="0"/>
        <w:rPr>
          <w:sz w:val="20"/>
          <w:szCs w:val="20"/>
          <w:color w:val="auto"/>
        </w:rPr>
      </w:pPr>
      <w:r>
        <w:rPr>
          <w:rFonts w:ascii="Arial" w:cs="Arial" w:eastAsia="Arial" w:hAnsi="Arial"/>
          <w:sz w:val="23"/>
          <w:szCs w:val="23"/>
          <w:color w:val="0C426A"/>
        </w:rPr>
        <w:t>2023 Compensation Highlights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Elements of Compensation</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200" w:type="dxa"/>
            <w:vAlign w:val="bottom"/>
            <w:shd w:val="clear" w:color="auto" w:fill="0C426A"/>
          </w:tcPr>
          <w:p>
            <w:pPr>
              <w:ind w:left="1360"/>
              <w:spacing w:after="0"/>
              <w:rPr>
                <w:sz w:val="20"/>
                <w:szCs w:val="20"/>
                <w:color w:val="auto"/>
              </w:rPr>
            </w:pPr>
            <w:r>
              <w:rPr>
                <w:rFonts w:ascii="Times New Roman" w:cs="Times New Roman" w:eastAsia="Times New Roman" w:hAnsi="Times New Roman"/>
                <w:sz w:val="4"/>
                <w:szCs w:val="4"/>
                <w:color w:val="auto"/>
              </w:rPr>
              <w:t>​​</w:t>
            </w:r>
          </w:p>
        </w:tc>
        <w:tc>
          <w:tcPr>
            <w:tcW w:w="2240" w:type="dxa"/>
            <w:vAlign w:val="bottom"/>
            <w:shd w:val="clear" w:color="auto" w:fill="0C426A"/>
          </w:tcPr>
          <w:p>
            <w:pPr>
              <w:ind w:left="760"/>
              <w:spacing w:after="0"/>
              <w:rPr>
                <w:sz w:val="20"/>
                <w:szCs w:val="20"/>
                <w:color w:val="auto"/>
              </w:rPr>
            </w:pPr>
            <w:r>
              <w:rPr>
                <w:rFonts w:ascii="Arial" w:cs="Arial" w:eastAsia="Arial" w:hAnsi="Arial"/>
                <w:sz w:val="16"/>
                <w:szCs w:val="16"/>
                <w:b w:val="1"/>
                <w:bCs w:val="1"/>
                <w:color w:val="FFFFFF"/>
              </w:rPr>
              <w:t>Weighting</w:t>
            </w:r>
          </w:p>
        </w:tc>
        <w:tc>
          <w:tcPr>
            <w:tcW w:w="1260" w:type="dxa"/>
            <w:vAlign w:val="bottom"/>
            <w:shd w:val="clear" w:color="auto" w:fill="0C426A"/>
          </w:tcPr>
          <w:p>
            <w:pPr>
              <w:ind w:left="72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shd w:val="clear" w:color="auto" w:fill="0C426A"/>
          </w:tcPr>
          <w:p>
            <w:pPr>
              <w:ind w:left="460"/>
              <w:spacing w:after="0"/>
              <w:rPr>
                <w:sz w:val="20"/>
                <w:szCs w:val="20"/>
                <w:color w:val="auto"/>
              </w:rPr>
            </w:pPr>
            <w:r>
              <w:rPr>
                <w:rFonts w:ascii="Arial" w:cs="Arial" w:eastAsia="Arial" w:hAnsi="Arial"/>
                <w:sz w:val="16"/>
                <w:szCs w:val="16"/>
                <w:b w:val="1"/>
                <w:bCs w:val="1"/>
                <w:color w:val="FFFFFF"/>
              </w:rPr>
              <w:t>2023​</w:t>
            </w:r>
          </w:p>
        </w:tc>
        <w:tc>
          <w:tcPr>
            <w:tcW w:w="2440" w:type="dxa"/>
            <w:vAlign w:val="bottom"/>
            <w:shd w:val="clear" w:color="auto" w:fill="0C426A"/>
          </w:tcPr>
          <w:p>
            <w:pPr>
              <w:ind w:left="20"/>
              <w:spacing w:after="0"/>
              <w:rPr>
                <w:sz w:val="20"/>
                <w:szCs w:val="20"/>
                <w:color w:val="auto"/>
              </w:rPr>
            </w:pPr>
            <w:r>
              <w:rPr>
                <w:rFonts w:ascii="Arial" w:cs="Arial" w:eastAsia="Arial" w:hAnsi="Arial"/>
                <w:sz w:val="16"/>
                <w:szCs w:val="16"/>
                <w:b w:val="1"/>
                <w:bCs w:val="1"/>
                <w:color w:val="FFFFFF"/>
              </w:rPr>
              <w:t>Performance Metrics</w:t>
            </w:r>
          </w:p>
        </w:tc>
      </w:tr>
      <w:tr>
        <w:trPr>
          <w:trHeight w:val="191"/>
        </w:trPr>
        <w:tc>
          <w:tcPr>
            <w:tcW w:w="2200" w:type="dxa"/>
            <w:vAlign w:val="bottom"/>
            <w:shd w:val="clear" w:color="auto" w:fill="0C426A"/>
          </w:tcPr>
          <w:p>
            <w:pPr>
              <w:spacing w:after="0"/>
              <w:rPr>
                <w:sz w:val="16"/>
                <w:szCs w:val="16"/>
                <w:color w:val="auto"/>
              </w:rPr>
            </w:pPr>
          </w:p>
        </w:tc>
        <w:tc>
          <w:tcPr>
            <w:tcW w:w="2240" w:type="dxa"/>
            <w:vAlign w:val="bottom"/>
            <w:shd w:val="clear" w:color="auto" w:fill="0C426A"/>
          </w:tcPr>
          <w:p>
            <w:pPr>
              <w:spacing w:after="0"/>
              <w:rPr>
                <w:sz w:val="16"/>
                <w:szCs w:val="16"/>
                <w:color w:val="auto"/>
              </w:rPr>
            </w:pPr>
          </w:p>
        </w:tc>
        <w:tc>
          <w:tcPr>
            <w:tcW w:w="1260" w:type="dxa"/>
            <w:vAlign w:val="bottom"/>
            <w:shd w:val="clear" w:color="auto" w:fill="0C426A"/>
          </w:tcPr>
          <w:p>
            <w:pPr>
              <w:spacing w:after="0"/>
              <w:rPr>
                <w:sz w:val="16"/>
                <w:szCs w:val="16"/>
                <w:color w:val="auto"/>
              </w:rPr>
            </w:pPr>
          </w:p>
        </w:tc>
        <w:tc>
          <w:tcPr>
            <w:tcW w:w="840" w:type="dxa"/>
            <w:vAlign w:val="bottom"/>
            <w:shd w:val="clear" w:color="auto" w:fill="0C426A"/>
          </w:tcPr>
          <w:p>
            <w:pPr>
              <w:spacing w:after="0"/>
              <w:rPr>
                <w:sz w:val="16"/>
                <w:szCs w:val="16"/>
                <w:color w:val="auto"/>
              </w:rPr>
            </w:pPr>
          </w:p>
        </w:tc>
        <w:tc>
          <w:tcPr>
            <w:tcW w:w="2440" w:type="dxa"/>
            <w:vAlign w:val="bottom"/>
            <w:shd w:val="clear" w:color="auto" w:fill="0C426A"/>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0</wp:posOffset>
            </wp:positionV>
            <wp:extent cx="3086100" cy="8077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086100" cy="80772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194"/>
        </w:trPr>
        <w:tc>
          <w:tcPr>
            <w:tcW w:w="1100" w:type="dxa"/>
            <w:vAlign w:val="bottom"/>
          </w:tcPr>
          <w:p>
            <w:pPr>
              <w:spacing w:after="0"/>
              <w:rPr>
                <w:sz w:val="20"/>
                <w:szCs w:val="20"/>
                <w:color w:val="auto"/>
              </w:rPr>
            </w:pPr>
            <w:r>
              <w:rPr>
                <w:rFonts w:ascii="Arial" w:cs="Arial" w:eastAsia="Arial" w:hAnsi="Arial"/>
                <w:sz w:val="16"/>
                <w:szCs w:val="16"/>
                <w:color w:val="FFFFFF"/>
              </w:rPr>
              <w:t>Base Salary</w:t>
            </w:r>
          </w:p>
        </w:tc>
        <w:tc>
          <w:tcPr>
            <w:tcW w:w="32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r>
    </w:tbl>
    <w:p>
      <w:pPr>
        <w:spacing w:after="0" w:line="311"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 </w:t>
      </w:r>
    </w:p>
    <w:p>
      <w:pPr>
        <w:spacing w:after="0" w:line="200" w:lineRule="exact"/>
        <w:rPr>
          <w:sz w:val="20"/>
          <w:szCs w:val="20"/>
          <w:color w:val="auto"/>
        </w:rPr>
      </w:pPr>
    </w:p>
    <w:p>
      <w:pPr>
        <w:spacing w:after="0" w:line="325" w:lineRule="exact"/>
        <w:rPr>
          <w:sz w:val="20"/>
          <w:szCs w:val="20"/>
          <w:color w:val="auto"/>
        </w:rPr>
      </w:pPr>
    </w:p>
    <w:p>
      <w:pPr>
        <w:ind w:left="60"/>
        <w:spacing w:after="0"/>
        <w:rPr>
          <w:sz w:val="20"/>
          <w:szCs w:val="20"/>
          <w:color w:val="auto"/>
        </w:rPr>
      </w:pPr>
      <w:r>
        <w:rPr>
          <w:rFonts w:ascii="Arial" w:cs="Arial" w:eastAsia="Arial" w:hAnsi="Arial"/>
          <w:sz w:val="16"/>
          <w:szCs w:val="16"/>
          <w:color w:val="FFFFFF"/>
        </w:rPr>
        <w:t>Annual Cash</w:t>
      </w:r>
    </w:p>
    <w:p>
      <w:pPr>
        <w:ind w:left="1380"/>
        <w:spacing w:after="0"/>
        <w:tabs>
          <w:tab w:leader="none" w:pos="144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11" w:lineRule="exact"/>
        <w:rPr>
          <w:sz w:val="20"/>
          <w:szCs w:val="20"/>
          <w:color w:val="auto"/>
        </w:rPr>
      </w:pPr>
    </w:p>
    <w:p>
      <w:pPr>
        <w:ind w:left="60"/>
        <w:spacing w:after="0"/>
        <w:rPr>
          <w:sz w:val="20"/>
          <w:szCs w:val="20"/>
          <w:color w:val="auto"/>
        </w:rPr>
      </w:pPr>
      <w:r>
        <w:rPr>
          <w:rFonts w:ascii="Arial" w:cs="Arial" w:eastAsia="Arial" w:hAnsi="Arial"/>
          <w:sz w:val="16"/>
          <w:szCs w:val="16"/>
          <w:color w:val="FFFFFF"/>
        </w:rPr>
        <w:t>Incentive</w:t>
      </w:r>
    </w:p>
    <w:p>
      <w:pPr>
        <w:spacing w:after="0" w:line="108"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rFonts w:ascii="Arial" w:cs="Arial" w:eastAsia="Arial" w:hAnsi="Arial"/>
          <w:sz w:val="16"/>
          <w:szCs w:val="16"/>
          <w:color w:val="FFFFFF"/>
        </w:rPr>
        <w:t>Long-Term Equity</w:t>
      </w:r>
    </w:p>
    <w:p>
      <w:pPr>
        <w:ind w:left="1380"/>
        <w:spacing w:after="0"/>
        <w:tabs>
          <w:tab w:leader="none" w:pos="144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11" w:lineRule="exact"/>
        <w:rPr>
          <w:sz w:val="20"/>
          <w:szCs w:val="20"/>
          <w:color w:val="auto"/>
        </w:rPr>
      </w:pPr>
    </w:p>
    <w:p>
      <w:pPr>
        <w:ind w:left="60"/>
        <w:spacing w:after="0"/>
        <w:rPr>
          <w:sz w:val="20"/>
          <w:szCs w:val="20"/>
          <w:color w:val="auto"/>
        </w:rPr>
      </w:pPr>
      <w:r>
        <w:rPr>
          <w:rFonts w:ascii="Arial" w:cs="Arial" w:eastAsia="Arial" w:hAnsi="Arial"/>
          <w:sz w:val="16"/>
          <w:szCs w:val="16"/>
          <w:color w:val="FFFFFF"/>
        </w:rPr>
        <w:t>Incentives</w:t>
      </w:r>
    </w:p>
    <w:p>
      <w:pPr>
        <w:spacing w:after="0" w:line="28" w:lineRule="exact"/>
        <w:rPr>
          <w:sz w:val="20"/>
          <w:szCs w:val="20"/>
          <w:color w:val="auto"/>
        </w:rPr>
      </w:pPr>
    </w:p>
    <w:p>
      <w:pPr>
        <w:jc w:val="right"/>
        <w:ind w:right="2840"/>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right="599" w:firstLine="161"/>
        <w:spacing w:after="0" w:line="254" w:lineRule="auto"/>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Individual contribution to business results</w:t>
      </w:r>
      <w:r>
        <w:rPr>
          <w:rFonts w:ascii="Arial" w:cs="Arial" w:eastAsia="Arial" w:hAnsi="Arial"/>
          <w:sz w:val="16"/>
          <w:szCs w:val="16"/>
          <w:color w:val="4297CB"/>
        </w:rPr>
        <w:t xml:space="preserve"> </w:t>
      </w:r>
      <w:r>
        <w:rPr>
          <w:rFonts w:ascii="Times New Roman" w:cs="Times New Roman" w:eastAsia="Times New Roman" w:hAnsi="Times New Roman"/>
          <w:sz w:val="3"/>
          <w:szCs w:val="3"/>
          <w:color w:val="000000"/>
        </w:rPr>
        <w:t xml:space="preserve">​ ​ </w:t>
      </w:r>
      <w:r>
        <w:rPr>
          <w:rFonts w:ascii="Arial" w:cs="Arial" w:eastAsia="Arial" w:hAnsi="Arial"/>
          <w:sz w:val="16"/>
          <w:szCs w:val="16"/>
          <w:color w:val="4297CB"/>
        </w:rPr>
        <w:t>•</w:t>
      </w:r>
      <w:r>
        <w:rPr>
          <w:rFonts w:ascii="Arial" w:cs="Arial" w:eastAsia="Arial" w:hAnsi="Arial"/>
          <w:sz w:val="16"/>
          <w:szCs w:val="16"/>
          <w:color w:val="000000"/>
        </w:rPr>
        <w:t xml:space="preserve">  Tenure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Capabilities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230505</wp:posOffset>
            </wp:positionV>
            <wp:extent cx="5713730" cy="7734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13730" cy="773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Earnings per share (75%)</w:t>
      </w:r>
    </w:p>
    <w:p>
      <w:pPr>
        <w:spacing w:after="0" w:line="19" w:lineRule="exact"/>
        <w:rPr>
          <w:sz w:val="20"/>
          <w:szCs w:val="20"/>
          <w:color w:val="auto"/>
        </w:rPr>
      </w:pPr>
    </w:p>
    <w:p>
      <w:pPr>
        <w:ind w:left="80" w:hanging="73"/>
        <w:spacing w:after="0"/>
        <w:tabs>
          <w:tab w:leader="none" w:pos="80" w:val="left"/>
        </w:tabs>
        <w:numPr>
          <w:ilvl w:val="0"/>
          <w:numId w:val="28"/>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w:t>
      </w:r>
      <w:r>
        <w:rPr>
          <w:rFonts w:ascii="Arial" w:cs="Arial" w:eastAsia="Arial" w:hAnsi="Arial"/>
          <w:sz w:val="16"/>
          <w:szCs w:val="16"/>
          <w:color w:val="4297CB"/>
        </w:rPr>
        <w:t>•</w:t>
      </w:r>
      <w:r>
        <w:rPr>
          <w:rFonts w:ascii="Arial" w:cs="Arial" w:eastAsia="Arial" w:hAnsi="Arial"/>
          <w:sz w:val="16"/>
          <w:szCs w:val="16"/>
          <w:color w:val="000000"/>
        </w:rPr>
        <w:t xml:space="preserve">  Cash conversion (25%)</w:t>
      </w:r>
    </w:p>
    <w:p>
      <w:pPr>
        <w:spacing w:after="0" w:line="3"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Personal performance modifier (0%-120%)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205105</wp:posOffset>
            </wp:positionV>
            <wp:extent cx="5713730" cy="12160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13730" cy="121602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6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60% performance units and 40% time-vesting</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restricted stock</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For performance units:</w:t>
      </w:r>
    </w:p>
    <w:p>
      <w:pPr>
        <w:spacing w:after="0" w:line="3" w:lineRule="exact"/>
        <w:rPr>
          <w:sz w:val="20"/>
          <w:szCs w:val="20"/>
          <w:color w:val="auto"/>
        </w:rPr>
      </w:pPr>
    </w:p>
    <w:p>
      <w:pPr>
        <w:ind w:left="160" w:right="579" w:hanging="153"/>
        <w:spacing w:after="0" w:line="244" w:lineRule="auto"/>
        <w:tabs>
          <w:tab w:leader="none" w:pos="-80" w:val="left"/>
        </w:tabs>
        <w:numPr>
          <w:ilvl w:val="0"/>
          <w:numId w:val="29"/>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w:t>
      </w:r>
      <w:r>
        <w:rPr>
          <w:rFonts w:ascii="Arial" w:cs="Arial" w:eastAsia="Arial" w:hAnsi="Arial"/>
          <w:sz w:val="16"/>
          <w:szCs w:val="16"/>
          <w:color w:val="auto"/>
        </w:rPr>
        <w:t>*  3-year average annual return on invested capital (50%)</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3-year average annual cash conversion (50%)</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Subject to relative total stockholder return</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(RTSR) modifier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69215</wp:posOffset>
            </wp:positionV>
            <wp:extent cx="57137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60" w:space="720"/>
            <w:col w:w="3839"/>
          </w:cols>
          <w:pgMar w:left="1440" w:top="116" w:right="1440" w:bottom="1440" w:gutter="0" w:footer="0" w:header="0"/>
          <w:type w:val="continuous"/>
        </w:sectPr>
      </w:pPr>
    </w:p>
    <w:p>
      <w:pPr>
        <w:spacing w:after="0" w:line="239" w:lineRule="exact"/>
        <w:rPr>
          <w:sz w:val="20"/>
          <w:szCs w:val="20"/>
          <w:color w:val="auto"/>
        </w:rPr>
      </w:pPr>
    </w:p>
    <w:p>
      <w:pPr>
        <w:spacing w:after="0"/>
        <w:rPr>
          <w:sz w:val="20"/>
          <w:szCs w:val="20"/>
          <w:color w:val="auto"/>
        </w:rPr>
      </w:pPr>
      <w:r>
        <w:rPr>
          <w:rFonts w:ascii="Arial" w:cs="Arial" w:eastAsia="Arial" w:hAnsi="Arial"/>
          <w:sz w:val="23"/>
          <w:szCs w:val="23"/>
          <w:color w:val="0C426A"/>
        </w:rPr>
        <w:t>Say-on-Pay Results</w:t>
      </w:r>
    </w:p>
    <w:p>
      <w:pPr>
        <w:sectPr>
          <w:pgSz w:w="11900" w:h="16838" w:orient="portrait"/>
          <w:cols w:equalWidth="0" w:num="1">
            <w:col w:w="9019"/>
          </w:cols>
          <w:pgMar w:left="1440" w:top="116" w:right="1440" w:bottom="1440" w:gutter="0" w:footer="0" w:header="0"/>
          <w:type w:val="continuous"/>
        </w:sectPr>
      </w:pPr>
    </w:p>
    <w:p>
      <w:pPr>
        <w:spacing w:after="0" w:line="20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Compensation Committee reviewed the results of the 2023 stockholder advisory vote on executive officer compensation and incorporated the results as one of the many factors considered in connection with the discharge of its responsibilities. At our 2023 annual meeting of Stockholders, approximately 93% of the votes cast approved the compensation program described in the Company’s 2023 proxy statement. The Compensation Committee interpreted this level of support as affirmation of the design and objectives of our executive compensation programs and therefore did not make any significant changes to such programs as a direct result of such vote. The Compensation Committee continues to monitor best practices among the Company’s peer group and industry standards related to executive compensation programs.</w:t>
      </w:r>
    </w:p>
    <w:p>
      <w:pPr>
        <w:spacing w:after="0" w:line="389" w:lineRule="exact"/>
        <w:rPr>
          <w:sz w:val="20"/>
          <w:szCs w:val="20"/>
          <w:color w:val="auto"/>
        </w:rPr>
      </w:pPr>
    </w:p>
    <w:p>
      <w:pPr>
        <w:ind w:left="5400"/>
        <w:spacing w:after="0"/>
        <w:rPr>
          <w:sz w:val="20"/>
          <w:szCs w:val="20"/>
          <w:color w:val="auto"/>
        </w:rPr>
      </w:pPr>
      <w:r>
        <w:rPr>
          <w:rFonts w:ascii="Arial" w:cs="Arial" w:eastAsia="Arial" w:hAnsi="Arial"/>
          <w:sz w:val="14"/>
          <w:szCs w:val="14"/>
          <w:color w:val="auto"/>
        </w:rPr>
        <w:t xml:space="preserve">2024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277495</wp:posOffset>
            </wp:positionV>
            <wp:extent cx="693801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3801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tabs>
          <w:tab w:leader="none" w:pos="8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-541020</wp:posOffset>
            </wp:positionV>
            <wp:extent cx="943610" cy="9436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43610" cy="94361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80" w:type="dxa"/>
            <w:vAlign w:val="bottom"/>
          </w:tcPr>
          <w:p>
            <w:pPr>
              <w:jc w:val="center"/>
              <w:ind w:right="557"/>
              <w:spacing w:after="0"/>
              <w:rPr>
                <w:sz w:val="20"/>
                <w:szCs w:val="20"/>
                <w:color w:val="auto"/>
              </w:rPr>
            </w:pPr>
            <w:r>
              <w:rPr>
                <w:rFonts w:ascii="Arial" w:cs="Arial" w:eastAsia="Arial" w:hAnsi="Arial"/>
                <w:sz w:val="16"/>
                <w:szCs w:val="16"/>
                <w:color w:val="auto"/>
              </w:rPr>
              <w:t> </w:t>
            </w:r>
          </w:p>
        </w:tc>
        <w:tc>
          <w:tcPr>
            <w:tcW w:w="820" w:type="dxa"/>
            <w:vAlign w:val="bottom"/>
          </w:tcPr>
          <w:p>
            <w:pPr>
              <w:spacing w:after="0"/>
              <w:rPr>
                <w:sz w:val="18"/>
                <w:szCs w:val="18"/>
                <w:color w:val="auto"/>
              </w:rPr>
            </w:pPr>
          </w:p>
        </w:tc>
      </w:tr>
      <w:tr>
        <w:trPr>
          <w:trHeight w:val="657"/>
        </w:trPr>
        <w:tc>
          <w:tcPr>
            <w:tcW w:w="1080" w:type="dxa"/>
            <w:vAlign w:val="bottom"/>
          </w:tcPr>
          <w:p>
            <w:pPr>
              <w:jc w:val="center"/>
              <w:ind w:right="577"/>
              <w:spacing w:after="0"/>
              <w:rPr>
                <w:sz w:val="20"/>
                <w:szCs w:val="20"/>
                <w:color w:val="auto"/>
              </w:rPr>
            </w:pPr>
            <w:r>
              <w:rPr>
                <w:rFonts w:ascii="Arial" w:cs="Arial" w:eastAsia="Arial" w:hAnsi="Arial"/>
                <w:sz w:val="25"/>
                <w:szCs w:val="25"/>
                <w:color w:val="636466"/>
                <w:w w:val="75"/>
              </w:rPr>
              <w:t>   /</w:t>
            </w:r>
            <w:r>
              <w:rPr>
                <w:rFonts w:ascii="Arial" w:cs="Arial" w:eastAsia="Arial" w:hAnsi="Arial"/>
                <w:sz w:val="25"/>
                <w:szCs w:val="25"/>
                <w:color w:val="000000"/>
                <w:w w:val="75"/>
              </w:rPr>
              <w:t xml:space="preserve"> </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wp:posOffset>
            </wp:positionH>
            <wp:positionV relativeFrom="paragraph">
              <wp:posOffset>-168910</wp:posOffset>
            </wp:positionV>
            <wp:extent cx="501650" cy="1701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2">
            <w:col w:w="7040" w:space="60"/>
            <w:col w:w="1919"/>
          </w:cols>
          <w:pgMar w:left="1440" w:top="116" w:right="1440"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Compensation Discussion and Analysis</w:t>
      </w:r>
    </w:p>
    <w:p>
      <w:pPr>
        <w:spacing w:after="0" w:line="143" w:lineRule="exact"/>
        <w:rPr>
          <w:sz w:val="20"/>
          <w:szCs w:val="20"/>
          <w:color w:val="auto"/>
        </w:rPr>
      </w:pPr>
    </w:p>
    <w:p>
      <w:pPr>
        <w:spacing w:after="0"/>
        <w:rPr>
          <w:sz w:val="20"/>
          <w:szCs w:val="20"/>
          <w:color w:val="auto"/>
        </w:rPr>
      </w:pPr>
      <w:r>
        <w:rPr>
          <w:rFonts w:ascii="Arial" w:cs="Arial" w:eastAsia="Arial" w:hAnsi="Arial"/>
          <w:sz w:val="23"/>
          <w:szCs w:val="23"/>
          <w:color w:val="0C426A"/>
        </w:rPr>
        <w:t>Compensation Governance Best Practices</w:t>
      </w:r>
    </w:p>
    <w:p>
      <w:pPr>
        <w:spacing w:after="0" w:line="181" w:lineRule="exact"/>
        <w:rPr>
          <w:sz w:val="20"/>
          <w:szCs w:val="20"/>
          <w:color w:val="auto"/>
        </w:rPr>
      </w:pPr>
    </w:p>
    <w:p>
      <w:pPr>
        <w:ind w:right="479"/>
        <w:spacing w:after="0" w:line="282" w:lineRule="auto"/>
        <w:rPr>
          <w:sz w:val="20"/>
          <w:szCs w:val="20"/>
          <w:color w:val="auto"/>
        </w:rPr>
      </w:pPr>
      <w:r>
        <w:rPr>
          <w:rFonts w:ascii="Arial" w:cs="Arial" w:eastAsia="Arial" w:hAnsi="Arial"/>
          <w:sz w:val="16"/>
          <w:szCs w:val="16"/>
          <w:color w:val="auto"/>
        </w:rPr>
        <w:t>The Compensation Committee has implemented the following best practices with respect to the executive compensation program:</w:t>
      </w:r>
    </w:p>
    <w:p>
      <w:pPr>
        <w:spacing w:after="0" w:line="130" w:lineRule="exact"/>
        <w:rPr>
          <w:sz w:val="20"/>
          <w:szCs w:val="20"/>
          <w:color w:val="auto"/>
        </w:rPr>
      </w:pPr>
    </w:p>
    <w:tbl>
      <w:tblPr>
        <w:tblLayout w:type="fixed"/>
        <w:tblInd w:w="1780" w:type="dxa"/>
        <w:tblCellMar>
          <w:top w:w="0" w:type="dxa"/>
          <w:left w:w="0" w:type="dxa"/>
          <w:bottom w:w="0" w:type="dxa"/>
          <w:right w:w="0" w:type="dxa"/>
        </w:tblCellMar>
      </w:tblPr>
      <w:tr>
        <w:trPr>
          <w:trHeight w:val="171"/>
        </w:trPr>
        <w:tc>
          <w:tcPr>
            <w:tcW w:w="1740" w:type="dxa"/>
            <w:vAlign w:val="bottom"/>
          </w:tcPr>
          <w:p>
            <w:pPr>
              <w:spacing w:after="0"/>
              <w:rPr>
                <w:sz w:val="20"/>
                <w:szCs w:val="20"/>
                <w:color w:val="auto"/>
              </w:rPr>
            </w:pPr>
            <w:r>
              <w:rPr>
                <w:rFonts w:ascii="Arial" w:cs="Arial" w:eastAsia="Arial" w:hAnsi="Arial"/>
                <w:sz w:val="14"/>
                <w:szCs w:val="14"/>
                <w:b w:val="1"/>
                <w:bCs w:val="1"/>
                <w:color w:val="auto"/>
              </w:rPr>
              <w:t>What we do:</w:t>
            </w:r>
          </w:p>
        </w:tc>
        <w:tc>
          <w:tcPr>
            <w:tcW w:w="940" w:type="dxa"/>
            <w:vAlign w:val="bottom"/>
          </w:tcPr>
          <w:p>
            <w:pPr>
              <w:ind w:left="90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060" w:type="dxa"/>
            <w:vAlign w:val="bottom"/>
          </w:tcPr>
          <w:p>
            <w:pPr>
              <w:ind w:left="840"/>
              <w:spacing w:after="0"/>
              <w:rPr>
                <w:sz w:val="20"/>
                <w:szCs w:val="20"/>
                <w:color w:val="auto"/>
              </w:rPr>
            </w:pPr>
            <w:r>
              <w:rPr>
                <w:rFonts w:ascii="Arial" w:cs="Arial" w:eastAsia="Arial" w:hAnsi="Arial"/>
                <w:sz w:val="14"/>
                <w:szCs w:val="14"/>
                <w:b w:val="1"/>
                <w:bCs w:val="1"/>
                <w:color w:val="auto"/>
                <w:w w:val="99"/>
              </w:rPr>
              <w:t>What we don’t do: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129540</wp:posOffset>
            </wp:positionV>
            <wp:extent cx="57137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p>
      <w:pPr>
        <w:spacing w:after="0" w:line="302" w:lineRule="exact"/>
        <w:rPr>
          <w:sz w:val="20"/>
          <w:szCs w:val="20"/>
          <w:color w:val="auto"/>
        </w:rPr>
      </w:pPr>
    </w:p>
    <w:p>
      <w:pPr>
        <w:ind w:left="240" w:right="120" w:hanging="202"/>
        <w:spacing w:after="0" w:line="200" w:lineRule="exact"/>
        <w:rPr>
          <w:sz w:val="20"/>
          <w:szCs w:val="20"/>
          <w:color w:val="auto"/>
        </w:rPr>
      </w:pPr>
      <w:r>
        <w:rPr>
          <w:rFonts w:ascii="MS PGothic" w:cs="MS PGothic" w:eastAsia="MS PGothic" w:hAnsi="MS PGothic"/>
          <w:sz w:val="16"/>
          <w:szCs w:val="16"/>
          <w:color w:val="4297CB"/>
        </w:rPr>
        <w:t>✔</w:t>
      </w:r>
      <w:r>
        <w:rPr>
          <w:rFonts w:ascii="Arial" w:cs="Arial" w:eastAsia="Arial" w:hAnsi="Arial"/>
          <w:sz w:val="16"/>
          <w:szCs w:val="16"/>
          <w:color w:val="auto"/>
        </w:rPr>
        <w:t xml:space="preserve">  Review the executive compensation programs each year and the Company’s long-term business strategy, the results of the most recent say-on-pay advisory vote and contemporary market practices as periodically provided by our independent consultant.</w:t>
      </w:r>
    </w:p>
    <w:p>
      <w:pPr>
        <w:spacing w:after="0" w:line="8" w:lineRule="exact"/>
        <w:rPr>
          <w:sz w:val="20"/>
          <w:szCs w:val="20"/>
          <w:color w:val="auto"/>
        </w:rPr>
      </w:pPr>
    </w:p>
    <w:p>
      <w:pPr>
        <w:jc w:val="center"/>
        <w:ind w:right="220"/>
        <w:spacing w:after="0" w:line="173" w:lineRule="exact"/>
        <w:rPr>
          <w:sz w:val="20"/>
          <w:szCs w:val="20"/>
          <w:color w:val="auto"/>
        </w:rPr>
      </w:pPr>
      <w:r>
        <w:rPr>
          <w:rFonts w:ascii="MS PGothic" w:cs="MS PGothic" w:eastAsia="MS PGothic" w:hAnsi="MS PGothic"/>
          <w:sz w:val="15"/>
          <w:szCs w:val="15"/>
          <w:color w:val="4297CB"/>
        </w:rPr>
        <w:t>✔</w:t>
      </w:r>
      <w:r>
        <w:rPr>
          <w:rFonts w:ascii="Arial" w:cs="Arial" w:eastAsia="Arial" w:hAnsi="Arial"/>
          <w:sz w:val="15"/>
          <w:szCs w:val="15"/>
          <w:color w:val="auto"/>
        </w:rPr>
        <w:t xml:space="preserve">  Use the Company’s stock price and other value-creating</w:t>
      </w:r>
    </w:p>
    <w:p>
      <w:pPr>
        <w:spacing w:after="0" w:line="67" w:lineRule="exact"/>
        <w:rPr>
          <w:sz w:val="20"/>
          <w:szCs w:val="20"/>
          <w:color w:val="auto"/>
        </w:rPr>
      </w:pPr>
    </w:p>
    <w:p>
      <w:pPr>
        <w:ind w:left="240" w:right="180"/>
        <w:spacing w:after="0" w:line="248" w:lineRule="auto"/>
        <w:rPr>
          <w:sz w:val="20"/>
          <w:szCs w:val="20"/>
          <w:color w:val="auto"/>
        </w:rPr>
      </w:pPr>
      <w:r>
        <w:rPr>
          <w:rFonts w:ascii="Arial" w:cs="Arial" w:eastAsia="Arial" w:hAnsi="Arial"/>
          <w:sz w:val="16"/>
          <w:szCs w:val="16"/>
          <w:color w:val="auto"/>
        </w:rPr>
        <w:t>financial metrics such as earnings before interest and taxes (EBIT) margin, earnings per share (EPS), cash conversion, return on invested capital (ROIC) and relative total stockholder (RTSR) return in our executive incentive programs.</w:t>
      </w:r>
    </w:p>
    <w:p>
      <w:pPr>
        <w:spacing w:after="0" w:line="15" w:lineRule="exact"/>
        <w:rPr>
          <w:sz w:val="20"/>
          <w:szCs w:val="20"/>
          <w:color w:val="auto"/>
        </w:rPr>
      </w:pPr>
    </w:p>
    <w:p>
      <w:pPr>
        <w:ind w:left="240" w:right="720" w:hanging="202"/>
        <w:spacing w:after="0" w:line="218" w:lineRule="exact"/>
        <w:rPr>
          <w:sz w:val="20"/>
          <w:szCs w:val="20"/>
          <w:color w:val="auto"/>
        </w:rPr>
      </w:pPr>
      <w:r>
        <w:rPr>
          <w:rFonts w:ascii="MS PGothic" w:cs="MS PGothic" w:eastAsia="MS PGothic" w:hAnsi="MS PGothic"/>
          <w:sz w:val="16"/>
          <w:szCs w:val="16"/>
          <w:color w:val="4297CB"/>
        </w:rPr>
        <w:t>✔</w:t>
      </w:r>
      <w:r>
        <w:rPr>
          <w:rFonts w:ascii="Arial" w:cs="Arial" w:eastAsia="Arial" w:hAnsi="Arial"/>
          <w:sz w:val="16"/>
          <w:szCs w:val="16"/>
          <w:color w:val="auto"/>
        </w:rPr>
        <w:t xml:space="preserve">  Annually review the risks associated with our compensation programs and mitigate the risks by:</w:t>
      </w:r>
    </w:p>
    <w:p>
      <w:pPr>
        <w:spacing w:after="0" w:line="42" w:lineRule="exact"/>
        <w:rPr>
          <w:sz w:val="20"/>
          <w:szCs w:val="20"/>
          <w:color w:val="auto"/>
        </w:rPr>
      </w:pPr>
    </w:p>
    <w:p>
      <w:pPr>
        <w:ind w:left="320" w:hanging="81"/>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4297CB"/>
        </w:rPr>
        <w:t>•</w:t>
      </w:r>
      <w:r>
        <w:rPr>
          <w:rFonts w:ascii="Arial" w:cs="Arial" w:eastAsia="Arial" w:hAnsi="Arial"/>
          <w:sz w:val="16"/>
          <w:szCs w:val="16"/>
          <w:color w:val="000000"/>
        </w:rPr>
        <w:t xml:space="preserve">  capping incentive payouts earned under our annual</w:t>
      </w:r>
    </w:p>
    <w:p>
      <w:pPr>
        <w:spacing w:after="0" w:line="19" w:lineRule="exact"/>
        <w:rPr>
          <w:sz w:val="20"/>
          <w:szCs w:val="20"/>
          <w:color w:val="auto"/>
        </w:rPr>
      </w:pPr>
    </w:p>
    <w:p>
      <w:pPr>
        <w:ind w:left="480"/>
        <w:spacing w:after="0" w:line="253" w:lineRule="auto"/>
        <w:rPr>
          <w:sz w:val="20"/>
          <w:szCs w:val="20"/>
          <w:color w:val="auto"/>
        </w:rPr>
      </w:pPr>
      <w:r>
        <w:rPr>
          <w:rFonts w:ascii="Arial" w:cs="Arial" w:eastAsia="Arial" w:hAnsi="Arial"/>
          <w:sz w:val="16"/>
          <w:szCs w:val="16"/>
          <w:color w:val="auto"/>
        </w:rPr>
        <w:t xml:space="preserve">cash incentive award plan and capping the number of </w:t>
      </w:r>
      <w:r>
        <w:rPr>
          <w:rFonts w:ascii="Times New Roman" w:cs="Times New Roman" w:eastAsia="Times New Roman" w:hAnsi="Times New Roman"/>
          <w:sz w:val="7"/>
          <w:szCs w:val="7"/>
          <w:color w:val="auto"/>
          <w:vertAlign w:val="subscript"/>
        </w:rPr>
        <w:t>​ ​</w:t>
      </w:r>
      <w:r>
        <w:rPr>
          <w:rFonts w:ascii="Arial" w:cs="Arial" w:eastAsia="Arial" w:hAnsi="Arial"/>
          <w:sz w:val="16"/>
          <w:szCs w:val="16"/>
          <w:color w:val="auto"/>
        </w:rPr>
        <w:t xml:space="preserve"> performance units earned under the long-term incentive plan;</w:t>
      </w:r>
    </w:p>
    <w:p>
      <w:pPr>
        <w:spacing w:after="0" w:line="31" w:lineRule="exact"/>
        <w:rPr>
          <w:sz w:val="20"/>
          <w:szCs w:val="20"/>
          <w:color w:val="auto"/>
        </w:rPr>
      </w:pPr>
    </w:p>
    <w:p>
      <w:pPr>
        <w:ind w:left="480" w:right="300" w:hanging="247"/>
        <w:spacing w:after="0" w:line="282" w:lineRule="auto"/>
        <w:tabs>
          <w:tab w:leader="none" w:pos="323" w:val="left"/>
        </w:tabs>
        <w:numPr>
          <w:ilvl w:val="0"/>
          <w:numId w:val="31"/>
        </w:numPr>
        <w:rPr>
          <w:rFonts w:ascii="Arial" w:cs="Arial" w:eastAsia="Arial" w:hAnsi="Arial"/>
          <w:sz w:val="16"/>
          <w:szCs w:val="16"/>
          <w:color w:val="auto"/>
        </w:rPr>
      </w:pPr>
      <w:r>
        <w:rPr>
          <w:rFonts w:ascii="Arial" w:cs="Arial" w:eastAsia="Arial" w:hAnsi="Arial"/>
          <w:sz w:val="16"/>
          <w:szCs w:val="16"/>
          <w:color w:val="4297CB"/>
        </w:rPr>
        <w:t>•</w:t>
      </w:r>
      <w:r>
        <w:rPr>
          <w:rFonts w:ascii="Arial" w:cs="Arial" w:eastAsia="Arial" w:hAnsi="Arial"/>
          <w:sz w:val="16"/>
          <w:szCs w:val="16"/>
          <w:color w:val="000000"/>
        </w:rPr>
        <w:t xml:space="preserve">  maintaining stock ownership guidelines for executive</w:t>
      </w:r>
      <w:r>
        <w:rPr>
          <w:rFonts w:ascii="Arial" w:cs="Arial" w:eastAsia="Arial" w:hAnsi="Arial"/>
          <w:sz w:val="16"/>
          <w:szCs w:val="16"/>
          <w:color w:val="4297CB"/>
        </w:rPr>
        <w:t xml:space="preserve"> </w:t>
      </w:r>
      <w:r>
        <w:rPr>
          <w:rFonts w:ascii="Arial" w:cs="Arial" w:eastAsia="Arial" w:hAnsi="Arial"/>
          <w:sz w:val="16"/>
          <w:szCs w:val="16"/>
          <w:color w:val="000000"/>
        </w:rPr>
        <w:t>management and non-employee directors;</w:t>
      </w:r>
    </w:p>
    <w:p>
      <w:pPr>
        <w:spacing w:after="0" w:line="22" w:lineRule="exact"/>
        <w:rPr>
          <w:rFonts w:ascii="Arial" w:cs="Arial" w:eastAsia="Arial" w:hAnsi="Arial"/>
          <w:sz w:val="16"/>
          <w:szCs w:val="16"/>
          <w:color w:val="auto"/>
        </w:rPr>
      </w:pPr>
    </w:p>
    <w:p>
      <w:pPr>
        <w:ind w:left="480" w:right="620" w:hanging="247"/>
        <w:spacing w:after="0" w:line="282" w:lineRule="auto"/>
        <w:tabs>
          <w:tab w:leader="none" w:pos="323" w:val="left"/>
        </w:tabs>
        <w:numPr>
          <w:ilvl w:val="0"/>
          <w:numId w:val="31"/>
        </w:numPr>
        <w:rPr>
          <w:rFonts w:ascii="Arial" w:cs="Arial" w:eastAsia="Arial" w:hAnsi="Arial"/>
          <w:sz w:val="16"/>
          <w:szCs w:val="16"/>
          <w:color w:val="auto"/>
        </w:rPr>
      </w:pPr>
      <w:r>
        <w:rPr>
          <w:rFonts w:ascii="Arial" w:cs="Arial" w:eastAsia="Arial" w:hAnsi="Arial"/>
          <w:sz w:val="16"/>
          <w:szCs w:val="16"/>
          <w:color w:val="4297CB"/>
        </w:rPr>
        <w:t>•</w:t>
      </w:r>
      <w:r>
        <w:rPr>
          <w:rFonts w:ascii="Arial" w:cs="Arial" w:eastAsia="Arial" w:hAnsi="Arial"/>
          <w:sz w:val="16"/>
          <w:szCs w:val="16"/>
          <w:color w:val="000000"/>
        </w:rPr>
        <w:t xml:space="preserve">  maintaining a clawback policy that applies to our</w:t>
      </w:r>
      <w:r>
        <w:rPr>
          <w:rFonts w:ascii="Arial" w:cs="Arial" w:eastAsia="Arial" w:hAnsi="Arial"/>
          <w:sz w:val="16"/>
          <w:szCs w:val="16"/>
          <w:color w:val="4297CB"/>
        </w:rPr>
        <w:t xml:space="preserve"> </w:t>
      </w:r>
      <w:r>
        <w:rPr>
          <w:rFonts w:ascii="Arial" w:cs="Arial" w:eastAsia="Arial" w:hAnsi="Arial"/>
          <w:sz w:val="16"/>
          <w:szCs w:val="16"/>
          <w:color w:val="000000"/>
        </w:rPr>
        <w:t>cash and equity incentive awards;</w:t>
      </w:r>
    </w:p>
    <w:p>
      <w:pPr>
        <w:spacing w:after="0" w:line="9" w:lineRule="exact"/>
        <w:rPr>
          <w:rFonts w:ascii="Arial" w:cs="Arial" w:eastAsia="Arial" w:hAnsi="Arial"/>
          <w:sz w:val="16"/>
          <w:szCs w:val="16"/>
          <w:color w:val="auto"/>
        </w:rPr>
      </w:pPr>
    </w:p>
    <w:p>
      <w:pPr>
        <w:ind w:left="480" w:right="580" w:hanging="247"/>
        <w:spacing w:after="0" w:line="282" w:lineRule="auto"/>
        <w:tabs>
          <w:tab w:leader="none" w:pos="323" w:val="left"/>
        </w:tabs>
        <w:numPr>
          <w:ilvl w:val="0"/>
          <w:numId w:val="31"/>
        </w:numPr>
        <w:rPr>
          <w:rFonts w:ascii="Arial" w:cs="Arial" w:eastAsia="Arial" w:hAnsi="Arial"/>
          <w:sz w:val="16"/>
          <w:szCs w:val="16"/>
          <w:color w:val="auto"/>
        </w:rPr>
      </w:pPr>
      <w:r>
        <w:rPr>
          <w:rFonts w:ascii="Arial" w:cs="Arial" w:eastAsia="Arial" w:hAnsi="Arial"/>
          <w:sz w:val="16"/>
          <w:szCs w:val="16"/>
          <w:color w:val="4297CB"/>
        </w:rPr>
        <w:t>•</w:t>
      </w:r>
      <w:r>
        <w:rPr>
          <w:rFonts w:ascii="Arial" w:cs="Arial" w:eastAsia="Arial" w:hAnsi="Arial"/>
          <w:sz w:val="16"/>
          <w:szCs w:val="16"/>
          <w:color w:val="000000"/>
        </w:rPr>
        <w:t xml:space="preserve">  maintaining a policy that prohibits the pledging of</w:t>
      </w:r>
      <w:r>
        <w:rPr>
          <w:rFonts w:ascii="Arial" w:cs="Arial" w:eastAsia="Arial" w:hAnsi="Arial"/>
          <w:sz w:val="16"/>
          <w:szCs w:val="16"/>
          <w:color w:val="4297CB"/>
        </w:rPr>
        <w:t xml:space="preserve"> </w:t>
      </w:r>
      <w:r>
        <w:rPr>
          <w:rFonts w:ascii="Arial" w:cs="Arial" w:eastAsia="Arial" w:hAnsi="Arial"/>
          <w:sz w:val="16"/>
          <w:szCs w:val="16"/>
          <w:color w:val="000000"/>
        </w:rPr>
        <w:t>Company stock; and</w:t>
      </w:r>
    </w:p>
    <w:p>
      <w:pPr>
        <w:spacing w:after="0" w:line="9" w:lineRule="exact"/>
        <w:rPr>
          <w:rFonts w:ascii="Arial" w:cs="Arial" w:eastAsia="Arial" w:hAnsi="Arial"/>
          <w:sz w:val="16"/>
          <w:szCs w:val="16"/>
          <w:color w:val="auto"/>
        </w:rPr>
      </w:pPr>
    </w:p>
    <w:p>
      <w:pPr>
        <w:ind w:left="480" w:right="620" w:hanging="247"/>
        <w:spacing w:after="0" w:line="273" w:lineRule="auto"/>
        <w:tabs>
          <w:tab w:leader="none" w:pos="323" w:val="left"/>
        </w:tabs>
        <w:numPr>
          <w:ilvl w:val="0"/>
          <w:numId w:val="31"/>
        </w:numPr>
        <w:rPr>
          <w:rFonts w:ascii="Arial" w:cs="Arial" w:eastAsia="Arial" w:hAnsi="Arial"/>
          <w:sz w:val="16"/>
          <w:szCs w:val="16"/>
          <w:color w:val="auto"/>
        </w:rPr>
      </w:pPr>
      <w:r>
        <w:rPr>
          <w:rFonts w:ascii="Arial" w:cs="Arial" w:eastAsia="Arial" w:hAnsi="Arial"/>
          <w:sz w:val="16"/>
          <w:szCs w:val="16"/>
          <w:color w:val="4297CB"/>
        </w:rPr>
        <w:t>•</w:t>
      </w:r>
      <w:r>
        <w:rPr>
          <w:rFonts w:ascii="Arial" w:cs="Arial" w:eastAsia="Arial" w:hAnsi="Arial"/>
          <w:sz w:val="16"/>
          <w:szCs w:val="16"/>
          <w:color w:val="000000"/>
        </w:rPr>
        <w:t xml:space="preserve">  maintaining a policy that prohibits the hedging of</w:t>
      </w:r>
      <w:r>
        <w:rPr>
          <w:rFonts w:ascii="Arial" w:cs="Arial" w:eastAsia="Arial" w:hAnsi="Arial"/>
          <w:sz w:val="16"/>
          <w:szCs w:val="16"/>
          <w:color w:val="4297CB"/>
        </w:rPr>
        <w:t xml:space="preserve"> </w:t>
      </w:r>
      <w:r>
        <w:rPr>
          <w:rFonts w:ascii="Arial" w:cs="Arial" w:eastAsia="Arial" w:hAnsi="Arial"/>
          <w:sz w:val="16"/>
          <w:szCs w:val="16"/>
          <w:color w:val="000000"/>
        </w:rPr>
        <w:t>Company stock.</w:t>
      </w:r>
    </w:p>
    <w:p>
      <w:pPr>
        <w:spacing w:after="0" w:line="1" w:lineRule="exact"/>
        <w:rPr>
          <w:sz w:val="20"/>
          <w:szCs w:val="20"/>
          <w:color w:val="auto"/>
        </w:rPr>
      </w:pPr>
    </w:p>
    <w:p>
      <w:pPr>
        <w:ind w:left="240" w:right="160" w:hanging="202"/>
        <w:spacing w:after="0" w:line="203" w:lineRule="exact"/>
        <w:rPr>
          <w:sz w:val="20"/>
          <w:szCs w:val="20"/>
          <w:color w:val="auto"/>
        </w:rPr>
      </w:pPr>
      <w:r>
        <w:rPr>
          <w:rFonts w:ascii="MS PGothic" w:cs="MS PGothic" w:eastAsia="MS PGothic" w:hAnsi="MS PGothic"/>
          <w:sz w:val="16"/>
          <w:szCs w:val="16"/>
          <w:color w:val="4297CB"/>
        </w:rPr>
        <w:t>✔</w:t>
      </w:r>
      <w:r>
        <w:rPr>
          <w:rFonts w:ascii="Arial" w:cs="Arial" w:eastAsia="Arial" w:hAnsi="Arial"/>
          <w:sz w:val="16"/>
          <w:szCs w:val="16"/>
          <w:color w:val="auto"/>
        </w:rPr>
        <w:t xml:space="preserve">  Require both a qualified change in control and involuntary or “good reason” employment termination (double trigger) for any cash severance to be paid under our change in control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61595</wp:posOffset>
            </wp:positionV>
            <wp:extent cx="571373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left="180" w:right="439" w:hanging="189"/>
        <w:spacing w:after="0" w:line="218" w:lineRule="exact"/>
        <w:rPr>
          <w:sz w:val="20"/>
          <w:szCs w:val="20"/>
          <w:color w:val="auto"/>
        </w:rPr>
      </w:pPr>
      <w:r>
        <w:rPr>
          <w:rFonts w:ascii="MS PGothic" w:cs="MS PGothic" w:eastAsia="MS PGothic" w:hAnsi="MS PGothic"/>
          <w:sz w:val="16"/>
          <w:szCs w:val="16"/>
          <w:color w:val="4297CB"/>
        </w:rPr>
        <w:t>✘</w:t>
      </w:r>
      <w:r>
        <w:rPr>
          <w:rFonts w:ascii="Arial" w:cs="Arial" w:eastAsia="Arial" w:hAnsi="Arial"/>
          <w:sz w:val="16"/>
          <w:szCs w:val="16"/>
          <w:color w:val="auto"/>
        </w:rPr>
        <w:t xml:space="preserve">  Gross-up for income or excise taxes on perquisites or severance benefits related to a change in control.</w:t>
      </w:r>
    </w:p>
    <w:p>
      <w:pPr>
        <w:spacing w:after="0" w:line="6" w:lineRule="exact"/>
        <w:rPr>
          <w:sz w:val="20"/>
          <w:szCs w:val="20"/>
          <w:color w:val="auto"/>
        </w:rPr>
      </w:pPr>
    </w:p>
    <w:p>
      <w:pPr>
        <w:ind w:left="180" w:right="99" w:hanging="189"/>
        <w:spacing w:after="0" w:line="203" w:lineRule="exact"/>
        <w:rPr>
          <w:sz w:val="20"/>
          <w:szCs w:val="20"/>
          <w:color w:val="auto"/>
        </w:rPr>
      </w:pPr>
      <w:r>
        <w:rPr>
          <w:rFonts w:ascii="MS PGothic" w:cs="MS PGothic" w:eastAsia="MS PGothic" w:hAnsi="MS PGothic"/>
          <w:sz w:val="15"/>
          <w:szCs w:val="15"/>
          <w:color w:val="4297CB"/>
        </w:rPr>
        <w:t>✘</w:t>
      </w:r>
      <w:r>
        <w:rPr>
          <w:rFonts w:ascii="Arial" w:cs="Arial" w:eastAsia="Arial" w:hAnsi="Arial"/>
          <w:sz w:val="15"/>
          <w:szCs w:val="15"/>
          <w:color w:val="auto"/>
        </w:rPr>
        <w:t xml:space="preserve">  Provide executives with an enhanced executive retirement program but rather provide a defined contribution or defined benefit plan similar to that provided to all employees in the country where such employees reside.</w:t>
      </w:r>
    </w:p>
    <w:p>
      <w:pPr>
        <w:spacing w:after="0" w:line="19" w:lineRule="exact"/>
        <w:rPr>
          <w:sz w:val="20"/>
          <w:szCs w:val="20"/>
          <w:color w:val="auto"/>
        </w:rPr>
      </w:pPr>
    </w:p>
    <w:p>
      <w:pPr>
        <w:ind w:left="180" w:right="339" w:hanging="189"/>
        <w:spacing w:after="0" w:line="218" w:lineRule="exact"/>
        <w:rPr>
          <w:sz w:val="20"/>
          <w:szCs w:val="20"/>
          <w:color w:val="auto"/>
        </w:rPr>
      </w:pPr>
      <w:r>
        <w:rPr>
          <w:rFonts w:ascii="MS PGothic" w:cs="MS PGothic" w:eastAsia="MS PGothic" w:hAnsi="MS PGothic"/>
          <w:sz w:val="16"/>
          <w:szCs w:val="16"/>
          <w:color w:val="4297CB"/>
        </w:rPr>
        <w:t>✘</w:t>
      </w:r>
      <w:r>
        <w:rPr>
          <w:rFonts w:ascii="Arial" w:cs="Arial" w:eastAsia="Arial" w:hAnsi="Arial"/>
          <w:sz w:val="16"/>
          <w:szCs w:val="16"/>
          <w:color w:val="auto"/>
        </w:rPr>
        <w:t xml:space="preserve">  Provide dividends or dividend equivalents on unearned performance shares.</w:t>
      </w:r>
    </w:p>
    <w:p>
      <w:pPr>
        <w:spacing w:after="0" w:line="6"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4297CB"/>
        </w:rPr>
        <w:t>✘</w:t>
      </w:r>
      <w:r>
        <w:rPr>
          <w:rFonts w:ascii="Arial" w:cs="Arial" w:eastAsia="Arial" w:hAnsi="Arial"/>
          <w:sz w:val="16"/>
          <w:szCs w:val="16"/>
          <w:color w:val="auto"/>
        </w:rPr>
        <w:t xml:space="preserve">  Re-price or backdate stock options.</w:t>
      </w:r>
    </w:p>
    <w:p>
      <w:pPr>
        <w:spacing w:after="0" w:line="4373" w:lineRule="exact"/>
        <w:rPr>
          <w:sz w:val="20"/>
          <w:szCs w:val="20"/>
          <w:color w:val="auto"/>
        </w:rPr>
      </w:pPr>
    </w:p>
    <w:p>
      <w:pPr>
        <w:sectPr>
          <w:pgSz w:w="11900" w:h="16838" w:orient="portrait"/>
          <w:cols w:equalWidth="0" w:num="2">
            <w:col w:w="4500" w:space="80"/>
            <w:col w:w="4439"/>
          </w:cols>
          <w:pgMar w:left="1440" w:top="116" w:right="1440" w:bottom="1440" w:gutter="0" w:footer="0" w:header="0"/>
          <w:type w:val="continuous"/>
        </w:sectPr>
      </w:pPr>
    </w:p>
    <w:p>
      <w:pPr>
        <w:spacing w:after="0" w:line="280" w:lineRule="exact"/>
        <w:rPr>
          <w:sz w:val="20"/>
          <w:szCs w:val="20"/>
          <w:color w:val="auto"/>
        </w:rPr>
      </w:pPr>
    </w:p>
    <w:p>
      <w:pPr>
        <w:spacing w:after="0"/>
        <w:rPr>
          <w:sz w:val="20"/>
          <w:szCs w:val="20"/>
          <w:color w:val="auto"/>
        </w:rPr>
      </w:pPr>
      <w:r>
        <w:rPr>
          <w:rFonts w:ascii="Arial" w:cs="Arial" w:eastAsia="Arial" w:hAnsi="Arial"/>
          <w:sz w:val="29"/>
          <w:szCs w:val="29"/>
          <w:color w:val="636466"/>
        </w:rPr>
        <w:t>Compensation Philosophy and Objectives</w:t>
      </w:r>
    </w:p>
    <w:p>
      <w:pPr>
        <w:spacing w:after="0" w:line="180" w:lineRule="exact"/>
        <w:rPr>
          <w:sz w:val="20"/>
          <w:szCs w:val="20"/>
          <w:color w:val="auto"/>
        </w:rPr>
      </w:pPr>
    </w:p>
    <w:p>
      <w:pPr>
        <w:jc w:val="both"/>
        <w:ind w:right="19"/>
        <w:spacing w:after="0" w:line="263" w:lineRule="auto"/>
        <w:rPr>
          <w:sz w:val="20"/>
          <w:szCs w:val="20"/>
          <w:color w:val="auto"/>
        </w:rPr>
      </w:pPr>
      <w:r>
        <w:rPr>
          <w:rFonts w:ascii="Arial" w:cs="Arial" w:eastAsia="Arial" w:hAnsi="Arial"/>
          <w:sz w:val="16"/>
          <w:szCs w:val="16"/>
          <w:color w:val="auto"/>
        </w:rPr>
        <w:t>This Compensation Discussion and Analysis describes the material elements of compensation awarded to, earned by, or paid to each of our executive officers who served as named executive officers during 2023. This discussion focuses primarily on the fiscal year 2023 information contained in the following tables and related footnotes.</w:t>
      </w:r>
    </w:p>
    <w:p>
      <w:pPr>
        <w:spacing w:after="0" w:line="118" w:lineRule="exact"/>
        <w:rPr>
          <w:sz w:val="20"/>
          <w:szCs w:val="20"/>
          <w:color w:val="auto"/>
        </w:rPr>
      </w:pPr>
    </w:p>
    <w:p>
      <w:pPr>
        <w:ind w:right="59"/>
        <w:spacing w:after="0" w:line="250" w:lineRule="auto"/>
        <w:rPr>
          <w:sz w:val="20"/>
          <w:szCs w:val="20"/>
          <w:color w:val="auto"/>
        </w:rPr>
      </w:pPr>
      <w:r>
        <w:rPr>
          <w:rFonts w:ascii="Arial" w:cs="Arial" w:eastAsia="Arial" w:hAnsi="Arial"/>
          <w:sz w:val="16"/>
          <w:szCs w:val="16"/>
          <w:color w:val="auto"/>
        </w:rPr>
        <w:t>The overall objectives of our executive compensation program are to (i) enable us to attract, motivate and retain key executive talent essential to the achievement of our short-term and long-term business objectives; (ii) provide compensation competitive with others in our industry; (iii) reward senior executive officers in a “pay for performance” manner for accomplishment of pre-defined business goals and objectives; and (iv) align the interests of our executives with those of our stockholders. A significant portion of total executive compensation is variable compensation linked to corporate, business unit and individual performance. Our objective is to provide a significant portion of an executive’s total compensation in a form that is contingent upon achieving established performance goals. With respect to compensation based on performance, our objective is to provide a significant portion of such compensation in the form of equity awards.</w:t>
      </w:r>
    </w:p>
    <w:p>
      <w:pPr>
        <w:spacing w:after="0" w:line="127" w:lineRule="exact"/>
        <w:rPr>
          <w:sz w:val="20"/>
          <w:szCs w:val="20"/>
          <w:color w:val="auto"/>
        </w:rPr>
      </w:pPr>
    </w:p>
    <w:p>
      <w:pPr>
        <w:ind w:right="199"/>
        <w:spacing w:after="0" w:line="263" w:lineRule="auto"/>
        <w:rPr>
          <w:sz w:val="20"/>
          <w:szCs w:val="20"/>
          <w:color w:val="auto"/>
        </w:rPr>
      </w:pPr>
      <w:r>
        <w:rPr>
          <w:rFonts w:ascii="Arial" w:cs="Arial" w:eastAsia="Arial" w:hAnsi="Arial"/>
          <w:sz w:val="16"/>
          <w:szCs w:val="16"/>
          <w:color w:val="auto"/>
        </w:rPr>
        <w:t>In setting base salaries at the beginning of the year, the Compensation Committee generally reviews benchmark information about compensation levels in Wabtec’s industry and among its peer group based on the position and responsibility of the particular executive provided by the Compensation Committee’s independent consultant. The Compensation Committee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760" w:type="dxa"/>
            <w:vAlign w:val="bottom"/>
          </w:tcPr>
          <w:p>
            <w:pPr>
              <w:jc w:val="right"/>
              <w:ind w:right="529"/>
              <w:spacing w:after="0"/>
              <w:rPr>
                <w:sz w:val="20"/>
                <w:szCs w:val="20"/>
                <w:color w:val="auto"/>
              </w:rPr>
            </w:pPr>
            <w:r>
              <w:rPr>
                <w:rFonts w:ascii="Arial" w:cs="Arial" w:eastAsia="Arial" w:hAnsi="Arial"/>
                <w:sz w:val="14"/>
                <w:szCs w:val="14"/>
                <w:b w:val="1"/>
                <w:bCs w:val="1"/>
                <w:color w:val="auto"/>
                <w:w w:val="89"/>
              </w:rPr>
              <w:t>46</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170180</wp:posOffset>
            </wp:positionV>
            <wp:extent cx="693801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type w:val="continuous"/>
        </w:sectPr>
      </w:pPr>
    </w:p>
    <w:bookmarkStart w:id="49" w:name="page50"/>
    <w:bookmarkEnd w:id="49"/>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7780"/>
        <w:spacing w:after="0"/>
        <w:rPr>
          <w:sz w:val="20"/>
          <w:szCs w:val="20"/>
          <w:color w:val="auto"/>
        </w:rPr>
      </w:pPr>
      <w:r>
        <w:rPr>
          <w:rFonts w:ascii="Arial" w:cs="Arial" w:eastAsia="Arial" w:hAnsi="Arial"/>
          <w:sz w:val="12"/>
          <w:szCs w:val="12"/>
          <w:color w:val="auto"/>
        </w:rPr>
        <w:t>Compensation Discussion and Analysis</w:t>
      </w:r>
    </w:p>
    <w:p>
      <w:pPr>
        <w:spacing w:after="0" w:line="107" w:lineRule="exact"/>
        <w:rPr>
          <w:sz w:val="20"/>
          <w:szCs w:val="20"/>
          <w:color w:val="auto"/>
        </w:rPr>
      </w:pPr>
    </w:p>
    <w:p>
      <w:pPr>
        <w:ind w:left="960" w:right="1040"/>
        <w:spacing w:after="0" w:line="252" w:lineRule="auto"/>
        <w:rPr>
          <w:sz w:val="20"/>
          <w:szCs w:val="20"/>
          <w:color w:val="auto"/>
        </w:rPr>
      </w:pPr>
      <w:r>
        <w:rPr>
          <w:rFonts w:ascii="Arial" w:cs="Arial" w:eastAsia="Arial" w:hAnsi="Arial"/>
          <w:sz w:val="16"/>
          <w:szCs w:val="16"/>
          <w:color w:val="auto"/>
        </w:rPr>
        <w:t>uses benchmarking to establish base salaries as discussed below. The bonus for 2023 is a cash award determined by the Compensation Committee and Board based on pre-established performance factors. These factors are established at the beginning of the year and include (i) a financial performance indicator measuring EPS and cash conversion; and (ii) a modifier for personal objectives based on EBIT Margin and revenue growth (each, as defined below). Long-term incentives in the form of restricted stock and performance units are granted to provide the opportunity for long-term compensation based upon the performance of Wabtec and its ability to meet its long-term goals and objectives.</w:t>
      </w:r>
    </w:p>
    <w:p>
      <w:pPr>
        <w:spacing w:after="0" w:line="189" w:lineRule="exact"/>
        <w:rPr>
          <w:sz w:val="20"/>
          <w:szCs w:val="20"/>
          <w:color w:val="auto"/>
        </w:rPr>
      </w:pPr>
    </w:p>
    <w:p>
      <w:pPr>
        <w:ind w:left="960"/>
        <w:spacing w:after="0"/>
        <w:rPr>
          <w:sz w:val="20"/>
          <w:szCs w:val="20"/>
          <w:color w:val="auto"/>
        </w:rPr>
      </w:pPr>
      <w:r>
        <w:rPr>
          <w:rFonts w:ascii="Arial" w:cs="Arial" w:eastAsia="Arial" w:hAnsi="Arial"/>
          <w:sz w:val="29"/>
          <w:szCs w:val="29"/>
          <w:color w:val="636466"/>
        </w:rPr>
        <w:t>Executive Compensation Decision-Making Process</w:t>
      </w:r>
    </w:p>
    <w:p>
      <w:pPr>
        <w:spacing w:after="0" w:line="96" w:lineRule="exact"/>
        <w:rPr>
          <w:sz w:val="20"/>
          <w:szCs w:val="20"/>
          <w:color w:val="auto"/>
        </w:rPr>
      </w:pPr>
    </w:p>
    <w:p>
      <w:pPr>
        <w:ind w:left="960"/>
        <w:spacing w:after="0"/>
        <w:rPr>
          <w:sz w:val="20"/>
          <w:szCs w:val="20"/>
          <w:color w:val="auto"/>
        </w:rPr>
      </w:pPr>
      <w:r>
        <w:rPr>
          <w:rFonts w:ascii="Arial" w:cs="Arial" w:eastAsia="Arial" w:hAnsi="Arial"/>
          <w:sz w:val="23"/>
          <w:szCs w:val="23"/>
          <w:color w:val="0C426A"/>
        </w:rPr>
        <w:t>Roles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98425</wp:posOffset>
            </wp:positionV>
            <wp:extent cx="571373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255" w:lineRule="exact"/>
        <w:rPr>
          <w:sz w:val="20"/>
          <w:szCs w:val="20"/>
          <w:color w:val="auto"/>
        </w:rPr>
      </w:pPr>
    </w:p>
    <w:tbl>
      <w:tblPr>
        <w:tblLayout w:type="fixed"/>
        <w:tblInd w:w="980" w:type="dxa"/>
        <w:tblCellMar>
          <w:top w:w="0" w:type="dxa"/>
          <w:left w:w="0" w:type="dxa"/>
          <w:bottom w:w="0" w:type="dxa"/>
          <w:right w:w="0" w:type="dxa"/>
        </w:tblCellMar>
      </w:tblPr>
      <w:tr>
        <w:trPr>
          <w:trHeight w:val="187"/>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Compensation Committee</w:t>
            </w:r>
          </w:p>
        </w:tc>
        <w:tc>
          <w:tcPr>
            <w:tcW w:w="6860" w:type="dxa"/>
            <w:vAlign w:val="bottom"/>
          </w:tcPr>
          <w:p>
            <w:pPr>
              <w:ind w:left="120"/>
              <w:spacing w:after="0"/>
              <w:rPr>
                <w:sz w:val="20"/>
                <w:szCs w:val="20"/>
                <w:color w:val="auto"/>
              </w:rPr>
            </w:pPr>
            <w:r>
              <w:rPr>
                <w:rFonts w:ascii="Arial" w:cs="Arial" w:eastAsia="Arial" w:hAnsi="Arial"/>
                <w:sz w:val="16"/>
                <w:szCs w:val="16"/>
                <w:color w:val="auto"/>
              </w:rPr>
              <w:t>Executive officer compensation is administered by the Compensation Committee. The</w:t>
            </w:r>
          </w:p>
        </w:tc>
      </w:tr>
      <w:tr>
        <w:trPr>
          <w:trHeight w:val="187"/>
        </w:trPr>
        <w:tc>
          <w:tcPr>
            <w:tcW w:w="2120" w:type="dxa"/>
            <w:vAlign w:val="bottom"/>
          </w:tcPr>
          <w:p>
            <w:pPr>
              <w:spacing w:after="0"/>
              <w:rPr>
                <w:sz w:val="16"/>
                <w:szCs w:val="16"/>
                <w:color w:val="auto"/>
              </w:rPr>
            </w:pPr>
          </w:p>
        </w:tc>
        <w:tc>
          <w:tcPr>
            <w:tcW w:w="6860" w:type="dxa"/>
            <w:vAlign w:val="bottom"/>
          </w:tcPr>
          <w:p>
            <w:pPr>
              <w:ind w:left="120"/>
              <w:spacing w:after="0"/>
              <w:rPr>
                <w:sz w:val="20"/>
                <w:szCs w:val="20"/>
                <w:color w:val="auto"/>
              </w:rPr>
            </w:pPr>
            <w:r>
              <w:rPr>
                <w:rFonts w:ascii="Arial" w:cs="Arial" w:eastAsia="Arial" w:hAnsi="Arial"/>
                <w:sz w:val="16"/>
                <w:szCs w:val="16"/>
                <w:color w:val="auto"/>
              </w:rPr>
              <w:t>Compensation Committee approved the 2023 compensation programs for executive officers,</w:t>
            </w:r>
          </w:p>
        </w:tc>
      </w:tr>
      <w:tr>
        <w:trPr>
          <w:trHeight w:val="187"/>
        </w:trPr>
        <w:tc>
          <w:tcPr>
            <w:tcW w:w="2120" w:type="dxa"/>
            <w:vAlign w:val="bottom"/>
          </w:tcPr>
          <w:p>
            <w:pPr>
              <w:spacing w:after="0"/>
              <w:rPr>
                <w:sz w:val="16"/>
                <w:szCs w:val="16"/>
                <w:color w:val="auto"/>
              </w:rPr>
            </w:pPr>
          </w:p>
        </w:tc>
        <w:tc>
          <w:tcPr>
            <w:tcW w:w="6860" w:type="dxa"/>
            <w:vAlign w:val="bottom"/>
          </w:tcPr>
          <w:p>
            <w:pPr>
              <w:ind w:left="120"/>
              <w:spacing w:after="0"/>
              <w:rPr>
                <w:sz w:val="20"/>
                <w:szCs w:val="20"/>
                <w:color w:val="auto"/>
              </w:rPr>
            </w:pPr>
            <w:r>
              <w:rPr>
                <w:rFonts w:ascii="Arial" w:cs="Arial" w:eastAsia="Arial" w:hAnsi="Arial"/>
                <w:sz w:val="16"/>
                <w:szCs w:val="16"/>
                <w:color w:val="auto"/>
              </w:rPr>
              <w:t>including base salaries, cash bonuses and equity awards described in this Compensation</w:t>
            </w:r>
          </w:p>
        </w:tc>
      </w:tr>
      <w:tr>
        <w:trPr>
          <w:trHeight w:val="187"/>
        </w:trPr>
        <w:tc>
          <w:tcPr>
            <w:tcW w:w="2120" w:type="dxa"/>
            <w:vAlign w:val="bottom"/>
          </w:tcPr>
          <w:p>
            <w:pPr>
              <w:spacing w:after="0"/>
              <w:rPr>
                <w:sz w:val="16"/>
                <w:szCs w:val="16"/>
                <w:color w:val="auto"/>
              </w:rPr>
            </w:pPr>
          </w:p>
        </w:tc>
        <w:tc>
          <w:tcPr>
            <w:tcW w:w="6860" w:type="dxa"/>
            <w:vAlign w:val="bottom"/>
          </w:tcPr>
          <w:p>
            <w:pPr>
              <w:ind w:left="120"/>
              <w:spacing w:after="0"/>
              <w:rPr>
                <w:sz w:val="20"/>
                <w:szCs w:val="20"/>
                <w:color w:val="auto"/>
              </w:rPr>
            </w:pPr>
            <w:r>
              <w:rPr>
                <w:rFonts w:ascii="Arial" w:cs="Arial" w:eastAsia="Arial" w:hAnsi="Arial"/>
                <w:sz w:val="16"/>
                <w:szCs w:val="16"/>
                <w:color w:val="auto"/>
              </w:rPr>
              <w:t>Discussion and Analysis and recommended them to the full Board, which then approved them.</w:t>
            </w:r>
          </w:p>
        </w:tc>
      </w:tr>
      <w:tr>
        <w:trPr>
          <w:trHeight w:val="187"/>
        </w:trPr>
        <w:tc>
          <w:tcPr>
            <w:tcW w:w="2120" w:type="dxa"/>
            <w:vAlign w:val="bottom"/>
          </w:tcPr>
          <w:p>
            <w:pPr>
              <w:spacing w:after="0"/>
              <w:rPr>
                <w:sz w:val="16"/>
                <w:szCs w:val="16"/>
                <w:color w:val="auto"/>
              </w:rPr>
            </w:pPr>
          </w:p>
        </w:tc>
        <w:tc>
          <w:tcPr>
            <w:tcW w:w="6860" w:type="dxa"/>
            <w:vAlign w:val="bottom"/>
          </w:tcPr>
          <w:p>
            <w:pPr>
              <w:ind w:left="120"/>
              <w:spacing w:after="0"/>
              <w:rPr>
                <w:sz w:val="20"/>
                <w:szCs w:val="20"/>
                <w:color w:val="auto"/>
              </w:rPr>
            </w:pPr>
            <w:r>
              <w:rPr>
                <w:rFonts w:ascii="Arial" w:cs="Arial" w:eastAsia="Arial" w:hAnsi="Arial"/>
                <w:sz w:val="16"/>
                <w:szCs w:val="16"/>
                <w:color w:val="auto"/>
              </w:rPr>
              <w:t>Our Board of Directors delegates to the Compensation Committee the direct responsibility for,</w:t>
            </w:r>
          </w:p>
        </w:tc>
      </w:tr>
      <w:tr>
        <w:trPr>
          <w:trHeight w:val="179"/>
        </w:trPr>
        <w:tc>
          <w:tcPr>
            <w:tcW w:w="2120" w:type="dxa"/>
            <w:vAlign w:val="bottom"/>
          </w:tcPr>
          <w:p>
            <w:pPr>
              <w:spacing w:after="0"/>
              <w:rPr>
                <w:sz w:val="15"/>
                <w:szCs w:val="15"/>
                <w:color w:val="auto"/>
              </w:rPr>
            </w:pPr>
          </w:p>
        </w:tc>
        <w:tc>
          <w:tcPr>
            <w:tcW w:w="6860" w:type="dxa"/>
            <w:vAlign w:val="bottom"/>
          </w:tcPr>
          <w:p>
            <w:pPr>
              <w:ind w:left="120"/>
              <w:spacing w:after="0" w:line="179" w:lineRule="exact"/>
              <w:rPr>
                <w:sz w:val="20"/>
                <w:szCs w:val="20"/>
                <w:color w:val="auto"/>
              </w:rPr>
            </w:pPr>
            <w:r>
              <w:rPr>
                <w:rFonts w:ascii="Arial" w:cs="Arial" w:eastAsia="Arial" w:hAnsi="Arial"/>
                <w:sz w:val="16"/>
                <w:szCs w:val="16"/>
                <w:color w:val="auto"/>
              </w:rPr>
              <w:t>among other matters:</w:t>
            </w:r>
          </w:p>
        </w:tc>
      </w:tr>
      <w:tr>
        <w:trPr>
          <w:trHeight w:val="46"/>
        </w:trPr>
        <w:tc>
          <w:tcPr>
            <w:tcW w:w="2120" w:type="dxa"/>
            <w:vAlign w:val="bottom"/>
          </w:tcPr>
          <w:p>
            <w:pPr>
              <w:ind w:left="2080"/>
              <w:spacing w:after="0"/>
              <w:rPr>
                <w:sz w:val="20"/>
                <w:szCs w:val="20"/>
                <w:color w:val="auto"/>
              </w:rPr>
            </w:pPr>
            <w:r>
              <w:rPr>
                <w:rFonts w:ascii="Times New Roman" w:cs="Times New Roman" w:eastAsia="Times New Roman" w:hAnsi="Times New Roman"/>
                <w:sz w:val="4"/>
                <w:szCs w:val="4"/>
                <w:color w:val="auto"/>
              </w:rPr>
              <w:t>​</w:t>
            </w:r>
          </w:p>
        </w:tc>
        <w:tc>
          <w:tcPr>
            <w:tcW w:w="68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r>
      <w:tr>
        <w:trPr>
          <w:trHeight w:val="217"/>
        </w:trPr>
        <w:tc>
          <w:tcPr>
            <w:tcW w:w="2120" w:type="dxa"/>
            <w:vAlign w:val="bottom"/>
          </w:tcPr>
          <w:p>
            <w:pPr>
              <w:spacing w:after="0"/>
              <w:rPr>
                <w:sz w:val="18"/>
                <w:szCs w:val="18"/>
                <w:color w:val="auto"/>
              </w:rPr>
            </w:pPr>
          </w:p>
        </w:tc>
        <w:tc>
          <w:tcPr>
            <w:tcW w:w="6860" w:type="dxa"/>
            <w:vAlign w:val="bottom"/>
          </w:tcPr>
          <w:p>
            <w:pPr>
              <w:ind w:left="12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reviewing and approving goals and objectives for the Chief Executive Officer and</w:t>
            </w:r>
          </w:p>
        </w:tc>
      </w:tr>
      <w:tr>
        <w:trPr>
          <w:trHeight w:val="213"/>
        </w:trPr>
        <w:tc>
          <w:tcPr>
            <w:tcW w:w="2120" w:type="dxa"/>
            <w:vAlign w:val="bottom"/>
          </w:tcPr>
          <w:p>
            <w:pPr>
              <w:spacing w:after="0"/>
              <w:rPr>
                <w:sz w:val="18"/>
                <w:szCs w:val="18"/>
                <w:color w:val="auto"/>
              </w:rPr>
            </w:pPr>
          </w:p>
        </w:tc>
        <w:tc>
          <w:tcPr>
            <w:tcW w:w="6860" w:type="dxa"/>
            <w:vAlign w:val="bottom"/>
          </w:tcPr>
          <w:p>
            <w:pPr>
              <w:ind w:left="280"/>
              <w:spacing w:after="0"/>
              <w:rPr>
                <w:sz w:val="20"/>
                <w:szCs w:val="20"/>
                <w:color w:val="auto"/>
              </w:rPr>
            </w:pPr>
            <w:r>
              <w:rPr>
                <w:rFonts w:ascii="Arial" w:cs="Arial" w:eastAsia="Arial" w:hAnsi="Arial"/>
                <w:sz w:val="16"/>
                <w:szCs w:val="16"/>
                <w:color w:val="auto"/>
              </w:rPr>
              <w:t>recommending the Chief Executive Officer’s compensation to the Board for approval;</w:t>
            </w:r>
          </w:p>
        </w:tc>
      </w:tr>
      <w:tr>
        <w:trPr>
          <w:trHeight w:val="242"/>
        </w:trPr>
        <w:tc>
          <w:tcPr>
            <w:tcW w:w="2120" w:type="dxa"/>
            <w:vAlign w:val="bottom"/>
          </w:tcPr>
          <w:p>
            <w:pPr>
              <w:spacing w:after="0"/>
              <w:rPr>
                <w:sz w:val="21"/>
                <w:szCs w:val="21"/>
                <w:color w:val="auto"/>
              </w:rPr>
            </w:pPr>
          </w:p>
        </w:tc>
        <w:tc>
          <w:tcPr>
            <w:tcW w:w="6860" w:type="dxa"/>
            <w:vAlign w:val="bottom"/>
          </w:tcPr>
          <w:p>
            <w:pPr>
              <w:ind w:left="12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reviewing and recommending compensation of all non-employee directors and executive</w:t>
            </w:r>
          </w:p>
        </w:tc>
      </w:tr>
      <w:tr>
        <w:trPr>
          <w:trHeight w:val="213"/>
        </w:trPr>
        <w:tc>
          <w:tcPr>
            <w:tcW w:w="2120" w:type="dxa"/>
            <w:vAlign w:val="bottom"/>
          </w:tcPr>
          <w:p>
            <w:pPr>
              <w:spacing w:after="0"/>
              <w:rPr>
                <w:sz w:val="18"/>
                <w:szCs w:val="18"/>
                <w:color w:val="auto"/>
              </w:rPr>
            </w:pPr>
          </w:p>
        </w:tc>
        <w:tc>
          <w:tcPr>
            <w:tcW w:w="6860" w:type="dxa"/>
            <w:vAlign w:val="bottom"/>
          </w:tcPr>
          <w:p>
            <w:pPr>
              <w:ind w:left="280"/>
              <w:spacing w:after="0"/>
              <w:rPr>
                <w:sz w:val="20"/>
                <w:szCs w:val="20"/>
                <w:color w:val="auto"/>
              </w:rPr>
            </w:pPr>
            <w:r>
              <w:rPr>
                <w:rFonts w:ascii="Arial" w:cs="Arial" w:eastAsia="Arial" w:hAnsi="Arial"/>
                <w:sz w:val="16"/>
                <w:szCs w:val="16"/>
                <w:color w:val="auto"/>
              </w:rPr>
              <w:t>officers; and</w:t>
            </w:r>
          </w:p>
        </w:tc>
      </w:tr>
      <w:tr>
        <w:trPr>
          <w:trHeight w:val="254"/>
        </w:trPr>
        <w:tc>
          <w:tcPr>
            <w:tcW w:w="2120" w:type="dxa"/>
            <w:vAlign w:val="bottom"/>
          </w:tcPr>
          <w:p>
            <w:pPr>
              <w:spacing w:after="0"/>
              <w:rPr>
                <w:sz w:val="22"/>
                <w:szCs w:val="22"/>
                <w:color w:val="auto"/>
              </w:rPr>
            </w:pPr>
          </w:p>
        </w:tc>
        <w:tc>
          <w:tcPr>
            <w:tcW w:w="6860" w:type="dxa"/>
            <w:vAlign w:val="bottom"/>
          </w:tcPr>
          <w:p>
            <w:pPr>
              <w:ind w:left="120"/>
              <w:spacing w:after="0"/>
              <w:rPr>
                <w:sz w:val="20"/>
                <w:szCs w:val="20"/>
                <w:color w:val="auto"/>
              </w:rPr>
            </w:pPr>
            <w:r>
              <w:rPr>
                <w:rFonts w:ascii="Arial" w:cs="Arial" w:eastAsia="Arial" w:hAnsi="Arial"/>
                <w:sz w:val="16"/>
                <w:szCs w:val="16"/>
                <w:color w:val="4297CB"/>
              </w:rPr>
              <w:t>•</w:t>
            </w:r>
            <w:r>
              <w:rPr>
                <w:rFonts w:ascii="Arial" w:cs="Arial" w:eastAsia="Arial" w:hAnsi="Arial"/>
                <w:sz w:val="16"/>
                <w:szCs w:val="16"/>
                <w:color w:val="000000"/>
              </w:rPr>
              <w:t xml:space="preserve">  reviewing and recommending incentive compensation plans and equity-based plans.</w:t>
            </w:r>
          </w:p>
        </w:tc>
      </w:tr>
      <w:tr>
        <w:trPr>
          <w:trHeight w:val="95"/>
        </w:trPr>
        <w:tc>
          <w:tcPr>
            <w:tcW w:w="2120" w:type="dxa"/>
            <w:vAlign w:val="bottom"/>
            <w:tcBorders>
              <w:bottom w:val="single" w:sz="8" w:color="808080"/>
            </w:tcBorders>
          </w:tcPr>
          <w:p>
            <w:pPr>
              <w:spacing w:after="0"/>
              <w:rPr>
                <w:sz w:val="8"/>
                <w:szCs w:val="8"/>
                <w:color w:val="auto"/>
              </w:rPr>
            </w:pPr>
          </w:p>
        </w:tc>
        <w:tc>
          <w:tcPr>
            <w:tcW w:w="6860" w:type="dxa"/>
            <w:vAlign w:val="bottom"/>
            <w:tcBorders>
              <w:bottom w:val="single" w:sz="8" w:color="808080"/>
            </w:tcBorders>
          </w:tcPr>
          <w:p>
            <w:pPr>
              <w:spacing w:after="0"/>
              <w:rPr>
                <w:sz w:val="8"/>
                <w:szCs w:val="8"/>
                <w:color w:val="auto"/>
              </w:rPr>
            </w:pPr>
          </w:p>
        </w:tc>
      </w:tr>
      <w:tr>
        <w:trPr>
          <w:trHeight w:val="274"/>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Role of Compensation</w:t>
            </w:r>
          </w:p>
        </w:tc>
        <w:tc>
          <w:tcPr>
            <w:tcW w:w="6860" w:type="dxa"/>
            <w:vAlign w:val="bottom"/>
          </w:tcPr>
          <w:p>
            <w:pPr>
              <w:ind w:left="120"/>
              <w:spacing w:after="0"/>
              <w:rPr>
                <w:sz w:val="20"/>
                <w:szCs w:val="20"/>
                <w:color w:val="auto"/>
              </w:rPr>
            </w:pPr>
            <w:r>
              <w:rPr>
                <w:rFonts w:ascii="Arial" w:cs="Arial" w:eastAsia="Arial" w:hAnsi="Arial"/>
                <w:sz w:val="16"/>
                <w:szCs w:val="16"/>
                <w:color w:val="auto"/>
              </w:rPr>
              <w:t>Pursuant to its charter, the Compensation Committee is authorized to engage compensation</w:t>
            </w:r>
          </w:p>
        </w:tc>
      </w:tr>
      <w:tr>
        <w:trPr>
          <w:trHeight w:val="187"/>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Experts</w:t>
            </w:r>
          </w:p>
        </w:tc>
        <w:tc>
          <w:tcPr>
            <w:tcW w:w="6860" w:type="dxa"/>
            <w:vAlign w:val="bottom"/>
          </w:tcPr>
          <w:p>
            <w:pPr>
              <w:ind w:left="120"/>
              <w:spacing w:after="0"/>
              <w:rPr>
                <w:sz w:val="20"/>
                <w:szCs w:val="20"/>
                <w:color w:val="auto"/>
              </w:rPr>
            </w:pPr>
            <w:r>
              <w:rPr>
                <w:rFonts w:ascii="Arial" w:cs="Arial" w:eastAsia="Arial" w:hAnsi="Arial"/>
                <w:sz w:val="16"/>
                <w:szCs w:val="16"/>
                <w:color w:val="auto"/>
              </w:rPr>
              <w:t>consultants to assist it with its duties. The Compensation Committee has the sole authority to</w:t>
            </w:r>
          </w:p>
        </w:tc>
      </w:tr>
      <w:tr>
        <w:trPr>
          <w:trHeight w:val="187"/>
        </w:trPr>
        <w:tc>
          <w:tcPr>
            <w:tcW w:w="2120" w:type="dxa"/>
            <w:vAlign w:val="bottom"/>
          </w:tcPr>
          <w:p>
            <w:pPr>
              <w:spacing w:after="0"/>
              <w:rPr>
                <w:sz w:val="16"/>
                <w:szCs w:val="16"/>
                <w:color w:val="auto"/>
              </w:rPr>
            </w:pPr>
          </w:p>
        </w:tc>
        <w:tc>
          <w:tcPr>
            <w:tcW w:w="6860" w:type="dxa"/>
            <w:vAlign w:val="bottom"/>
          </w:tcPr>
          <w:p>
            <w:pPr>
              <w:ind w:left="120"/>
              <w:spacing w:after="0"/>
              <w:rPr>
                <w:sz w:val="20"/>
                <w:szCs w:val="20"/>
                <w:color w:val="auto"/>
              </w:rPr>
            </w:pPr>
            <w:r>
              <w:rPr>
                <w:rFonts w:ascii="Arial" w:cs="Arial" w:eastAsia="Arial" w:hAnsi="Arial"/>
                <w:sz w:val="16"/>
                <w:szCs w:val="16"/>
                <w:color w:val="auto"/>
              </w:rPr>
              <w:t>engage any outside counsel or other experts or consultants to assist it in the evaluation of</w:t>
            </w:r>
          </w:p>
        </w:tc>
      </w:tr>
      <w:tr>
        <w:trPr>
          <w:trHeight w:val="187"/>
        </w:trPr>
        <w:tc>
          <w:tcPr>
            <w:tcW w:w="2120" w:type="dxa"/>
            <w:vAlign w:val="bottom"/>
          </w:tcPr>
          <w:p>
            <w:pPr>
              <w:spacing w:after="0"/>
              <w:rPr>
                <w:sz w:val="16"/>
                <w:szCs w:val="16"/>
                <w:color w:val="auto"/>
              </w:rPr>
            </w:pPr>
          </w:p>
        </w:tc>
        <w:tc>
          <w:tcPr>
            <w:tcW w:w="6860" w:type="dxa"/>
            <w:vAlign w:val="bottom"/>
          </w:tcPr>
          <w:p>
            <w:pPr>
              <w:ind w:left="120"/>
              <w:spacing w:after="0"/>
              <w:rPr>
                <w:sz w:val="20"/>
                <w:szCs w:val="20"/>
                <w:color w:val="auto"/>
              </w:rPr>
            </w:pPr>
            <w:r>
              <w:rPr>
                <w:rFonts w:ascii="Arial" w:cs="Arial" w:eastAsia="Arial" w:hAnsi="Arial"/>
                <w:sz w:val="16"/>
                <w:szCs w:val="16"/>
                <w:color w:val="auto"/>
              </w:rPr>
              <w:t>compensation of our directors and executive officers, including the sole authority to approve</w:t>
            </w:r>
          </w:p>
        </w:tc>
      </w:tr>
      <w:tr>
        <w:trPr>
          <w:trHeight w:val="187"/>
        </w:trPr>
        <w:tc>
          <w:tcPr>
            <w:tcW w:w="2120" w:type="dxa"/>
            <w:vAlign w:val="bottom"/>
          </w:tcPr>
          <w:p>
            <w:pPr>
              <w:spacing w:after="0"/>
              <w:rPr>
                <w:sz w:val="16"/>
                <w:szCs w:val="16"/>
                <w:color w:val="auto"/>
              </w:rPr>
            </w:pPr>
          </w:p>
        </w:tc>
        <w:tc>
          <w:tcPr>
            <w:tcW w:w="6860" w:type="dxa"/>
            <w:vAlign w:val="bottom"/>
          </w:tcPr>
          <w:p>
            <w:pPr>
              <w:ind w:left="120"/>
              <w:spacing w:after="0"/>
              <w:rPr>
                <w:sz w:val="20"/>
                <w:szCs w:val="20"/>
                <w:color w:val="auto"/>
              </w:rPr>
            </w:pPr>
            <w:r>
              <w:rPr>
                <w:rFonts w:ascii="Arial" w:cs="Arial" w:eastAsia="Arial" w:hAnsi="Arial"/>
                <w:sz w:val="16"/>
                <w:szCs w:val="16"/>
                <w:color w:val="auto"/>
              </w:rPr>
              <w:t>such consultants’ fees and other retention terms. The Compensation Committee may also</w:t>
            </w:r>
          </w:p>
        </w:tc>
      </w:tr>
      <w:tr>
        <w:trPr>
          <w:trHeight w:val="187"/>
        </w:trPr>
        <w:tc>
          <w:tcPr>
            <w:tcW w:w="2120" w:type="dxa"/>
            <w:vAlign w:val="bottom"/>
          </w:tcPr>
          <w:p>
            <w:pPr>
              <w:spacing w:after="0"/>
              <w:rPr>
                <w:sz w:val="16"/>
                <w:szCs w:val="16"/>
                <w:color w:val="auto"/>
              </w:rPr>
            </w:pPr>
          </w:p>
        </w:tc>
        <w:tc>
          <w:tcPr>
            <w:tcW w:w="6860" w:type="dxa"/>
            <w:vAlign w:val="bottom"/>
          </w:tcPr>
          <w:p>
            <w:pPr>
              <w:ind w:left="120"/>
              <w:spacing w:after="0"/>
              <w:rPr>
                <w:sz w:val="20"/>
                <w:szCs w:val="20"/>
                <w:color w:val="auto"/>
              </w:rPr>
            </w:pPr>
            <w:r>
              <w:rPr>
                <w:rFonts w:ascii="Arial" w:cs="Arial" w:eastAsia="Arial" w:hAnsi="Arial"/>
                <w:sz w:val="16"/>
                <w:szCs w:val="16"/>
                <w:color w:val="auto"/>
              </w:rPr>
              <w:t>obtain advice from legal, accounting, human resources and other advisors as it deems</w:t>
            </w:r>
          </w:p>
        </w:tc>
      </w:tr>
      <w:tr>
        <w:trPr>
          <w:trHeight w:val="187"/>
        </w:trPr>
        <w:tc>
          <w:tcPr>
            <w:tcW w:w="2120" w:type="dxa"/>
            <w:vAlign w:val="bottom"/>
          </w:tcPr>
          <w:p>
            <w:pPr>
              <w:spacing w:after="0"/>
              <w:rPr>
                <w:sz w:val="16"/>
                <w:szCs w:val="16"/>
                <w:color w:val="auto"/>
              </w:rPr>
            </w:pPr>
          </w:p>
        </w:tc>
        <w:tc>
          <w:tcPr>
            <w:tcW w:w="6860" w:type="dxa"/>
            <w:vAlign w:val="bottom"/>
          </w:tcPr>
          <w:p>
            <w:pPr>
              <w:ind w:left="120"/>
              <w:spacing w:after="0"/>
              <w:rPr>
                <w:sz w:val="20"/>
                <w:szCs w:val="20"/>
                <w:color w:val="auto"/>
              </w:rPr>
            </w:pPr>
            <w:r>
              <w:rPr>
                <w:rFonts w:ascii="Arial" w:cs="Arial" w:eastAsia="Arial" w:hAnsi="Arial"/>
                <w:sz w:val="16"/>
                <w:szCs w:val="16"/>
                <w:color w:val="auto"/>
              </w:rPr>
              <w:t>necessary. The Compensation Committee engaged the consulting firm of Pay Governance</w:t>
            </w:r>
          </w:p>
        </w:tc>
      </w:tr>
      <w:tr>
        <w:trPr>
          <w:trHeight w:val="187"/>
        </w:trPr>
        <w:tc>
          <w:tcPr>
            <w:tcW w:w="2120" w:type="dxa"/>
            <w:vAlign w:val="bottom"/>
          </w:tcPr>
          <w:p>
            <w:pPr>
              <w:spacing w:after="0"/>
              <w:rPr>
                <w:sz w:val="16"/>
                <w:szCs w:val="16"/>
                <w:color w:val="auto"/>
              </w:rPr>
            </w:pPr>
          </w:p>
        </w:tc>
        <w:tc>
          <w:tcPr>
            <w:tcW w:w="6860" w:type="dxa"/>
            <w:vAlign w:val="bottom"/>
          </w:tcPr>
          <w:p>
            <w:pPr>
              <w:ind w:left="120"/>
              <w:spacing w:after="0"/>
              <w:rPr>
                <w:sz w:val="20"/>
                <w:szCs w:val="20"/>
                <w:color w:val="auto"/>
              </w:rPr>
            </w:pPr>
            <w:r>
              <w:rPr>
                <w:rFonts w:ascii="Arial" w:cs="Arial" w:eastAsia="Arial" w:hAnsi="Arial"/>
                <w:sz w:val="16"/>
                <w:szCs w:val="16"/>
                <w:color w:val="auto"/>
              </w:rPr>
              <w:t>through August 2023 and Exequity for the remainder of 2023. During their engagements, Pay</w:t>
            </w:r>
          </w:p>
        </w:tc>
      </w:tr>
      <w:tr>
        <w:trPr>
          <w:trHeight w:val="187"/>
        </w:trPr>
        <w:tc>
          <w:tcPr>
            <w:tcW w:w="2120" w:type="dxa"/>
            <w:vAlign w:val="bottom"/>
          </w:tcPr>
          <w:p>
            <w:pPr>
              <w:spacing w:after="0"/>
              <w:rPr>
                <w:sz w:val="16"/>
                <w:szCs w:val="16"/>
                <w:color w:val="auto"/>
              </w:rPr>
            </w:pPr>
          </w:p>
        </w:tc>
        <w:tc>
          <w:tcPr>
            <w:tcW w:w="6860" w:type="dxa"/>
            <w:vAlign w:val="bottom"/>
          </w:tcPr>
          <w:p>
            <w:pPr>
              <w:ind w:left="120"/>
              <w:spacing w:after="0"/>
              <w:rPr>
                <w:sz w:val="20"/>
                <w:szCs w:val="20"/>
                <w:color w:val="auto"/>
              </w:rPr>
            </w:pPr>
            <w:r>
              <w:rPr>
                <w:rFonts w:ascii="Arial" w:cs="Arial" w:eastAsia="Arial" w:hAnsi="Arial"/>
                <w:sz w:val="16"/>
                <w:szCs w:val="16"/>
                <w:color w:val="auto"/>
              </w:rPr>
              <w:t>Governance or Exequity provided the following services: (i) reviewed and assessed the</w:t>
            </w:r>
          </w:p>
        </w:tc>
      </w:tr>
      <w:tr>
        <w:trPr>
          <w:trHeight w:val="202"/>
        </w:trPr>
        <w:tc>
          <w:tcPr>
            <w:tcW w:w="2120" w:type="dxa"/>
            <w:vAlign w:val="bottom"/>
          </w:tcPr>
          <w:p>
            <w:pPr>
              <w:ind w:left="2080"/>
              <w:spacing w:after="0"/>
              <w:rPr>
                <w:sz w:val="20"/>
                <w:szCs w:val="20"/>
                <w:color w:val="auto"/>
              </w:rPr>
            </w:pPr>
            <w:r>
              <w:rPr>
                <w:rFonts w:ascii="Times New Roman" w:cs="Times New Roman" w:eastAsia="Times New Roman" w:hAnsi="Times New Roman"/>
                <w:sz w:val="4"/>
                <w:szCs w:val="4"/>
                <w:color w:val="auto"/>
              </w:rPr>
              <w:t>​</w:t>
            </w:r>
          </w:p>
        </w:tc>
        <w:tc>
          <w:tcPr>
            <w:tcW w:w="6860" w:type="dxa"/>
            <w:vAlign w:val="bottom"/>
          </w:tcPr>
          <w:p>
            <w:pPr>
              <w:ind w:left="40"/>
              <w:spacing w:after="0"/>
              <w:rPr>
                <w:sz w:val="20"/>
                <w:szCs w:val="20"/>
                <w:color w:val="auto"/>
              </w:rPr>
            </w:pPr>
            <w:r>
              <w:rPr>
                <w:rFonts w:ascii="Times New Roman" w:cs="Times New Roman" w:eastAsia="Times New Roman" w:hAnsi="Times New Roman"/>
                <w:sz w:val="7"/>
                <w:szCs w:val="7"/>
                <w:color w:val="auto"/>
                <w:vertAlign w:val="subscript"/>
              </w:rPr>
              <w:t>​</w:t>
            </w:r>
            <w:r>
              <w:rPr>
                <w:rFonts w:ascii="Arial" w:cs="Arial" w:eastAsia="Arial" w:hAnsi="Arial"/>
                <w:sz w:val="16"/>
                <w:szCs w:val="16"/>
                <w:color w:val="auto"/>
              </w:rPr>
              <w:t xml:space="preserve">    Company’s current compensation practices for executives; (ii) reviewed the current Peer</w:t>
            </w:r>
          </w:p>
        </w:tc>
      </w:tr>
      <w:tr>
        <w:trPr>
          <w:trHeight w:val="173"/>
        </w:trPr>
        <w:tc>
          <w:tcPr>
            <w:tcW w:w="2120" w:type="dxa"/>
            <w:vAlign w:val="bottom"/>
          </w:tcPr>
          <w:p>
            <w:pPr>
              <w:spacing w:after="0"/>
              <w:rPr>
                <w:sz w:val="15"/>
                <w:szCs w:val="15"/>
                <w:color w:val="auto"/>
              </w:rPr>
            </w:pPr>
          </w:p>
        </w:tc>
        <w:tc>
          <w:tcPr>
            <w:tcW w:w="6860" w:type="dxa"/>
            <w:vAlign w:val="bottom"/>
          </w:tcPr>
          <w:p>
            <w:pPr>
              <w:ind w:left="120"/>
              <w:spacing w:after="0" w:line="174" w:lineRule="exact"/>
              <w:rPr>
                <w:sz w:val="20"/>
                <w:szCs w:val="20"/>
                <w:color w:val="auto"/>
              </w:rPr>
            </w:pPr>
            <w:r>
              <w:rPr>
                <w:rFonts w:ascii="Arial" w:cs="Arial" w:eastAsia="Arial" w:hAnsi="Arial"/>
                <w:sz w:val="16"/>
                <w:szCs w:val="16"/>
                <w:color w:val="auto"/>
              </w:rPr>
              <w:t>Group and made recommendations to update the Peer Group; (iii) reviewed and provided a</w:t>
            </w:r>
          </w:p>
        </w:tc>
      </w:tr>
      <w:tr>
        <w:trPr>
          <w:trHeight w:val="187"/>
        </w:trPr>
        <w:tc>
          <w:tcPr>
            <w:tcW w:w="2120" w:type="dxa"/>
            <w:vAlign w:val="bottom"/>
          </w:tcPr>
          <w:p>
            <w:pPr>
              <w:spacing w:after="0"/>
              <w:rPr>
                <w:sz w:val="16"/>
                <w:szCs w:val="16"/>
                <w:color w:val="auto"/>
              </w:rPr>
            </w:pPr>
          </w:p>
        </w:tc>
        <w:tc>
          <w:tcPr>
            <w:tcW w:w="6860" w:type="dxa"/>
            <w:vAlign w:val="bottom"/>
          </w:tcPr>
          <w:p>
            <w:pPr>
              <w:ind w:left="120"/>
              <w:spacing w:after="0"/>
              <w:rPr>
                <w:sz w:val="20"/>
                <w:szCs w:val="20"/>
                <w:color w:val="auto"/>
              </w:rPr>
            </w:pPr>
            <w:r>
              <w:rPr>
                <w:rFonts w:ascii="Arial" w:cs="Arial" w:eastAsia="Arial" w:hAnsi="Arial"/>
                <w:sz w:val="16"/>
                <w:szCs w:val="16"/>
                <w:color w:val="auto"/>
              </w:rPr>
              <w:t>pay for performance assessment of the Chief Executive Officer compensation; (iv) provided</w:t>
            </w:r>
          </w:p>
        </w:tc>
      </w:tr>
      <w:tr>
        <w:trPr>
          <w:trHeight w:val="187"/>
        </w:trPr>
        <w:tc>
          <w:tcPr>
            <w:tcW w:w="2120" w:type="dxa"/>
            <w:vAlign w:val="bottom"/>
          </w:tcPr>
          <w:p>
            <w:pPr>
              <w:spacing w:after="0"/>
              <w:rPr>
                <w:sz w:val="16"/>
                <w:szCs w:val="16"/>
                <w:color w:val="auto"/>
              </w:rPr>
            </w:pPr>
          </w:p>
        </w:tc>
        <w:tc>
          <w:tcPr>
            <w:tcW w:w="6860" w:type="dxa"/>
            <w:vAlign w:val="bottom"/>
          </w:tcPr>
          <w:p>
            <w:pPr>
              <w:ind w:left="120"/>
              <w:spacing w:after="0"/>
              <w:rPr>
                <w:sz w:val="20"/>
                <w:szCs w:val="20"/>
                <w:color w:val="auto"/>
              </w:rPr>
            </w:pPr>
            <w:r>
              <w:rPr>
                <w:rFonts w:ascii="Arial" w:cs="Arial" w:eastAsia="Arial" w:hAnsi="Arial"/>
                <w:sz w:val="16"/>
                <w:szCs w:val="16"/>
                <w:color w:val="auto"/>
              </w:rPr>
              <w:t>plan design and performance metric benchmarking of the Peer Group and relevant industry</w:t>
            </w:r>
          </w:p>
        </w:tc>
      </w:tr>
      <w:tr>
        <w:trPr>
          <w:trHeight w:val="187"/>
        </w:trPr>
        <w:tc>
          <w:tcPr>
            <w:tcW w:w="2120" w:type="dxa"/>
            <w:vAlign w:val="bottom"/>
          </w:tcPr>
          <w:p>
            <w:pPr>
              <w:spacing w:after="0"/>
              <w:rPr>
                <w:sz w:val="16"/>
                <w:szCs w:val="16"/>
                <w:color w:val="auto"/>
              </w:rPr>
            </w:pPr>
          </w:p>
        </w:tc>
        <w:tc>
          <w:tcPr>
            <w:tcW w:w="6860" w:type="dxa"/>
            <w:vAlign w:val="bottom"/>
          </w:tcPr>
          <w:p>
            <w:pPr>
              <w:ind w:left="120"/>
              <w:spacing w:after="0"/>
              <w:rPr>
                <w:sz w:val="20"/>
                <w:szCs w:val="20"/>
                <w:color w:val="auto"/>
              </w:rPr>
            </w:pPr>
            <w:r>
              <w:rPr>
                <w:rFonts w:ascii="Arial" w:cs="Arial" w:eastAsia="Arial" w:hAnsi="Arial"/>
                <w:sz w:val="16"/>
                <w:szCs w:val="16"/>
                <w:color w:val="auto"/>
              </w:rPr>
              <w:t>data; (v) provided data and recommendations on changes to the annual cash incentive</w:t>
            </w:r>
          </w:p>
        </w:tc>
      </w:tr>
      <w:tr>
        <w:trPr>
          <w:trHeight w:val="187"/>
        </w:trPr>
        <w:tc>
          <w:tcPr>
            <w:tcW w:w="2120" w:type="dxa"/>
            <w:vAlign w:val="bottom"/>
          </w:tcPr>
          <w:p>
            <w:pPr>
              <w:spacing w:after="0"/>
              <w:rPr>
                <w:sz w:val="16"/>
                <w:szCs w:val="16"/>
                <w:color w:val="auto"/>
              </w:rPr>
            </w:pPr>
          </w:p>
        </w:tc>
        <w:tc>
          <w:tcPr>
            <w:tcW w:w="6860" w:type="dxa"/>
            <w:vAlign w:val="bottom"/>
          </w:tcPr>
          <w:p>
            <w:pPr>
              <w:ind w:left="120"/>
              <w:spacing w:after="0"/>
              <w:rPr>
                <w:sz w:val="20"/>
                <w:szCs w:val="20"/>
                <w:color w:val="auto"/>
              </w:rPr>
            </w:pPr>
            <w:r>
              <w:rPr>
                <w:rFonts w:ascii="Arial" w:cs="Arial" w:eastAsia="Arial" w:hAnsi="Arial"/>
                <w:sz w:val="16"/>
                <w:szCs w:val="16"/>
                <w:color w:val="auto"/>
              </w:rPr>
              <w:t>program; and (vi) provided data and recommendations associated with the long term incentive</w:t>
            </w:r>
          </w:p>
        </w:tc>
      </w:tr>
      <w:tr>
        <w:trPr>
          <w:trHeight w:val="187"/>
        </w:trPr>
        <w:tc>
          <w:tcPr>
            <w:tcW w:w="2120" w:type="dxa"/>
            <w:vAlign w:val="bottom"/>
          </w:tcPr>
          <w:p>
            <w:pPr>
              <w:spacing w:after="0"/>
              <w:rPr>
                <w:sz w:val="16"/>
                <w:szCs w:val="16"/>
                <w:color w:val="auto"/>
              </w:rPr>
            </w:pPr>
          </w:p>
        </w:tc>
        <w:tc>
          <w:tcPr>
            <w:tcW w:w="6860" w:type="dxa"/>
            <w:vAlign w:val="bottom"/>
          </w:tcPr>
          <w:p>
            <w:pPr>
              <w:ind w:left="120"/>
              <w:spacing w:after="0"/>
              <w:rPr>
                <w:sz w:val="20"/>
                <w:szCs w:val="20"/>
                <w:color w:val="auto"/>
              </w:rPr>
            </w:pPr>
            <w:r>
              <w:rPr>
                <w:rFonts w:ascii="Arial" w:cs="Arial" w:eastAsia="Arial" w:hAnsi="Arial"/>
                <w:sz w:val="16"/>
                <w:szCs w:val="16"/>
                <w:color w:val="auto"/>
              </w:rPr>
              <w:t>program. In 2023, Pay Governance reviewed and assessed the competitiveness of</w:t>
            </w:r>
          </w:p>
        </w:tc>
      </w:tr>
      <w:tr>
        <w:trPr>
          <w:trHeight w:val="187"/>
        </w:trPr>
        <w:tc>
          <w:tcPr>
            <w:tcW w:w="2120" w:type="dxa"/>
            <w:vAlign w:val="bottom"/>
          </w:tcPr>
          <w:p>
            <w:pPr>
              <w:spacing w:after="0"/>
              <w:rPr>
                <w:sz w:val="16"/>
                <w:szCs w:val="16"/>
                <w:color w:val="auto"/>
              </w:rPr>
            </w:pPr>
          </w:p>
        </w:tc>
        <w:tc>
          <w:tcPr>
            <w:tcW w:w="6860" w:type="dxa"/>
            <w:vAlign w:val="bottom"/>
          </w:tcPr>
          <w:p>
            <w:pPr>
              <w:ind w:left="120"/>
              <w:spacing w:after="0"/>
              <w:rPr>
                <w:sz w:val="20"/>
                <w:szCs w:val="20"/>
                <w:color w:val="auto"/>
              </w:rPr>
            </w:pPr>
            <w:r>
              <w:rPr>
                <w:rFonts w:ascii="Arial" w:cs="Arial" w:eastAsia="Arial" w:hAnsi="Arial"/>
                <w:sz w:val="16"/>
                <w:szCs w:val="16"/>
                <w:color w:val="auto"/>
              </w:rPr>
              <w:t>compensation provided to non-employee members of the Company’s Board of Directors. This</w:t>
            </w:r>
          </w:p>
        </w:tc>
      </w:tr>
      <w:tr>
        <w:trPr>
          <w:trHeight w:val="187"/>
        </w:trPr>
        <w:tc>
          <w:tcPr>
            <w:tcW w:w="2120" w:type="dxa"/>
            <w:vAlign w:val="bottom"/>
          </w:tcPr>
          <w:p>
            <w:pPr>
              <w:spacing w:after="0"/>
              <w:rPr>
                <w:sz w:val="16"/>
                <w:szCs w:val="16"/>
                <w:color w:val="auto"/>
              </w:rPr>
            </w:pPr>
          </w:p>
        </w:tc>
        <w:tc>
          <w:tcPr>
            <w:tcW w:w="6860" w:type="dxa"/>
            <w:vAlign w:val="bottom"/>
          </w:tcPr>
          <w:p>
            <w:pPr>
              <w:ind w:left="120"/>
              <w:spacing w:after="0"/>
              <w:rPr>
                <w:sz w:val="20"/>
                <w:szCs w:val="20"/>
                <w:color w:val="auto"/>
              </w:rPr>
            </w:pPr>
            <w:r>
              <w:rPr>
                <w:rFonts w:ascii="Arial" w:cs="Arial" w:eastAsia="Arial" w:hAnsi="Arial"/>
                <w:sz w:val="16"/>
                <w:szCs w:val="16"/>
                <w:color w:val="auto"/>
              </w:rPr>
              <w:t>review included benchmarking of the Peer Group and relevant industry data. The Committee</w:t>
            </w:r>
          </w:p>
        </w:tc>
      </w:tr>
      <w:tr>
        <w:trPr>
          <w:trHeight w:val="187"/>
        </w:trPr>
        <w:tc>
          <w:tcPr>
            <w:tcW w:w="2120" w:type="dxa"/>
            <w:vAlign w:val="bottom"/>
          </w:tcPr>
          <w:p>
            <w:pPr>
              <w:spacing w:after="0"/>
              <w:rPr>
                <w:sz w:val="16"/>
                <w:szCs w:val="16"/>
                <w:color w:val="auto"/>
              </w:rPr>
            </w:pPr>
          </w:p>
        </w:tc>
        <w:tc>
          <w:tcPr>
            <w:tcW w:w="6860" w:type="dxa"/>
            <w:vAlign w:val="bottom"/>
          </w:tcPr>
          <w:p>
            <w:pPr>
              <w:ind w:left="120"/>
              <w:spacing w:after="0"/>
              <w:rPr>
                <w:sz w:val="20"/>
                <w:szCs w:val="20"/>
                <w:color w:val="auto"/>
              </w:rPr>
            </w:pPr>
            <w:r>
              <w:rPr>
                <w:rFonts w:ascii="Arial" w:cs="Arial" w:eastAsia="Arial" w:hAnsi="Arial"/>
                <w:sz w:val="16"/>
                <w:szCs w:val="16"/>
                <w:color w:val="auto"/>
              </w:rPr>
              <w:t>has evaluated its relationship with each of Pay Governance and Exequity and has determined</w:t>
            </w:r>
          </w:p>
        </w:tc>
      </w:tr>
      <w:tr>
        <w:trPr>
          <w:trHeight w:val="213"/>
        </w:trPr>
        <w:tc>
          <w:tcPr>
            <w:tcW w:w="2120" w:type="dxa"/>
            <w:vAlign w:val="bottom"/>
          </w:tcPr>
          <w:p>
            <w:pPr>
              <w:spacing w:after="0"/>
              <w:rPr>
                <w:sz w:val="18"/>
                <w:szCs w:val="18"/>
                <w:color w:val="auto"/>
              </w:rPr>
            </w:pPr>
          </w:p>
        </w:tc>
        <w:tc>
          <w:tcPr>
            <w:tcW w:w="6860" w:type="dxa"/>
            <w:vAlign w:val="bottom"/>
          </w:tcPr>
          <w:p>
            <w:pPr>
              <w:ind w:left="120"/>
              <w:spacing w:after="0"/>
              <w:rPr>
                <w:sz w:val="20"/>
                <w:szCs w:val="20"/>
                <w:color w:val="auto"/>
              </w:rPr>
            </w:pPr>
            <w:r>
              <w:rPr>
                <w:rFonts w:ascii="Arial" w:cs="Arial" w:eastAsia="Arial" w:hAnsi="Arial"/>
                <w:sz w:val="16"/>
                <w:szCs w:val="16"/>
                <w:color w:val="auto"/>
              </w:rPr>
              <w:t>that no conflict of interest exists with respect to the services that either consultant provides.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60325</wp:posOffset>
            </wp:positionV>
            <wp:extent cx="571373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182" w:lineRule="exact"/>
        <w:rPr>
          <w:sz w:val="20"/>
          <w:szCs w:val="20"/>
          <w:color w:val="auto"/>
        </w:rPr>
      </w:pPr>
    </w:p>
    <w:p>
      <w:pPr>
        <w:ind w:left="1000"/>
        <w:spacing w:after="0"/>
        <w:tabs>
          <w:tab w:leader="none" w:pos="3200" w:val="left"/>
        </w:tabs>
        <w:rPr>
          <w:sz w:val="20"/>
          <w:szCs w:val="20"/>
          <w:color w:val="auto"/>
        </w:rPr>
      </w:pPr>
      <w:r>
        <w:rPr>
          <w:rFonts w:ascii="Arial" w:cs="Arial" w:eastAsia="Arial" w:hAnsi="Arial"/>
          <w:sz w:val="16"/>
          <w:szCs w:val="16"/>
          <w:b w:val="1"/>
          <w:bCs w:val="1"/>
          <w:color w:val="auto"/>
        </w:rPr>
        <w:t>Role of Our Executive</w:t>
      </w:r>
      <w:r>
        <w:rPr>
          <w:sz w:val="20"/>
          <w:szCs w:val="20"/>
          <w:color w:val="auto"/>
        </w:rPr>
        <w:tab/>
      </w:r>
      <w:r>
        <w:rPr>
          <w:rFonts w:ascii="Arial" w:cs="Arial" w:eastAsia="Arial" w:hAnsi="Arial"/>
          <w:sz w:val="16"/>
          <w:szCs w:val="16"/>
          <w:color w:val="auto"/>
        </w:rPr>
        <w:t>The Chief Executive Officer and the Executive Vice President, Chief Human Resources Officer</w:t>
      </w:r>
    </w:p>
    <w:p>
      <w:pPr>
        <w:spacing w:after="0" w:line="19" w:lineRule="exact"/>
        <w:rPr>
          <w:sz w:val="20"/>
          <w:szCs w:val="20"/>
          <w:color w:val="auto"/>
        </w:rPr>
      </w:pPr>
    </w:p>
    <w:p>
      <w:pPr>
        <w:ind w:left="1000"/>
        <w:spacing w:after="0"/>
        <w:tabs>
          <w:tab w:leader="none" w:pos="3200" w:val="left"/>
        </w:tabs>
        <w:rPr>
          <w:sz w:val="20"/>
          <w:szCs w:val="20"/>
          <w:color w:val="auto"/>
        </w:rPr>
      </w:pPr>
      <w:r>
        <w:rPr>
          <w:rFonts w:ascii="Arial" w:cs="Arial" w:eastAsia="Arial" w:hAnsi="Arial"/>
          <w:sz w:val="16"/>
          <w:szCs w:val="16"/>
          <w:b w:val="1"/>
          <w:bCs w:val="1"/>
          <w:color w:val="auto"/>
        </w:rPr>
        <w:t>Officers in the</w:t>
      </w:r>
      <w:r>
        <w:rPr>
          <w:sz w:val="20"/>
          <w:szCs w:val="20"/>
          <w:color w:val="auto"/>
        </w:rPr>
        <w:tab/>
      </w:r>
      <w:r>
        <w:rPr>
          <w:rFonts w:ascii="Arial" w:cs="Arial" w:eastAsia="Arial" w:hAnsi="Arial"/>
          <w:sz w:val="16"/>
          <w:szCs w:val="16"/>
          <w:color w:val="auto"/>
        </w:rPr>
        <w:t>suggest guidelines in discussions with the Compensation Committee regarding executive</w:t>
      </w:r>
    </w:p>
    <w:p>
      <w:pPr>
        <w:spacing w:after="0" w:line="3" w:lineRule="exact"/>
        <w:rPr>
          <w:sz w:val="20"/>
          <w:szCs w:val="20"/>
          <w:color w:val="auto"/>
        </w:rPr>
      </w:pPr>
    </w:p>
    <w:p>
      <w:pPr>
        <w:ind w:left="1000"/>
        <w:spacing w:after="0"/>
        <w:tabs>
          <w:tab w:leader="none" w:pos="3200" w:val="left"/>
        </w:tabs>
        <w:rPr>
          <w:sz w:val="20"/>
          <w:szCs w:val="20"/>
          <w:color w:val="auto"/>
        </w:rPr>
      </w:pPr>
      <w:r>
        <w:rPr>
          <w:rFonts w:ascii="Arial" w:cs="Arial" w:eastAsia="Arial" w:hAnsi="Arial"/>
          <w:sz w:val="16"/>
          <w:szCs w:val="16"/>
          <w:b w:val="1"/>
          <w:bCs w:val="1"/>
          <w:color w:val="auto"/>
        </w:rPr>
        <w:t>Compensation Process</w:t>
      </w:r>
      <w:r>
        <w:rPr>
          <w:sz w:val="20"/>
          <w:szCs w:val="20"/>
          <w:color w:val="auto"/>
        </w:rPr>
        <w:tab/>
      </w:r>
      <w:r>
        <w:rPr>
          <w:rFonts w:ascii="Arial" w:cs="Arial" w:eastAsia="Arial" w:hAnsi="Arial"/>
          <w:sz w:val="16"/>
          <w:szCs w:val="16"/>
          <w:color w:val="auto"/>
        </w:rPr>
        <w:t>compensation. They provide recommendations and information regarding the competitiveness</w:t>
      </w:r>
    </w:p>
    <w:p>
      <w:pPr>
        <w:spacing w:after="0" w:line="3" w:lineRule="exact"/>
        <w:rPr>
          <w:sz w:val="20"/>
          <w:szCs w:val="20"/>
          <w:color w:val="auto"/>
        </w:rPr>
      </w:pPr>
    </w:p>
    <w:p>
      <w:pPr>
        <w:ind w:left="3220" w:right="1180" w:hanging="166"/>
        <w:spacing w:after="0" w:line="250" w:lineRule="auto"/>
        <w:tabs>
          <w:tab w:leader="none" w:pos="3140" w:val="left"/>
        </w:tabs>
        <w:numPr>
          <w:ilvl w:val="0"/>
          <w:numId w:val="32"/>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w:t>
      </w:r>
      <w:r>
        <w:rPr>
          <w:rFonts w:ascii="Arial" w:cs="Arial" w:eastAsia="Arial" w:hAnsi="Arial"/>
          <w:sz w:val="16"/>
          <w:szCs w:val="16"/>
          <w:color w:val="auto"/>
        </w:rPr>
        <w:t>of the industry, key employees, performance of individuals, succession plans and other relevant data to the Compensation Committee. Neither the Chief Executive Officer nor the Executive Vice President, Chief Human Resources Officer is present during any discussions concerning his or her own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55880</wp:posOffset>
            </wp:positionV>
            <wp:extent cx="571373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13730" cy="8255"/>
                    </a:xfrm>
                    <a:prstGeom prst="rect">
                      <a:avLst/>
                    </a:prstGeom>
                    <a:noFill/>
                  </pic:spPr>
                </pic:pic>
              </a:graphicData>
            </a:graphic>
          </wp:anchor>
        </w:drawing>
        <w:drawing>
          <wp:anchor simplePos="0" relativeHeight="251657728" behindDoc="1" locked="0" layoutInCell="0" allowOverlap="1">
            <wp:simplePos x="0" y="0"/>
            <wp:positionH relativeFrom="column">
              <wp:posOffset>617220</wp:posOffset>
            </wp:positionH>
            <wp:positionV relativeFrom="paragraph">
              <wp:posOffset>200660</wp:posOffset>
            </wp:positionV>
            <wp:extent cx="5739130" cy="399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739130" cy="39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9140" w:type="dxa"/>
            <w:vAlign w:val="bottom"/>
          </w:tcPr>
          <w:p>
            <w:pPr>
              <w:ind w:left="636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800" w:type="dxa"/>
            <w:vAlign w:val="bottom"/>
          </w:tcPr>
          <w:p>
            <w:pPr>
              <w:jc w:val="right"/>
              <w:ind w:right="909"/>
              <w:spacing w:after="0"/>
              <w:rPr>
                <w:sz w:val="20"/>
                <w:szCs w:val="20"/>
                <w:color w:val="auto"/>
              </w:rPr>
            </w:pPr>
            <w:r>
              <w:rPr>
                <w:rFonts w:ascii="Arial" w:cs="Arial" w:eastAsia="Arial" w:hAnsi="Arial"/>
                <w:sz w:val="14"/>
                <w:szCs w:val="14"/>
                <w:b w:val="1"/>
                <w:bCs w:val="1"/>
                <w:color w:val="auto"/>
              </w:rPr>
              <w:t>47</w:t>
            </w:r>
          </w:p>
        </w:tc>
      </w:tr>
      <w:tr>
        <w:trPr>
          <w:trHeight w:val="342"/>
        </w:trPr>
        <w:tc>
          <w:tcPr>
            <w:tcW w:w="9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-407670</wp:posOffset>
            </wp:positionV>
            <wp:extent cx="501650" cy="1701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sectPr>
      </w:pPr>
    </w:p>
    <w:bookmarkStart w:id="50" w:name="page51"/>
    <w:bookmarkEnd w:id="50"/>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960"/>
        <w:spacing w:after="0"/>
        <w:rPr>
          <w:sz w:val="20"/>
          <w:szCs w:val="20"/>
          <w:color w:val="auto"/>
        </w:rPr>
      </w:pPr>
      <w:r>
        <w:rPr>
          <w:rFonts w:ascii="Arial" w:cs="Arial" w:eastAsia="Arial" w:hAnsi="Arial"/>
          <w:sz w:val="12"/>
          <w:szCs w:val="12"/>
          <w:color w:val="auto"/>
        </w:rPr>
        <w:t>Compensation Discussion and Analysis</w:t>
      </w:r>
    </w:p>
    <w:p>
      <w:pPr>
        <w:spacing w:after="0" w:line="143" w:lineRule="exact"/>
        <w:rPr>
          <w:sz w:val="20"/>
          <w:szCs w:val="20"/>
          <w:color w:val="auto"/>
        </w:rPr>
      </w:pPr>
    </w:p>
    <w:p>
      <w:pPr>
        <w:ind w:left="960"/>
        <w:spacing w:after="0"/>
        <w:rPr>
          <w:sz w:val="20"/>
          <w:szCs w:val="20"/>
          <w:color w:val="auto"/>
        </w:rPr>
      </w:pPr>
      <w:r>
        <w:rPr>
          <w:rFonts w:ascii="Arial" w:cs="Arial" w:eastAsia="Arial" w:hAnsi="Arial"/>
          <w:sz w:val="23"/>
          <w:szCs w:val="23"/>
          <w:color w:val="0C426A"/>
        </w:rPr>
        <w:t>Peer Group</w:t>
      </w:r>
    </w:p>
    <w:p>
      <w:pPr>
        <w:spacing w:after="0" w:line="181" w:lineRule="exact"/>
        <w:rPr>
          <w:sz w:val="20"/>
          <w:szCs w:val="20"/>
          <w:color w:val="auto"/>
        </w:rPr>
      </w:pPr>
    </w:p>
    <w:p>
      <w:pPr>
        <w:ind w:left="960" w:right="1160"/>
        <w:spacing w:after="0" w:line="252" w:lineRule="auto"/>
        <w:rPr>
          <w:sz w:val="20"/>
          <w:szCs w:val="20"/>
          <w:color w:val="auto"/>
        </w:rPr>
      </w:pPr>
      <w:r>
        <w:rPr>
          <w:rFonts w:ascii="Arial" w:cs="Arial" w:eastAsia="Arial" w:hAnsi="Arial"/>
          <w:sz w:val="16"/>
          <w:szCs w:val="16"/>
          <w:color w:val="auto"/>
        </w:rPr>
        <w:t>Our philosophy is to position target total compensation opportunity within a reasonable range of the median of that paid to executives of our Peer Group with similar responsibilities. To ensure that the Company is able to attract and retain highly talented and diverse executives, the Company benchmarks executive compensation using a reputable compensation survey of similar-sized companies and also uses available proxy disclosure compensation information for a group of similar-sized manufacturing companies. This Peer Group provided insights to the Compensation Committee as it made compensation decisions for 2023.</w:t>
      </w:r>
    </w:p>
    <w:p>
      <w:pPr>
        <w:spacing w:after="0" w:line="16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Our Peer Group represents a group of manufacturing companies who generally align with the following criteria:</w:t>
      </w:r>
    </w:p>
    <w:p>
      <w:pPr>
        <w:spacing w:after="0" w:line="178" w:lineRule="exact"/>
        <w:rPr>
          <w:sz w:val="20"/>
          <w:szCs w:val="20"/>
          <w:color w:val="auto"/>
        </w:rPr>
      </w:pPr>
    </w:p>
    <w:p>
      <w:pPr>
        <w:ind w:left="1140" w:right="1280" w:hanging="175"/>
        <w:spacing w:after="0" w:line="282" w:lineRule="auto"/>
        <w:tabs>
          <w:tab w:leader="none" w:pos="1140" w:val="left"/>
        </w:tabs>
        <w:numPr>
          <w:ilvl w:val="0"/>
          <w:numId w:val="33"/>
        </w:numPr>
        <w:rPr>
          <w:rFonts w:ascii="Arial" w:cs="Arial" w:eastAsia="Arial" w:hAnsi="Arial"/>
          <w:sz w:val="16"/>
          <w:szCs w:val="16"/>
          <w:color w:val="4297CB"/>
        </w:rPr>
      </w:pPr>
      <w:r>
        <w:rPr>
          <w:rFonts w:ascii="Arial" w:cs="Arial" w:eastAsia="Arial" w:hAnsi="Arial"/>
          <w:sz w:val="16"/>
          <w:szCs w:val="16"/>
          <w:color w:val="auto"/>
        </w:rPr>
        <w:t>large industrial companies in Global Industry Classification Standard (“GICS”) sectors generally representing machinery, electrical equipment, auto components, aerospace and defense, and road and rail;</w:t>
      </w:r>
    </w:p>
    <w:p>
      <w:pPr>
        <w:spacing w:after="0" w:line="22" w:lineRule="exact"/>
        <w:rPr>
          <w:rFonts w:ascii="Arial" w:cs="Arial" w:eastAsia="Arial" w:hAnsi="Arial"/>
          <w:sz w:val="16"/>
          <w:szCs w:val="16"/>
          <w:color w:val="4297CB"/>
        </w:rPr>
      </w:pPr>
    </w:p>
    <w:p>
      <w:pPr>
        <w:ind w:left="1140" w:hanging="175"/>
        <w:spacing w:after="0"/>
        <w:tabs>
          <w:tab w:leader="none" w:pos="1140" w:val="left"/>
        </w:tabs>
        <w:numPr>
          <w:ilvl w:val="0"/>
          <w:numId w:val="33"/>
        </w:numPr>
        <w:rPr>
          <w:rFonts w:ascii="Arial" w:cs="Arial" w:eastAsia="Arial" w:hAnsi="Arial"/>
          <w:sz w:val="16"/>
          <w:szCs w:val="16"/>
          <w:color w:val="4297CB"/>
        </w:rPr>
      </w:pPr>
      <w:r>
        <w:rPr>
          <w:rFonts w:ascii="Arial" w:cs="Arial" w:eastAsia="Arial" w:hAnsi="Arial"/>
          <w:sz w:val="16"/>
          <w:szCs w:val="16"/>
          <w:color w:val="auto"/>
        </w:rPr>
        <w:t>revenues that range from approximately 0.4 to 2.5 times that of the Company;</w:t>
      </w:r>
    </w:p>
    <w:p>
      <w:pPr>
        <w:spacing w:after="0" w:line="70" w:lineRule="exact"/>
        <w:rPr>
          <w:rFonts w:ascii="Arial" w:cs="Arial" w:eastAsia="Arial" w:hAnsi="Arial"/>
          <w:sz w:val="16"/>
          <w:szCs w:val="16"/>
          <w:color w:val="4297CB"/>
        </w:rPr>
      </w:pPr>
    </w:p>
    <w:p>
      <w:pPr>
        <w:ind w:left="1140" w:hanging="175"/>
        <w:spacing w:after="0"/>
        <w:tabs>
          <w:tab w:leader="none" w:pos="1140" w:val="left"/>
        </w:tabs>
        <w:numPr>
          <w:ilvl w:val="0"/>
          <w:numId w:val="33"/>
        </w:numPr>
        <w:rPr>
          <w:rFonts w:ascii="Arial" w:cs="Arial" w:eastAsia="Arial" w:hAnsi="Arial"/>
          <w:sz w:val="16"/>
          <w:szCs w:val="16"/>
          <w:color w:val="4297CB"/>
        </w:rPr>
      </w:pPr>
      <w:r>
        <w:rPr>
          <w:rFonts w:ascii="Arial" w:cs="Arial" w:eastAsia="Arial" w:hAnsi="Arial"/>
          <w:sz w:val="16"/>
          <w:szCs w:val="16"/>
          <w:color w:val="auto"/>
        </w:rPr>
        <w:t>market capitalization of 0.25 to 4.0 times the Company; and</w:t>
      </w:r>
    </w:p>
    <w:p>
      <w:pPr>
        <w:spacing w:after="0" w:line="70" w:lineRule="exact"/>
        <w:rPr>
          <w:rFonts w:ascii="Arial" w:cs="Arial" w:eastAsia="Arial" w:hAnsi="Arial"/>
          <w:sz w:val="16"/>
          <w:szCs w:val="16"/>
          <w:color w:val="4297CB"/>
        </w:rPr>
      </w:pPr>
    </w:p>
    <w:p>
      <w:pPr>
        <w:ind w:left="1140" w:hanging="175"/>
        <w:spacing w:after="0"/>
        <w:tabs>
          <w:tab w:leader="none" w:pos="1140" w:val="left"/>
        </w:tabs>
        <w:numPr>
          <w:ilvl w:val="0"/>
          <w:numId w:val="33"/>
        </w:numPr>
        <w:rPr>
          <w:rFonts w:ascii="Arial" w:cs="Arial" w:eastAsia="Arial" w:hAnsi="Arial"/>
          <w:sz w:val="16"/>
          <w:szCs w:val="16"/>
          <w:color w:val="4297CB"/>
        </w:rPr>
      </w:pPr>
      <w:r>
        <w:rPr>
          <w:rFonts w:ascii="Arial" w:cs="Arial" w:eastAsia="Arial" w:hAnsi="Arial"/>
          <w:sz w:val="16"/>
          <w:szCs w:val="16"/>
          <w:color w:val="auto"/>
        </w:rPr>
        <w:t>capital intensive businesses.</w:t>
      </w:r>
    </w:p>
    <w:p>
      <w:pPr>
        <w:spacing w:after="0" w:line="20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This Peer Group was used in making 2023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53975</wp:posOffset>
            </wp:positionV>
            <wp:extent cx="571373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211" w:lineRule="exact"/>
        <w:rPr>
          <w:sz w:val="20"/>
          <w:szCs w:val="20"/>
          <w:color w:val="auto"/>
        </w:rPr>
      </w:pPr>
    </w:p>
    <w:tbl>
      <w:tblPr>
        <w:tblLayout w:type="fixed"/>
        <w:tblInd w:w="980" w:type="dxa"/>
        <w:tblCellMar>
          <w:top w:w="0" w:type="dxa"/>
          <w:left w:w="0" w:type="dxa"/>
          <w:bottom w:w="0" w:type="dxa"/>
          <w:right w:w="0" w:type="dxa"/>
        </w:tblCellMar>
      </w:tblPr>
      <w:tr>
        <w:trPr>
          <w:trHeight w:val="213"/>
        </w:trPr>
        <w:tc>
          <w:tcPr>
            <w:tcW w:w="2200" w:type="dxa"/>
            <w:vAlign w:val="bottom"/>
          </w:tcPr>
          <w:p>
            <w:pPr>
              <w:ind w:left="20"/>
              <w:spacing w:after="0"/>
              <w:rPr>
                <w:sz w:val="20"/>
                <w:szCs w:val="20"/>
                <w:color w:val="auto"/>
              </w:rPr>
            </w:pPr>
            <w:r>
              <w:rPr>
                <w:rFonts w:ascii="Arial" w:cs="Arial" w:eastAsia="Arial" w:hAnsi="Arial"/>
                <w:sz w:val="16"/>
                <w:szCs w:val="16"/>
                <w:color w:val="auto"/>
              </w:rPr>
              <w:t>AGCO Corporation</w:t>
            </w:r>
          </w:p>
        </w:tc>
        <w:tc>
          <w:tcPr>
            <w:tcW w:w="700" w:type="dxa"/>
            <w:vAlign w:val="bottom"/>
          </w:tcPr>
          <w:p>
            <w:pPr>
              <w:ind w:left="6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540" w:type="dxa"/>
            <w:vAlign w:val="bottom"/>
          </w:tcPr>
          <w:p>
            <w:pPr>
              <w:ind w:left="40"/>
              <w:spacing w:after="0"/>
              <w:rPr>
                <w:sz w:val="20"/>
                <w:szCs w:val="20"/>
                <w:color w:val="auto"/>
              </w:rPr>
            </w:pPr>
            <w:r>
              <w:rPr>
                <w:rFonts w:ascii="Arial" w:cs="Arial" w:eastAsia="Arial" w:hAnsi="Arial"/>
                <w:sz w:val="16"/>
                <w:szCs w:val="16"/>
                <w:color w:val="auto"/>
              </w:rPr>
              <w:t>Illinois Tool Works Inc.</w:t>
            </w:r>
          </w:p>
        </w:tc>
        <w:tc>
          <w:tcPr>
            <w:tcW w:w="44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940" w:type="dxa"/>
            <w:vAlign w:val="bottom"/>
          </w:tcPr>
          <w:p>
            <w:pPr>
              <w:ind w:left="40"/>
              <w:spacing w:after="0"/>
              <w:rPr>
                <w:sz w:val="20"/>
                <w:szCs w:val="20"/>
                <w:color w:val="auto"/>
              </w:rPr>
            </w:pPr>
            <w:r>
              <w:rPr>
                <w:rFonts w:ascii="Arial" w:cs="Arial" w:eastAsia="Arial" w:hAnsi="Arial"/>
                <w:sz w:val="16"/>
                <w:szCs w:val="16"/>
                <w:color w:val="auto"/>
              </w:rPr>
              <w:t>Terex Corporation</w:t>
            </w:r>
          </w:p>
        </w:tc>
      </w:tr>
      <w:tr>
        <w:trPr>
          <w:trHeight w:val="82"/>
        </w:trPr>
        <w:tc>
          <w:tcPr>
            <w:tcW w:w="220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54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940" w:type="dxa"/>
            <w:vAlign w:val="bottom"/>
            <w:tcBorders>
              <w:bottom w:val="single" w:sz="8" w:color="808080"/>
            </w:tcBorders>
          </w:tcPr>
          <w:p>
            <w:pPr>
              <w:spacing w:after="0"/>
              <w:rPr>
                <w:sz w:val="7"/>
                <w:szCs w:val="7"/>
                <w:color w:val="auto"/>
              </w:rPr>
            </w:pPr>
          </w:p>
        </w:tc>
      </w:tr>
      <w:tr>
        <w:trPr>
          <w:trHeight w:val="300"/>
        </w:trPr>
        <w:tc>
          <w:tcPr>
            <w:tcW w:w="2200" w:type="dxa"/>
            <w:vAlign w:val="bottom"/>
          </w:tcPr>
          <w:p>
            <w:pPr>
              <w:ind w:left="20"/>
              <w:spacing w:after="0"/>
              <w:rPr>
                <w:sz w:val="20"/>
                <w:szCs w:val="20"/>
                <w:color w:val="auto"/>
              </w:rPr>
            </w:pPr>
            <w:r>
              <w:rPr>
                <w:rFonts w:ascii="Arial" w:cs="Arial" w:eastAsia="Arial" w:hAnsi="Arial"/>
                <w:sz w:val="16"/>
                <w:szCs w:val="16"/>
                <w:color w:val="auto"/>
              </w:rPr>
              <w:t>AMETEK, Inc.</w:t>
            </w:r>
          </w:p>
        </w:tc>
        <w:tc>
          <w:tcPr>
            <w:tcW w:w="700" w:type="dxa"/>
            <w:vAlign w:val="bottom"/>
          </w:tcPr>
          <w:p>
            <w:pPr>
              <w:ind w:left="6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540" w:type="dxa"/>
            <w:vAlign w:val="bottom"/>
          </w:tcPr>
          <w:p>
            <w:pPr>
              <w:ind w:left="40"/>
              <w:spacing w:after="0"/>
              <w:rPr>
                <w:sz w:val="20"/>
                <w:szCs w:val="20"/>
                <w:color w:val="auto"/>
              </w:rPr>
            </w:pPr>
            <w:r>
              <w:rPr>
                <w:rFonts w:ascii="Arial" w:cs="Arial" w:eastAsia="Arial" w:hAnsi="Arial"/>
                <w:sz w:val="16"/>
                <w:szCs w:val="16"/>
                <w:color w:val="auto"/>
              </w:rPr>
              <w:t>Ingersoll Rand, Inc.</w:t>
            </w:r>
          </w:p>
        </w:tc>
        <w:tc>
          <w:tcPr>
            <w:tcW w:w="44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940" w:type="dxa"/>
            <w:vAlign w:val="bottom"/>
          </w:tcPr>
          <w:p>
            <w:pPr>
              <w:ind w:left="40"/>
              <w:spacing w:after="0"/>
              <w:rPr>
                <w:sz w:val="20"/>
                <w:szCs w:val="20"/>
                <w:color w:val="auto"/>
              </w:rPr>
            </w:pPr>
            <w:r>
              <w:rPr>
                <w:rFonts w:ascii="Arial" w:cs="Arial" w:eastAsia="Arial" w:hAnsi="Arial"/>
                <w:sz w:val="16"/>
                <w:szCs w:val="16"/>
                <w:color w:val="auto"/>
              </w:rPr>
              <w:t>Textron, Inc.</w:t>
            </w:r>
          </w:p>
        </w:tc>
      </w:tr>
      <w:tr>
        <w:trPr>
          <w:trHeight w:val="95"/>
        </w:trPr>
        <w:tc>
          <w:tcPr>
            <w:tcW w:w="2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5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940" w:type="dxa"/>
            <w:vAlign w:val="bottom"/>
            <w:tcBorders>
              <w:bottom w:val="single" w:sz="8" w:color="808080"/>
            </w:tcBorders>
          </w:tcPr>
          <w:p>
            <w:pPr>
              <w:spacing w:after="0"/>
              <w:rPr>
                <w:sz w:val="8"/>
                <w:szCs w:val="8"/>
                <w:color w:val="auto"/>
              </w:rPr>
            </w:pPr>
          </w:p>
        </w:tc>
      </w:tr>
      <w:tr>
        <w:trPr>
          <w:trHeight w:val="300"/>
        </w:trPr>
        <w:tc>
          <w:tcPr>
            <w:tcW w:w="2200" w:type="dxa"/>
            <w:vAlign w:val="bottom"/>
          </w:tcPr>
          <w:p>
            <w:pPr>
              <w:ind w:left="20"/>
              <w:spacing w:after="0"/>
              <w:rPr>
                <w:sz w:val="20"/>
                <w:szCs w:val="20"/>
                <w:color w:val="auto"/>
              </w:rPr>
            </w:pPr>
            <w:r>
              <w:rPr>
                <w:rFonts w:ascii="Arial" w:cs="Arial" w:eastAsia="Arial" w:hAnsi="Arial"/>
                <w:sz w:val="16"/>
                <w:szCs w:val="16"/>
                <w:color w:val="auto"/>
              </w:rPr>
              <w:t>BorgWarner Inc.</w:t>
            </w:r>
          </w:p>
        </w:tc>
        <w:tc>
          <w:tcPr>
            <w:tcW w:w="700" w:type="dxa"/>
            <w:vAlign w:val="bottom"/>
          </w:tcPr>
          <w:p>
            <w:pPr>
              <w:ind w:left="6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540" w:type="dxa"/>
            <w:vAlign w:val="bottom"/>
          </w:tcPr>
          <w:p>
            <w:pPr>
              <w:ind w:left="40"/>
              <w:spacing w:after="0"/>
              <w:rPr>
                <w:sz w:val="20"/>
                <w:szCs w:val="20"/>
                <w:color w:val="auto"/>
              </w:rPr>
            </w:pPr>
            <w:r>
              <w:rPr>
                <w:rFonts w:ascii="Arial" w:cs="Arial" w:eastAsia="Arial" w:hAnsi="Arial"/>
                <w:sz w:val="16"/>
                <w:szCs w:val="16"/>
                <w:color w:val="auto"/>
              </w:rPr>
              <w:t>Norfolk Southern Corporation</w:t>
            </w:r>
          </w:p>
        </w:tc>
        <w:tc>
          <w:tcPr>
            <w:tcW w:w="44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940" w:type="dxa"/>
            <w:vAlign w:val="bottom"/>
          </w:tcPr>
          <w:p>
            <w:pPr>
              <w:ind w:left="40"/>
              <w:spacing w:after="0"/>
              <w:rPr>
                <w:sz w:val="20"/>
                <w:szCs w:val="20"/>
                <w:color w:val="auto"/>
              </w:rPr>
            </w:pPr>
            <w:r>
              <w:rPr>
                <w:rFonts w:ascii="Arial" w:cs="Arial" w:eastAsia="Arial" w:hAnsi="Arial"/>
                <w:sz w:val="16"/>
                <w:szCs w:val="16"/>
                <w:color w:val="auto"/>
              </w:rPr>
              <w:t>The Timken Company</w:t>
            </w:r>
          </w:p>
        </w:tc>
      </w:tr>
      <w:tr>
        <w:trPr>
          <w:trHeight w:val="95"/>
        </w:trPr>
        <w:tc>
          <w:tcPr>
            <w:tcW w:w="2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5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940" w:type="dxa"/>
            <w:vAlign w:val="bottom"/>
            <w:tcBorders>
              <w:bottom w:val="single" w:sz="8" w:color="808080"/>
            </w:tcBorders>
          </w:tcPr>
          <w:p>
            <w:pPr>
              <w:spacing w:after="0"/>
              <w:rPr>
                <w:sz w:val="8"/>
                <w:szCs w:val="8"/>
                <w:color w:val="auto"/>
              </w:rPr>
            </w:pPr>
          </w:p>
        </w:tc>
      </w:tr>
      <w:tr>
        <w:trPr>
          <w:trHeight w:val="300"/>
        </w:trPr>
        <w:tc>
          <w:tcPr>
            <w:tcW w:w="2200" w:type="dxa"/>
            <w:vAlign w:val="bottom"/>
          </w:tcPr>
          <w:p>
            <w:pPr>
              <w:ind w:left="20"/>
              <w:spacing w:after="0"/>
              <w:rPr>
                <w:sz w:val="20"/>
                <w:szCs w:val="20"/>
                <w:color w:val="auto"/>
              </w:rPr>
            </w:pPr>
            <w:r>
              <w:rPr>
                <w:rFonts w:ascii="Arial" w:cs="Arial" w:eastAsia="Arial" w:hAnsi="Arial"/>
                <w:sz w:val="16"/>
                <w:szCs w:val="16"/>
                <w:color w:val="auto"/>
              </w:rPr>
              <w:t>CSX Corporation</w:t>
            </w:r>
          </w:p>
        </w:tc>
        <w:tc>
          <w:tcPr>
            <w:tcW w:w="700" w:type="dxa"/>
            <w:vAlign w:val="bottom"/>
          </w:tcPr>
          <w:p>
            <w:pPr>
              <w:ind w:left="6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540" w:type="dxa"/>
            <w:vAlign w:val="bottom"/>
          </w:tcPr>
          <w:p>
            <w:pPr>
              <w:ind w:left="40"/>
              <w:spacing w:after="0"/>
              <w:rPr>
                <w:sz w:val="20"/>
                <w:szCs w:val="20"/>
                <w:color w:val="auto"/>
              </w:rPr>
            </w:pPr>
            <w:r>
              <w:rPr>
                <w:rFonts w:ascii="Arial" w:cs="Arial" w:eastAsia="Arial" w:hAnsi="Arial"/>
                <w:sz w:val="16"/>
                <w:szCs w:val="16"/>
                <w:color w:val="auto"/>
              </w:rPr>
              <w:t>Oshkosh Corporation</w:t>
            </w:r>
          </w:p>
        </w:tc>
        <w:tc>
          <w:tcPr>
            <w:tcW w:w="44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940" w:type="dxa"/>
            <w:vAlign w:val="bottom"/>
          </w:tcPr>
          <w:p>
            <w:pPr>
              <w:ind w:left="40"/>
              <w:spacing w:after="0"/>
              <w:rPr>
                <w:sz w:val="20"/>
                <w:szCs w:val="20"/>
                <w:color w:val="auto"/>
              </w:rPr>
            </w:pPr>
            <w:r>
              <w:rPr>
                <w:rFonts w:ascii="Arial" w:cs="Arial" w:eastAsia="Arial" w:hAnsi="Arial"/>
                <w:sz w:val="16"/>
                <w:szCs w:val="16"/>
                <w:color w:val="auto"/>
              </w:rPr>
              <w:t>The TransDigm Group</w:t>
            </w:r>
          </w:p>
        </w:tc>
      </w:tr>
      <w:tr>
        <w:trPr>
          <w:trHeight w:val="95"/>
        </w:trPr>
        <w:tc>
          <w:tcPr>
            <w:tcW w:w="2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5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940" w:type="dxa"/>
            <w:vAlign w:val="bottom"/>
            <w:tcBorders>
              <w:bottom w:val="single" w:sz="8" w:color="808080"/>
            </w:tcBorders>
          </w:tcPr>
          <w:p>
            <w:pPr>
              <w:spacing w:after="0"/>
              <w:rPr>
                <w:sz w:val="8"/>
                <w:szCs w:val="8"/>
                <w:color w:val="auto"/>
              </w:rPr>
            </w:pPr>
          </w:p>
        </w:tc>
      </w:tr>
      <w:tr>
        <w:trPr>
          <w:trHeight w:val="300"/>
        </w:trPr>
        <w:tc>
          <w:tcPr>
            <w:tcW w:w="2200" w:type="dxa"/>
            <w:vAlign w:val="bottom"/>
          </w:tcPr>
          <w:p>
            <w:pPr>
              <w:ind w:left="20"/>
              <w:spacing w:after="0"/>
              <w:rPr>
                <w:sz w:val="20"/>
                <w:szCs w:val="20"/>
                <w:color w:val="auto"/>
              </w:rPr>
            </w:pPr>
            <w:r>
              <w:rPr>
                <w:rFonts w:ascii="Arial" w:cs="Arial" w:eastAsia="Arial" w:hAnsi="Arial"/>
                <w:sz w:val="16"/>
                <w:szCs w:val="16"/>
                <w:color w:val="auto"/>
              </w:rPr>
              <w:t>Dover Corporation</w:t>
            </w:r>
          </w:p>
        </w:tc>
        <w:tc>
          <w:tcPr>
            <w:tcW w:w="700" w:type="dxa"/>
            <w:vAlign w:val="bottom"/>
          </w:tcPr>
          <w:p>
            <w:pPr>
              <w:ind w:left="6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540" w:type="dxa"/>
            <w:vAlign w:val="bottom"/>
          </w:tcPr>
          <w:p>
            <w:pPr>
              <w:ind w:left="40"/>
              <w:spacing w:after="0"/>
              <w:rPr>
                <w:sz w:val="20"/>
                <w:szCs w:val="20"/>
                <w:color w:val="auto"/>
              </w:rPr>
            </w:pPr>
            <w:r>
              <w:rPr>
                <w:rFonts w:ascii="Arial" w:cs="Arial" w:eastAsia="Arial" w:hAnsi="Arial"/>
                <w:sz w:val="16"/>
                <w:szCs w:val="16"/>
                <w:color w:val="auto"/>
              </w:rPr>
              <w:t>Parker Hannifin Corporation</w:t>
            </w:r>
          </w:p>
        </w:tc>
        <w:tc>
          <w:tcPr>
            <w:tcW w:w="44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940" w:type="dxa"/>
            <w:vAlign w:val="bottom"/>
          </w:tcPr>
          <w:p>
            <w:pPr>
              <w:ind w:left="40"/>
              <w:spacing w:after="0"/>
              <w:rPr>
                <w:sz w:val="20"/>
                <w:szCs w:val="20"/>
                <w:color w:val="auto"/>
              </w:rPr>
            </w:pPr>
            <w:r>
              <w:rPr>
                <w:rFonts w:ascii="Arial" w:cs="Arial" w:eastAsia="Arial" w:hAnsi="Arial"/>
                <w:sz w:val="16"/>
                <w:szCs w:val="16"/>
                <w:color w:val="auto"/>
              </w:rPr>
              <w:t>Xylem, Inc.</w:t>
            </w:r>
          </w:p>
        </w:tc>
      </w:tr>
      <w:tr>
        <w:trPr>
          <w:trHeight w:val="95"/>
        </w:trPr>
        <w:tc>
          <w:tcPr>
            <w:tcW w:w="2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5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940" w:type="dxa"/>
            <w:vAlign w:val="bottom"/>
            <w:tcBorders>
              <w:bottom w:val="single" w:sz="8" w:color="808080"/>
            </w:tcBorders>
          </w:tcPr>
          <w:p>
            <w:pPr>
              <w:spacing w:after="0"/>
              <w:rPr>
                <w:sz w:val="8"/>
                <w:szCs w:val="8"/>
                <w:color w:val="auto"/>
              </w:rPr>
            </w:pPr>
          </w:p>
        </w:tc>
      </w:tr>
      <w:tr>
        <w:trPr>
          <w:trHeight w:val="300"/>
        </w:trPr>
        <w:tc>
          <w:tcPr>
            <w:tcW w:w="2200" w:type="dxa"/>
            <w:vAlign w:val="bottom"/>
          </w:tcPr>
          <w:p>
            <w:pPr>
              <w:ind w:left="20"/>
              <w:spacing w:after="0"/>
              <w:rPr>
                <w:sz w:val="20"/>
                <w:szCs w:val="20"/>
                <w:color w:val="auto"/>
              </w:rPr>
            </w:pPr>
            <w:r>
              <w:rPr>
                <w:rFonts w:ascii="Arial" w:cs="Arial" w:eastAsia="Arial" w:hAnsi="Arial"/>
                <w:sz w:val="16"/>
                <w:szCs w:val="16"/>
                <w:color w:val="auto"/>
              </w:rPr>
              <w:t>Eaton Corporation</w:t>
            </w:r>
          </w:p>
        </w:tc>
        <w:tc>
          <w:tcPr>
            <w:tcW w:w="700" w:type="dxa"/>
            <w:vAlign w:val="bottom"/>
          </w:tcPr>
          <w:p>
            <w:pPr>
              <w:ind w:left="6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540" w:type="dxa"/>
            <w:vAlign w:val="bottom"/>
          </w:tcPr>
          <w:p>
            <w:pPr>
              <w:ind w:left="40"/>
              <w:spacing w:after="0"/>
              <w:rPr>
                <w:sz w:val="20"/>
                <w:szCs w:val="20"/>
                <w:color w:val="auto"/>
              </w:rPr>
            </w:pPr>
            <w:r>
              <w:rPr>
                <w:rFonts w:ascii="Arial" w:cs="Arial" w:eastAsia="Arial" w:hAnsi="Arial"/>
                <w:sz w:val="16"/>
                <w:szCs w:val="16"/>
                <w:color w:val="auto"/>
              </w:rPr>
              <w:t>Rockwell Automation, Inc.</w:t>
            </w:r>
          </w:p>
        </w:tc>
        <w:tc>
          <w:tcPr>
            <w:tcW w:w="44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940" w:type="dxa"/>
            <w:vAlign w:val="bottom"/>
          </w:tcPr>
          <w:p>
            <w:pPr>
              <w:spacing w:after="0"/>
              <w:rPr>
                <w:sz w:val="24"/>
                <w:szCs w:val="24"/>
                <w:color w:val="auto"/>
              </w:rPr>
            </w:pPr>
          </w:p>
        </w:tc>
      </w:tr>
      <w:tr>
        <w:trPr>
          <w:trHeight w:val="95"/>
        </w:trPr>
        <w:tc>
          <w:tcPr>
            <w:tcW w:w="2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5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940" w:type="dxa"/>
            <w:vAlign w:val="bottom"/>
            <w:tcBorders>
              <w:bottom w:val="single" w:sz="8" w:color="808080"/>
            </w:tcBorders>
          </w:tcPr>
          <w:p>
            <w:pPr>
              <w:spacing w:after="0"/>
              <w:rPr>
                <w:sz w:val="8"/>
                <w:szCs w:val="8"/>
                <w:color w:val="auto"/>
              </w:rPr>
            </w:pPr>
          </w:p>
        </w:tc>
      </w:tr>
      <w:tr>
        <w:trPr>
          <w:trHeight w:val="300"/>
        </w:trPr>
        <w:tc>
          <w:tcPr>
            <w:tcW w:w="2200" w:type="dxa"/>
            <w:vAlign w:val="bottom"/>
          </w:tcPr>
          <w:p>
            <w:pPr>
              <w:ind w:left="20"/>
              <w:spacing w:after="0"/>
              <w:rPr>
                <w:sz w:val="20"/>
                <w:szCs w:val="20"/>
                <w:color w:val="auto"/>
              </w:rPr>
            </w:pPr>
            <w:r>
              <w:rPr>
                <w:rFonts w:ascii="Arial" w:cs="Arial" w:eastAsia="Arial" w:hAnsi="Arial"/>
                <w:sz w:val="16"/>
                <w:szCs w:val="16"/>
                <w:color w:val="auto"/>
              </w:rPr>
              <w:t>Emerson Electric Co.</w:t>
            </w:r>
          </w:p>
        </w:tc>
        <w:tc>
          <w:tcPr>
            <w:tcW w:w="700" w:type="dxa"/>
            <w:vAlign w:val="bottom"/>
          </w:tcPr>
          <w:p>
            <w:pPr>
              <w:ind w:left="6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540" w:type="dxa"/>
            <w:vAlign w:val="bottom"/>
          </w:tcPr>
          <w:p>
            <w:pPr>
              <w:ind w:left="40"/>
              <w:spacing w:after="0"/>
              <w:rPr>
                <w:sz w:val="20"/>
                <w:szCs w:val="20"/>
                <w:color w:val="auto"/>
              </w:rPr>
            </w:pPr>
            <w:r>
              <w:rPr>
                <w:rFonts w:ascii="Arial" w:cs="Arial" w:eastAsia="Arial" w:hAnsi="Arial"/>
                <w:sz w:val="16"/>
                <w:szCs w:val="16"/>
                <w:color w:val="auto"/>
              </w:rPr>
              <w:t>Stanley Black &amp; Decker, Inc.</w:t>
            </w:r>
          </w:p>
        </w:tc>
        <w:tc>
          <w:tcPr>
            <w:tcW w:w="44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940" w:type="dxa"/>
            <w:vAlign w:val="bottom"/>
          </w:tcPr>
          <w:p>
            <w:pPr>
              <w:spacing w:after="0"/>
              <w:rPr>
                <w:sz w:val="24"/>
                <w:szCs w:val="24"/>
                <w:color w:val="auto"/>
              </w:rPr>
            </w:pPr>
          </w:p>
        </w:tc>
      </w:tr>
      <w:tr>
        <w:trPr>
          <w:trHeight w:val="95"/>
        </w:trPr>
        <w:tc>
          <w:tcPr>
            <w:tcW w:w="2200" w:type="dxa"/>
            <w:vAlign w:val="bottom"/>
            <w:tcBorders>
              <w:bottom w:val="single" w:sz="8" w:color="0C426A"/>
            </w:tcBorders>
          </w:tcPr>
          <w:p>
            <w:pPr>
              <w:spacing w:after="0"/>
              <w:rPr>
                <w:sz w:val="8"/>
                <w:szCs w:val="8"/>
                <w:color w:val="auto"/>
              </w:rPr>
            </w:pPr>
          </w:p>
        </w:tc>
        <w:tc>
          <w:tcPr>
            <w:tcW w:w="700" w:type="dxa"/>
            <w:vAlign w:val="bottom"/>
            <w:tcBorders>
              <w:bottom w:val="single" w:sz="8" w:color="0C426A"/>
            </w:tcBorders>
          </w:tcPr>
          <w:p>
            <w:pPr>
              <w:spacing w:after="0"/>
              <w:rPr>
                <w:sz w:val="8"/>
                <w:szCs w:val="8"/>
                <w:color w:val="auto"/>
              </w:rPr>
            </w:pPr>
          </w:p>
        </w:tc>
        <w:tc>
          <w:tcPr>
            <w:tcW w:w="80" w:type="dxa"/>
            <w:vAlign w:val="bottom"/>
            <w:tcBorders>
              <w:bottom w:val="single" w:sz="8" w:color="0C426A"/>
            </w:tcBorders>
          </w:tcPr>
          <w:p>
            <w:pPr>
              <w:spacing w:after="0"/>
              <w:rPr>
                <w:sz w:val="8"/>
                <w:szCs w:val="8"/>
                <w:color w:val="auto"/>
              </w:rPr>
            </w:pPr>
          </w:p>
        </w:tc>
        <w:tc>
          <w:tcPr>
            <w:tcW w:w="2540" w:type="dxa"/>
            <w:vAlign w:val="bottom"/>
            <w:tcBorders>
              <w:bottom w:val="single" w:sz="8" w:color="0C426A"/>
            </w:tcBorders>
          </w:tcPr>
          <w:p>
            <w:pPr>
              <w:spacing w:after="0"/>
              <w:rPr>
                <w:sz w:val="8"/>
                <w:szCs w:val="8"/>
                <w:color w:val="auto"/>
              </w:rPr>
            </w:pPr>
          </w:p>
        </w:tc>
        <w:tc>
          <w:tcPr>
            <w:tcW w:w="440" w:type="dxa"/>
            <w:vAlign w:val="bottom"/>
            <w:tcBorders>
              <w:bottom w:val="single" w:sz="8" w:color="0C426A"/>
            </w:tcBorders>
          </w:tcPr>
          <w:p>
            <w:pPr>
              <w:spacing w:after="0"/>
              <w:rPr>
                <w:sz w:val="8"/>
                <w:szCs w:val="8"/>
                <w:color w:val="auto"/>
              </w:rPr>
            </w:pPr>
          </w:p>
        </w:tc>
        <w:tc>
          <w:tcPr>
            <w:tcW w:w="80" w:type="dxa"/>
            <w:vAlign w:val="bottom"/>
            <w:tcBorders>
              <w:bottom w:val="single" w:sz="8" w:color="0C426A"/>
            </w:tcBorders>
          </w:tcPr>
          <w:p>
            <w:pPr>
              <w:spacing w:after="0"/>
              <w:rPr>
                <w:sz w:val="8"/>
                <w:szCs w:val="8"/>
                <w:color w:val="auto"/>
              </w:rPr>
            </w:pPr>
          </w:p>
        </w:tc>
        <w:tc>
          <w:tcPr>
            <w:tcW w:w="2940" w:type="dxa"/>
            <w:vAlign w:val="bottom"/>
            <w:tcBorders>
              <w:bottom w:val="single" w:sz="8" w:color="0C426A"/>
            </w:tcBorders>
          </w:tcPr>
          <w:p>
            <w:pPr>
              <w:spacing w:after="0"/>
              <w:rPr>
                <w:sz w:val="8"/>
                <w:szCs w:val="8"/>
                <w:color w:val="auto"/>
              </w:rPr>
            </w:pPr>
          </w:p>
        </w:tc>
      </w:tr>
    </w:tbl>
    <w:p>
      <w:pPr>
        <w:spacing w:after="0" w:line="361" w:lineRule="exact"/>
        <w:rPr>
          <w:sz w:val="20"/>
          <w:szCs w:val="20"/>
          <w:color w:val="auto"/>
        </w:rPr>
      </w:pPr>
    </w:p>
    <w:p>
      <w:pPr>
        <w:ind w:left="960" w:right="1100"/>
        <w:spacing w:after="0" w:line="257" w:lineRule="auto"/>
        <w:rPr>
          <w:sz w:val="20"/>
          <w:szCs w:val="20"/>
          <w:color w:val="auto"/>
        </w:rPr>
      </w:pPr>
      <w:r>
        <w:rPr>
          <w:rFonts w:ascii="Arial" w:cs="Arial" w:eastAsia="Arial" w:hAnsi="Arial"/>
          <w:sz w:val="16"/>
          <w:szCs w:val="16"/>
          <w:color w:val="auto"/>
        </w:rPr>
        <w:t>Note that for the 2023-2025 performance units that were granted to the NEOs as part of the 2023 long-term incentive compensation awards, the Company utilized the XLI index and not its peer group (for previous cycles) for purposes of the relative total stockholder return portion of that award. See the Long-term Incentive Compensation section below for additional detail.</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23"/>
          <w:szCs w:val="23"/>
          <w:color w:val="0C426A"/>
        </w:rPr>
        <w:t>Wabtec Peer Comparison</w:t>
      </w:r>
    </w:p>
    <w:p>
      <w:pPr>
        <w:spacing w:after="0" w:line="181" w:lineRule="exact"/>
        <w:rPr>
          <w:sz w:val="20"/>
          <w:szCs w:val="20"/>
          <w:color w:val="auto"/>
        </w:rPr>
      </w:pPr>
    </w:p>
    <w:p>
      <w:pPr>
        <w:ind w:left="960" w:right="1060"/>
        <w:spacing w:after="0" w:line="254" w:lineRule="auto"/>
        <w:rPr>
          <w:sz w:val="20"/>
          <w:szCs w:val="20"/>
          <w:color w:val="auto"/>
        </w:rPr>
      </w:pPr>
      <w:r>
        <w:rPr>
          <w:rFonts w:ascii="Arial" w:cs="Arial" w:eastAsia="Arial" w:hAnsi="Arial"/>
          <w:sz w:val="16"/>
          <w:szCs w:val="16"/>
          <w:color w:val="auto"/>
        </w:rPr>
        <w:t>The table below summarizes key scoping factors for the Company in relation to companies comprising the Peer Group. At the time the Compensation Committee reviewed comparative pay data in early December 2022, median trailing twelve month (“TTM”) revenues as of November 30, 2022 for this array of companies was $11.9 billion and median market capitalization as of November 30, 2022 was $21.9 billion, as compared to TTM revenues and market capitalization for Wabtec of $8.1 billion and $18.4 billion, respectively.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Revenue</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(TTM as</w:t>
            </w: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of</w:t>
            </w:r>
            <w:r>
              <w:rPr>
                <w:rFonts w:ascii="Times New Roman" w:cs="Times New Roman" w:eastAsia="Times New Roman" w:hAnsi="Times New Roman"/>
                <w:sz w:val="7"/>
                <w:szCs w:val="7"/>
                <w:color w:val="auto"/>
                <w:vertAlign w:val="subscript"/>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Revenue</w:t>
            </w:r>
            <w:r>
              <w:rPr>
                <w:rFonts w:ascii="Times New Roman" w:cs="Times New Roman" w:eastAsia="Times New Roman" w:hAnsi="Times New Roman"/>
                <w:sz w:val="7"/>
                <w:szCs w:val="7"/>
                <w:color w:val="auto"/>
                <w:vertAlign w:val="subscript"/>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Revenue</w:t>
            </w:r>
            <w:r>
              <w:rPr>
                <w:rFonts w:ascii="Times New Roman" w:cs="Times New Roman" w:eastAsia="Times New Roman" w:hAnsi="Times New Roman"/>
                <w:sz w:val="7"/>
                <w:szCs w:val="7"/>
                <w:color w:val="auto"/>
                <w:vertAlign w:val="subscript"/>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Market</w:t>
            </w:r>
            <w:r>
              <w:rPr>
                <w:rFonts w:ascii="Times New Roman" w:cs="Times New Roman" w:eastAsia="Times New Roman" w:hAnsi="Times New Roman"/>
                <w:sz w:val="7"/>
                <w:szCs w:val="7"/>
                <w:color w:val="auto"/>
                <w:vertAlign w:val="subscript"/>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Market</w:t>
            </w:r>
            <w:r>
              <w:rPr>
                <w:rFonts w:ascii="Times New Roman" w:cs="Times New Roman" w:eastAsia="Times New Roman" w:hAnsi="Times New Roman"/>
                <w:sz w:val="7"/>
                <w:szCs w:val="7"/>
                <w:color w:val="auto"/>
                <w:vertAlign w:val="subscript"/>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Market</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9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line="151" w:lineRule="exact"/>
              <w:rPr>
                <w:sz w:val="20"/>
                <w:szCs w:val="20"/>
                <w:color w:val="auto"/>
              </w:rPr>
            </w:pPr>
            <w:r>
              <w:rPr>
                <w:rFonts w:ascii="Arial" w:cs="Arial" w:eastAsia="Arial" w:hAnsi="Arial"/>
                <w:sz w:val="14"/>
                <w:szCs w:val="14"/>
                <w:b w:val="1"/>
                <w:bCs w:val="1"/>
                <w:color w:val="auto"/>
              </w:rPr>
              <w:t>11/30/22,</w:t>
            </w:r>
          </w:p>
        </w:tc>
        <w:tc>
          <w:tcPr>
            <w:tcW w:w="260" w:type="dxa"/>
            <w:vAlign w:val="bottom"/>
          </w:tcPr>
          <w:p>
            <w:pPr>
              <w:spacing w:after="0"/>
              <w:rPr>
                <w:sz w:val="13"/>
                <w:szCs w:val="13"/>
                <w:color w:val="auto"/>
              </w:rPr>
            </w:pPr>
          </w:p>
        </w:tc>
        <w:tc>
          <w:tcPr>
            <w:tcW w:w="720" w:type="dxa"/>
            <w:vAlign w:val="bottom"/>
          </w:tcPr>
          <w:p>
            <w:pPr>
              <w:jc w:val="right"/>
              <w:ind w:right="9"/>
              <w:spacing w:after="0" w:line="151" w:lineRule="exact"/>
              <w:rPr>
                <w:sz w:val="20"/>
                <w:szCs w:val="20"/>
                <w:color w:val="auto"/>
              </w:rPr>
            </w:pPr>
            <w:r>
              <w:rPr>
                <w:rFonts w:ascii="Arial" w:cs="Arial" w:eastAsia="Arial" w:hAnsi="Arial"/>
                <w:sz w:val="14"/>
                <w:szCs w:val="14"/>
                <w:b w:val="1"/>
                <w:bCs w:val="1"/>
                <w:color w:val="auto"/>
              </w:rPr>
              <w:t>(FY 2022,</w:t>
            </w:r>
          </w:p>
        </w:tc>
        <w:tc>
          <w:tcPr>
            <w:tcW w:w="16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b w:val="1"/>
                <w:bCs w:val="1"/>
                <w:color w:val="auto"/>
              </w:rPr>
              <w:t>(FY 2023,</w:t>
            </w:r>
          </w:p>
        </w:tc>
        <w:tc>
          <w:tcPr>
            <w:tcW w:w="160" w:type="dxa"/>
            <w:vAlign w:val="bottom"/>
          </w:tcPr>
          <w:p>
            <w:pPr>
              <w:spacing w:after="0"/>
              <w:rPr>
                <w:sz w:val="13"/>
                <w:szCs w:val="13"/>
                <w:color w:val="auto"/>
              </w:rPr>
            </w:pPr>
          </w:p>
        </w:tc>
        <w:tc>
          <w:tcPr>
            <w:tcW w:w="1140" w:type="dxa"/>
            <w:vAlign w:val="bottom"/>
          </w:tcPr>
          <w:p>
            <w:pPr>
              <w:jc w:val="right"/>
              <w:spacing w:after="0" w:line="151" w:lineRule="exact"/>
              <w:rPr>
                <w:sz w:val="20"/>
                <w:szCs w:val="20"/>
                <w:color w:val="auto"/>
              </w:rPr>
            </w:pPr>
            <w:r>
              <w:rPr>
                <w:rFonts w:ascii="Arial" w:cs="Arial" w:eastAsia="Arial" w:hAnsi="Arial"/>
                <w:sz w:val="14"/>
                <w:szCs w:val="14"/>
                <w:b w:val="1"/>
                <w:bCs w:val="1"/>
                <w:color w:val="auto"/>
              </w:rPr>
              <w:t>Capitalization</w:t>
            </w:r>
          </w:p>
        </w:tc>
        <w:tc>
          <w:tcPr>
            <w:tcW w:w="160" w:type="dxa"/>
            <w:vAlign w:val="bottom"/>
          </w:tcPr>
          <w:p>
            <w:pPr>
              <w:spacing w:after="0"/>
              <w:rPr>
                <w:sz w:val="13"/>
                <w:szCs w:val="13"/>
                <w:color w:val="auto"/>
              </w:rPr>
            </w:pPr>
          </w:p>
        </w:tc>
        <w:tc>
          <w:tcPr>
            <w:tcW w:w="1160" w:type="dxa"/>
            <w:vAlign w:val="bottom"/>
          </w:tcPr>
          <w:p>
            <w:pPr>
              <w:jc w:val="right"/>
              <w:spacing w:after="0" w:line="151" w:lineRule="exact"/>
              <w:rPr>
                <w:sz w:val="20"/>
                <w:szCs w:val="20"/>
                <w:color w:val="auto"/>
              </w:rPr>
            </w:pPr>
            <w:r>
              <w:rPr>
                <w:rFonts w:ascii="Arial" w:cs="Arial" w:eastAsia="Arial" w:hAnsi="Arial"/>
                <w:sz w:val="14"/>
                <w:szCs w:val="14"/>
                <w:b w:val="1"/>
                <w:bCs w:val="1"/>
                <w:color w:val="auto"/>
              </w:rPr>
              <w:t>Capitalization</w:t>
            </w:r>
          </w:p>
        </w:tc>
        <w:tc>
          <w:tcPr>
            <w:tcW w:w="160" w:type="dxa"/>
            <w:vAlign w:val="bottom"/>
          </w:tcPr>
          <w:p>
            <w:pPr>
              <w:spacing w:after="0"/>
              <w:rPr>
                <w:sz w:val="13"/>
                <w:szCs w:val="13"/>
                <w:color w:val="auto"/>
              </w:rPr>
            </w:pPr>
          </w:p>
        </w:tc>
        <w:tc>
          <w:tcPr>
            <w:tcW w:w="1100" w:type="dxa"/>
            <w:vAlign w:val="bottom"/>
          </w:tcPr>
          <w:p>
            <w:pPr>
              <w:jc w:val="right"/>
              <w:spacing w:after="0" w:line="151" w:lineRule="exact"/>
              <w:rPr>
                <w:sz w:val="20"/>
                <w:szCs w:val="20"/>
                <w:color w:val="auto"/>
              </w:rPr>
            </w:pPr>
            <w:r>
              <w:rPr>
                <w:rFonts w:ascii="Arial" w:cs="Arial" w:eastAsia="Arial" w:hAnsi="Arial"/>
                <w:sz w:val="14"/>
                <w:szCs w:val="14"/>
                <w:b w:val="1"/>
                <w:bCs w:val="1"/>
                <w:color w:val="auto"/>
              </w:rPr>
              <w:t>Capitalization</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9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260" w:type="dxa"/>
            <w:vAlign w:val="bottom"/>
          </w:tcPr>
          <w:p>
            <w:pPr>
              <w:spacing w:after="0"/>
              <w:rPr>
                <w:sz w:val="13"/>
                <w:szCs w:val="13"/>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b w:val="1"/>
                <w:bCs w:val="1"/>
                <w:color w:val="auto"/>
              </w:rPr>
              <w:t>in</w:t>
            </w: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(as of 11/30/22,</w:t>
            </w: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(as of 12/31/22,</w:t>
            </w: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(as of 12/31/23,</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9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millions)</w:t>
            </w:r>
          </w:p>
        </w:tc>
        <w:tc>
          <w:tcPr>
            <w:tcW w:w="26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b w:val="1"/>
                <w:bCs w:val="1"/>
                <w:color w:val="auto"/>
              </w:rPr>
              <w:t>millions)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millions)</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980" w:type="dxa"/>
            <w:vAlign w:val="bottom"/>
          </w:tcPr>
          <w:p>
            <w:pPr>
              <w:spacing w:after="0"/>
              <w:rPr>
                <w:sz w:val="7"/>
                <w:szCs w:val="7"/>
                <w:color w:val="auto"/>
              </w:rPr>
            </w:pPr>
          </w:p>
        </w:tc>
        <w:tc>
          <w:tcPr>
            <w:tcW w:w="1300" w:type="dxa"/>
            <w:vAlign w:val="bottom"/>
            <w:tcBorders>
              <w:bottom w:val="single" w:sz="8" w:color="0C426A"/>
            </w:tcBorders>
          </w:tcPr>
          <w:p>
            <w:pPr>
              <w:spacing w:after="0"/>
              <w:rPr>
                <w:sz w:val="7"/>
                <w:szCs w:val="7"/>
                <w:color w:val="auto"/>
              </w:rPr>
            </w:pPr>
          </w:p>
        </w:tc>
        <w:tc>
          <w:tcPr>
            <w:tcW w:w="280" w:type="dxa"/>
            <w:vAlign w:val="bottom"/>
            <w:tcBorders>
              <w:bottom w:val="single" w:sz="8" w:color="0C426A"/>
            </w:tcBorders>
          </w:tcPr>
          <w:p>
            <w:pPr>
              <w:spacing w:after="0"/>
              <w:rPr>
                <w:sz w:val="7"/>
                <w:szCs w:val="7"/>
                <w:color w:val="auto"/>
              </w:rPr>
            </w:pPr>
          </w:p>
        </w:tc>
        <w:tc>
          <w:tcPr>
            <w:tcW w:w="220" w:type="dxa"/>
            <w:vAlign w:val="bottom"/>
            <w:tcBorders>
              <w:bottom w:val="single" w:sz="8" w:color="0C426A"/>
            </w:tcBorders>
          </w:tcPr>
          <w:p>
            <w:pPr>
              <w:spacing w:after="0"/>
              <w:rPr>
                <w:sz w:val="7"/>
                <w:szCs w:val="7"/>
                <w:color w:val="auto"/>
              </w:rPr>
            </w:pPr>
          </w:p>
        </w:tc>
        <w:tc>
          <w:tcPr>
            <w:tcW w:w="420" w:type="dxa"/>
            <w:vAlign w:val="bottom"/>
            <w:tcBorders>
              <w:bottom w:val="single" w:sz="8" w:color="0C426A"/>
            </w:tcBorders>
          </w:tcPr>
          <w:p>
            <w:pPr>
              <w:spacing w:after="0"/>
              <w:rPr>
                <w:sz w:val="7"/>
                <w:szCs w:val="7"/>
                <w:color w:val="auto"/>
              </w:rPr>
            </w:pPr>
          </w:p>
        </w:tc>
        <w:tc>
          <w:tcPr>
            <w:tcW w:w="180" w:type="dxa"/>
            <w:vAlign w:val="bottom"/>
            <w:tcBorders>
              <w:bottom w:val="single" w:sz="8" w:color="0C426A"/>
            </w:tcBorders>
          </w:tcPr>
          <w:p>
            <w:pPr>
              <w:spacing w:after="0"/>
              <w:rPr>
                <w:sz w:val="7"/>
                <w:szCs w:val="7"/>
                <w:color w:val="auto"/>
              </w:rPr>
            </w:pPr>
          </w:p>
        </w:tc>
        <w:tc>
          <w:tcPr>
            <w:tcW w:w="760" w:type="dxa"/>
            <w:vAlign w:val="bottom"/>
            <w:tcBorders>
              <w:bottom w:val="single" w:sz="8" w:color="0C426A"/>
            </w:tcBorders>
          </w:tcPr>
          <w:p>
            <w:pPr>
              <w:spacing w:after="0"/>
              <w:rPr>
                <w:sz w:val="7"/>
                <w:szCs w:val="7"/>
                <w:color w:val="auto"/>
              </w:rPr>
            </w:pPr>
          </w:p>
        </w:tc>
        <w:tc>
          <w:tcPr>
            <w:tcW w:w="260" w:type="dxa"/>
            <w:vAlign w:val="bottom"/>
            <w:tcBorders>
              <w:bottom w:val="single" w:sz="8" w:color="0C426A"/>
            </w:tcBorders>
          </w:tcPr>
          <w:p>
            <w:pPr>
              <w:spacing w:after="0"/>
              <w:rPr>
                <w:sz w:val="7"/>
                <w:szCs w:val="7"/>
                <w:color w:val="auto"/>
              </w:rPr>
            </w:pPr>
          </w:p>
        </w:tc>
        <w:tc>
          <w:tcPr>
            <w:tcW w:w="720" w:type="dxa"/>
            <w:vAlign w:val="bottom"/>
            <w:tcBorders>
              <w:bottom w:val="single" w:sz="8" w:color="0C426A"/>
            </w:tcBorders>
          </w:tcPr>
          <w:p>
            <w:pPr>
              <w:spacing w:after="0"/>
              <w:rPr>
                <w:sz w:val="7"/>
                <w:szCs w:val="7"/>
                <w:color w:val="auto"/>
              </w:rPr>
            </w:pPr>
          </w:p>
        </w:tc>
        <w:tc>
          <w:tcPr>
            <w:tcW w:w="160" w:type="dxa"/>
            <w:vAlign w:val="bottom"/>
            <w:tcBorders>
              <w:bottom w:val="single" w:sz="8" w:color="0C426A"/>
            </w:tcBorders>
          </w:tcPr>
          <w:p>
            <w:pPr>
              <w:spacing w:after="0"/>
              <w:rPr>
                <w:sz w:val="7"/>
                <w:szCs w:val="7"/>
                <w:color w:val="auto"/>
              </w:rPr>
            </w:pPr>
          </w:p>
        </w:tc>
        <w:tc>
          <w:tcPr>
            <w:tcW w:w="800" w:type="dxa"/>
            <w:vAlign w:val="bottom"/>
            <w:tcBorders>
              <w:bottom w:val="single" w:sz="8" w:color="0C426A"/>
            </w:tcBorders>
          </w:tcPr>
          <w:p>
            <w:pPr>
              <w:spacing w:after="0"/>
              <w:rPr>
                <w:sz w:val="7"/>
                <w:szCs w:val="7"/>
                <w:color w:val="auto"/>
              </w:rPr>
            </w:pPr>
          </w:p>
        </w:tc>
        <w:tc>
          <w:tcPr>
            <w:tcW w:w="160" w:type="dxa"/>
            <w:vAlign w:val="bottom"/>
            <w:tcBorders>
              <w:bottom w:val="single" w:sz="8" w:color="0C426A"/>
            </w:tcBorders>
          </w:tcPr>
          <w:p>
            <w:pPr>
              <w:spacing w:after="0"/>
              <w:rPr>
                <w:sz w:val="7"/>
                <w:szCs w:val="7"/>
                <w:color w:val="auto"/>
              </w:rPr>
            </w:pPr>
          </w:p>
        </w:tc>
        <w:tc>
          <w:tcPr>
            <w:tcW w:w="1140" w:type="dxa"/>
            <w:vAlign w:val="bottom"/>
            <w:tcBorders>
              <w:bottom w:val="single" w:sz="8" w:color="0C426A"/>
            </w:tcBorders>
          </w:tcPr>
          <w:p>
            <w:pPr>
              <w:spacing w:after="0"/>
              <w:rPr>
                <w:sz w:val="7"/>
                <w:szCs w:val="7"/>
                <w:color w:val="auto"/>
              </w:rPr>
            </w:pPr>
          </w:p>
        </w:tc>
        <w:tc>
          <w:tcPr>
            <w:tcW w:w="160" w:type="dxa"/>
            <w:vAlign w:val="bottom"/>
            <w:tcBorders>
              <w:bottom w:val="single" w:sz="8" w:color="0C426A"/>
            </w:tcBorders>
          </w:tcPr>
          <w:p>
            <w:pPr>
              <w:spacing w:after="0"/>
              <w:rPr>
                <w:sz w:val="7"/>
                <w:szCs w:val="7"/>
                <w:color w:val="auto"/>
              </w:rPr>
            </w:pPr>
          </w:p>
        </w:tc>
        <w:tc>
          <w:tcPr>
            <w:tcW w:w="1160" w:type="dxa"/>
            <w:vAlign w:val="bottom"/>
            <w:tcBorders>
              <w:bottom w:val="single" w:sz="8" w:color="0C426A"/>
            </w:tcBorders>
          </w:tcPr>
          <w:p>
            <w:pPr>
              <w:spacing w:after="0"/>
              <w:rPr>
                <w:sz w:val="7"/>
                <w:szCs w:val="7"/>
                <w:color w:val="auto"/>
              </w:rPr>
            </w:pPr>
          </w:p>
        </w:tc>
        <w:tc>
          <w:tcPr>
            <w:tcW w:w="160" w:type="dxa"/>
            <w:vAlign w:val="bottom"/>
            <w:tcBorders>
              <w:bottom w:val="single" w:sz="8" w:color="0C426A"/>
            </w:tcBorders>
          </w:tcPr>
          <w:p>
            <w:pPr>
              <w:spacing w:after="0"/>
              <w:rPr>
                <w:sz w:val="7"/>
                <w:szCs w:val="7"/>
                <w:color w:val="auto"/>
              </w:rPr>
            </w:pPr>
          </w:p>
        </w:tc>
        <w:tc>
          <w:tcPr>
            <w:tcW w:w="1100" w:type="dxa"/>
            <w:vAlign w:val="bottom"/>
            <w:tcBorders>
              <w:bottom w:val="single" w:sz="8" w:color="0C426A"/>
            </w:tcBorders>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0"/>
        </w:trPr>
        <w:tc>
          <w:tcPr>
            <w:tcW w:w="98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4"/>
                <w:szCs w:val="14"/>
                <w:color w:val="auto"/>
              </w:rPr>
              <w:t>Wabtec</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$ 8,129</w:t>
            </w:r>
            <w:r>
              <w:rPr>
                <w:rFonts w:ascii="Times New Roman" w:cs="Times New Roman" w:eastAsia="Times New Roman" w:hAnsi="Times New Roman"/>
                <w:sz w:val="3"/>
                <w:szCs w:val="3"/>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$ 8,362</w:t>
            </w:r>
            <w:r>
              <w:rPr>
                <w:rFonts w:ascii="Times New Roman" w:cs="Times New Roman" w:eastAsia="Times New Roman" w:hAnsi="Times New Roman"/>
                <w:sz w:val="3"/>
                <w:szCs w:val="3"/>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$ 9,677</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$18,385</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$18,152</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$22,735</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1580" w:type="dxa"/>
            <w:vAlign w:val="bottom"/>
            <w:tcBorders>
              <w:bottom w:val="single" w:sz="8" w:color="808080"/>
            </w:tcBorders>
            <w:gridSpan w:val="2"/>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98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Wabtec Percentile Rank</w:t>
            </w:r>
          </w:p>
        </w:tc>
        <w:tc>
          <w:tcPr>
            <w:tcW w:w="220" w:type="dxa"/>
            <w:vAlign w:val="bottom"/>
          </w:tcPr>
          <w:p>
            <w:pPr>
              <w:spacing w:after="0"/>
              <w:rPr>
                <w:sz w:val="20"/>
                <w:szCs w:val="20"/>
                <w:color w:val="auto"/>
              </w:rPr>
            </w:pPr>
          </w:p>
        </w:tc>
        <w:tc>
          <w:tcPr>
            <w:tcW w:w="420" w:type="dxa"/>
            <w:vAlign w:val="bottom"/>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42%</w:t>
            </w:r>
            <w:r>
              <w:rPr>
                <w:rFonts w:ascii="Times New Roman" w:cs="Times New Roman" w:eastAsia="Times New Roman" w:hAnsi="Times New Roman"/>
                <w:sz w:val="3"/>
                <w:szCs w:val="3"/>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41%</w:t>
            </w:r>
            <w:r>
              <w:rPr>
                <w:rFonts w:ascii="Times New Roman" w:cs="Times New Roman" w:eastAsia="Times New Roman" w:hAnsi="Times New Roman"/>
                <w:sz w:val="3"/>
                <w:szCs w:val="3"/>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44%</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37%</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38%</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1800" w:type="dxa"/>
            <w:vAlign w:val="bottom"/>
            <w:tcBorders>
              <w:bottom w:val="single" w:sz="8" w:color="808080"/>
            </w:tcBorders>
            <w:gridSpan w:val="3"/>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980" w:type="dxa"/>
            <w:vAlign w:val="bottom"/>
          </w:tcPr>
          <w:p>
            <w:pPr>
              <w:spacing w:after="0"/>
              <w:rPr>
                <w:sz w:val="20"/>
                <w:szCs w:val="20"/>
                <w:color w:val="auto"/>
              </w:rPr>
            </w:pPr>
          </w:p>
        </w:tc>
        <w:tc>
          <w:tcPr>
            <w:tcW w:w="1800" w:type="dxa"/>
            <w:vAlign w:val="bottom"/>
            <w:gridSpan w:val="3"/>
          </w:tcPr>
          <w:p>
            <w:pPr>
              <w:ind w:left="20"/>
              <w:spacing w:after="0"/>
              <w:rPr>
                <w:sz w:val="20"/>
                <w:szCs w:val="20"/>
                <w:color w:val="auto"/>
              </w:rPr>
            </w:pPr>
            <w:r>
              <w:rPr>
                <w:rFonts w:ascii="Arial" w:cs="Arial" w:eastAsia="Arial" w:hAnsi="Arial"/>
                <w:sz w:val="14"/>
                <w:szCs w:val="14"/>
                <w:color w:val="auto"/>
              </w:rPr>
              <w:t>Peer Group 75th Percentile</w:t>
            </w:r>
          </w:p>
        </w:tc>
        <w:tc>
          <w:tcPr>
            <w:tcW w:w="420" w:type="dxa"/>
            <w:vAlign w:val="bottom"/>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$14,177</w:t>
            </w:r>
            <w:r>
              <w:rPr>
                <w:rFonts w:ascii="Times New Roman" w:cs="Times New Roman" w:eastAsia="Times New Roman" w:hAnsi="Times New Roman"/>
                <w:sz w:val="3"/>
                <w:szCs w:val="3"/>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$14,329</w:t>
            </w:r>
            <w:r>
              <w:rPr>
                <w:rFonts w:ascii="Times New Roman" w:cs="Times New Roman" w:eastAsia="Times New Roman" w:hAnsi="Times New Roman"/>
                <w:sz w:val="3"/>
                <w:szCs w:val="3"/>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$14,911</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$47,512</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$47,088</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$55,791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980" w:type="dxa"/>
            <w:vAlign w:val="bottom"/>
          </w:tcPr>
          <w:p>
            <w:pPr>
              <w:spacing w:after="0"/>
              <w:rPr>
                <w:sz w:val="20"/>
                <w:szCs w:val="20"/>
                <w:color w:val="auto"/>
              </w:rPr>
            </w:pPr>
          </w:p>
        </w:tc>
        <w:tc>
          <w:tcPr>
            <w:tcW w:w="1300" w:type="dxa"/>
            <w:vAlign w:val="bottom"/>
          </w:tcPr>
          <w:p>
            <w:pPr>
              <w:ind w:left="20"/>
              <w:spacing w:after="0"/>
              <w:rPr>
                <w:sz w:val="20"/>
                <w:szCs w:val="20"/>
                <w:color w:val="auto"/>
              </w:rPr>
            </w:pPr>
            <w:r>
              <w:rPr>
                <w:rFonts w:ascii="Arial" w:cs="Arial" w:eastAsia="Arial" w:hAnsi="Arial"/>
                <w:sz w:val="14"/>
                <w:szCs w:val="14"/>
                <w:color w:val="auto"/>
              </w:rPr>
              <w:t>Peer Group Median</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$11,908</w:t>
            </w:r>
            <w:r>
              <w:rPr>
                <w:rFonts w:ascii="Times New Roman" w:cs="Times New Roman" w:eastAsia="Times New Roman" w:hAnsi="Times New Roman"/>
                <w:sz w:val="3"/>
                <w:szCs w:val="3"/>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$12,635</w:t>
            </w:r>
            <w:r>
              <w:rPr>
                <w:rFonts w:ascii="Times New Roman" w:cs="Times New Roman" w:eastAsia="Times New Roman" w:hAnsi="Times New Roman"/>
                <w:sz w:val="3"/>
                <w:szCs w:val="3"/>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$12,156</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$21,854</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$21,157</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$31,307</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1800" w:type="dxa"/>
            <w:vAlign w:val="bottom"/>
            <w:tcBorders>
              <w:bottom w:val="single" w:sz="8" w:color="808080"/>
            </w:tcBorders>
            <w:gridSpan w:val="3"/>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980" w:type="dxa"/>
            <w:vAlign w:val="bottom"/>
          </w:tcPr>
          <w:p>
            <w:pPr>
              <w:spacing w:after="0"/>
              <w:rPr>
                <w:sz w:val="20"/>
                <w:szCs w:val="20"/>
                <w:color w:val="auto"/>
              </w:rPr>
            </w:pPr>
          </w:p>
        </w:tc>
        <w:tc>
          <w:tcPr>
            <w:tcW w:w="1800" w:type="dxa"/>
            <w:vAlign w:val="bottom"/>
            <w:gridSpan w:val="3"/>
          </w:tcPr>
          <w:p>
            <w:pPr>
              <w:ind w:left="20"/>
              <w:spacing w:after="0"/>
              <w:rPr>
                <w:sz w:val="20"/>
                <w:szCs w:val="20"/>
                <w:color w:val="auto"/>
              </w:rPr>
            </w:pPr>
            <w:r>
              <w:rPr>
                <w:rFonts w:ascii="Arial" w:cs="Arial" w:eastAsia="Arial" w:hAnsi="Arial"/>
                <w:sz w:val="14"/>
                <w:szCs w:val="14"/>
                <w:color w:val="auto"/>
              </w:rPr>
              <w:t>Peer Group 25th Percentile</w:t>
            </w:r>
          </w:p>
        </w:tc>
        <w:tc>
          <w:tcPr>
            <w:tcW w:w="420" w:type="dxa"/>
            <w:vAlign w:val="bottom"/>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$ 5,870</w:t>
            </w:r>
            <w:r>
              <w:rPr>
                <w:rFonts w:ascii="Times New Roman" w:cs="Times New Roman" w:eastAsia="Times New Roman" w:hAnsi="Times New Roman"/>
                <w:sz w:val="3"/>
                <w:szCs w:val="3"/>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$ 6,033</w:t>
            </w:r>
            <w:r>
              <w:rPr>
                <w:rFonts w:ascii="Times New Roman" w:cs="Times New Roman" w:eastAsia="Times New Roman" w:hAnsi="Times New Roman"/>
                <w:sz w:val="3"/>
                <w:szCs w:val="3"/>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$ 7,120</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$11,022</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$10,730</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$12,066</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1"/>
        </w:trPr>
        <w:tc>
          <w:tcPr>
            <w:tcW w:w="2280" w:type="dxa"/>
            <w:vAlign w:val="bottom"/>
            <w:gridSpan w:val="2"/>
          </w:tcPr>
          <w:p>
            <w:pPr>
              <w:jc w:val="right"/>
              <w:ind w:right="1089"/>
              <w:spacing w:after="0"/>
              <w:rPr>
                <w:sz w:val="20"/>
                <w:szCs w:val="20"/>
                <w:color w:val="auto"/>
              </w:rPr>
            </w:pPr>
            <w:r>
              <w:rPr>
                <w:rFonts w:ascii="Arial" w:cs="Arial" w:eastAsia="Arial" w:hAnsi="Arial"/>
                <w:sz w:val="14"/>
                <w:szCs w:val="14"/>
                <w:b w:val="1"/>
                <w:bCs w:val="1"/>
                <w:color w:val="auto"/>
              </w:rPr>
              <w:t>48</w:t>
            </w:r>
          </w:p>
        </w:tc>
        <w:tc>
          <w:tcPr>
            <w:tcW w:w="280" w:type="dxa"/>
            <w:vAlign w:val="bottom"/>
            <w:vMerge w:val="restart"/>
          </w:tcPr>
          <w:p>
            <w:pPr>
              <w:ind w:left="60"/>
              <w:spacing w:after="0"/>
              <w:rPr>
                <w:sz w:val="20"/>
                <w:szCs w:val="20"/>
                <w:color w:val="auto"/>
              </w:rPr>
            </w:pPr>
            <w:r>
              <w:rPr>
                <w:rFonts w:ascii="Arial" w:cs="Arial" w:eastAsia="Arial" w:hAnsi="Arial"/>
                <w:sz w:val="14"/>
                <w:szCs w:val="14"/>
                <w:color w:val="auto"/>
              </w:rPr>
              <w:t xml:space="preserve">    </w:t>
            </w:r>
          </w:p>
        </w:tc>
        <w:tc>
          <w:tcPr>
            <w:tcW w:w="220" w:type="dxa"/>
            <w:vAlign w:val="bottom"/>
            <w:vMerge w:val="restart"/>
          </w:tcPr>
          <w:p>
            <w:pPr>
              <w:ind w:left="60"/>
              <w:spacing w:after="0"/>
              <w:rPr>
                <w:sz w:val="20"/>
                <w:szCs w:val="20"/>
                <w:color w:val="auto"/>
              </w:rPr>
            </w:pPr>
            <w:r>
              <w:rPr>
                <w:rFonts w:ascii="Arial" w:cs="Arial" w:eastAsia="Arial" w:hAnsi="Arial"/>
                <w:sz w:val="25"/>
                <w:szCs w:val="25"/>
                <w:color w:val="636466"/>
              </w:rPr>
              <w:t>/</w:t>
            </w:r>
            <w:r>
              <w:rPr>
                <w:rFonts w:ascii="Arial" w:cs="Arial" w:eastAsia="Arial" w:hAnsi="Arial"/>
                <w:sz w:val="14"/>
                <w:szCs w:val="14"/>
                <w:color w:val="000000"/>
              </w:rPr>
              <w:t xml:space="preserve"> </w:t>
            </w:r>
          </w:p>
        </w:tc>
        <w:tc>
          <w:tcPr>
            <w:tcW w:w="1620" w:type="dxa"/>
            <w:vAlign w:val="bottom"/>
            <w:gridSpan w:val="4"/>
            <w:vMerge w:val="restart"/>
          </w:tcPr>
          <w:p>
            <w:pPr>
              <w:ind w:left="60"/>
              <w:spacing w:after="0"/>
              <w:rPr>
                <w:sz w:val="20"/>
                <w:szCs w:val="20"/>
                <w:color w:val="auto"/>
              </w:rPr>
            </w:pPr>
            <w:r>
              <w:rPr>
                <w:rFonts w:ascii="Arial" w:cs="Arial" w:eastAsia="Arial" w:hAnsi="Arial"/>
                <w:sz w:val="28"/>
                <w:szCs w:val="28"/>
                <w:color w:val="auto"/>
                <w:vertAlign w:val="subscript"/>
              </w:rPr>
              <w:t xml:space="preserve"> </w:t>
            </w:r>
            <w:r>
              <w:rPr>
                <w:rFonts w:ascii="Arial" w:cs="Arial" w:eastAsia="Arial" w:hAnsi="Arial"/>
                <w:sz w:val="14"/>
                <w:szCs w:val="14"/>
                <w:color w:val="auto"/>
              </w:rPr>
              <w:t xml:space="preserve">  2024 Proxy Statement</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620" w:type="dxa"/>
            <w:vAlign w:val="bottom"/>
            <w:gridSpan w:val="4"/>
            <w:vMerge w:val="continue"/>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9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-407670</wp:posOffset>
            </wp:positionV>
            <wp:extent cx="501650" cy="1701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51" w:name="page52"/>
    <w:bookmarkEnd w:id="51"/>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7780"/>
        <w:spacing w:after="0"/>
        <w:rPr>
          <w:sz w:val="20"/>
          <w:szCs w:val="20"/>
          <w:color w:val="auto"/>
        </w:rPr>
      </w:pPr>
      <w:r>
        <w:rPr>
          <w:rFonts w:ascii="Arial" w:cs="Arial" w:eastAsia="Arial" w:hAnsi="Arial"/>
          <w:sz w:val="12"/>
          <w:szCs w:val="12"/>
          <w:color w:val="auto"/>
        </w:rPr>
        <w:t>Compensation Discussion and Analysis</w:t>
      </w:r>
    </w:p>
    <w:p>
      <w:pPr>
        <w:spacing w:after="0" w:line="107" w:lineRule="exact"/>
        <w:rPr>
          <w:sz w:val="20"/>
          <w:szCs w:val="20"/>
          <w:color w:val="auto"/>
        </w:rPr>
      </w:pPr>
    </w:p>
    <w:p>
      <w:pPr>
        <w:ind w:left="960" w:right="1040"/>
        <w:spacing w:after="0" w:line="252" w:lineRule="auto"/>
        <w:rPr>
          <w:sz w:val="20"/>
          <w:szCs w:val="20"/>
          <w:color w:val="auto"/>
        </w:rPr>
      </w:pPr>
      <w:r>
        <w:rPr>
          <w:rFonts w:ascii="Arial" w:cs="Arial" w:eastAsia="Arial" w:hAnsi="Arial"/>
          <w:sz w:val="16"/>
          <w:szCs w:val="16"/>
          <w:color w:val="auto"/>
        </w:rPr>
        <w:t>During the fourth quarter of 2023, the Compensation Committee, with the assistance of its independent consultant, reviewed and amended the Peer Group. The Compensation Committee removed BorgWarner, Inc. and Terex Corporation. The Compensation Committee added Jacobs Solutions, Inc. and Snap-on Incorporated. Changes to the Peer Group were made to better align with the criteria above and were primarily driven by industry alignment and financial comparability considerations. Compensation data from this revised peer group will be considered for the purpose of setting 2024 target total executive compensation opportunities.</w:t>
      </w:r>
    </w:p>
    <w:p>
      <w:pPr>
        <w:spacing w:after="0" w:line="376" w:lineRule="exact"/>
        <w:rPr>
          <w:sz w:val="20"/>
          <w:szCs w:val="20"/>
          <w:color w:val="auto"/>
        </w:rPr>
      </w:pPr>
    </w:p>
    <w:p>
      <w:pPr>
        <w:ind w:left="960"/>
        <w:spacing w:after="0"/>
        <w:rPr>
          <w:sz w:val="20"/>
          <w:szCs w:val="20"/>
          <w:color w:val="auto"/>
        </w:rPr>
      </w:pPr>
      <w:r>
        <w:rPr>
          <w:rFonts w:ascii="Arial" w:cs="Arial" w:eastAsia="Arial" w:hAnsi="Arial"/>
          <w:sz w:val="29"/>
          <w:szCs w:val="29"/>
          <w:color w:val="636466"/>
        </w:rPr>
        <w:t>2023 NEO Compensation</w:t>
      </w:r>
    </w:p>
    <w:p>
      <w:pPr>
        <w:spacing w:after="0" w:line="180" w:lineRule="exact"/>
        <w:rPr>
          <w:sz w:val="20"/>
          <w:szCs w:val="20"/>
          <w:color w:val="auto"/>
        </w:rPr>
      </w:pPr>
    </w:p>
    <w:p>
      <w:pPr>
        <w:ind w:left="960" w:right="1080"/>
        <w:spacing w:after="0" w:line="257" w:lineRule="auto"/>
        <w:rPr>
          <w:sz w:val="20"/>
          <w:szCs w:val="20"/>
          <w:color w:val="auto"/>
        </w:rPr>
      </w:pPr>
      <w:r>
        <w:rPr>
          <w:rFonts w:ascii="Arial" w:cs="Arial" w:eastAsia="Arial" w:hAnsi="Arial"/>
          <w:sz w:val="16"/>
          <w:szCs w:val="16"/>
          <w:color w:val="auto"/>
        </w:rPr>
        <w:t>Our 2023 compensation program elements were primarily structured to reward our executive officers for achieving certain financial and business objectives. Wabtec’s philosophy is to position the aggregate of the compensation elements within a reasonable range of the median of that paid to executives in Wabtec’s peer group with similar responsibilities assuming target performance. Actual compensation earned will vary above or below target based on performance.</w:t>
      </w:r>
    </w:p>
    <w:p>
      <w:pPr>
        <w:spacing w:after="0" w:line="122" w:lineRule="exact"/>
        <w:rPr>
          <w:sz w:val="20"/>
          <w:szCs w:val="20"/>
          <w:color w:val="auto"/>
        </w:rPr>
      </w:pPr>
    </w:p>
    <w:p>
      <w:pPr>
        <w:ind w:left="960" w:right="1100"/>
        <w:spacing w:after="0" w:line="257" w:lineRule="auto"/>
        <w:rPr>
          <w:sz w:val="20"/>
          <w:szCs w:val="20"/>
          <w:color w:val="auto"/>
        </w:rPr>
      </w:pPr>
      <w:r>
        <w:rPr>
          <w:rFonts w:ascii="Arial" w:cs="Arial" w:eastAsia="Arial" w:hAnsi="Arial"/>
          <w:sz w:val="16"/>
          <w:szCs w:val="16"/>
          <w:color w:val="auto"/>
        </w:rPr>
        <w:t>The principal elements of our executive compensation program are base salary, annual cash incentives, and long-term equity incentives in the form of awards of restricted stock and performance units. Stock options were granted in prior years, but are no longer part of the long-term incentive design. Our other benefits and perquisites consist of life and health insurance benefits, social and health club dues, and a qualified 401(k) savings plan (including company matching contributions).</w:t>
      </w:r>
    </w:p>
    <w:p>
      <w:pPr>
        <w:spacing w:after="0" w:line="346" w:lineRule="exact"/>
        <w:rPr>
          <w:sz w:val="20"/>
          <w:szCs w:val="20"/>
          <w:color w:val="auto"/>
        </w:rPr>
      </w:pPr>
    </w:p>
    <w:p>
      <w:pPr>
        <w:ind w:left="960"/>
        <w:spacing w:after="0"/>
        <w:rPr>
          <w:sz w:val="20"/>
          <w:szCs w:val="20"/>
          <w:color w:val="auto"/>
        </w:rPr>
      </w:pPr>
      <w:r>
        <w:rPr>
          <w:rFonts w:ascii="Arial" w:cs="Arial" w:eastAsia="Arial" w:hAnsi="Arial"/>
          <w:sz w:val="23"/>
          <w:szCs w:val="23"/>
          <w:color w:val="0C426A"/>
        </w:rPr>
        <w:t>Base Salary</w:t>
      </w:r>
    </w:p>
    <w:p>
      <w:pPr>
        <w:spacing w:after="0" w:line="181" w:lineRule="exact"/>
        <w:rPr>
          <w:sz w:val="20"/>
          <w:szCs w:val="20"/>
          <w:color w:val="auto"/>
        </w:rPr>
      </w:pPr>
    </w:p>
    <w:p>
      <w:pPr>
        <w:ind w:left="960" w:right="980"/>
        <w:spacing w:after="0" w:line="250" w:lineRule="auto"/>
        <w:rPr>
          <w:sz w:val="20"/>
          <w:szCs w:val="20"/>
          <w:color w:val="auto"/>
        </w:rPr>
      </w:pPr>
      <w:r>
        <w:rPr>
          <w:rFonts w:ascii="Arial" w:cs="Arial" w:eastAsia="Arial" w:hAnsi="Arial"/>
          <w:sz w:val="16"/>
          <w:szCs w:val="16"/>
          <w:color w:val="auto"/>
        </w:rPr>
        <w:t>Base salaries for our executive officers are reviewed annually and reflect the executive’s role and responsibility relative to the competitive market. In defining the competitive market, the Company uses two different benchmarks, compensation information representing our Peer Group and broader benchmark compensation data based on a survey of companies that are similarly sized in terms of revenue. Individual salaries may be above or below the competitive median based on the individual’s contribution to business results, length of time in role, capabilities and qualifications, potential and the importance of the individual’s position to our success. The Compensation Committee is dedicated to ensuring competitive compensation for each of Wabtec’s key employees and believes that current base salaries are in line with comparable industry practices. The base salaries and merit increases of our named executive officers for 2023 were as follows:</w:t>
      </w:r>
    </w:p>
    <w:p>
      <w:pPr>
        <w:spacing w:after="0" w:line="127"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spacing w:after="0"/>
              <w:rPr>
                <w:sz w:val="14"/>
                <w:szCs w:val="14"/>
                <w:color w:val="auto"/>
              </w:rPr>
            </w:pPr>
          </w:p>
        </w:tc>
        <w:tc>
          <w:tcPr>
            <w:tcW w:w="680" w:type="dxa"/>
            <w:vAlign w:val="bottom"/>
          </w:tcPr>
          <w:p>
            <w:pPr>
              <w:jc w:val="right"/>
              <w:ind w:right="61"/>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tcPr>
          <w:p>
            <w:pPr>
              <w:ind w:left="120"/>
              <w:spacing w:after="0"/>
              <w:rPr>
                <w:sz w:val="20"/>
                <w:szCs w:val="20"/>
                <w:color w:val="auto"/>
              </w:rPr>
            </w:pPr>
            <w:r>
              <w:rPr>
                <w:rFonts w:ascii="Times New Roman" w:cs="Times New Roman" w:eastAsia="Times New Roman" w:hAnsi="Times New Roman"/>
                <w:sz w:val="7"/>
                <w:szCs w:val="7"/>
                <w:color w:val="auto"/>
                <w:w w:val="80"/>
                <w:vertAlign w:val="subscript"/>
              </w:rPr>
              <w:t>​</w:t>
            </w:r>
            <w:r>
              <w:rPr>
                <w:rFonts w:ascii="Arial" w:cs="Arial" w:eastAsia="Arial" w:hAnsi="Arial"/>
                <w:sz w:val="14"/>
                <w:szCs w:val="14"/>
                <w:b w:val="1"/>
                <w:bCs w:val="1"/>
                <w:color w:val="auto"/>
                <w:w w:val="80"/>
              </w:rPr>
              <w:t xml:space="preserve">              Base salary</w:t>
            </w:r>
          </w:p>
        </w:tc>
        <w:tc>
          <w:tcPr>
            <w:tcW w:w="0" w:type="dxa"/>
            <w:vAlign w:val="bottom"/>
          </w:tcPr>
          <w:p>
            <w:pPr>
              <w:spacing w:after="0"/>
              <w:rPr>
                <w:sz w:val="1"/>
                <w:szCs w:val="1"/>
                <w:color w:val="auto"/>
              </w:rPr>
            </w:pPr>
          </w:p>
        </w:tc>
      </w:tr>
      <w:tr>
        <w:trPr>
          <w:trHeight w:val="295"/>
        </w:trPr>
        <w:tc>
          <w:tcPr>
            <w:tcW w:w="3940" w:type="dxa"/>
            <w:vAlign w:val="bottom"/>
            <w:tcBorders>
              <w:bottom w:val="single" w:sz="8" w:color="0C426A"/>
            </w:tcBorders>
          </w:tcPr>
          <w:p>
            <w:pPr>
              <w:ind w:left="20"/>
              <w:spacing w:after="0"/>
              <w:rPr>
                <w:sz w:val="20"/>
                <w:szCs w:val="20"/>
                <w:color w:val="auto"/>
              </w:rPr>
            </w:pPr>
            <w:r>
              <w:rPr>
                <w:rFonts w:ascii="Arial" w:cs="Arial" w:eastAsia="Arial" w:hAnsi="Arial"/>
                <w:sz w:val="14"/>
                <w:szCs w:val="14"/>
                <w:b w:val="1"/>
                <w:bCs w:val="1"/>
                <w:color w:val="auto"/>
              </w:rPr>
              <w:t>Name and Position</w:t>
            </w:r>
          </w:p>
        </w:tc>
        <w:tc>
          <w:tcPr>
            <w:tcW w:w="380" w:type="dxa"/>
            <w:vAlign w:val="bottom"/>
            <w:tcBorders>
              <w:bottom w:val="single" w:sz="8" w:color="0C426A"/>
            </w:tcBorders>
          </w:tcPr>
          <w:p>
            <w:pPr>
              <w:spacing w:after="0"/>
              <w:rPr>
                <w:sz w:val="24"/>
                <w:szCs w:val="24"/>
                <w:color w:val="auto"/>
              </w:rPr>
            </w:pPr>
          </w:p>
        </w:tc>
        <w:tc>
          <w:tcPr>
            <w:tcW w:w="260" w:type="dxa"/>
            <w:vAlign w:val="bottom"/>
            <w:tcBorders>
              <w:bottom w:val="single" w:sz="8" w:color="0C426A"/>
            </w:tcBorders>
          </w:tcPr>
          <w:p>
            <w:pPr>
              <w:spacing w:after="0"/>
              <w:rPr>
                <w:sz w:val="24"/>
                <w:szCs w:val="24"/>
                <w:color w:val="auto"/>
              </w:rPr>
            </w:pPr>
          </w:p>
        </w:tc>
        <w:tc>
          <w:tcPr>
            <w:tcW w:w="1400" w:type="dxa"/>
            <w:vAlign w:val="bottom"/>
            <w:tcBorders>
              <w:bottom w:val="single" w:sz="8" w:color="0C426A"/>
            </w:tcBorders>
            <w:gridSpan w:val="2"/>
          </w:tcPr>
          <w:p>
            <w:pPr>
              <w:jc w:val="right"/>
              <w:ind w:right="81"/>
              <w:spacing w:after="0"/>
              <w:rPr>
                <w:sz w:val="20"/>
                <w:szCs w:val="20"/>
                <w:color w:val="auto"/>
              </w:rPr>
            </w:pPr>
            <w:r>
              <w:rPr>
                <w:rFonts w:ascii="Arial" w:cs="Arial" w:eastAsia="Arial" w:hAnsi="Arial"/>
                <w:sz w:val="14"/>
                <w:szCs w:val="14"/>
                <w:b w:val="1"/>
                <w:bCs w:val="1"/>
                <w:color w:val="auto"/>
              </w:rPr>
              <w:t>2022 Base Salary</w:t>
            </w:r>
          </w:p>
        </w:tc>
        <w:tc>
          <w:tcPr>
            <w:tcW w:w="1680" w:type="dxa"/>
            <w:vAlign w:val="bottom"/>
            <w:tcBorders>
              <w:bottom w:val="single" w:sz="8" w:color="0C426A"/>
            </w:tcBorders>
            <w:gridSpan w:val="2"/>
          </w:tcPr>
          <w:p>
            <w:pPr>
              <w:ind w:left="360"/>
              <w:spacing w:after="0"/>
              <w:rPr>
                <w:sz w:val="20"/>
                <w:szCs w:val="20"/>
                <w:color w:val="auto"/>
              </w:rPr>
            </w:pPr>
            <w:r>
              <w:rPr>
                <w:rFonts w:ascii="Arial" w:cs="Arial" w:eastAsia="Arial" w:hAnsi="Arial"/>
                <w:sz w:val="14"/>
                <w:szCs w:val="14"/>
                <w:b w:val="1"/>
                <w:bCs w:val="1"/>
                <w:color w:val="auto"/>
                <w:w w:val="97"/>
              </w:rPr>
              <w:t>2023 Base Salary</w:t>
            </w:r>
            <w:r>
              <w:rPr>
                <w:rFonts w:ascii="Arial" w:cs="Arial" w:eastAsia="Arial" w:hAnsi="Arial"/>
                <w:sz w:val="23"/>
                <w:szCs w:val="23"/>
                <w:b w:val="1"/>
                <w:bCs w:val="1"/>
                <w:color w:val="auto"/>
                <w:w w:val="97"/>
                <w:vertAlign w:val="superscript"/>
              </w:rPr>
              <w:t>(1)</w:t>
            </w:r>
          </w:p>
        </w:tc>
        <w:tc>
          <w:tcPr>
            <w:tcW w:w="120" w:type="dxa"/>
            <w:vAlign w:val="bottom"/>
            <w:tcBorders>
              <w:bottom w:val="single" w:sz="8" w:color="0C426A"/>
            </w:tcBorders>
          </w:tcPr>
          <w:p>
            <w:pPr>
              <w:spacing w:after="0"/>
              <w:rPr>
                <w:sz w:val="24"/>
                <w:szCs w:val="24"/>
                <w:color w:val="auto"/>
              </w:rPr>
            </w:pPr>
          </w:p>
        </w:tc>
        <w:tc>
          <w:tcPr>
            <w:tcW w:w="1200" w:type="dxa"/>
            <w:vAlign w:val="bottom"/>
            <w:tcBorders>
              <w:bottom w:val="single" w:sz="8" w:color="0C426A"/>
            </w:tcBorders>
          </w:tcPr>
          <w:p>
            <w:pPr>
              <w:ind w:left="460"/>
              <w:spacing w:after="0"/>
              <w:rPr>
                <w:sz w:val="20"/>
                <w:szCs w:val="20"/>
                <w:color w:val="auto"/>
              </w:rPr>
            </w:pPr>
            <w:r>
              <w:rPr>
                <w:rFonts w:ascii="Arial" w:cs="Arial" w:eastAsia="Arial" w:hAnsi="Arial"/>
                <w:sz w:val="14"/>
                <w:szCs w:val="14"/>
                <w:b w:val="1"/>
                <w:bCs w:val="1"/>
                <w:color w:val="auto"/>
                <w:w w:val="98"/>
              </w:rPr>
              <w:t>changes %</w:t>
            </w:r>
          </w:p>
        </w:tc>
        <w:tc>
          <w:tcPr>
            <w:tcW w:w="0" w:type="dxa"/>
            <w:vAlign w:val="bottom"/>
          </w:tcPr>
          <w:p>
            <w:pPr>
              <w:spacing w:after="0"/>
              <w:rPr>
                <w:sz w:val="1"/>
                <w:szCs w:val="1"/>
                <w:color w:val="auto"/>
              </w:rPr>
            </w:pPr>
          </w:p>
        </w:tc>
      </w:tr>
      <w:tr>
        <w:trPr>
          <w:trHeight w:val="261"/>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Rafael Santana</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spacing w:after="0"/>
              <w:rPr>
                <w:sz w:val="22"/>
                <w:szCs w:val="22"/>
                <w:color w:val="auto"/>
              </w:rPr>
            </w:pPr>
          </w:p>
        </w:tc>
        <w:tc>
          <w:tcPr>
            <w:tcW w:w="680" w:type="dxa"/>
            <w:vAlign w:val="bottom"/>
          </w:tcPr>
          <w:p>
            <w:pPr>
              <w:jc w:val="right"/>
              <w:ind w:right="61"/>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Pr>
          <w:p>
            <w:pPr>
              <w:spacing w:after="0"/>
              <w:rPr>
                <w:sz w:val="22"/>
                <w:szCs w:val="2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89"/>
        </w:trPr>
        <w:tc>
          <w:tcPr>
            <w:tcW w:w="3940" w:type="dxa"/>
            <w:vAlign w:val="bottom"/>
          </w:tcPr>
          <w:p>
            <w:pPr>
              <w:ind w:left="20"/>
              <w:spacing w:after="0"/>
              <w:rPr>
                <w:sz w:val="20"/>
                <w:szCs w:val="20"/>
                <w:color w:val="auto"/>
              </w:rPr>
            </w:pPr>
            <w:r>
              <w:rPr>
                <w:rFonts w:ascii="Arial" w:cs="Arial" w:eastAsia="Arial" w:hAnsi="Arial"/>
                <w:sz w:val="14"/>
                <w:szCs w:val="14"/>
                <w:color w:val="auto"/>
              </w:rPr>
              <w:t>President and Chief Executive Officer</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right"/>
              <w:ind w:right="81"/>
              <w:spacing w:after="0"/>
              <w:rPr>
                <w:sz w:val="20"/>
                <w:szCs w:val="20"/>
                <w:color w:val="auto"/>
              </w:rPr>
            </w:pPr>
            <w:r>
              <w:rPr>
                <w:rFonts w:ascii="Arial" w:cs="Arial" w:eastAsia="Arial" w:hAnsi="Arial"/>
                <w:sz w:val="14"/>
                <w:szCs w:val="14"/>
                <w:color w:val="auto"/>
              </w:rPr>
              <w:t>$1,242,308</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$1,325,000</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38"/>
        </w:trPr>
        <w:tc>
          <w:tcPr>
            <w:tcW w:w="394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12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John Olin</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1"/>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765,000​</w:t>
            </w: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89"/>
        </w:trPr>
        <w:tc>
          <w:tcPr>
            <w:tcW w:w="3940" w:type="dxa"/>
            <w:vAlign w:val="bottom"/>
          </w:tcPr>
          <w:p>
            <w:pPr>
              <w:ind w:left="20"/>
              <w:spacing w:after="0"/>
              <w:rPr>
                <w:sz w:val="20"/>
                <w:szCs w:val="20"/>
                <w:color w:val="auto"/>
              </w:rPr>
            </w:pPr>
            <w:r>
              <w:rPr>
                <w:rFonts w:ascii="Arial" w:cs="Arial" w:eastAsia="Arial" w:hAnsi="Arial"/>
                <w:sz w:val="14"/>
                <w:szCs w:val="14"/>
                <w:color w:val="auto"/>
              </w:rPr>
              <w:t>Executive Vice President and Chief Financial Officer</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80" w:type="dxa"/>
            <w:vAlign w:val="bottom"/>
          </w:tcPr>
          <w:p>
            <w:pPr>
              <w:jc w:val="right"/>
              <w:ind w:right="81"/>
              <w:spacing w:after="0"/>
              <w:rPr>
                <w:sz w:val="20"/>
                <w:szCs w:val="20"/>
                <w:color w:val="auto"/>
              </w:rPr>
            </w:pPr>
            <w:r>
              <w:rPr>
                <w:rFonts w:ascii="Arial" w:cs="Arial" w:eastAsia="Arial" w:hAnsi="Arial"/>
                <w:sz w:val="14"/>
                <w:szCs w:val="14"/>
                <w:color w:val="auto"/>
              </w:rPr>
              <w:t>750,000​</w:t>
            </w:r>
          </w:p>
        </w:tc>
        <w:tc>
          <w:tcPr>
            <w:tcW w:w="1080" w:type="dxa"/>
            <w:vAlign w:val="bottom"/>
          </w:tcPr>
          <w:p>
            <w:pPr>
              <w:ind w:left="980"/>
              <w:spacing w:after="0"/>
              <w:rPr>
                <w:sz w:val="20"/>
                <w:szCs w:val="20"/>
                <w:color w:val="auto"/>
              </w:rPr>
            </w:pPr>
            <w:r>
              <w:rPr>
                <w:rFonts w:ascii="Arial" w:cs="Arial" w:eastAsia="Arial" w:hAnsi="Arial"/>
                <w:sz w:val="14"/>
                <w:szCs w:val="14"/>
                <w:color w:val="auto"/>
              </w:rPr>
              <w:t>$</w:t>
            </w: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38"/>
        </w:trPr>
        <w:tc>
          <w:tcPr>
            <w:tcW w:w="394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12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David L. Deninno</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1"/>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650,000​</w:t>
            </w: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89"/>
        </w:trPr>
        <w:tc>
          <w:tcPr>
            <w:tcW w:w="3940" w:type="dxa"/>
            <w:vAlign w:val="bottom"/>
          </w:tcPr>
          <w:p>
            <w:pPr>
              <w:ind w:left="20"/>
              <w:spacing w:after="0"/>
              <w:rPr>
                <w:sz w:val="20"/>
                <w:szCs w:val="20"/>
                <w:color w:val="auto"/>
              </w:rPr>
            </w:pPr>
            <w:r>
              <w:rPr>
                <w:rFonts w:ascii="Arial" w:cs="Arial" w:eastAsia="Arial" w:hAnsi="Arial"/>
                <w:sz w:val="14"/>
                <w:szCs w:val="14"/>
                <w:color w:val="auto"/>
              </w:rPr>
              <w:t>Executive Vice President, General Counsel and Secretary</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80" w:type="dxa"/>
            <w:vAlign w:val="bottom"/>
          </w:tcPr>
          <w:p>
            <w:pPr>
              <w:jc w:val="right"/>
              <w:ind w:right="81"/>
              <w:spacing w:after="0"/>
              <w:rPr>
                <w:sz w:val="20"/>
                <w:szCs w:val="20"/>
                <w:color w:val="auto"/>
              </w:rPr>
            </w:pPr>
            <w:r>
              <w:rPr>
                <w:rFonts w:ascii="Arial" w:cs="Arial" w:eastAsia="Arial" w:hAnsi="Arial"/>
                <w:sz w:val="14"/>
                <w:szCs w:val="14"/>
                <w:color w:val="auto"/>
              </w:rPr>
              <w:t>637,692​</w:t>
            </w:r>
          </w:p>
        </w:tc>
        <w:tc>
          <w:tcPr>
            <w:tcW w:w="1080" w:type="dxa"/>
            <w:vAlign w:val="bottom"/>
          </w:tcPr>
          <w:p>
            <w:pPr>
              <w:ind w:left="980"/>
              <w:spacing w:after="0"/>
              <w:rPr>
                <w:sz w:val="20"/>
                <w:szCs w:val="20"/>
                <w:color w:val="auto"/>
              </w:rPr>
            </w:pPr>
            <w:r>
              <w:rPr>
                <w:rFonts w:ascii="Arial" w:cs="Arial" w:eastAsia="Arial" w:hAnsi="Arial"/>
                <w:sz w:val="14"/>
                <w:szCs w:val="14"/>
                <w:color w:val="auto"/>
              </w:rPr>
              <w:t>$</w:t>
            </w: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38"/>
        </w:trPr>
        <w:tc>
          <w:tcPr>
            <w:tcW w:w="394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12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Pascal Schweitzer</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spacing w:after="0"/>
              <w:rPr>
                <w:sz w:val="18"/>
                <w:szCs w:val="18"/>
                <w:color w:val="auto"/>
              </w:rPr>
            </w:pPr>
          </w:p>
        </w:tc>
        <w:tc>
          <w:tcPr>
            <w:tcW w:w="680" w:type="dxa"/>
            <w:vAlign w:val="bottom"/>
          </w:tcPr>
          <w:p>
            <w:pPr>
              <w:jc w:val="right"/>
              <w:ind w:right="61"/>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w w:val="98"/>
              </w:rPr>
              <w:t>614,525</w:t>
            </w:r>
            <w:r>
              <w:rPr>
                <w:rFonts w:ascii="Arial" w:cs="Arial" w:eastAsia="Arial" w:hAnsi="Arial"/>
                <w:sz w:val="23"/>
                <w:szCs w:val="23"/>
                <w:color w:val="auto"/>
                <w:w w:val="98"/>
                <w:vertAlign w:val="superscript"/>
              </w:rPr>
              <w:t>2</w:t>
            </w: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37"/>
        </w:trPr>
        <w:tc>
          <w:tcPr>
            <w:tcW w:w="3940" w:type="dxa"/>
            <w:vAlign w:val="bottom"/>
            <w:tcBorders>
              <w:bottom w:val="single" w:sz="8" w:color="808080"/>
            </w:tcBorders>
          </w:tcPr>
          <w:p>
            <w:pPr>
              <w:ind w:left="20"/>
              <w:spacing w:after="0"/>
              <w:rPr>
                <w:sz w:val="20"/>
                <w:szCs w:val="20"/>
                <w:color w:val="auto"/>
              </w:rPr>
            </w:pPr>
            <w:r>
              <w:rPr>
                <w:rFonts w:ascii="Arial" w:cs="Arial" w:eastAsia="Arial" w:hAnsi="Arial"/>
                <w:sz w:val="14"/>
                <w:szCs w:val="14"/>
                <w:color w:val="auto"/>
              </w:rPr>
              <w:t>President, Transit</w:t>
            </w:r>
          </w:p>
        </w:tc>
        <w:tc>
          <w:tcPr>
            <w:tcW w:w="380" w:type="dxa"/>
            <w:vAlign w:val="bottom"/>
            <w:tcBorders>
              <w:bottom w:val="single" w:sz="8" w:color="808080"/>
            </w:tcBorders>
          </w:tcPr>
          <w:p>
            <w:pPr>
              <w:spacing w:after="0"/>
              <w:rPr>
                <w:sz w:val="20"/>
                <w:szCs w:val="20"/>
                <w:color w:val="auto"/>
              </w:rPr>
            </w:pPr>
          </w:p>
        </w:tc>
        <w:tc>
          <w:tcPr>
            <w:tcW w:w="260" w:type="dxa"/>
            <w:vAlign w:val="bottom"/>
            <w:tcBorders>
              <w:bottom w:val="single" w:sz="8" w:color="808080"/>
            </w:tcBorders>
          </w:tcPr>
          <w:p>
            <w:pPr>
              <w:spacing w:after="0"/>
              <w:rPr>
                <w:sz w:val="20"/>
                <w:szCs w:val="20"/>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808080"/>
            </w:tcBorders>
          </w:tcPr>
          <w:p>
            <w:pPr>
              <w:jc w:val="right"/>
              <w:ind w:right="81"/>
              <w:spacing w:after="0"/>
              <w:rPr>
                <w:sz w:val="20"/>
                <w:szCs w:val="20"/>
                <w:color w:val="auto"/>
              </w:rPr>
            </w:pPr>
            <w:r>
              <w:rPr>
                <w:rFonts w:ascii="Arial" w:cs="Arial" w:eastAsia="Arial" w:hAnsi="Arial"/>
                <w:sz w:val="14"/>
                <w:szCs w:val="14"/>
                <w:color w:val="auto"/>
              </w:rPr>
              <w:t>537,692</w:t>
            </w:r>
          </w:p>
        </w:tc>
        <w:tc>
          <w:tcPr>
            <w:tcW w:w="1080" w:type="dxa"/>
            <w:vAlign w:val="bottom"/>
            <w:tcBorders>
              <w:bottom w:val="single" w:sz="8" w:color="808080"/>
            </w:tcBorders>
          </w:tcPr>
          <w:p>
            <w:pPr>
              <w:ind w:left="9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08080"/>
            </w:tcBorders>
            <w:vMerge w:val="continue"/>
          </w:tcPr>
          <w:p>
            <w:pPr>
              <w:spacing w:after="0"/>
              <w:rPr>
                <w:sz w:val="20"/>
                <w:szCs w:val="20"/>
                <w:color w:val="auto"/>
              </w:rPr>
            </w:pPr>
          </w:p>
        </w:tc>
        <w:tc>
          <w:tcPr>
            <w:tcW w:w="120" w:type="dxa"/>
            <w:vAlign w:val="bottom"/>
            <w:tcBorders>
              <w:bottom w:val="single" w:sz="8" w:color="808080"/>
            </w:tcBorders>
          </w:tcPr>
          <w:p>
            <w:pPr>
              <w:spacing w:after="0"/>
              <w:rPr>
                <w:sz w:val="20"/>
                <w:szCs w:val="20"/>
                <w:color w:val="auto"/>
              </w:rPr>
            </w:pPr>
          </w:p>
        </w:tc>
        <w:tc>
          <w:tcPr>
            <w:tcW w:w="120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21"/>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Eric Gebhardt</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1"/>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625,000​</w:t>
            </w: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89"/>
        </w:trPr>
        <w:tc>
          <w:tcPr>
            <w:tcW w:w="3940" w:type="dxa"/>
            <w:vAlign w:val="bottom"/>
          </w:tcPr>
          <w:p>
            <w:pPr>
              <w:ind w:left="20"/>
              <w:spacing w:after="0"/>
              <w:rPr>
                <w:sz w:val="20"/>
                <w:szCs w:val="20"/>
                <w:color w:val="auto"/>
              </w:rPr>
            </w:pPr>
            <w:r>
              <w:rPr>
                <w:rFonts w:ascii="Arial" w:cs="Arial" w:eastAsia="Arial" w:hAnsi="Arial"/>
                <w:sz w:val="14"/>
                <w:szCs w:val="14"/>
                <w:color w:val="auto"/>
              </w:rPr>
              <w:t>Executive Vice President and Chief Technology Officer</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80" w:type="dxa"/>
            <w:vAlign w:val="bottom"/>
          </w:tcPr>
          <w:p>
            <w:pPr>
              <w:jc w:val="right"/>
              <w:ind w:right="81"/>
              <w:spacing w:after="0"/>
              <w:rPr>
                <w:sz w:val="20"/>
                <w:szCs w:val="20"/>
                <w:color w:val="auto"/>
              </w:rPr>
            </w:pPr>
            <w:r>
              <w:rPr>
                <w:rFonts w:ascii="Arial" w:cs="Arial" w:eastAsia="Arial" w:hAnsi="Arial"/>
                <w:sz w:val="14"/>
                <w:szCs w:val="14"/>
                <w:color w:val="auto"/>
              </w:rPr>
              <w:t>612,692​</w:t>
            </w:r>
          </w:p>
        </w:tc>
        <w:tc>
          <w:tcPr>
            <w:tcW w:w="1080" w:type="dxa"/>
            <w:vAlign w:val="bottom"/>
          </w:tcPr>
          <w:p>
            <w:pPr>
              <w:ind w:left="980"/>
              <w:spacing w:after="0"/>
              <w:rPr>
                <w:sz w:val="20"/>
                <w:szCs w:val="20"/>
                <w:color w:val="auto"/>
              </w:rPr>
            </w:pPr>
            <w:r>
              <w:rPr>
                <w:rFonts w:ascii="Arial" w:cs="Arial" w:eastAsia="Arial" w:hAnsi="Arial"/>
                <w:sz w:val="14"/>
                <w:szCs w:val="14"/>
                <w:color w:val="auto"/>
              </w:rPr>
              <w:t>$</w:t>
            </w: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38"/>
        </w:trPr>
        <w:tc>
          <w:tcPr>
            <w:tcW w:w="3940" w:type="dxa"/>
            <w:vAlign w:val="bottom"/>
            <w:tcBorders>
              <w:bottom w:val="single" w:sz="8" w:color="0C426A"/>
            </w:tcBorders>
          </w:tcPr>
          <w:p>
            <w:pPr>
              <w:spacing w:after="0"/>
              <w:rPr>
                <w:sz w:val="3"/>
                <w:szCs w:val="3"/>
                <w:color w:val="auto"/>
              </w:rPr>
            </w:pPr>
          </w:p>
        </w:tc>
        <w:tc>
          <w:tcPr>
            <w:tcW w:w="380" w:type="dxa"/>
            <w:vAlign w:val="bottom"/>
            <w:tcBorders>
              <w:bottom w:val="single" w:sz="8" w:color="0C426A"/>
            </w:tcBorders>
          </w:tcPr>
          <w:p>
            <w:pPr>
              <w:spacing w:after="0"/>
              <w:rPr>
                <w:sz w:val="3"/>
                <w:szCs w:val="3"/>
                <w:color w:val="auto"/>
              </w:rPr>
            </w:pPr>
          </w:p>
        </w:tc>
        <w:tc>
          <w:tcPr>
            <w:tcW w:w="260" w:type="dxa"/>
            <w:vAlign w:val="bottom"/>
            <w:tcBorders>
              <w:bottom w:val="single" w:sz="8" w:color="0C426A"/>
            </w:tcBorders>
          </w:tcPr>
          <w:p>
            <w:pPr>
              <w:spacing w:after="0"/>
              <w:rPr>
                <w:sz w:val="3"/>
                <w:szCs w:val="3"/>
                <w:color w:val="auto"/>
              </w:rPr>
            </w:pPr>
          </w:p>
        </w:tc>
        <w:tc>
          <w:tcPr>
            <w:tcW w:w="720" w:type="dxa"/>
            <w:vAlign w:val="bottom"/>
            <w:tcBorders>
              <w:bottom w:val="single" w:sz="8" w:color="0C426A"/>
            </w:tcBorders>
          </w:tcPr>
          <w:p>
            <w:pPr>
              <w:spacing w:after="0"/>
              <w:rPr>
                <w:sz w:val="3"/>
                <w:szCs w:val="3"/>
                <w:color w:val="auto"/>
              </w:rPr>
            </w:pPr>
          </w:p>
        </w:tc>
        <w:tc>
          <w:tcPr>
            <w:tcW w:w="680" w:type="dxa"/>
            <w:vAlign w:val="bottom"/>
            <w:tcBorders>
              <w:bottom w:val="single" w:sz="8" w:color="0C426A"/>
            </w:tcBorders>
          </w:tcPr>
          <w:p>
            <w:pPr>
              <w:spacing w:after="0"/>
              <w:rPr>
                <w:sz w:val="3"/>
                <w:szCs w:val="3"/>
                <w:color w:val="auto"/>
              </w:rPr>
            </w:pPr>
          </w:p>
        </w:tc>
        <w:tc>
          <w:tcPr>
            <w:tcW w:w="1080" w:type="dxa"/>
            <w:vAlign w:val="bottom"/>
            <w:tcBorders>
              <w:bottom w:val="single" w:sz="8" w:color="0C426A"/>
            </w:tcBorders>
          </w:tcPr>
          <w:p>
            <w:pPr>
              <w:spacing w:after="0"/>
              <w:rPr>
                <w:sz w:val="3"/>
                <w:szCs w:val="3"/>
                <w:color w:val="auto"/>
              </w:rPr>
            </w:pPr>
          </w:p>
        </w:tc>
        <w:tc>
          <w:tcPr>
            <w:tcW w:w="600" w:type="dxa"/>
            <w:vAlign w:val="bottom"/>
            <w:tcBorders>
              <w:bottom w:val="single" w:sz="8" w:color="0C426A"/>
            </w:tcBorders>
          </w:tcPr>
          <w:p>
            <w:pPr>
              <w:spacing w:after="0"/>
              <w:rPr>
                <w:sz w:val="3"/>
                <w:szCs w:val="3"/>
                <w:color w:val="auto"/>
              </w:rPr>
            </w:pPr>
          </w:p>
        </w:tc>
        <w:tc>
          <w:tcPr>
            <w:tcW w:w="120" w:type="dxa"/>
            <w:vAlign w:val="bottom"/>
            <w:tcBorders>
              <w:bottom w:val="single" w:sz="8" w:color="0C426A"/>
            </w:tcBorders>
          </w:tcPr>
          <w:p>
            <w:pPr>
              <w:spacing w:after="0"/>
              <w:rPr>
                <w:sz w:val="3"/>
                <w:szCs w:val="3"/>
                <w:color w:val="auto"/>
              </w:rPr>
            </w:pPr>
          </w:p>
        </w:tc>
        <w:tc>
          <w:tcPr>
            <w:tcW w:w="1200" w:type="dxa"/>
            <w:vAlign w:val="bottom"/>
            <w:tcBorders>
              <w:bottom w:val="single" w:sz="8" w:color="0C426A"/>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1140" w:right="1060" w:hanging="175"/>
        <w:spacing w:after="0" w:line="217" w:lineRule="auto"/>
        <w:tabs>
          <w:tab w:leader="none" w:pos="1140" w:val="left"/>
        </w:tabs>
        <w:numPr>
          <w:ilvl w:val="0"/>
          <w:numId w:val="34"/>
        </w:numPr>
        <w:rPr>
          <w:rFonts w:ascii="Arial" w:cs="Arial" w:eastAsia="Arial" w:hAnsi="Arial"/>
          <w:sz w:val="21"/>
          <w:szCs w:val="21"/>
          <w:color w:val="auto"/>
          <w:vertAlign w:val="superscript"/>
        </w:rPr>
      </w:pPr>
      <w:r>
        <w:rPr>
          <w:rFonts w:ascii="Arial" w:cs="Arial" w:eastAsia="Arial" w:hAnsi="Arial"/>
          <w:sz w:val="14"/>
          <w:szCs w:val="14"/>
          <w:color w:val="auto"/>
        </w:rPr>
        <w:t>Base salaries are reviewed annually for all of Wabtec’s named executive officers. Increases to base salary are awarded at the beginning of the pay period following review in February by the Compensation Committee. Base salary increases are awarded upon analysis of market data and the executive’s individual performance. Any increases are effective as of February 20, 2023.</w:t>
      </w:r>
    </w:p>
    <w:p>
      <w:pPr>
        <w:spacing w:after="0" w:line="26" w:lineRule="exact"/>
        <w:rPr>
          <w:rFonts w:ascii="Arial" w:cs="Arial" w:eastAsia="Arial" w:hAnsi="Arial"/>
          <w:sz w:val="21"/>
          <w:szCs w:val="21"/>
          <w:color w:val="auto"/>
          <w:vertAlign w:val="superscript"/>
        </w:rPr>
      </w:pPr>
    </w:p>
    <w:p>
      <w:pPr>
        <w:ind w:left="1140" w:right="980" w:hanging="175"/>
        <w:spacing w:after="0" w:line="222" w:lineRule="auto"/>
        <w:tabs>
          <w:tab w:leader="none" w:pos="1140" w:val="left"/>
        </w:tabs>
        <w:numPr>
          <w:ilvl w:val="0"/>
          <w:numId w:val="34"/>
        </w:numPr>
        <w:rPr>
          <w:rFonts w:ascii="Arial" w:cs="Arial" w:eastAsia="Arial" w:hAnsi="Arial"/>
          <w:sz w:val="21"/>
          <w:szCs w:val="21"/>
          <w:color w:val="auto"/>
          <w:vertAlign w:val="superscript"/>
        </w:rPr>
      </w:pPr>
      <w:r>
        <w:rPr>
          <w:rFonts w:ascii="Arial" w:cs="Arial" w:eastAsia="Arial" w:hAnsi="Arial"/>
          <w:sz w:val="14"/>
          <w:szCs w:val="14"/>
          <w:color w:val="auto"/>
        </w:rPr>
        <w:t>Mr. Schweitzer started 2023 in the United States on a U.S. salary. In February 2023 his U.S. salary was increased to $550,000 annually. In April 2023 Mr. Schweitzer returned to Europe on a Swiss-based compensation package. His base salary was changed to 525,250 CHF. The 2023 salary for Mr. Schweitzer includes the combined salary in both locations. For Mr. Schweitzer, all compensation amounts paid in CHF were converted to U.S. dollars using the exchange rate in effect as of the last day of the fiscal year.</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9140" w:type="dxa"/>
            <w:vAlign w:val="bottom"/>
          </w:tcPr>
          <w:p>
            <w:pPr>
              <w:ind w:left="636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800" w:type="dxa"/>
            <w:vAlign w:val="bottom"/>
          </w:tcPr>
          <w:p>
            <w:pPr>
              <w:jc w:val="right"/>
              <w:ind w:right="909"/>
              <w:spacing w:after="0"/>
              <w:rPr>
                <w:sz w:val="20"/>
                <w:szCs w:val="20"/>
                <w:color w:val="auto"/>
              </w:rPr>
            </w:pPr>
            <w:r>
              <w:rPr>
                <w:rFonts w:ascii="Arial" w:cs="Arial" w:eastAsia="Arial" w:hAnsi="Arial"/>
                <w:sz w:val="14"/>
                <w:szCs w:val="14"/>
                <w:b w:val="1"/>
                <w:bCs w:val="1"/>
                <w:color w:val="auto"/>
              </w:rPr>
              <w:t>49</w:t>
            </w:r>
          </w:p>
        </w:tc>
      </w:tr>
      <w:tr>
        <w:trPr>
          <w:trHeight w:val="355"/>
        </w:trPr>
        <w:tc>
          <w:tcPr>
            <w:tcW w:w="9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-415925</wp:posOffset>
            </wp:positionV>
            <wp:extent cx="501650" cy="1701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Compensation Discussion and Analysis</w:t>
      </w:r>
    </w:p>
    <w:p>
      <w:pPr>
        <w:spacing w:after="0" w:line="143" w:lineRule="exact"/>
        <w:rPr>
          <w:sz w:val="20"/>
          <w:szCs w:val="20"/>
          <w:color w:val="auto"/>
        </w:rPr>
      </w:pPr>
    </w:p>
    <w:p>
      <w:pPr>
        <w:spacing w:after="0"/>
        <w:rPr>
          <w:sz w:val="20"/>
          <w:szCs w:val="20"/>
          <w:color w:val="auto"/>
        </w:rPr>
      </w:pPr>
      <w:r>
        <w:rPr>
          <w:rFonts w:ascii="Arial" w:cs="Arial" w:eastAsia="Arial" w:hAnsi="Arial"/>
          <w:sz w:val="23"/>
          <w:szCs w:val="23"/>
          <w:color w:val="0C426A"/>
        </w:rPr>
        <w:t>Annual Incentive Compensation</w:t>
      </w:r>
    </w:p>
    <w:p>
      <w:pPr>
        <w:spacing w:after="0" w:line="181" w:lineRule="exact"/>
        <w:rPr>
          <w:sz w:val="20"/>
          <w:szCs w:val="20"/>
          <w:color w:val="auto"/>
        </w:rPr>
      </w:pPr>
    </w:p>
    <w:p>
      <w:pPr>
        <w:ind w:right="39"/>
        <w:spacing w:after="0" w:line="254" w:lineRule="auto"/>
        <w:rPr>
          <w:sz w:val="20"/>
          <w:szCs w:val="20"/>
          <w:color w:val="auto"/>
        </w:rPr>
      </w:pPr>
      <w:r>
        <w:rPr>
          <w:rFonts w:ascii="Arial" w:cs="Arial" w:eastAsia="Arial" w:hAnsi="Arial"/>
          <w:sz w:val="16"/>
          <w:szCs w:val="16"/>
          <w:color w:val="auto"/>
        </w:rPr>
        <w:t>Our annual incentive award plan is intended to: (i) compensate participants based on the extent to which personal, strategic and financial performance targets are achieved and (ii) reward participants for performance on those activities that are most directly under their control and for which they are held accountable. Corporate, business unit and individual performance goals under the annual incentive plan are linked to our annual business plan and budget. The actual amount of cash bonuses is a function of the Company’s overall financial performance, the participant’s individual performance and Board approval.</w:t>
      </w:r>
    </w:p>
    <w:p>
      <w:pPr>
        <w:spacing w:after="0" w:line="124" w:lineRule="exact"/>
        <w:rPr>
          <w:sz w:val="20"/>
          <w:szCs w:val="20"/>
          <w:color w:val="auto"/>
        </w:rPr>
      </w:pPr>
    </w:p>
    <w:p>
      <w:pPr>
        <w:ind w:right="139"/>
        <w:spacing w:after="0" w:line="282" w:lineRule="auto"/>
        <w:rPr>
          <w:sz w:val="20"/>
          <w:szCs w:val="20"/>
          <w:color w:val="auto"/>
        </w:rPr>
      </w:pPr>
      <w:r>
        <w:rPr>
          <w:rFonts w:ascii="Arial" w:cs="Arial" w:eastAsia="Arial" w:hAnsi="Arial"/>
          <w:sz w:val="16"/>
          <w:szCs w:val="16"/>
          <w:color w:val="auto"/>
        </w:rPr>
        <w:t>The table below shows the target amount for each NEOs’ 2023 annual bonus opportunity expressed as a percentage of base salary (which percentages for each NEO remained the same as 2022) salary: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NEOs Cash Bonus Targets (% of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198120</wp:posOffset>
            </wp:positionV>
            <wp:extent cx="4429760" cy="2831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429760" cy="283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164" w:lineRule="exact"/>
        <w:rPr>
          <w:sz w:val="20"/>
          <w:szCs w:val="20"/>
          <w:color w:val="auto"/>
        </w:rPr>
      </w:pPr>
    </w:p>
    <w:p>
      <w:pPr>
        <w:ind w:right="39"/>
        <w:spacing w:after="0" w:line="263" w:lineRule="auto"/>
        <w:rPr>
          <w:sz w:val="20"/>
          <w:szCs w:val="20"/>
          <w:color w:val="auto"/>
        </w:rPr>
      </w:pPr>
      <w:r>
        <w:rPr>
          <w:rFonts w:ascii="Arial" w:cs="Arial" w:eastAsia="Arial" w:hAnsi="Arial"/>
          <w:sz w:val="16"/>
          <w:szCs w:val="16"/>
          <w:color w:val="auto"/>
        </w:rPr>
        <w:t>Overall, total target cash compensation (the sum of salary and target cash bonus) for our executive officers is intended to be competitive with market practice for similar executive positions in similar companies when performance goals under the annual cash bonus plan are achieved.</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Cash bonuses are earned based on financial and personal performance in accordance with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5424170" cy="1037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424170"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760" w:type="dxa"/>
            <w:vAlign w:val="bottom"/>
          </w:tcPr>
          <w:p>
            <w:pPr>
              <w:jc w:val="right"/>
              <w:ind w:right="529"/>
              <w:spacing w:after="0"/>
              <w:rPr>
                <w:sz w:val="20"/>
                <w:szCs w:val="20"/>
                <w:color w:val="auto"/>
              </w:rPr>
            </w:pPr>
            <w:r>
              <w:rPr>
                <w:rFonts w:ascii="Arial" w:cs="Arial" w:eastAsia="Arial" w:hAnsi="Arial"/>
                <w:sz w:val="14"/>
                <w:szCs w:val="14"/>
                <w:b w:val="1"/>
                <w:bCs w:val="1"/>
                <w:color w:val="auto"/>
                <w:w w:val="89"/>
              </w:rPr>
              <w:t>50</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170180</wp:posOffset>
            </wp:positionV>
            <wp:extent cx="693801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53" w:name="page54"/>
    <w:bookmarkEnd w:id="53"/>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7780"/>
        <w:spacing w:after="0"/>
        <w:rPr>
          <w:sz w:val="20"/>
          <w:szCs w:val="20"/>
          <w:color w:val="auto"/>
        </w:rPr>
      </w:pPr>
      <w:r>
        <w:rPr>
          <w:rFonts w:ascii="Arial" w:cs="Arial" w:eastAsia="Arial" w:hAnsi="Arial"/>
          <w:sz w:val="12"/>
          <w:szCs w:val="12"/>
          <w:color w:val="auto"/>
        </w:rPr>
        <w:t>Compensation Discussion and Analysis</w:t>
      </w:r>
    </w:p>
    <w:p>
      <w:pPr>
        <w:spacing w:after="0" w:line="107" w:lineRule="exact"/>
        <w:rPr>
          <w:sz w:val="20"/>
          <w:szCs w:val="20"/>
          <w:color w:val="auto"/>
        </w:rPr>
      </w:pPr>
    </w:p>
    <w:p>
      <w:pPr>
        <w:ind w:left="960" w:right="1080"/>
        <w:spacing w:after="0" w:line="257" w:lineRule="auto"/>
        <w:rPr>
          <w:sz w:val="20"/>
          <w:szCs w:val="20"/>
          <w:color w:val="auto"/>
        </w:rPr>
      </w:pPr>
      <w:r>
        <w:rPr>
          <w:rFonts w:ascii="Arial" w:cs="Arial" w:eastAsia="Arial" w:hAnsi="Arial"/>
          <w:sz w:val="16"/>
          <w:szCs w:val="16"/>
          <w:color w:val="auto"/>
        </w:rPr>
        <w:t>For 2023, the Company adjusted the cash bonus incentive program by changing the weightings of the metrics and the components which comprise the personal performance modifier. In addition, the Compensation Committee determined that Mr. Santana and the entire executive team continued to be measured on the same goals. Cash bonuses for 2023 were based upon the following success factors:</w:t>
      </w:r>
    </w:p>
    <w:p>
      <w:pPr>
        <w:spacing w:after="0" w:line="140" w:lineRule="exact"/>
        <w:rPr>
          <w:sz w:val="20"/>
          <w:szCs w:val="20"/>
          <w:color w:val="auto"/>
        </w:rPr>
      </w:pPr>
    </w:p>
    <w:tbl>
      <w:tblPr>
        <w:tblLayout w:type="fixed"/>
        <w:tblInd w:w="980" w:type="dxa"/>
        <w:tblCellMar>
          <w:top w:w="0" w:type="dxa"/>
          <w:left w:w="0" w:type="dxa"/>
          <w:bottom w:w="0" w:type="dxa"/>
          <w:right w:w="0" w:type="dxa"/>
        </w:tblCellMar>
      </w:tblPr>
      <w:tr>
        <w:trPr>
          <w:trHeight w:val="195"/>
        </w:trPr>
        <w:tc>
          <w:tcPr>
            <w:tcW w:w="1840" w:type="dxa"/>
            <w:vAlign w:val="bottom"/>
          </w:tcPr>
          <w:p>
            <w:pPr>
              <w:ind w:left="20"/>
              <w:spacing w:after="0"/>
              <w:rPr>
                <w:sz w:val="20"/>
                <w:szCs w:val="20"/>
                <w:color w:val="auto"/>
              </w:rPr>
            </w:pPr>
            <w:r>
              <w:rPr>
                <w:rFonts w:ascii="Arial" w:cs="Arial" w:eastAsia="Arial" w:hAnsi="Arial"/>
                <w:sz w:val="14"/>
                <w:szCs w:val="14"/>
                <w:b w:val="1"/>
                <w:bCs w:val="1"/>
                <w:color w:val="auto"/>
              </w:rPr>
              <w:t>Factor</w:t>
            </w:r>
          </w:p>
        </w:tc>
        <w:tc>
          <w:tcPr>
            <w:tcW w:w="1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auto"/>
              </w:rPr>
              <w:t>Weighting</w:t>
            </w:r>
          </w:p>
        </w:tc>
        <w:tc>
          <w:tcPr>
            <w:tcW w:w="240" w:type="dxa"/>
            <w:vAlign w:val="bottom"/>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60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r>
      <w:tr>
        <w:trPr>
          <w:trHeight w:val="109"/>
        </w:trPr>
        <w:tc>
          <w:tcPr>
            <w:tcW w:w="1840" w:type="dxa"/>
            <w:vAlign w:val="bottom"/>
            <w:tcBorders>
              <w:bottom w:val="single" w:sz="8" w:color="0C426A"/>
            </w:tcBorders>
          </w:tcPr>
          <w:p>
            <w:pPr>
              <w:spacing w:after="0"/>
              <w:rPr>
                <w:sz w:val="9"/>
                <w:szCs w:val="9"/>
                <w:color w:val="auto"/>
              </w:rPr>
            </w:pPr>
          </w:p>
        </w:tc>
        <w:tc>
          <w:tcPr>
            <w:tcW w:w="160" w:type="dxa"/>
            <w:vAlign w:val="bottom"/>
            <w:tcBorders>
              <w:bottom w:val="single" w:sz="8" w:color="0C426A"/>
            </w:tcBorders>
          </w:tcPr>
          <w:p>
            <w:pPr>
              <w:spacing w:after="0"/>
              <w:rPr>
                <w:sz w:val="9"/>
                <w:szCs w:val="9"/>
                <w:color w:val="auto"/>
              </w:rPr>
            </w:pPr>
          </w:p>
        </w:tc>
        <w:tc>
          <w:tcPr>
            <w:tcW w:w="1000" w:type="dxa"/>
            <w:vAlign w:val="bottom"/>
            <w:tcBorders>
              <w:bottom w:val="single" w:sz="8" w:color="0C426A"/>
            </w:tcBorders>
          </w:tcPr>
          <w:p>
            <w:pPr>
              <w:spacing w:after="0"/>
              <w:rPr>
                <w:sz w:val="9"/>
                <w:szCs w:val="9"/>
                <w:color w:val="auto"/>
              </w:rPr>
            </w:pPr>
          </w:p>
        </w:tc>
        <w:tc>
          <w:tcPr>
            <w:tcW w:w="240" w:type="dxa"/>
            <w:vAlign w:val="bottom"/>
            <w:tcBorders>
              <w:bottom w:val="single" w:sz="8" w:color="0C426A"/>
            </w:tcBorders>
          </w:tcPr>
          <w:p>
            <w:pPr>
              <w:spacing w:after="0"/>
              <w:rPr>
                <w:sz w:val="9"/>
                <w:szCs w:val="9"/>
                <w:color w:val="auto"/>
              </w:rPr>
            </w:pPr>
          </w:p>
        </w:tc>
        <w:tc>
          <w:tcPr>
            <w:tcW w:w="80" w:type="dxa"/>
            <w:vAlign w:val="bottom"/>
            <w:tcBorders>
              <w:bottom w:val="single" w:sz="8" w:color="0C426A"/>
            </w:tcBorders>
          </w:tcPr>
          <w:p>
            <w:pPr>
              <w:spacing w:after="0"/>
              <w:rPr>
                <w:sz w:val="9"/>
                <w:szCs w:val="9"/>
                <w:color w:val="auto"/>
              </w:rPr>
            </w:pPr>
          </w:p>
        </w:tc>
        <w:tc>
          <w:tcPr>
            <w:tcW w:w="4600" w:type="dxa"/>
            <w:vAlign w:val="bottom"/>
            <w:tcBorders>
              <w:bottom w:val="single" w:sz="8" w:color="0C426A"/>
            </w:tcBorders>
          </w:tcPr>
          <w:p>
            <w:pPr>
              <w:spacing w:after="0"/>
              <w:rPr>
                <w:sz w:val="9"/>
                <w:szCs w:val="9"/>
                <w:color w:val="auto"/>
              </w:rPr>
            </w:pPr>
          </w:p>
        </w:tc>
        <w:tc>
          <w:tcPr>
            <w:tcW w:w="60" w:type="dxa"/>
            <w:vAlign w:val="bottom"/>
            <w:tcBorders>
              <w:bottom w:val="single" w:sz="8" w:color="0C426A"/>
            </w:tcBorders>
          </w:tcPr>
          <w:p>
            <w:pPr>
              <w:spacing w:after="0"/>
              <w:rPr>
                <w:sz w:val="9"/>
                <w:szCs w:val="9"/>
                <w:color w:val="auto"/>
              </w:rPr>
            </w:pPr>
          </w:p>
        </w:tc>
        <w:tc>
          <w:tcPr>
            <w:tcW w:w="1000" w:type="dxa"/>
            <w:vAlign w:val="bottom"/>
            <w:tcBorders>
              <w:bottom w:val="single" w:sz="8" w:color="0C426A"/>
            </w:tcBorders>
          </w:tcPr>
          <w:p>
            <w:pPr>
              <w:spacing w:after="0"/>
              <w:rPr>
                <w:sz w:val="9"/>
                <w:szCs w:val="9"/>
                <w:color w:val="auto"/>
              </w:rPr>
            </w:pPr>
          </w:p>
        </w:tc>
      </w:tr>
      <w:tr>
        <w:trPr>
          <w:trHeight w:val="335"/>
        </w:trPr>
        <w:tc>
          <w:tcPr>
            <w:tcW w:w="1840" w:type="dxa"/>
            <w:vAlign w:val="bottom"/>
          </w:tcPr>
          <w:p>
            <w:pPr>
              <w:ind w:left="20"/>
              <w:spacing w:after="0"/>
              <w:rPr>
                <w:sz w:val="20"/>
                <w:szCs w:val="20"/>
                <w:color w:val="auto"/>
              </w:rPr>
            </w:pPr>
            <w:r>
              <w:rPr>
                <w:rFonts w:ascii="Arial" w:cs="Arial" w:eastAsia="Arial" w:hAnsi="Arial"/>
                <w:sz w:val="16"/>
                <w:szCs w:val="16"/>
                <w:b w:val="1"/>
                <w:bCs w:val="1"/>
                <w:color w:val="auto"/>
              </w:rPr>
              <w:t>Financial Performance</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87"/>
        </w:trPr>
        <w:tc>
          <w:tcPr>
            <w:tcW w:w="18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46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r>
      <w:tr>
        <w:trPr>
          <w:trHeight w:val="274"/>
        </w:trPr>
        <w:tc>
          <w:tcPr>
            <w:tcW w:w="1840" w:type="dxa"/>
            <w:vAlign w:val="bottom"/>
          </w:tcPr>
          <w:p>
            <w:pPr>
              <w:ind w:left="20"/>
              <w:spacing w:after="0"/>
              <w:rPr>
                <w:sz w:val="20"/>
                <w:szCs w:val="20"/>
                <w:color w:val="auto"/>
              </w:rPr>
            </w:pPr>
            <w:r>
              <w:rPr>
                <w:rFonts w:ascii="Arial" w:cs="Arial" w:eastAsia="Arial" w:hAnsi="Arial"/>
                <w:sz w:val="16"/>
                <w:szCs w:val="16"/>
                <w:color w:val="auto"/>
              </w:rPr>
              <w:t>EPS</w:t>
            </w:r>
          </w:p>
        </w:tc>
        <w:tc>
          <w:tcPr>
            <w:tcW w:w="160" w:type="dxa"/>
            <w:vAlign w:val="bottom"/>
          </w:tcPr>
          <w:p>
            <w:pPr>
              <w:spacing w:after="0"/>
              <w:rPr>
                <w:sz w:val="23"/>
                <w:szCs w:val="23"/>
                <w:color w:val="auto"/>
              </w:rPr>
            </w:pPr>
          </w:p>
        </w:tc>
        <w:tc>
          <w:tcPr>
            <w:tcW w:w="1000" w:type="dxa"/>
            <w:vAlign w:val="bottom"/>
          </w:tcPr>
          <w:p>
            <w:pPr>
              <w:ind w:left="120"/>
              <w:spacing w:after="0"/>
              <w:rPr>
                <w:sz w:val="20"/>
                <w:szCs w:val="20"/>
                <w:color w:val="auto"/>
              </w:rPr>
            </w:pPr>
            <w:r>
              <w:rPr>
                <w:rFonts w:ascii="Arial" w:cs="Arial" w:eastAsia="Arial" w:hAnsi="Arial"/>
                <w:sz w:val="16"/>
                <w:szCs w:val="16"/>
                <w:color w:val="auto"/>
              </w:rPr>
              <w:t>75%</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0" w:type="dxa"/>
            <w:vAlign w:val="bottom"/>
          </w:tcPr>
          <w:p>
            <w:pPr>
              <w:ind w:left="40"/>
              <w:spacing w:after="0"/>
              <w:rPr>
                <w:sz w:val="20"/>
                <w:szCs w:val="20"/>
                <w:color w:val="auto"/>
              </w:rPr>
            </w:pPr>
            <w:r>
              <w:rPr>
                <w:rFonts w:ascii="Arial" w:cs="Arial" w:eastAsia="Arial" w:hAnsi="Arial"/>
                <w:sz w:val="16"/>
                <w:szCs w:val="16"/>
                <w:color w:val="auto"/>
              </w:rPr>
              <w:t>Adjusted earnings per diluted share calculated as U.S. GAAP</w:t>
            </w: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187"/>
        </w:trPr>
        <w:tc>
          <w:tcPr>
            <w:tcW w:w="1840" w:type="dxa"/>
            <w:vAlign w:val="bottom"/>
          </w:tcPr>
          <w:p>
            <w:pPr>
              <w:spacing w:after="0"/>
              <w:rPr>
                <w:sz w:val="16"/>
                <w:szCs w:val="16"/>
                <w:color w:val="auto"/>
              </w:rPr>
            </w:pPr>
          </w:p>
        </w:tc>
        <w:tc>
          <w:tcPr>
            <w:tcW w:w="1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600" w:type="dxa"/>
            <w:vAlign w:val="bottom"/>
          </w:tcPr>
          <w:p>
            <w:pPr>
              <w:ind w:left="40"/>
              <w:spacing w:after="0"/>
              <w:rPr>
                <w:sz w:val="20"/>
                <w:szCs w:val="20"/>
                <w:color w:val="auto"/>
              </w:rPr>
            </w:pPr>
            <w:r>
              <w:rPr>
                <w:rFonts w:ascii="Arial" w:cs="Arial" w:eastAsia="Arial" w:hAnsi="Arial"/>
                <w:sz w:val="16"/>
                <w:szCs w:val="16"/>
                <w:color w:val="auto"/>
              </w:rPr>
              <w:t>earnings per diluted share, adjusted for non-cash amortization</w:t>
            </w: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r>
      <w:tr>
        <w:trPr>
          <w:trHeight w:val="213"/>
        </w:trPr>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0" w:type="dxa"/>
            <w:vAlign w:val="bottom"/>
          </w:tcPr>
          <w:p>
            <w:pPr>
              <w:ind w:left="40"/>
              <w:spacing w:after="0"/>
              <w:rPr>
                <w:sz w:val="20"/>
                <w:szCs w:val="20"/>
                <w:color w:val="auto"/>
              </w:rPr>
            </w:pPr>
            <w:r>
              <w:rPr>
                <w:rFonts w:ascii="Arial" w:cs="Arial" w:eastAsia="Arial" w:hAnsi="Arial"/>
                <w:sz w:val="16"/>
                <w:szCs w:val="16"/>
                <w:color w:val="auto"/>
              </w:rPr>
              <w:t>expense and certain restructuring costs</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95"/>
        </w:trPr>
        <w:tc>
          <w:tcPr>
            <w:tcW w:w="18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6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r>
      <w:tr>
        <w:trPr>
          <w:trHeight w:val="274"/>
        </w:trPr>
        <w:tc>
          <w:tcPr>
            <w:tcW w:w="1840" w:type="dxa"/>
            <w:vAlign w:val="bottom"/>
          </w:tcPr>
          <w:p>
            <w:pPr>
              <w:ind w:left="20"/>
              <w:spacing w:after="0"/>
              <w:rPr>
                <w:sz w:val="20"/>
                <w:szCs w:val="20"/>
                <w:color w:val="auto"/>
              </w:rPr>
            </w:pPr>
            <w:r>
              <w:rPr>
                <w:rFonts w:ascii="Arial" w:cs="Arial" w:eastAsia="Arial" w:hAnsi="Arial"/>
                <w:sz w:val="16"/>
                <w:szCs w:val="16"/>
                <w:color w:val="auto"/>
              </w:rPr>
              <w:t>Cash Conversion</w:t>
            </w:r>
          </w:p>
        </w:tc>
        <w:tc>
          <w:tcPr>
            <w:tcW w:w="160" w:type="dxa"/>
            <w:vAlign w:val="bottom"/>
          </w:tcPr>
          <w:p>
            <w:pPr>
              <w:spacing w:after="0"/>
              <w:rPr>
                <w:sz w:val="23"/>
                <w:szCs w:val="23"/>
                <w:color w:val="auto"/>
              </w:rPr>
            </w:pPr>
          </w:p>
        </w:tc>
        <w:tc>
          <w:tcPr>
            <w:tcW w:w="1000" w:type="dxa"/>
            <w:vAlign w:val="bottom"/>
          </w:tcPr>
          <w:p>
            <w:pPr>
              <w:ind w:left="120"/>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0" w:type="dxa"/>
            <w:vAlign w:val="bottom"/>
          </w:tcPr>
          <w:p>
            <w:pPr>
              <w:ind w:left="40"/>
              <w:spacing w:after="0"/>
              <w:rPr>
                <w:sz w:val="20"/>
                <w:szCs w:val="20"/>
                <w:color w:val="auto"/>
              </w:rPr>
            </w:pPr>
            <w:r>
              <w:rPr>
                <w:rFonts w:ascii="Arial" w:cs="Arial" w:eastAsia="Arial" w:hAnsi="Arial"/>
                <w:sz w:val="16"/>
                <w:szCs w:val="16"/>
                <w:color w:val="auto"/>
              </w:rPr>
              <w:t>Cash conversion means (A) the Company’s cash from</w:t>
            </w: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02"/>
        </w:trPr>
        <w:tc>
          <w:tcPr>
            <w:tcW w:w="1840" w:type="dxa"/>
            <w:vAlign w:val="bottom"/>
          </w:tcPr>
          <w:p>
            <w:pPr>
              <w:spacing w:after="0"/>
              <w:rPr>
                <w:sz w:val="17"/>
                <w:szCs w:val="17"/>
                <w:color w:val="auto"/>
              </w:rPr>
            </w:pPr>
          </w:p>
        </w:tc>
        <w:tc>
          <w:tcPr>
            <w:tcW w:w="1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660" w:type="dxa"/>
            <w:vAlign w:val="bottom"/>
            <w:gridSpan w:val="2"/>
          </w:tcPr>
          <w:p>
            <w:pPr>
              <w:ind w:left="40"/>
              <w:spacing w:after="0"/>
              <w:rPr>
                <w:sz w:val="20"/>
                <w:szCs w:val="20"/>
                <w:color w:val="auto"/>
              </w:rPr>
            </w:pPr>
            <w:r>
              <w:rPr>
                <w:rFonts w:ascii="Arial" w:cs="Arial" w:eastAsia="Arial" w:hAnsi="Arial"/>
                <w:sz w:val="16"/>
                <w:szCs w:val="16"/>
                <w:color w:val="auto"/>
              </w:rPr>
              <w:t xml:space="preserve">operations divided by (B) the sum of the Company’s net income </w:t>
            </w:r>
            <w:r>
              <w:rPr>
                <w:rFonts w:ascii="Times New Roman" w:cs="Times New Roman" w:eastAsia="Times New Roman" w:hAnsi="Times New Roman"/>
                <w:sz w:val="7"/>
                <w:szCs w:val="7"/>
                <w:color w:val="auto"/>
                <w:vertAlign w:val="subscript"/>
              </w:rPr>
              <w:t>​</w:t>
            </w:r>
          </w:p>
        </w:tc>
        <w:tc>
          <w:tcPr>
            <w:tcW w:w="10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r>
      <w:tr>
        <w:trPr>
          <w:trHeight w:val="173"/>
        </w:trPr>
        <w:tc>
          <w:tcPr>
            <w:tcW w:w="1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0" w:type="dxa"/>
            <w:vAlign w:val="bottom"/>
          </w:tcPr>
          <w:p>
            <w:pPr>
              <w:ind w:left="40"/>
              <w:spacing w:after="0" w:line="174" w:lineRule="exact"/>
              <w:rPr>
                <w:sz w:val="20"/>
                <w:szCs w:val="20"/>
                <w:color w:val="auto"/>
              </w:rPr>
            </w:pPr>
            <w:r>
              <w:rPr>
                <w:rFonts w:ascii="Arial" w:cs="Arial" w:eastAsia="Arial" w:hAnsi="Arial"/>
                <w:sz w:val="16"/>
                <w:szCs w:val="16"/>
                <w:color w:val="auto"/>
              </w:rPr>
              <w:t>plus depreciation and amortization adjusted for certain</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3"/>
        </w:trPr>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0" w:type="dxa"/>
            <w:vAlign w:val="bottom"/>
          </w:tcPr>
          <w:p>
            <w:pPr>
              <w:ind w:left="40"/>
              <w:spacing w:after="0"/>
              <w:rPr>
                <w:sz w:val="20"/>
                <w:szCs w:val="20"/>
                <w:color w:val="auto"/>
              </w:rPr>
            </w:pPr>
            <w:r>
              <w:rPr>
                <w:rFonts w:ascii="Arial" w:cs="Arial" w:eastAsia="Arial" w:hAnsi="Arial"/>
                <w:sz w:val="16"/>
                <w:szCs w:val="16"/>
                <w:color w:val="auto"/>
              </w:rPr>
              <w:t>restructuring costs</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95"/>
        </w:trPr>
        <w:tc>
          <w:tcPr>
            <w:tcW w:w="18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6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r>
      <w:tr>
        <w:trPr>
          <w:trHeight w:val="308"/>
        </w:trPr>
        <w:tc>
          <w:tcPr>
            <w:tcW w:w="1840" w:type="dxa"/>
            <w:vAlign w:val="bottom"/>
          </w:tcPr>
          <w:p>
            <w:pPr>
              <w:ind w:left="20"/>
              <w:spacing w:after="0"/>
              <w:rPr>
                <w:sz w:val="20"/>
                <w:szCs w:val="20"/>
                <w:color w:val="auto"/>
              </w:rPr>
            </w:pPr>
            <w:r>
              <w:rPr>
                <w:rFonts w:ascii="Arial" w:cs="Arial" w:eastAsia="Arial" w:hAnsi="Arial"/>
                <w:sz w:val="16"/>
                <w:szCs w:val="16"/>
                <w:b w:val="1"/>
                <w:bCs w:val="1"/>
                <w:color w:val="auto"/>
              </w:rPr>
              <w:t>Personal Modifier</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87"/>
        </w:trPr>
        <w:tc>
          <w:tcPr>
            <w:tcW w:w="18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46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r>
      <w:tr>
        <w:trPr>
          <w:trHeight w:val="274"/>
        </w:trPr>
        <w:tc>
          <w:tcPr>
            <w:tcW w:w="1840" w:type="dxa"/>
            <w:vAlign w:val="bottom"/>
          </w:tcPr>
          <w:p>
            <w:pPr>
              <w:ind w:left="20"/>
              <w:spacing w:after="0"/>
              <w:rPr>
                <w:sz w:val="20"/>
                <w:szCs w:val="20"/>
                <w:color w:val="auto"/>
              </w:rPr>
            </w:pPr>
            <w:r>
              <w:rPr>
                <w:rFonts w:ascii="Arial" w:cs="Arial" w:eastAsia="Arial" w:hAnsi="Arial"/>
                <w:sz w:val="16"/>
                <w:szCs w:val="16"/>
                <w:color w:val="auto"/>
              </w:rPr>
              <w:t>Personal Performance</w:t>
            </w:r>
          </w:p>
        </w:tc>
        <w:tc>
          <w:tcPr>
            <w:tcW w:w="160" w:type="dxa"/>
            <w:vAlign w:val="bottom"/>
          </w:tcPr>
          <w:p>
            <w:pPr>
              <w:spacing w:after="0"/>
              <w:rPr>
                <w:sz w:val="23"/>
                <w:szCs w:val="23"/>
                <w:color w:val="auto"/>
              </w:rPr>
            </w:pPr>
          </w:p>
        </w:tc>
        <w:tc>
          <w:tcPr>
            <w:tcW w:w="1000" w:type="dxa"/>
            <w:vAlign w:val="bottom"/>
          </w:tcPr>
          <w:p>
            <w:pPr>
              <w:ind w:left="120"/>
              <w:spacing w:after="0"/>
              <w:rPr>
                <w:sz w:val="20"/>
                <w:szCs w:val="20"/>
                <w:color w:val="auto"/>
              </w:rPr>
            </w:pPr>
            <w:r>
              <w:rPr>
                <w:rFonts w:ascii="Arial" w:cs="Arial" w:eastAsia="Arial" w:hAnsi="Arial"/>
                <w:sz w:val="16"/>
                <w:szCs w:val="16"/>
                <w:color w:val="auto"/>
              </w:rPr>
              <w:t>0%-120%</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0" w:type="dxa"/>
            <w:vAlign w:val="bottom"/>
          </w:tcPr>
          <w:p>
            <w:pPr>
              <w:ind w:left="40"/>
              <w:spacing w:after="0"/>
              <w:rPr>
                <w:sz w:val="20"/>
                <w:szCs w:val="20"/>
                <w:color w:val="auto"/>
              </w:rPr>
            </w:pPr>
            <w:r>
              <w:rPr>
                <w:rFonts w:ascii="Arial" w:cs="Arial" w:eastAsia="Arial" w:hAnsi="Arial"/>
                <w:sz w:val="16"/>
                <w:szCs w:val="16"/>
                <w:color w:val="auto"/>
              </w:rPr>
              <w:t>The personal performance modifier serves as a multiplier to the</w:t>
            </w: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187"/>
        </w:trPr>
        <w:tc>
          <w:tcPr>
            <w:tcW w:w="1840" w:type="dxa"/>
            <w:vAlign w:val="bottom"/>
          </w:tcPr>
          <w:p>
            <w:pPr>
              <w:ind w:left="20"/>
              <w:spacing w:after="0"/>
              <w:rPr>
                <w:sz w:val="20"/>
                <w:szCs w:val="20"/>
                <w:color w:val="auto"/>
              </w:rPr>
            </w:pPr>
            <w:r>
              <w:rPr>
                <w:rFonts w:ascii="Arial" w:cs="Arial" w:eastAsia="Arial" w:hAnsi="Arial"/>
                <w:sz w:val="16"/>
                <w:szCs w:val="16"/>
                <w:color w:val="auto"/>
              </w:rPr>
              <w:t>Modifier</w:t>
            </w:r>
          </w:p>
        </w:tc>
        <w:tc>
          <w:tcPr>
            <w:tcW w:w="160" w:type="dxa"/>
            <w:vAlign w:val="bottom"/>
          </w:tcPr>
          <w:p>
            <w:pPr>
              <w:spacing w:after="0"/>
              <w:rPr>
                <w:sz w:val="16"/>
                <w:szCs w:val="16"/>
                <w:color w:val="auto"/>
              </w:rPr>
            </w:pPr>
          </w:p>
        </w:tc>
        <w:tc>
          <w:tcPr>
            <w:tcW w:w="1000" w:type="dxa"/>
            <w:vAlign w:val="bottom"/>
          </w:tcPr>
          <w:p>
            <w:pPr>
              <w:ind w:left="120"/>
              <w:spacing w:after="0"/>
              <w:rPr>
                <w:sz w:val="20"/>
                <w:szCs w:val="20"/>
                <w:color w:val="auto"/>
              </w:rPr>
            </w:pPr>
            <w:r>
              <w:rPr>
                <w:rFonts w:ascii="Arial" w:cs="Arial" w:eastAsia="Arial" w:hAnsi="Arial"/>
                <w:sz w:val="16"/>
                <w:szCs w:val="16"/>
                <w:color w:val="auto"/>
              </w:rPr>
              <w:t>modifier</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0" w:type="dxa"/>
            <w:vAlign w:val="bottom"/>
          </w:tcPr>
          <w:p>
            <w:pPr>
              <w:ind w:left="40"/>
              <w:spacing w:after="0"/>
              <w:rPr>
                <w:sz w:val="20"/>
                <w:szCs w:val="20"/>
                <w:color w:val="auto"/>
              </w:rPr>
            </w:pPr>
            <w:r>
              <w:rPr>
                <w:rFonts w:ascii="Arial" w:cs="Arial" w:eastAsia="Arial" w:hAnsi="Arial"/>
                <w:sz w:val="16"/>
                <w:szCs w:val="16"/>
                <w:color w:val="auto"/>
              </w:rPr>
              <w:t>financial performance results. The modifier may be based on</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7"/>
        </w:trPr>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0" w:type="dxa"/>
            <w:vAlign w:val="bottom"/>
          </w:tcPr>
          <w:p>
            <w:pPr>
              <w:ind w:left="40"/>
              <w:spacing w:after="0"/>
              <w:rPr>
                <w:sz w:val="20"/>
                <w:szCs w:val="20"/>
                <w:color w:val="auto"/>
              </w:rPr>
            </w:pPr>
            <w:r>
              <w:rPr>
                <w:rFonts w:ascii="Arial" w:cs="Arial" w:eastAsia="Arial" w:hAnsi="Arial"/>
                <w:sz w:val="16"/>
                <w:szCs w:val="16"/>
                <w:color w:val="auto"/>
              </w:rPr>
              <w:t>individual goals such as goals related to EBIT, acquisitions, or</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7"/>
        </w:trPr>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0" w:type="dxa"/>
            <w:vAlign w:val="bottom"/>
          </w:tcPr>
          <w:p>
            <w:pPr>
              <w:ind w:left="40"/>
              <w:spacing w:after="0"/>
              <w:rPr>
                <w:sz w:val="20"/>
                <w:szCs w:val="20"/>
                <w:color w:val="auto"/>
              </w:rPr>
            </w:pPr>
            <w:r>
              <w:rPr>
                <w:rFonts w:ascii="Arial" w:cs="Arial" w:eastAsia="Arial" w:hAnsi="Arial"/>
                <w:sz w:val="16"/>
                <w:szCs w:val="16"/>
                <w:color w:val="auto"/>
              </w:rPr>
              <w:t>other individual goals for the executive and can be achieved</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7"/>
        </w:trPr>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0" w:type="dxa"/>
            <w:vAlign w:val="bottom"/>
          </w:tcPr>
          <w:p>
            <w:pPr>
              <w:ind w:left="40"/>
              <w:spacing w:after="0"/>
              <w:rPr>
                <w:sz w:val="20"/>
                <w:szCs w:val="20"/>
                <w:color w:val="auto"/>
              </w:rPr>
            </w:pPr>
            <w:r>
              <w:rPr>
                <w:rFonts w:ascii="Arial" w:cs="Arial" w:eastAsia="Arial" w:hAnsi="Arial"/>
                <w:sz w:val="16"/>
                <w:szCs w:val="16"/>
                <w:color w:val="auto"/>
              </w:rPr>
              <w:t>anywhere between 0% and 120% of the financial performance</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7"/>
        </w:trPr>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0" w:type="dxa"/>
            <w:vAlign w:val="bottom"/>
          </w:tcPr>
          <w:p>
            <w:pPr>
              <w:ind w:left="40"/>
              <w:spacing w:after="0"/>
              <w:rPr>
                <w:sz w:val="20"/>
                <w:szCs w:val="20"/>
                <w:color w:val="auto"/>
              </w:rPr>
            </w:pPr>
            <w:r>
              <w:rPr>
                <w:rFonts w:ascii="Arial" w:cs="Arial" w:eastAsia="Arial" w:hAnsi="Arial"/>
                <w:sz w:val="16"/>
                <w:szCs w:val="16"/>
                <w:color w:val="auto"/>
              </w:rPr>
              <w:t>result. The two goals used in the personal performance modifier</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7"/>
        </w:trPr>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0" w:type="dxa"/>
            <w:vAlign w:val="bottom"/>
          </w:tcPr>
          <w:p>
            <w:pPr>
              <w:ind w:left="40"/>
              <w:spacing w:after="0"/>
              <w:rPr>
                <w:sz w:val="20"/>
                <w:szCs w:val="20"/>
                <w:color w:val="auto"/>
              </w:rPr>
            </w:pPr>
            <w:r>
              <w:rPr>
                <w:rFonts w:ascii="Arial" w:cs="Arial" w:eastAsia="Arial" w:hAnsi="Arial"/>
                <w:sz w:val="16"/>
                <w:szCs w:val="16"/>
                <w:color w:val="auto"/>
              </w:rPr>
              <w:t>for 2023 are EBIT Margin and revenue growth, each weighed</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3"/>
        </w:trPr>
        <w:tc>
          <w:tcPr>
            <w:tcW w:w="1840" w:type="dxa"/>
            <w:vAlign w:val="bottom"/>
          </w:tcPr>
          <w:p>
            <w:pPr>
              <w:spacing w:after="0"/>
              <w:rPr>
                <w:sz w:val="17"/>
                <w:szCs w:val="17"/>
                <w:color w:val="auto"/>
              </w:rPr>
            </w:pPr>
          </w:p>
        </w:tc>
        <w:tc>
          <w:tcPr>
            <w:tcW w:w="1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600" w:type="dxa"/>
            <w:vAlign w:val="bottom"/>
          </w:tcPr>
          <w:p>
            <w:pPr>
              <w:ind w:left="40"/>
              <w:spacing w:after="0"/>
              <w:rPr>
                <w:sz w:val="20"/>
                <w:szCs w:val="20"/>
                <w:color w:val="auto"/>
              </w:rPr>
            </w:pPr>
            <w:r>
              <w:rPr>
                <w:rFonts w:ascii="Arial" w:cs="Arial" w:eastAsia="Arial" w:hAnsi="Arial"/>
                <w:sz w:val="16"/>
                <w:szCs w:val="16"/>
                <w:color w:val="auto"/>
              </w:rPr>
              <w:t>equally.</w:t>
            </w: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r>
    </w:tbl>
    <w:p>
      <w:pPr>
        <w:ind w:left="4340"/>
        <w:spacing w:after="0"/>
        <w:rPr>
          <w:sz w:val="20"/>
          <w:szCs w:val="20"/>
          <w:color w:val="auto"/>
        </w:rPr>
      </w:pPr>
      <w:r>
        <w:rPr>
          <w:rFonts w:ascii="Arial" w:cs="Arial" w:eastAsia="Arial" w:hAnsi="Arial"/>
          <w:sz w:val="16"/>
          <w:szCs w:val="16"/>
          <w:color w:val="auto"/>
        </w:rPr>
        <w:t> </w:t>
      </w:r>
    </w:p>
    <w:p>
      <w:pPr>
        <w:spacing w:after="0" w:line="3"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EBIT Margin means our “adjusted earnings before interest and</w:t>
      </w:r>
    </w:p>
    <w:p>
      <w:pPr>
        <w:spacing w:after="0" w:line="3"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taxes” calculated as our U.S. GAAP income from operations,</w:t>
      </w:r>
    </w:p>
    <w:p>
      <w:pPr>
        <w:spacing w:after="0" w:line="3"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adjusted for non-cash amortization expense and certain</w:t>
      </w:r>
    </w:p>
    <w:p>
      <w:pPr>
        <w:spacing w:after="0" w:line="3"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restructuring costs, divided by consolidated revenue.</w:t>
      </w:r>
    </w:p>
    <w:p>
      <w:pPr>
        <w:spacing w:after="0" w:line="3"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 </w:t>
      </w:r>
    </w:p>
    <w:p>
      <w:pPr>
        <w:spacing w:after="0" w:line="3"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Revenue growth means the percentage increase in the</w:t>
      </w:r>
    </w:p>
    <w:p>
      <w:pPr>
        <w:spacing w:after="0" w:line="3"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Company’s gross revenues from fiscal year 2022 to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69215</wp:posOffset>
            </wp:positionV>
            <wp:extent cx="571373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right="980"/>
        <w:spacing w:after="0" w:line="247" w:lineRule="auto"/>
        <w:rPr>
          <w:sz w:val="20"/>
          <w:szCs w:val="20"/>
          <w:color w:val="auto"/>
        </w:rPr>
      </w:pPr>
      <w:r>
        <w:rPr>
          <w:rFonts w:ascii="Arial" w:cs="Arial" w:eastAsia="Arial" w:hAnsi="Arial"/>
          <w:sz w:val="16"/>
          <w:szCs w:val="16"/>
          <w:color w:val="auto"/>
        </w:rPr>
        <w:t>The cash bonus formula is based on the product of the participant’s base salary, the participant’s target cash bonus percentage, financial performance and the personal modifier. If both the financial performance and the applicable personal performance results are achieved, the NEOs will earn 100% of their target cash bonus. Each financial metric includes a threshold level of performance, generally, 80% of the target goal at which a minimum 25% payout will be made. Performance below the threshold level would result in no payout on the financial metric. Each financial metric also includes a maximum level of performance, generally 125% of the target goal, at which a maximum 225% payout will be made on that financial metric. To calculate the payout percentages, the goal achievement percentage is first determined. Once the goal achievement percentage is determined, the actual payout percentage is calculated using linear interpolation. There are two payout lines: One for goal achievement between 80% and 100%, resulting in a payout between 25% and 100% and a second for goal achievement between 100% and 125%, resulting in a payout between 100% and 225%. The outcome of the financial metrics is then multiplied by the personal performance modifier. The personal modifier has a range 80% to 120%. The maximum payment under the plan including the personal performance modifier is 225%. We believe that this philosophy encourages Wabtec and our executives to establish ambitious goals and that the program promotes teamwork, productivity and profitability. Target cash bonuses and performance factors were approved by the Compensation Committee at its meeting in February 2023.</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9140" w:type="dxa"/>
            <w:vAlign w:val="bottom"/>
          </w:tcPr>
          <w:p>
            <w:pPr>
              <w:ind w:left="636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800" w:type="dxa"/>
            <w:vAlign w:val="bottom"/>
          </w:tcPr>
          <w:p>
            <w:pPr>
              <w:jc w:val="right"/>
              <w:ind w:right="909"/>
              <w:spacing w:after="0"/>
              <w:rPr>
                <w:sz w:val="20"/>
                <w:szCs w:val="20"/>
                <w:color w:val="auto"/>
              </w:rPr>
            </w:pPr>
            <w:r>
              <w:rPr>
                <w:rFonts w:ascii="Arial" w:cs="Arial" w:eastAsia="Arial" w:hAnsi="Arial"/>
                <w:sz w:val="14"/>
                <w:szCs w:val="14"/>
                <w:b w:val="1"/>
                <w:bCs w:val="1"/>
                <w:color w:val="auto"/>
              </w:rPr>
              <w:t>51</w:t>
            </w:r>
          </w:p>
        </w:tc>
      </w:tr>
      <w:tr>
        <w:trPr>
          <w:trHeight w:val="342"/>
        </w:trPr>
        <w:tc>
          <w:tcPr>
            <w:tcW w:w="9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-407670</wp:posOffset>
            </wp:positionV>
            <wp:extent cx="501650" cy="1701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Compensation Discussion and Analysis</w:t>
      </w:r>
    </w:p>
    <w:p>
      <w:pPr>
        <w:spacing w:after="0" w:line="107" w:lineRule="exact"/>
        <w:rPr>
          <w:sz w:val="20"/>
          <w:szCs w:val="20"/>
          <w:color w:val="auto"/>
        </w:rPr>
      </w:pPr>
    </w:p>
    <w:p>
      <w:pPr>
        <w:jc w:val="both"/>
        <w:ind w:right="239"/>
        <w:spacing w:after="0" w:line="263" w:lineRule="auto"/>
        <w:rPr>
          <w:sz w:val="20"/>
          <w:szCs w:val="20"/>
          <w:color w:val="auto"/>
        </w:rPr>
      </w:pPr>
      <w:r>
        <w:rPr>
          <w:rFonts w:ascii="Arial" w:cs="Arial" w:eastAsia="Arial" w:hAnsi="Arial"/>
          <w:sz w:val="16"/>
          <w:szCs w:val="16"/>
          <w:color w:val="auto"/>
        </w:rPr>
        <w:t>The table below provides both the 2023 financial performance goals and our performance achieved with respect to adjusted EPS and Cash Conversion (adjusted for certain restructuring costs) for our corporate wide executives including each of the NEOs: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1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Measure</w:t>
            </w:r>
          </w:p>
        </w:tc>
        <w:tc>
          <w:tcPr>
            <w:tcW w:w="320" w:type="dxa"/>
            <w:vAlign w:val="bottom"/>
          </w:tcPr>
          <w:p>
            <w:pPr>
              <w:ind w:left="10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80" w:type="dxa"/>
            <w:vAlign w:val="bottom"/>
          </w:tcPr>
          <w:p>
            <w:pPr>
              <w:ind w:left="10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Pr>
          <w:p>
            <w:pPr>
              <w:ind w:left="9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tcPr>
          <w:p>
            <w:pPr>
              <w:ind w:left="102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Payout Factor</w:t>
            </w:r>
          </w:p>
        </w:tc>
        <w:tc>
          <w:tcPr>
            <w:tcW w:w="180" w:type="dxa"/>
            <w:vAlign w:val="bottom"/>
          </w:tcPr>
          <w:p>
            <w:pPr>
              <w:ind w:left="2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95"/>
        </w:trPr>
        <w:tc>
          <w:tcPr>
            <w:tcW w:w="14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ind w:left="140"/>
              <w:spacing w:after="0"/>
              <w:rPr>
                <w:sz w:val="20"/>
                <w:szCs w:val="20"/>
                <w:color w:val="auto"/>
              </w:rPr>
            </w:pPr>
            <w:r>
              <w:rPr>
                <w:rFonts w:ascii="Arial" w:cs="Arial" w:eastAsia="Arial" w:hAnsi="Arial"/>
                <w:sz w:val="14"/>
                <w:szCs w:val="14"/>
                <w:b w:val="1"/>
                <w:bCs w:val="1"/>
                <w:color w:val="auto"/>
              </w:rPr>
              <w:t>Threshold</w:t>
            </w:r>
          </w:p>
        </w:tc>
        <w:tc>
          <w:tcPr>
            <w:tcW w:w="280" w:type="dxa"/>
            <w:vAlign w:val="bottom"/>
          </w:tcPr>
          <w:p>
            <w:pPr>
              <w:spacing w:after="0"/>
              <w:rPr>
                <w:sz w:val="16"/>
                <w:szCs w:val="16"/>
                <w:color w:val="auto"/>
              </w:rPr>
            </w:pPr>
          </w:p>
        </w:tc>
        <w:tc>
          <w:tcPr>
            <w:tcW w:w="1020" w:type="dxa"/>
            <w:vAlign w:val="bottom"/>
          </w:tcPr>
          <w:p>
            <w:pPr>
              <w:ind w:left="200"/>
              <w:spacing w:after="0"/>
              <w:rPr>
                <w:sz w:val="20"/>
                <w:szCs w:val="20"/>
                <w:color w:val="auto"/>
              </w:rPr>
            </w:pPr>
            <w:r>
              <w:rPr>
                <w:rFonts w:ascii="Arial" w:cs="Arial" w:eastAsia="Arial" w:hAnsi="Arial"/>
                <w:sz w:val="14"/>
                <w:szCs w:val="14"/>
                <w:b w:val="1"/>
                <w:bCs w:val="1"/>
                <w:color w:val="auto"/>
              </w:rPr>
              <w:t>Target</w:t>
            </w:r>
          </w:p>
        </w:tc>
        <w:tc>
          <w:tcPr>
            <w:tcW w:w="200" w:type="dxa"/>
            <w:vAlign w:val="bottom"/>
          </w:tcPr>
          <w:p>
            <w:pPr>
              <w:spacing w:after="0"/>
              <w:rPr>
                <w:sz w:val="16"/>
                <w:szCs w:val="16"/>
                <w:color w:val="auto"/>
              </w:rPr>
            </w:pPr>
          </w:p>
        </w:tc>
        <w:tc>
          <w:tcPr>
            <w:tcW w:w="1200" w:type="dxa"/>
            <w:vAlign w:val="bottom"/>
          </w:tcPr>
          <w:p>
            <w:pPr>
              <w:ind w:left="140"/>
              <w:spacing w:after="0"/>
              <w:rPr>
                <w:sz w:val="20"/>
                <w:szCs w:val="20"/>
                <w:color w:val="auto"/>
              </w:rPr>
            </w:pPr>
            <w:r>
              <w:rPr>
                <w:rFonts w:ascii="Arial" w:cs="Arial" w:eastAsia="Arial" w:hAnsi="Arial"/>
                <w:sz w:val="14"/>
                <w:szCs w:val="14"/>
                <w:b w:val="1"/>
                <w:bCs w:val="1"/>
                <w:color w:val="auto"/>
              </w:rPr>
              <w:t>Maximum</w:t>
            </w:r>
          </w:p>
        </w:tc>
        <w:tc>
          <w:tcPr>
            <w:tcW w:w="980" w:type="dxa"/>
            <w:vAlign w:val="bottom"/>
          </w:tcPr>
          <w:p>
            <w:pPr>
              <w:ind w:left="60"/>
              <w:spacing w:after="0"/>
              <w:rPr>
                <w:sz w:val="20"/>
                <w:szCs w:val="20"/>
                <w:color w:val="auto"/>
              </w:rPr>
            </w:pPr>
            <w:r>
              <w:rPr>
                <w:rFonts w:ascii="Arial" w:cs="Arial" w:eastAsia="Arial" w:hAnsi="Arial"/>
                <w:sz w:val="14"/>
                <w:szCs w:val="14"/>
                <w:b w:val="1"/>
                <w:bCs w:val="1"/>
                <w:color w:val="auto"/>
              </w:rPr>
              <w:t>Performance</w:t>
            </w:r>
          </w:p>
        </w:tc>
        <w:tc>
          <w:tcPr>
            <w:tcW w:w="1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Achieved</w:t>
            </w:r>
          </w:p>
        </w:tc>
        <w:tc>
          <w:tcPr>
            <w:tcW w:w="0" w:type="dxa"/>
            <w:vAlign w:val="bottom"/>
          </w:tcPr>
          <w:p>
            <w:pPr>
              <w:spacing w:after="0"/>
              <w:rPr>
                <w:sz w:val="1"/>
                <w:szCs w:val="1"/>
                <w:color w:val="auto"/>
              </w:rPr>
            </w:pPr>
          </w:p>
        </w:tc>
      </w:tr>
      <w:tr>
        <w:trPr>
          <w:trHeight w:val="99"/>
        </w:trPr>
        <w:tc>
          <w:tcPr>
            <w:tcW w:w="1480" w:type="dxa"/>
            <w:vAlign w:val="bottom"/>
            <w:tcBorders>
              <w:bottom w:val="single" w:sz="8" w:color="0C426A"/>
            </w:tcBorders>
          </w:tcPr>
          <w:p>
            <w:pPr>
              <w:spacing w:after="0"/>
              <w:rPr>
                <w:sz w:val="8"/>
                <w:szCs w:val="8"/>
                <w:color w:val="auto"/>
              </w:rPr>
            </w:pPr>
          </w:p>
        </w:tc>
        <w:tc>
          <w:tcPr>
            <w:tcW w:w="320" w:type="dxa"/>
            <w:vAlign w:val="bottom"/>
            <w:tcBorders>
              <w:bottom w:val="single" w:sz="8" w:color="0C426A"/>
            </w:tcBorders>
          </w:tcPr>
          <w:p>
            <w:pPr>
              <w:spacing w:after="0"/>
              <w:rPr>
                <w:sz w:val="8"/>
                <w:szCs w:val="8"/>
                <w:color w:val="auto"/>
              </w:rPr>
            </w:pPr>
          </w:p>
        </w:tc>
        <w:tc>
          <w:tcPr>
            <w:tcW w:w="1080" w:type="dxa"/>
            <w:vAlign w:val="bottom"/>
            <w:tcBorders>
              <w:bottom w:val="single" w:sz="8" w:color="0C426A"/>
            </w:tcBorders>
          </w:tcPr>
          <w:p>
            <w:pPr>
              <w:spacing w:after="0"/>
              <w:rPr>
                <w:sz w:val="8"/>
                <w:szCs w:val="8"/>
                <w:color w:val="auto"/>
              </w:rPr>
            </w:pPr>
          </w:p>
        </w:tc>
        <w:tc>
          <w:tcPr>
            <w:tcW w:w="280" w:type="dxa"/>
            <w:vAlign w:val="bottom"/>
            <w:tcBorders>
              <w:bottom w:val="single" w:sz="8" w:color="0C426A"/>
            </w:tcBorders>
          </w:tcPr>
          <w:p>
            <w:pPr>
              <w:spacing w:after="0"/>
              <w:rPr>
                <w:sz w:val="8"/>
                <w:szCs w:val="8"/>
                <w:color w:val="auto"/>
              </w:rPr>
            </w:pPr>
          </w:p>
        </w:tc>
        <w:tc>
          <w:tcPr>
            <w:tcW w:w="1020" w:type="dxa"/>
            <w:vAlign w:val="bottom"/>
            <w:tcBorders>
              <w:bottom w:val="single" w:sz="8" w:color="0C426A"/>
            </w:tcBorders>
          </w:tcPr>
          <w:p>
            <w:pPr>
              <w:spacing w:after="0"/>
              <w:rPr>
                <w:sz w:val="8"/>
                <w:szCs w:val="8"/>
                <w:color w:val="auto"/>
              </w:rPr>
            </w:pPr>
          </w:p>
        </w:tc>
        <w:tc>
          <w:tcPr>
            <w:tcW w:w="200" w:type="dxa"/>
            <w:vAlign w:val="bottom"/>
            <w:tcBorders>
              <w:bottom w:val="single" w:sz="8" w:color="0C426A"/>
            </w:tcBorders>
          </w:tcPr>
          <w:p>
            <w:pPr>
              <w:spacing w:after="0"/>
              <w:rPr>
                <w:sz w:val="8"/>
                <w:szCs w:val="8"/>
                <w:color w:val="auto"/>
              </w:rPr>
            </w:pPr>
          </w:p>
        </w:tc>
        <w:tc>
          <w:tcPr>
            <w:tcW w:w="1200" w:type="dxa"/>
            <w:vAlign w:val="bottom"/>
            <w:tcBorders>
              <w:bottom w:val="single" w:sz="8" w:color="0C426A"/>
            </w:tcBorders>
          </w:tcPr>
          <w:p>
            <w:pPr>
              <w:spacing w:after="0"/>
              <w:rPr>
                <w:sz w:val="8"/>
                <w:szCs w:val="8"/>
                <w:color w:val="auto"/>
              </w:rPr>
            </w:pPr>
          </w:p>
        </w:tc>
        <w:tc>
          <w:tcPr>
            <w:tcW w:w="980" w:type="dxa"/>
            <w:vAlign w:val="bottom"/>
            <w:tcBorders>
              <w:bottom w:val="single" w:sz="8" w:color="0C426A"/>
            </w:tcBorders>
          </w:tcPr>
          <w:p>
            <w:pPr>
              <w:spacing w:after="0"/>
              <w:rPr>
                <w:sz w:val="8"/>
                <w:szCs w:val="8"/>
                <w:color w:val="auto"/>
              </w:rPr>
            </w:pPr>
          </w:p>
        </w:tc>
        <w:tc>
          <w:tcPr>
            <w:tcW w:w="180" w:type="dxa"/>
            <w:vAlign w:val="bottom"/>
            <w:tcBorders>
              <w:bottom w:val="single" w:sz="8" w:color="0C426A"/>
            </w:tcBorders>
          </w:tcPr>
          <w:p>
            <w:pPr>
              <w:spacing w:after="0"/>
              <w:rPr>
                <w:sz w:val="8"/>
                <w:szCs w:val="8"/>
                <w:color w:val="auto"/>
              </w:rPr>
            </w:pPr>
          </w:p>
        </w:tc>
        <w:tc>
          <w:tcPr>
            <w:tcW w:w="1040" w:type="dxa"/>
            <w:vAlign w:val="bottom"/>
            <w:tcBorders>
              <w:bottom w:val="single" w:sz="8" w:color="0C426A"/>
            </w:tcBorders>
          </w:tcPr>
          <w:p>
            <w:pPr>
              <w:spacing w:after="0"/>
              <w:rPr>
                <w:sz w:val="8"/>
                <w:szCs w:val="8"/>
                <w:color w:val="auto"/>
              </w:rPr>
            </w:pPr>
          </w:p>
        </w:tc>
        <w:tc>
          <w:tcPr>
            <w:tcW w:w="180" w:type="dxa"/>
            <w:vAlign w:val="bottom"/>
            <w:tcBorders>
              <w:bottom w:val="single" w:sz="8" w:color="0C426A"/>
            </w:tcBorders>
          </w:tcPr>
          <w:p>
            <w:pPr>
              <w:spacing w:after="0"/>
              <w:rPr>
                <w:sz w:val="8"/>
                <w:szCs w:val="8"/>
                <w:color w:val="auto"/>
              </w:rPr>
            </w:pPr>
          </w:p>
        </w:tc>
        <w:tc>
          <w:tcPr>
            <w:tcW w:w="1020" w:type="dxa"/>
            <w:vAlign w:val="bottom"/>
            <w:tcBorders>
              <w:bottom w:val="single" w:sz="8" w:color="0C426A"/>
            </w:tcBorders>
          </w:tcPr>
          <w:p>
            <w:pPr>
              <w:spacing w:after="0"/>
              <w:rPr>
                <w:sz w:val="8"/>
                <w:szCs w:val="8"/>
                <w:color w:val="auto"/>
              </w:rPr>
            </w:pPr>
          </w:p>
        </w:tc>
        <w:tc>
          <w:tcPr>
            <w:tcW w:w="0" w:type="dxa"/>
            <w:vAlign w:val="bottom"/>
          </w:tcPr>
          <w:p>
            <w:pPr>
              <w:spacing w:after="0"/>
              <w:rPr>
                <w:sz w:val="1"/>
                <w:szCs w:val="1"/>
                <w:color w:val="auto"/>
              </w:rPr>
            </w:pPr>
          </w:p>
        </w:tc>
      </w:tr>
      <w:tr>
        <w:trPr>
          <w:trHeight w:val="335"/>
        </w:trPr>
        <w:tc>
          <w:tcPr>
            <w:tcW w:w="1480" w:type="dxa"/>
            <w:vAlign w:val="bottom"/>
          </w:tcPr>
          <w:p>
            <w:pPr>
              <w:ind w:left="20"/>
              <w:spacing w:after="0"/>
              <w:rPr>
                <w:sz w:val="20"/>
                <w:szCs w:val="20"/>
                <w:color w:val="auto"/>
              </w:rPr>
            </w:pPr>
            <w:r>
              <w:rPr>
                <w:rFonts w:ascii="Arial" w:cs="Arial" w:eastAsia="Arial" w:hAnsi="Arial"/>
                <w:sz w:val="16"/>
                <w:szCs w:val="16"/>
                <w:b w:val="1"/>
                <w:bCs w:val="1"/>
                <w:color w:val="auto"/>
              </w:rPr>
              <w:t>Financial</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48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675"/>
        </w:trPr>
        <w:tc>
          <w:tcPr>
            <w:tcW w:w="1480" w:type="dxa"/>
            <w:vAlign w:val="bottom"/>
          </w:tcPr>
          <w:p>
            <w:pPr>
              <w:ind w:left="20"/>
              <w:spacing w:after="0"/>
              <w:rPr>
                <w:sz w:val="20"/>
                <w:szCs w:val="20"/>
                <w:color w:val="auto"/>
              </w:rPr>
            </w:pPr>
            <w:r>
              <w:rPr>
                <w:rFonts w:ascii="Arial" w:cs="Arial" w:eastAsia="Arial" w:hAnsi="Arial"/>
                <w:sz w:val="32"/>
                <w:szCs w:val="32"/>
                <w:color w:val="auto"/>
                <w:vertAlign w:val="subscript"/>
              </w:rPr>
              <w:t>EPS</w:t>
            </w:r>
            <w:r>
              <w:rPr>
                <w:rFonts w:ascii="Arial" w:cs="Arial" w:eastAsia="Arial" w:hAnsi="Arial"/>
                <w:sz w:val="13"/>
                <w:szCs w:val="13"/>
                <w:color w:val="auto"/>
              </w:rPr>
              <w:t>(1)</w:t>
            </w:r>
          </w:p>
        </w:tc>
        <w:tc>
          <w:tcPr>
            <w:tcW w:w="320" w:type="dxa"/>
            <w:vAlign w:val="bottom"/>
          </w:tcPr>
          <w:p>
            <w:pPr>
              <w:ind w:left="10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$5.92</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40" w:type="dxa"/>
            <w:vAlign w:val="bottom"/>
          </w:tcPr>
          <w:p>
            <w:pPr>
              <w:jc w:val="center"/>
              <w:spacing w:after="0"/>
              <w:rPr>
                <w:sz w:val="20"/>
                <w:szCs w:val="20"/>
                <w:color w:val="auto"/>
              </w:rPr>
            </w:pPr>
            <w:r>
              <w:rPr>
                <w:rFonts w:ascii="Arial" w:cs="Arial" w:eastAsia="Arial" w:hAnsi="Arial"/>
                <w:sz w:val="16"/>
                <w:szCs w:val="16"/>
                <w:color w:val="auto"/>
              </w:rPr>
              <w:t>158.49%</w:t>
            </w:r>
          </w:p>
        </w:tc>
        <w:tc>
          <w:tcPr>
            <w:tcW w:w="180" w:type="dxa"/>
            <w:vAlign w:val="bottom"/>
          </w:tcPr>
          <w:p>
            <w:pPr>
              <w:ind w:left="2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8"/>
              </w:rPr>
              <w:t>118.87%</w:t>
            </w:r>
          </w:p>
        </w:tc>
        <w:tc>
          <w:tcPr>
            <w:tcW w:w="0" w:type="dxa"/>
            <w:vAlign w:val="bottom"/>
          </w:tcPr>
          <w:p>
            <w:pPr>
              <w:spacing w:after="0"/>
              <w:rPr>
                <w:sz w:val="1"/>
                <w:szCs w:val="1"/>
                <w:color w:val="auto"/>
              </w:rPr>
            </w:pPr>
          </w:p>
        </w:tc>
      </w:tr>
      <w:tr>
        <w:trPr>
          <w:trHeight w:val="348"/>
        </w:trPr>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6"/>
                <w:szCs w:val="16"/>
                <w:color w:val="auto"/>
              </w:rPr>
              <w:t> </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93"/>
        </w:trPr>
        <w:tc>
          <w:tcPr>
            <w:tcW w:w="1480" w:type="dxa"/>
            <w:vAlign w:val="bottom"/>
          </w:tcPr>
          <w:p>
            <w:pPr>
              <w:ind w:left="20"/>
              <w:spacing w:after="0"/>
              <w:rPr>
                <w:sz w:val="20"/>
                <w:szCs w:val="20"/>
                <w:color w:val="auto"/>
              </w:rPr>
            </w:pPr>
            <w:r>
              <w:rPr>
                <w:rFonts w:ascii="Arial" w:cs="Arial" w:eastAsia="Arial" w:hAnsi="Arial"/>
                <w:sz w:val="16"/>
                <w:szCs w:val="16"/>
                <w:color w:val="auto"/>
              </w:rPr>
              <w:t>Cash Conversion</w:t>
            </w:r>
          </w:p>
        </w:tc>
        <w:tc>
          <w:tcPr>
            <w:tcW w:w="320" w:type="dxa"/>
            <w:vAlign w:val="bottom"/>
          </w:tcPr>
          <w:p>
            <w:pPr>
              <w:ind w:left="10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91%</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40" w:type="dxa"/>
            <w:vAlign w:val="bottom"/>
          </w:tcPr>
          <w:p>
            <w:pPr>
              <w:jc w:val="center"/>
              <w:spacing w:after="0"/>
              <w:rPr>
                <w:sz w:val="20"/>
                <w:szCs w:val="20"/>
                <w:color w:val="auto"/>
              </w:rPr>
            </w:pPr>
            <w:r>
              <w:rPr>
                <w:rFonts w:ascii="Arial" w:cs="Arial" w:eastAsia="Arial" w:hAnsi="Arial"/>
                <w:sz w:val="16"/>
                <w:szCs w:val="16"/>
                <w:color w:val="auto"/>
              </w:rPr>
              <w:t>107.41%</w:t>
            </w:r>
          </w:p>
        </w:tc>
        <w:tc>
          <w:tcPr>
            <w:tcW w:w="180" w:type="dxa"/>
            <w:vAlign w:val="bottom"/>
          </w:tcPr>
          <w:p>
            <w:pPr>
              <w:ind w:left="2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26.85%</w:t>
            </w:r>
          </w:p>
        </w:tc>
        <w:tc>
          <w:tcPr>
            <w:tcW w:w="0" w:type="dxa"/>
            <w:vAlign w:val="bottom"/>
          </w:tcPr>
          <w:p>
            <w:pPr>
              <w:spacing w:after="0"/>
              <w:rPr>
                <w:sz w:val="1"/>
                <w:szCs w:val="1"/>
                <w:color w:val="auto"/>
              </w:rPr>
            </w:pPr>
          </w:p>
        </w:tc>
      </w:tr>
      <w:tr>
        <w:trPr>
          <w:trHeight w:val="484"/>
        </w:trPr>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6"/>
                <w:szCs w:val="16"/>
                <w:color w:val="auto"/>
              </w:rPr>
              <w:t xml:space="preserve">  </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1480" w:type="dxa"/>
            <w:vAlign w:val="bottom"/>
          </w:tcPr>
          <w:p>
            <w:pPr>
              <w:ind w:left="20"/>
              <w:spacing w:after="0"/>
              <w:rPr>
                <w:sz w:val="20"/>
                <w:szCs w:val="20"/>
                <w:color w:val="auto"/>
              </w:rPr>
            </w:pPr>
            <w:r>
              <w:rPr>
                <w:rFonts w:ascii="Arial" w:cs="Arial" w:eastAsia="Arial" w:hAnsi="Arial"/>
                <w:sz w:val="16"/>
                <w:szCs w:val="16"/>
                <w:color w:val="auto"/>
              </w:rPr>
              <w:t>Total Financial</w:t>
            </w:r>
          </w:p>
        </w:tc>
        <w:tc>
          <w:tcPr>
            <w:tcW w:w="320" w:type="dxa"/>
            <w:vAlign w:val="bottom"/>
          </w:tcPr>
          <w:p>
            <w:pPr>
              <w:spacing w:after="0"/>
              <w:rPr>
                <w:sz w:val="17"/>
                <w:szCs w:val="17"/>
                <w:color w:val="auto"/>
              </w:rPr>
            </w:pPr>
          </w:p>
        </w:tc>
        <w:tc>
          <w:tcPr>
            <w:tcW w:w="1080" w:type="dxa"/>
            <w:vAlign w:val="bottom"/>
          </w:tcPr>
          <w:p>
            <w:pPr>
              <w:ind w:left="10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4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8"/>
              </w:rPr>
              <w:t>145.72%</w:t>
            </w:r>
          </w:p>
        </w:tc>
        <w:tc>
          <w:tcPr>
            <w:tcW w:w="0" w:type="dxa"/>
            <w:vAlign w:val="bottom"/>
          </w:tcPr>
          <w:p>
            <w:pPr>
              <w:spacing w:after="0"/>
              <w:rPr>
                <w:sz w:val="1"/>
                <w:szCs w:val="1"/>
                <w:color w:val="auto"/>
              </w:rPr>
            </w:pPr>
          </w:p>
        </w:tc>
      </w:tr>
      <w:tr>
        <w:trPr>
          <w:trHeight w:val="191"/>
        </w:trPr>
        <w:tc>
          <w:tcPr>
            <w:tcW w:w="148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108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102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1200" w:type="dxa"/>
            <w:vAlign w:val="bottom"/>
            <w:tcBorders>
              <w:bottom w:val="single" w:sz="8" w:color="808080"/>
            </w:tcBorders>
          </w:tcPr>
          <w:p>
            <w:pPr>
              <w:spacing w:after="0"/>
              <w:rPr>
                <w:sz w:val="16"/>
                <w:szCs w:val="16"/>
                <w:color w:val="auto"/>
              </w:rPr>
            </w:pPr>
          </w:p>
        </w:tc>
        <w:tc>
          <w:tcPr>
            <w:tcW w:w="98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104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10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1480" w:type="dxa"/>
            <w:vAlign w:val="bottom"/>
          </w:tcPr>
          <w:p>
            <w:pPr>
              <w:ind w:left="20"/>
              <w:spacing w:after="0"/>
              <w:rPr>
                <w:sz w:val="20"/>
                <w:szCs w:val="20"/>
                <w:color w:val="auto"/>
              </w:rPr>
            </w:pPr>
            <w:r>
              <w:rPr>
                <w:rFonts w:ascii="Arial" w:cs="Arial" w:eastAsia="Arial" w:hAnsi="Arial"/>
                <w:sz w:val="16"/>
                <w:szCs w:val="16"/>
                <w:color w:val="auto"/>
              </w:rPr>
              <w:t>Discretionary</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7"/>
              </w:rPr>
              <w:t>(4.0%)</w:t>
            </w:r>
          </w:p>
        </w:tc>
        <w:tc>
          <w:tcPr>
            <w:tcW w:w="0" w:type="dxa"/>
            <w:vAlign w:val="bottom"/>
          </w:tcPr>
          <w:p>
            <w:pPr>
              <w:spacing w:after="0"/>
              <w:rPr>
                <w:sz w:val="1"/>
                <w:szCs w:val="1"/>
                <w:color w:val="auto"/>
              </w:rPr>
            </w:pPr>
          </w:p>
        </w:tc>
      </w:tr>
      <w:tr>
        <w:trPr>
          <w:trHeight w:val="49"/>
        </w:trPr>
        <w:tc>
          <w:tcPr>
            <w:tcW w:w="1480" w:type="dxa"/>
            <w:vAlign w:val="bottom"/>
            <w:vMerge w:val="restart"/>
          </w:tcPr>
          <w:p>
            <w:pPr>
              <w:ind w:left="20"/>
              <w:spacing w:after="0"/>
              <w:rPr>
                <w:sz w:val="20"/>
                <w:szCs w:val="20"/>
                <w:color w:val="auto"/>
              </w:rPr>
            </w:pPr>
            <w:r>
              <w:rPr>
                <w:rFonts w:ascii="Arial" w:cs="Arial" w:eastAsia="Arial" w:hAnsi="Arial"/>
                <w:sz w:val="16"/>
                <w:szCs w:val="16"/>
                <w:color w:val="auto"/>
              </w:rPr>
              <w:t>Adjustment</w:t>
            </w:r>
            <w:r>
              <w:rPr>
                <w:rFonts w:ascii="Arial" w:cs="Arial" w:eastAsia="Arial" w:hAnsi="Arial"/>
                <w:sz w:val="26"/>
                <w:szCs w:val="26"/>
                <w:color w:val="auto"/>
                <w:vertAlign w:val="superscript"/>
              </w:rPr>
              <w:t>(2)</w:t>
            </w:r>
          </w:p>
        </w:tc>
        <w:tc>
          <w:tcPr>
            <w:tcW w:w="320" w:type="dxa"/>
            <w:vAlign w:val="bottom"/>
          </w:tcPr>
          <w:p>
            <w:pPr>
              <w:ind w:left="10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80" w:type="dxa"/>
            <w:vAlign w:val="bottom"/>
          </w:tcPr>
          <w:p>
            <w:pPr>
              <w:ind w:left="10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Pr>
          <w:p>
            <w:pPr>
              <w:ind w:left="9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tcPr>
          <w:p>
            <w:pPr>
              <w:ind w:left="102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spacing w:after="0"/>
              <w:rPr>
                <w:sz w:val="4"/>
                <w:szCs w:val="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40" w:type="dxa"/>
            <w:vAlign w:val="bottom"/>
          </w:tcPr>
          <w:p>
            <w:pPr>
              <w:spacing w:after="0"/>
              <w:rPr>
                <w:sz w:val="4"/>
                <w:szCs w:val="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1480" w:type="dxa"/>
            <w:vAlign w:val="bottom"/>
            <w:tcBorders>
              <w:bottom w:val="single" w:sz="8" w:color="808080"/>
            </w:tcBorders>
            <w:vMerge w:val="continue"/>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480" w:type="dxa"/>
            <w:vAlign w:val="bottom"/>
          </w:tcPr>
          <w:p>
            <w:pPr>
              <w:ind w:left="20"/>
              <w:spacing w:after="0"/>
              <w:rPr>
                <w:sz w:val="20"/>
                <w:szCs w:val="20"/>
                <w:color w:val="auto"/>
              </w:rPr>
            </w:pPr>
            <w:r>
              <w:rPr>
                <w:rFonts w:ascii="Arial" w:cs="Arial" w:eastAsia="Arial" w:hAnsi="Arial"/>
                <w:sz w:val="16"/>
                <w:szCs w:val="16"/>
                <w:color w:val="auto"/>
              </w:rPr>
              <w:t>Overall Financial</w:t>
            </w:r>
          </w:p>
        </w:tc>
        <w:tc>
          <w:tcPr>
            <w:tcW w:w="320" w:type="dxa"/>
            <w:vAlign w:val="bottom"/>
          </w:tcPr>
          <w:p>
            <w:pPr>
              <w:ind w:left="10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80" w:type="dxa"/>
            <w:vAlign w:val="bottom"/>
          </w:tcPr>
          <w:p>
            <w:pPr>
              <w:ind w:left="10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Pr>
          <w:p>
            <w:pPr>
              <w:ind w:left="9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tcPr>
          <w:p>
            <w:pPr>
              <w:ind w:left="102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4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8"/>
              </w:rPr>
              <w:t>141.72%</w:t>
            </w:r>
          </w:p>
        </w:tc>
        <w:tc>
          <w:tcPr>
            <w:tcW w:w="0" w:type="dxa"/>
            <w:vAlign w:val="bottom"/>
          </w:tcPr>
          <w:p>
            <w:pPr>
              <w:spacing w:after="0"/>
              <w:rPr>
                <w:sz w:val="1"/>
                <w:szCs w:val="1"/>
                <w:color w:val="auto"/>
              </w:rPr>
            </w:pPr>
          </w:p>
        </w:tc>
      </w:tr>
      <w:tr>
        <w:trPr>
          <w:trHeight w:val="106"/>
        </w:trPr>
        <w:tc>
          <w:tcPr>
            <w:tcW w:w="1480" w:type="dxa"/>
            <w:vAlign w:val="bottom"/>
            <w:vMerge w:val="restart"/>
          </w:tcPr>
          <w:p>
            <w:pPr>
              <w:ind w:left="20"/>
              <w:spacing w:after="0"/>
              <w:rPr>
                <w:sz w:val="20"/>
                <w:szCs w:val="20"/>
                <w:color w:val="auto"/>
              </w:rPr>
            </w:pPr>
            <w:r>
              <w:rPr>
                <w:rFonts w:ascii="Arial" w:cs="Arial" w:eastAsia="Arial" w:hAnsi="Arial"/>
                <w:sz w:val="16"/>
                <w:szCs w:val="16"/>
                <w:color w:val="auto"/>
              </w:rPr>
              <w:t>Result</w:t>
            </w: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48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08"/>
        </w:trPr>
        <w:tc>
          <w:tcPr>
            <w:tcW w:w="1480" w:type="dxa"/>
            <w:vAlign w:val="bottom"/>
          </w:tcPr>
          <w:p>
            <w:pPr>
              <w:ind w:left="20"/>
              <w:spacing w:after="0"/>
              <w:rPr>
                <w:sz w:val="20"/>
                <w:szCs w:val="20"/>
                <w:color w:val="auto"/>
              </w:rPr>
            </w:pPr>
            <w:r>
              <w:rPr>
                <w:rFonts w:ascii="Arial" w:cs="Arial" w:eastAsia="Arial" w:hAnsi="Arial"/>
                <w:sz w:val="16"/>
                <w:szCs w:val="16"/>
                <w:b w:val="1"/>
                <w:bCs w:val="1"/>
                <w:color w:val="auto"/>
              </w:rPr>
              <w:t>Personal</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48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33"/>
        </w:trPr>
        <w:tc>
          <w:tcPr>
            <w:tcW w:w="1480" w:type="dxa"/>
            <w:vAlign w:val="bottom"/>
          </w:tcPr>
          <w:p>
            <w:pPr>
              <w:ind w:left="20"/>
              <w:spacing w:after="0"/>
              <w:rPr>
                <w:sz w:val="20"/>
                <w:szCs w:val="20"/>
                <w:color w:val="auto"/>
              </w:rPr>
            </w:pPr>
            <w:r>
              <w:rPr>
                <w:rFonts w:ascii="Arial" w:cs="Arial" w:eastAsia="Arial" w:hAnsi="Arial"/>
                <w:sz w:val="16"/>
                <w:szCs w:val="16"/>
                <w:color w:val="auto"/>
              </w:rPr>
              <w:t>EBIT Margin</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w:t>
            </w:r>
          </w:p>
        </w:tc>
        <w:tc>
          <w:tcPr>
            <w:tcW w:w="320" w:type="dxa"/>
            <w:vAlign w:val="bottom"/>
          </w:tcPr>
          <w:p>
            <w:pPr>
              <w:ind w:left="10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17%</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112.0%</w:t>
            </w:r>
          </w:p>
        </w:tc>
        <w:tc>
          <w:tcPr>
            <w:tcW w:w="180" w:type="dxa"/>
            <w:vAlign w:val="bottom"/>
          </w:tcPr>
          <w:p>
            <w:pPr>
              <w:ind w:left="2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56.00%</w:t>
            </w:r>
          </w:p>
        </w:tc>
        <w:tc>
          <w:tcPr>
            <w:tcW w:w="0" w:type="dxa"/>
            <w:vAlign w:val="bottom"/>
          </w:tcPr>
          <w:p>
            <w:pPr>
              <w:spacing w:after="0"/>
              <w:rPr>
                <w:sz w:val="1"/>
                <w:szCs w:val="1"/>
                <w:color w:val="auto"/>
              </w:rPr>
            </w:pPr>
          </w:p>
        </w:tc>
      </w:tr>
      <w:tr>
        <w:trPr>
          <w:trHeight w:val="297"/>
        </w:trPr>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6"/>
                <w:szCs w:val="16"/>
                <w:color w:val="auto"/>
              </w:rPr>
              <w:t> </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472"/>
        </w:trPr>
        <w:tc>
          <w:tcPr>
            <w:tcW w:w="1480" w:type="dxa"/>
            <w:vAlign w:val="bottom"/>
          </w:tcPr>
          <w:p>
            <w:pPr>
              <w:ind w:left="20"/>
              <w:spacing w:after="0"/>
              <w:rPr>
                <w:sz w:val="20"/>
                <w:szCs w:val="20"/>
                <w:color w:val="auto"/>
              </w:rPr>
            </w:pPr>
            <w:r>
              <w:rPr>
                <w:rFonts w:ascii="Arial" w:cs="Arial" w:eastAsia="Arial" w:hAnsi="Arial"/>
                <w:sz w:val="16"/>
                <w:szCs w:val="16"/>
                <w:color w:val="auto"/>
              </w:rPr>
              <w:t>Revenue Growth</w:t>
            </w:r>
          </w:p>
        </w:tc>
        <w:tc>
          <w:tcPr>
            <w:tcW w:w="320" w:type="dxa"/>
            <w:vAlign w:val="bottom"/>
          </w:tcPr>
          <w:p>
            <w:pPr>
              <w:ind w:left="10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jc w:val="center"/>
              <w:spacing w:after="0"/>
              <w:rPr>
                <w:sz w:val="20"/>
                <w:szCs w:val="20"/>
                <w:color w:val="auto"/>
              </w:rPr>
            </w:pPr>
            <w:r>
              <w:rPr>
                <w:rFonts w:ascii="Arial" w:cs="Arial" w:eastAsia="Arial" w:hAnsi="Arial"/>
                <w:sz w:val="16"/>
                <w:szCs w:val="16"/>
                <w:color w:val="auto"/>
              </w:rPr>
              <w:t>15.7%</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120.0%</w:t>
            </w:r>
          </w:p>
        </w:tc>
        <w:tc>
          <w:tcPr>
            <w:tcW w:w="180" w:type="dxa"/>
            <w:vAlign w:val="bottom"/>
          </w:tcPr>
          <w:p>
            <w:pPr>
              <w:ind w:left="2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60.00%</w:t>
            </w:r>
          </w:p>
        </w:tc>
        <w:tc>
          <w:tcPr>
            <w:tcW w:w="0" w:type="dxa"/>
            <w:vAlign w:val="bottom"/>
          </w:tcPr>
          <w:p>
            <w:pPr>
              <w:spacing w:after="0"/>
              <w:rPr>
                <w:sz w:val="1"/>
                <w:szCs w:val="1"/>
                <w:color w:val="auto"/>
              </w:rPr>
            </w:pPr>
          </w:p>
        </w:tc>
      </w:tr>
      <w:tr>
        <w:trPr>
          <w:trHeight w:val="363"/>
        </w:trPr>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6"/>
                <w:szCs w:val="16"/>
                <w:color w:val="auto"/>
              </w:rPr>
              <w:t> </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1480" w:type="dxa"/>
            <w:vAlign w:val="bottom"/>
          </w:tcPr>
          <w:p>
            <w:pPr>
              <w:ind w:left="20"/>
              <w:spacing w:after="0"/>
              <w:rPr>
                <w:sz w:val="20"/>
                <w:szCs w:val="20"/>
                <w:color w:val="auto"/>
              </w:rPr>
            </w:pPr>
            <w:r>
              <w:rPr>
                <w:rFonts w:ascii="Arial" w:cs="Arial" w:eastAsia="Arial" w:hAnsi="Arial"/>
                <w:sz w:val="16"/>
                <w:szCs w:val="16"/>
                <w:color w:val="auto"/>
              </w:rPr>
              <w:t>Individual Multiplier</w:t>
            </w:r>
          </w:p>
        </w:tc>
        <w:tc>
          <w:tcPr>
            <w:tcW w:w="320" w:type="dxa"/>
            <w:vAlign w:val="bottom"/>
          </w:tcPr>
          <w:p>
            <w:pPr>
              <w:ind w:left="10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4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8"/>
              </w:rPr>
              <w:t>116.00%</w:t>
            </w:r>
          </w:p>
        </w:tc>
        <w:tc>
          <w:tcPr>
            <w:tcW w:w="0" w:type="dxa"/>
            <w:vAlign w:val="bottom"/>
          </w:tcPr>
          <w:p>
            <w:pPr>
              <w:spacing w:after="0"/>
              <w:rPr>
                <w:sz w:val="1"/>
                <w:szCs w:val="1"/>
                <w:color w:val="auto"/>
              </w:rPr>
            </w:pPr>
          </w:p>
        </w:tc>
      </w:tr>
      <w:tr>
        <w:trPr>
          <w:trHeight w:val="191"/>
        </w:trPr>
        <w:tc>
          <w:tcPr>
            <w:tcW w:w="148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108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102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1200" w:type="dxa"/>
            <w:vAlign w:val="bottom"/>
            <w:tcBorders>
              <w:bottom w:val="single" w:sz="8" w:color="808080"/>
            </w:tcBorders>
          </w:tcPr>
          <w:p>
            <w:pPr>
              <w:spacing w:after="0"/>
              <w:rPr>
                <w:sz w:val="16"/>
                <w:szCs w:val="16"/>
                <w:color w:val="auto"/>
              </w:rPr>
            </w:pPr>
          </w:p>
        </w:tc>
        <w:tc>
          <w:tcPr>
            <w:tcW w:w="98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104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10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480" w:type="dxa"/>
            <w:vAlign w:val="bottom"/>
          </w:tcPr>
          <w:p>
            <w:pPr>
              <w:spacing w:after="0"/>
              <w:rPr>
                <w:sz w:val="17"/>
                <w:szCs w:val="17"/>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Total</w:t>
            </w:r>
          </w:p>
        </w:tc>
        <w:tc>
          <w:tcPr>
            <w:tcW w:w="180" w:type="dxa"/>
            <w:vAlign w:val="bottom"/>
          </w:tcPr>
          <w:p>
            <w:pPr>
              <w:ind w:left="2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8"/>
              </w:rPr>
              <w:t>164.40%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121285</wp:posOffset>
            </wp:positionV>
            <wp:extent cx="571373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71373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-4520565</wp:posOffset>
            </wp:positionV>
            <wp:extent cx="2066290" cy="4591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066290" cy="45910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-3797935</wp:posOffset>
            </wp:positionV>
            <wp:extent cx="2066290" cy="4933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066290" cy="49339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-1723390</wp:posOffset>
            </wp:positionV>
            <wp:extent cx="2066290" cy="527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066290" cy="52705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-932180</wp:posOffset>
            </wp:positionV>
            <wp:extent cx="2193290" cy="3403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93290" cy="340360"/>
                    </a:xfrm>
                    <a:prstGeom prst="rect">
                      <a:avLst/>
                    </a:prstGeom>
                    <a:noFill/>
                  </pic:spPr>
                </pic:pic>
              </a:graphicData>
            </a:graphic>
          </wp:anchor>
        </w:drawing>
      </w:r>
    </w:p>
    <w:p>
      <w:pPr>
        <w:spacing w:after="0" w:line="336" w:lineRule="exact"/>
        <w:rPr>
          <w:sz w:val="20"/>
          <w:szCs w:val="20"/>
          <w:color w:val="auto"/>
        </w:rPr>
      </w:pPr>
    </w:p>
    <w:p>
      <w:pPr>
        <w:ind w:left="180" w:right="159" w:hanging="175"/>
        <w:spacing w:after="0" w:line="207" w:lineRule="auto"/>
        <w:tabs>
          <w:tab w:leader="none" w:pos="180" w:val="left"/>
        </w:tabs>
        <w:numPr>
          <w:ilvl w:val="0"/>
          <w:numId w:val="35"/>
        </w:numPr>
        <w:rPr>
          <w:rFonts w:ascii="Arial" w:cs="Arial" w:eastAsia="Arial" w:hAnsi="Arial"/>
          <w:sz w:val="21"/>
          <w:szCs w:val="21"/>
          <w:color w:val="auto"/>
          <w:vertAlign w:val="superscript"/>
        </w:rPr>
      </w:pPr>
      <w:r>
        <w:rPr>
          <w:rFonts w:ascii="Arial" w:cs="Arial" w:eastAsia="Arial" w:hAnsi="Arial"/>
          <w:sz w:val="14"/>
          <w:szCs w:val="14"/>
          <w:color w:val="auto"/>
        </w:rPr>
        <w:t>This is a non-GAAP financial measure. See page A-</w:t>
      </w:r>
      <w:r>
        <w:rPr>
          <w:rFonts w:ascii="Arial" w:cs="Arial" w:eastAsia="Arial" w:hAnsi="Arial"/>
          <w:sz w:val="14"/>
          <w:szCs w:val="14"/>
          <w:u w:val="single" w:color="auto"/>
          <w:color w:val="0000EE"/>
        </w:rPr>
        <w:t>1</w:t>
      </w:r>
      <w:r>
        <w:rPr>
          <w:rFonts w:ascii="Arial" w:cs="Arial" w:eastAsia="Arial" w:hAnsi="Arial"/>
          <w:sz w:val="14"/>
          <w:szCs w:val="14"/>
          <w:color w:val="auto"/>
        </w:rPr>
        <w:t xml:space="preserve"> for a reconciliation to the most directly comparable financial measure calculated under GAAP. The actual 2023 bonus awards as a result of this performance for the NEOs are shown under the “Non-equity Incentive Plan Compensation” column of the Summary Compensation Table on page 61.</w:t>
      </w:r>
    </w:p>
    <w:p>
      <w:pPr>
        <w:spacing w:after="0" w:line="50" w:lineRule="exact"/>
        <w:rPr>
          <w:sz w:val="20"/>
          <w:szCs w:val="20"/>
          <w:color w:val="auto"/>
        </w:rPr>
      </w:pPr>
    </w:p>
    <w:p>
      <w:pPr>
        <w:ind w:left="180" w:right="679" w:hanging="175"/>
        <w:spacing w:after="0" w:line="208" w:lineRule="auto"/>
        <w:tabs>
          <w:tab w:leader="none" w:pos="180" w:val="left"/>
        </w:tabs>
        <w:numPr>
          <w:ilvl w:val="0"/>
          <w:numId w:val="36"/>
        </w:numPr>
        <w:rPr>
          <w:rFonts w:ascii="Arial" w:cs="Arial" w:eastAsia="Arial" w:hAnsi="Arial"/>
          <w:sz w:val="21"/>
          <w:szCs w:val="21"/>
          <w:color w:val="auto"/>
          <w:vertAlign w:val="superscript"/>
        </w:rPr>
      </w:pPr>
      <w:r>
        <w:rPr>
          <w:rFonts w:ascii="Arial" w:cs="Arial" w:eastAsia="Arial" w:hAnsi="Arial"/>
          <w:sz w:val="14"/>
          <w:szCs w:val="14"/>
          <w:color w:val="auto"/>
        </w:rPr>
        <w:t>This discretionary adjustment was determined by the Compensation Committee based on its review of various market factors and Company-wide incentive compensation decisions.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760" w:type="dxa"/>
            <w:vAlign w:val="bottom"/>
          </w:tcPr>
          <w:p>
            <w:pPr>
              <w:jc w:val="right"/>
              <w:ind w:right="529"/>
              <w:spacing w:after="0"/>
              <w:rPr>
                <w:sz w:val="20"/>
                <w:szCs w:val="20"/>
                <w:color w:val="auto"/>
              </w:rPr>
            </w:pPr>
            <w:r>
              <w:rPr>
                <w:rFonts w:ascii="Arial" w:cs="Arial" w:eastAsia="Arial" w:hAnsi="Arial"/>
                <w:sz w:val="14"/>
                <w:szCs w:val="14"/>
                <w:b w:val="1"/>
                <w:bCs w:val="1"/>
                <w:color w:val="auto"/>
                <w:w w:val="89"/>
              </w:rPr>
              <w:t>52</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170180</wp:posOffset>
            </wp:positionV>
            <wp:extent cx="693801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55" w:name="page56"/>
    <w:bookmarkEnd w:id="55"/>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tbl>
      <w:tblPr>
        <w:tblLayout w:type="fixed"/>
        <w:tblInd w:w="980" w:type="dxa"/>
        <w:tblCellMar>
          <w:top w:w="0" w:type="dxa"/>
          <w:left w:w="0" w:type="dxa"/>
          <w:bottom w:w="0" w:type="dxa"/>
          <w:right w:w="0" w:type="dxa"/>
        </w:tblCellMar>
      </w:tblPr>
      <w:tr>
        <w:trPr>
          <w:trHeight w:val="165"/>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4"/>
          </w:tcPr>
          <w:p>
            <w:pPr>
              <w:jc w:val="right"/>
              <w:spacing w:after="0"/>
              <w:rPr>
                <w:sz w:val="20"/>
                <w:szCs w:val="20"/>
                <w:color w:val="auto"/>
              </w:rPr>
            </w:pPr>
            <w:r>
              <w:rPr>
                <w:rFonts w:ascii="Arial" w:cs="Arial" w:eastAsia="Arial" w:hAnsi="Arial"/>
                <w:sz w:val="12"/>
                <w:szCs w:val="12"/>
                <w:color w:val="auto"/>
              </w:rPr>
              <w:t>Compensation Discussion and Analysis</w:t>
            </w:r>
          </w:p>
        </w:tc>
        <w:tc>
          <w:tcPr>
            <w:tcW w:w="0" w:type="dxa"/>
            <w:vAlign w:val="bottom"/>
          </w:tcPr>
          <w:p>
            <w:pPr>
              <w:spacing w:after="0"/>
              <w:rPr>
                <w:sz w:val="1"/>
                <w:szCs w:val="1"/>
                <w:color w:val="auto"/>
              </w:rPr>
            </w:pPr>
          </w:p>
        </w:tc>
      </w:tr>
      <w:tr>
        <w:trPr>
          <w:trHeight w:val="322"/>
        </w:trPr>
        <w:tc>
          <w:tcPr>
            <w:tcW w:w="3540" w:type="dxa"/>
            <w:vAlign w:val="bottom"/>
          </w:tcPr>
          <w:p>
            <w:pPr>
              <w:spacing w:after="0"/>
              <w:rPr>
                <w:sz w:val="24"/>
                <w:szCs w:val="24"/>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540" w:type="dxa"/>
            <w:vAlign w:val="bottom"/>
            <w:gridSpan w:val="3"/>
          </w:tcPr>
          <w:p>
            <w:pPr>
              <w:jc w:val="right"/>
              <w:ind w:right="109"/>
              <w:spacing w:after="0"/>
              <w:rPr>
                <w:sz w:val="20"/>
                <w:szCs w:val="20"/>
                <w:color w:val="auto"/>
              </w:rPr>
            </w:pPr>
            <w:r>
              <w:rPr>
                <w:rFonts w:ascii="Arial" w:cs="Arial" w:eastAsia="Arial" w:hAnsi="Arial"/>
                <w:sz w:val="14"/>
                <w:szCs w:val="14"/>
                <w:b w:val="1"/>
                <w:bCs w:val="1"/>
                <w:color w:val="auto"/>
              </w:rPr>
              <w:t>NEO Cash Bonus</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right"/>
              <w:ind w:right="449"/>
              <w:spacing w:after="0"/>
              <w:rPr>
                <w:sz w:val="20"/>
                <w:szCs w:val="20"/>
                <w:color w:val="auto"/>
              </w:rPr>
            </w:pPr>
            <w:r>
              <w:rPr>
                <w:rFonts w:ascii="Arial" w:cs="Arial" w:eastAsia="Arial" w:hAnsi="Arial"/>
                <w:sz w:val="14"/>
                <w:szCs w:val="14"/>
                <w:b w:val="1"/>
                <w:bCs w:val="1"/>
                <w:color w:val="auto"/>
              </w:rPr>
              <w:t>Targets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3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bottom w:val="single" w:sz="8" w:color="0C426A"/>
            </w:tcBorders>
          </w:tcPr>
          <w:p>
            <w:pPr>
              <w:spacing w:after="0"/>
              <w:rPr>
                <w:sz w:val="6"/>
                <w:szCs w:val="6"/>
                <w:color w:val="auto"/>
              </w:rPr>
            </w:pPr>
          </w:p>
        </w:tc>
        <w:tc>
          <w:tcPr>
            <w:tcW w:w="580" w:type="dxa"/>
            <w:vAlign w:val="bottom"/>
            <w:tcBorders>
              <w:bottom w:val="single" w:sz="8" w:color="0C426A"/>
            </w:tcBorders>
          </w:tcPr>
          <w:p>
            <w:pPr>
              <w:spacing w:after="0"/>
              <w:rPr>
                <w:sz w:val="6"/>
                <w:szCs w:val="6"/>
                <w:color w:val="auto"/>
              </w:rPr>
            </w:pPr>
          </w:p>
        </w:tc>
        <w:tc>
          <w:tcPr>
            <w:tcW w:w="360" w:type="dxa"/>
            <w:vAlign w:val="bottom"/>
            <w:tcBorders>
              <w:bottom w:val="single" w:sz="8" w:color="0C426A"/>
            </w:tcBorders>
          </w:tcPr>
          <w:p>
            <w:pPr>
              <w:spacing w:after="0"/>
              <w:rPr>
                <w:sz w:val="6"/>
                <w:szCs w:val="6"/>
                <w:color w:val="auto"/>
              </w:rPr>
            </w:pPr>
          </w:p>
        </w:tc>
        <w:tc>
          <w:tcPr>
            <w:tcW w:w="600" w:type="dxa"/>
            <w:vAlign w:val="bottom"/>
            <w:tcBorders>
              <w:bottom w:val="single" w:sz="8" w:color="0C426A"/>
            </w:tcBorders>
          </w:tcPr>
          <w:p>
            <w:pPr>
              <w:spacing w:after="0"/>
              <w:rPr>
                <w:sz w:val="6"/>
                <w:szCs w:val="6"/>
                <w:color w:val="auto"/>
              </w:rPr>
            </w:pPr>
          </w:p>
        </w:tc>
        <w:tc>
          <w:tcPr>
            <w:tcW w:w="60" w:type="dxa"/>
            <w:vAlign w:val="bottom"/>
            <w:tcBorders>
              <w:bottom w:val="single" w:sz="8" w:color="0C426A"/>
            </w:tcBorders>
          </w:tcPr>
          <w:p>
            <w:pPr>
              <w:spacing w:after="0"/>
              <w:rPr>
                <w:sz w:val="6"/>
                <w:szCs w:val="6"/>
                <w:color w:val="auto"/>
              </w:rPr>
            </w:pPr>
          </w:p>
        </w:tc>
        <w:tc>
          <w:tcPr>
            <w:tcW w:w="40" w:type="dxa"/>
            <w:vAlign w:val="bottom"/>
            <w:tcBorders>
              <w:bottom w:val="single" w:sz="8" w:color="0C426A"/>
            </w:tcBorders>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xml:space="preserve">Bonus $ </w:t>
            </w:r>
            <w:r>
              <w:rPr>
                <w:rFonts w:ascii="Times New Roman" w:cs="Times New Roman" w:eastAsia="Times New Roman" w:hAnsi="Times New Roman"/>
                <w:sz w:val="3"/>
                <w:szCs w:val="3"/>
                <w:color w:val="auto"/>
              </w:rPr>
              <w:t>​</w:t>
            </w: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auto"/>
              </w:rPr>
              <w:t>Actual NEO</w:t>
            </w:r>
          </w:p>
        </w:tc>
        <w:tc>
          <w:tcPr>
            <w:tcW w:w="0" w:type="dxa"/>
            <w:vAlign w:val="bottom"/>
          </w:tcPr>
          <w:p>
            <w:pPr>
              <w:spacing w:after="0"/>
              <w:rPr>
                <w:sz w:val="1"/>
                <w:szCs w:val="1"/>
                <w:color w:val="auto"/>
              </w:rPr>
            </w:pPr>
          </w:p>
        </w:tc>
      </w:tr>
      <w:tr>
        <w:trPr>
          <w:trHeight w:val="91"/>
        </w:trPr>
        <w:tc>
          <w:tcPr>
            <w:tcW w:w="3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26"/>
              <w:spacing w:after="0"/>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b w:val="1"/>
                <w:bCs w:val="1"/>
                <w:color w:val="auto"/>
              </w:rPr>
              <w:t>Before</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61"/>
        </w:trPr>
        <w:tc>
          <w:tcPr>
            <w:tcW w:w="3540" w:type="dxa"/>
            <w:vAlign w:val="bottom"/>
          </w:tcPr>
          <w:p>
            <w:pPr>
              <w:spacing w:after="0"/>
              <w:rPr>
                <w:sz w:val="13"/>
                <w:szCs w:val="13"/>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 xml:space="preserve">Base </w:t>
            </w:r>
            <w:r>
              <w:rPr>
                <w:rFonts w:ascii="Times New Roman" w:cs="Times New Roman" w:eastAsia="Times New Roman" w:hAnsi="Times New Roman"/>
                <w:sz w:val="3"/>
                <w:szCs w:val="3"/>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Individual</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Individual</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Bonus</w:t>
            </w:r>
          </w:p>
        </w:tc>
        <w:tc>
          <w:tcPr>
            <w:tcW w:w="0" w:type="dxa"/>
            <w:vAlign w:val="bottom"/>
          </w:tcPr>
          <w:p>
            <w:pPr>
              <w:spacing w:after="0"/>
              <w:rPr>
                <w:sz w:val="1"/>
                <w:szCs w:val="1"/>
                <w:color w:val="auto"/>
              </w:rPr>
            </w:pPr>
          </w:p>
        </w:tc>
      </w:tr>
      <w:tr>
        <w:trPr>
          <w:trHeight w:val="195"/>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Name and Position</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Salary</w:t>
            </w:r>
          </w:p>
        </w:tc>
        <w:tc>
          <w:tcPr>
            <w:tcW w:w="3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Dollars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Payout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b w:val="1"/>
                <w:bCs w:val="1"/>
                <w:color w:val="auto"/>
              </w:rPr>
              <w:t>Modifier</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Modifier</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82"/>
        </w:trPr>
        <w:tc>
          <w:tcPr>
            <w:tcW w:w="3540" w:type="dxa"/>
            <w:vAlign w:val="bottom"/>
            <w:tcBorders>
              <w:bottom w:val="single" w:sz="8" w:color="0C426A"/>
            </w:tcBorders>
          </w:tcPr>
          <w:p>
            <w:pPr>
              <w:spacing w:after="0"/>
              <w:rPr>
                <w:sz w:val="7"/>
                <w:szCs w:val="7"/>
                <w:color w:val="auto"/>
              </w:rPr>
            </w:pPr>
          </w:p>
        </w:tc>
        <w:tc>
          <w:tcPr>
            <w:tcW w:w="140" w:type="dxa"/>
            <w:vAlign w:val="bottom"/>
            <w:tcBorders>
              <w:bottom w:val="single" w:sz="8" w:color="0C426A"/>
            </w:tcBorders>
          </w:tcPr>
          <w:p>
            <w:pPr>
              <w:spacing w:after="0"/>
              <w:rPr>
                <w:sz w:val="7"/>
                <w:szCs w:val="7"/>
                <w:color w:val="auto"/>
              </w:rPr>
            </w:pPr>
          </w:p>
        </w:tc>
        <w:tc>
          <w:tcPr>
            <w:tcW w:w="40" w:type="dxa"/>
            <w:vAlign w:val="bottom"/>
            <w:tcBorders>
              <w:bottom w:val="single" w:sz="8" w:color="0C426A"/>
            </w:tcBorders>
          </w:tcPr>
          <w:p>
            <w:pPr>
              <w:spacing w:after="0"/>
              <w:rPr>
                <w:sz w:val="7"/>
                <w:szCs w:val="7"/>
                <w:color w:val="auto"/>
              </w:rPr>
            </w:pPr>
          </w:p>
        </w:tc>
        <w:tc>
          <w:tcPr>
            <w:tcW w:w="100" w:type="dxa"/>
            <w:vAlign w:val="bottom"/>
            <w:tcBorders>
              <w:bottom w:val="single" w:sz="8" w:color="0C426A"/>
            </w:tcBorders>
          </w:tcPr>
          <w:p>
            <w:pPr>
              <w:spacing w:after="0"/>
              <w:rPr>
                <w:sz w:val="7"/>
                <w:szCs w:val="7"/>
                <w:color w:val="auto"/>
              </w:rPr>
            </w:pPr>
          </w:p>
        </w:tc>
        <w:tc>
          <w:tcPr>
            <w:tcW w:w="580" w:type="dxa"/>
            <w:vAlign w:val="bottom"/>
            <w:tcBorders>
              <w:bottom w:val="single" w:sz="8" w:color="0C426A"/>
            </w:tcBorders>
          </w:tcPr>
          <w:p>
            <w:pPr>
              <w:spacing w:after="0"/>
              <w:rPr>
                <w:sz w:val="7"/>
                <w:szCs w:val="7"/>
                <w:color w:val="auto"/>
              </w:rPr>
            </w:pPr>
          </w:p>
        </w:tc>
        <w:tc>
          <w:tcPr>
            <w:tcW w:w="360" w:type="dxa"/>
            <w:vAlign w:val="bottom"/>
            <w:tcBorders>
              <w:bottom w:val="single" w:sz="8" w:color="0C426A"/>
            </w:tcBorders>
          </w:tcPr>
          <w:p>
            <w:pPr>
              <w:spacing w:after="0"/>
              <w:rPr>
                <w:sz w:val="7"/>
                <w:szCs w:val="7"/>
                <w:color w:val="auto"/>
              </w:rPr>
            </w:pPr>
          </w:p>
        </w:tc>
        <w:tc>
          <w:tcPr>
            <w:tcW w:w="600" w:type="dxa"/>
            <w:vAlign w:val="bottom"/>
            <w:tcBorders>
              <w:bottom w:val="single" w:sz="8" w:color="0C426A"/>
            </w:tcBorders>
          </w:tcPr>
          <w:p>
            <w:pPr>
              <w:spacing w:after="0"/>
              <w:rPr>
                <w:sz w:val="7"/>
                <w:szCs w:val="7"/>
                <w:color w:val="auto"/>
              </w:rPr>
            </w:pPr>
          </w:p>
        </w:tc>
        <w:tc>
          <w:tcPr>
            <w:tcW w:w="60" w:type="dxa"/>
            <w:vAlign w:val="bottom"/>
            <w:tcBorders>
              <w:bottom w:val="single" w:sz="8" w:color="0C426A"/>
            </w:tcBorders>
          </w:tcPr>
          <w:p>
            <w:pPr>
              <w:spacing w:after="0"/>
              <w:rPr>
                <w:sz w:val="7"/>
                <w:szCs w:val="7"/>
                <w:color w:val="auto"/>
              </w:rPr>
            </w:pPr>
          </w:p>
        </w:tc>
        <w:tc>
          <w:tcPr>
            <w:tcW w:w="40" w:type="dxa"/>
            <w:vAlign w:val="bottom"/>
            <w:tcBorders>
              <w:bottom w:val="single" w:sz="8" w:color="0C426A"/>
            </w:tcBorders>
          </w:tcPr>
          <w:p>
            <w:pPr>
              <w:spacing w:after="0"/>
              <w:rPr>
                <w:sz w:val="7"/>
                <w:szCs w:val="7"/>
                <w:color w:val="auto"/>
              </w:rPr>
            </w:pPr>
          </w:p>
        </w:tc>
        <w:tc>
          <w:tcPr>
            <w:tcW w:w="60" w:type="dxa"/>
            <w:vAlign w:val="bottom"/>
            <w:tcBorders>
              <w:bottom w:val="single" w:sz="8" w:color="0C426A"/>
            </w:tcBorders>
          </w:tcPr>
          <w:p>
            <w:pPr>
              <w:spacing w:after="0"/>
              <w:rPr>
                <w:sz w:val="7"/>
                <w:szCs w:val="7"/>
                <w:color w:val="auto"/>
              </w:rPr>
            </w:pPr>
          </w:p>
        </w:tc>
        <w:tc>
          <w:tcPr>
            <w:tcW w:w="720" w:type="dxa"/>
            <w:vAlign w:val="bottom"/>
            <w:tcBorders>
              <w:bottom w:val="single" w:sz="8" w:color="0C426A"/>
            </w:tcBorders>
          </w:tcPr>
          <w:p>
            <w:pPr>
              <w:spacing w:after="0"/>
              <w:rPr>
                <w:sz w:val="7"/>
                <w:szCs w:val="7"/>
                <w:color w:val="auto"/>
              </w:rPr>
            </w:pPr>
          </w:p>
        </w:tc>
        <w:tc>
          <w:tcPr>
            <w:tcW w:w="120" w:type="dxa"/>
            <w:vAlign w:val="bottom"/>
            <w:tcBorders>
              <w:bottom w:val="single" w:sz="8" w:color="0C426A"/>
            </w:tcBorders>
          </w:tcPr>
          <w:p>
            <w:pPr>
              <w:spacing w:after="0"/>
              <w:rPr>
                <w:sz w:val="7"/>
                <w:szCs w:val="7"/>
                <w:color w:val="auto"/>
              </w:rPr>
            </w:pPr>
          </w:p>
        </w:tc>
        <w:tc>
          <w:tcPr>
            <w:tcW w:w="140" w:type="dxa"/>
            <w:vAlign w:val="bottom"/>
            <w:tcBorders>
              <w:bottom w:val="single" w:sz="8" w:color="0C426A"/>
            </w:tcBorders>
          </w:tcPr>
          <w:p>
            <w:pPr>
              <w:spacing w:after="0"/>
              <w:rPr>
                <w:sz w:val="7"/>
                <w:szCs w:val="7"/>
                <w:color w:val="auto"/>
              </w:rPr>
            </w:pPr>
          </w:p>
        </w:tc>
        <w:tc>
          <w:tcPr>
            <w:tcW w:w="680" w:type="dxa"/>
            <w:vAlign w:val="bottom"/>
            <w:tcBorders>
              <w:bottom w:val="single" w:sz="8" w:color="0C426A"/>
            </w:tcBorders>
          </w:tcPr>
          <w:p>
            <w:pPr>
              <w:spacing w:after="0"/>
              <w:rPr>
                <w:sz w:val="7"/>
                <w:szCs w:val="7"/>
                <w:color w:val="auto"/>
              </w:rPr>
            </w:pPr>
          </w:p>
        </w:tc>
        <w:tc>
          <w:tcPr>
            <w:tcW w:w="100" w:type="dxa"/>
            <w:vAlign w:val="bottom"/>
            <w:tcBorders>
              <w:bottom w:val="single" w:sz="8" w:color="0C426A"/>
            </w:tcBorders>
          </w:tcPr>
          <w:p>
            <w:pPr>
              <w:spacing w:after="0"/>
              <w:rPr>
                <w:sz w:val="7"/>
                <w:szCs w:val="7"/>
                <w:color w:val="auto"/>
              </w:rPr>
            </w:pPr>
          </w:p>
        </w:tc>
        <w:tc>
          <w:tcPr>
            <w:tcW w:w="760" w:type="dxa"/>
            <w:vAlign w:val="bottom"/>
            <w:tcBorders>
              <w:bottom w:val="single" w:sz="8" w:color="0C426A"/>
            </w:tcBorders>
          </w:tcPr>
          <w:p>
            <w:pPr>
              <w:spacing w:after="0"/>
              <w:rPr>
                <w:sz w:val="7"/>
                <w:szCs w:val="7"/>
                <w:color w:val="auto"/>
              </w:rPr>
            </w:pPr>
          </w:p>
        </w:tc>
        <w:tc>
          <w:tcPr>
            <w:tcW w:w="940" w:type="dxa"/>
            <w:vAlign w:val="bottom"/>
            <w:tcBorders>
              <w:bottom w:val="single" w:sz="8" w:color="0C426A"/>
            </w:tcBorders>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Rafael Santana</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89"/>
        </w:trPr>
        <w:tc>
          <w:tcPr>
            <w:tcW w:w="3540" w:type="dxa"/>
            <w:vAlign w:val="bottom"/>
          </w:tcPr>
          <w:p>
            <w:pPr>
              <w:ind w:left="20"/>
              <w:spacing w:after="0"/>
              <w:rPr>
                <w:sz w:val="20"/>
                <w:szCs w:val="20"/>
                <w:color w:val="auto"/>
              </w:rPr>
            </w:pPr>
            <w:r>
              <w:rPr>
                <w:rFonts w:ascii="Arial" w:cs="Arial" w:eastAsia="Arial" w:hAnsi="Arial"/>
                <w:sz w:val="14"/>
                <w:szCs w:val="14"/>
                <w:color w:val="auto"/>
              </w:rPr>
              <w:t>President and Chief Executive Officer</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$2,120,000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141.72%</w:t>
            </w:r>
          </w:p>
        </w:tc>
        <w:tc>
          <w:tcPr>
            <w:tcW w:w="120" w:type="dxa"/>
            <w:vAlign w:val="bottom"/>
          </w:tcPr>
          <w:p>
            <w:pPr>
              <w:spacing w:after="0"/>
              <w:rPr>
                <w:sz w:val="16"/>
                <w:szCs w:val="16"/>
                <w:color w:val="auto"/>
              </w:rPr>
            </w:pPr>
          </w:p>
        </w:tc>
        <w:tc>
          <w:tcPr>
            <w:tcW w:w="820" w:type="dxa"/>
            <w:vAlign w:val="bottom"/>
            <w:gridSpan w:val="2"/>
          </w:tcPr>
          <w:p>
            <w:pPr>
              <w:jc w:val="right"/>
              <w:ind w:right="12"/>
              <w:spacing w:after="0"/>
              <w:rPr>
                <w:sz w:val="20"/>
                <w:szCs w:val="20"/>
                <w:color w:val="auto"/>
              </w:rPr>
            </w:pPr>
            <w:r>
              <w:rPr>
                <w:rFonts w:ascii="Arial" w:cs="Arial" w:eastAsia="Arial" w:hAnsi="Arial"/>
                <w:sz w:val="14"/>
                <w:szCs w:val="14"/>
                <w:color w:val="auto"/>
              </w:rPr>
              <w:t>$3,004,464</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116.0%</w:t>
            </w:r>
          </w:p>
        </w:tc>
        <w:tc>
          <w:tcPr>
            <w:tcW w:w="940" w:type="dxa"/>
            <w:vAlign w:val="bottom"/>
          </w:tcPr>
          <w:p>
            <w:pPr>
              <w:jc w:val="right"/>
              <w:spacing w:after="0"/>
              <w:rPr>
                <w:sz w:val="20"/>
                <w:szCs w:val="20"/>
                <w:color w:val="auto"/>
              </w:rPr>
            </w:pPr>
            <w:r>
              <w:rPr>
                <w:rFonts w:ascii="Arial" w:cs="Arial" w:eastAsia="Arial" w:hAnsi="Arial"/>
                <w:sz w:val="14"/>
                <w:szCs w:val="14"/>
                <w:color w:val="auto"/>
              </w:rPr>
              <w:t>$3,485,178</w:t>
            </w:r>
          </w:p>
        </w:tc>
        <w:tc>
          <w:tcPr>
            <w:tcW w:w="0" w:type="dxa"/>
            <w:vAlign w:val="bottom"/>
          </w:tcPr>
          <w:p>
            <w:pPr>
              <w:spacing w:after="0"/>
              <w:rPr>
                <w:sz w:val="1"/>
                <w:szCs w:val="1"/>
                <w:color w:val="auto"/>
              </w:rPr>
            </w:pPr>
          </w:p>
        </w:tc>
      </w:tr>
      <w:tr>
        <w:trPr>
          <w:trHeight w:val="38"/>
        </w:trPr>
        <w:tc>
          <w:tcPr>
            <w:tcW w:w="354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John Olin</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765,000</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89"/>
        </w:trPr>
        <w:tc>
          <w:tcPr>
            <w:tcW w:w="3540" w:type="dxa"/>
            <w:vAlign w:val="bottom"/>
          </w:tcPr>
          <w:p>
            <w:pPr>
              <w:ind w:left="20"/>
              <w:spacing w:after="0"/>
              <w:rPr>
                <w:sz w:val="20"/>
                <w:szCs w:val="20"/>
                <w:color w:val="auto"/>
              </w:rPr>
            </w:pPr>
            <w:r>
              <w:rPr>
                <w:rFonts w:ascii="Arial" w:cs="Arial" w:eastAsia="Arial" w:hAnsi="Arial"/>
                <w:sz w:val="14"/>
                <w:szCs w:val="14"/>
                <w:color w:val="auto"/>
              </w:rPr>
              <w:t>Executive Vice President and Chief Financial Officer</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w:t>
            </w:r>
          </w:p>
        </w:tc>
        <w:tc>
          <w:tcPr>
            <w:tcW w:w="360" w:type="dxa"/>
            <w:vAlign w:val="bottom"/>
          </w:tcPr>
          <w:p>
            <w:pPr>
              <w:ind w:left="260"/>
              <w:spacing w:after="0"/>
              <w:rPr>
                <w:sz w:val="20"/>
                <w:szCs w:val="20"/>
                <w:color w:val="auto"/>
              </w:rPr>
            </w:pPr>
            <w:r>
              <w:rPr>
                <w:rFonts w:ascii="Arial" w:cs="Arial" w:eastAsia="Arial" w:hAnsi="Arial"/>
                <w:sz w:val="14"/>
                <w:szCs w:val="14"/>
                <w:color w:val="auto"/>
              </w:rPr>
              <w:t>$</w:t>
            </w:r>
          </w:p>
        </w:tc>
        <w:tc>
          <w:tcPr>
            <w:tcW w:w="6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141.72%</w:t>
            </w:r>
          </w:p>
        </w:tc>
        <w:tc>
          <w:tcPr>
            <w:tcW w:w="120" w:type="dxa"/>
            <w:vAlign w:val="bottom"/>
          </w:tcPr>
          <w:p>
            <w:pPr>
              <w:spacing w:after="0"/>
              <w:rPr>
                <w:sz w:val="16"/>
                <w:szCs w:val="16"/>
                <w:color w:val="auto"/>
              </w:rPr>
            </w:pPr>
          </w:p>
        </w:tc>
        <w:tc>
          <w:tcPr>
            <w:tcW w:w="820" w:type="dxa"/>
            <w:vAlign w:val="bottom"/>
            <w:gridSpan w:val="2"/>
          </w:tcPr>
          <w:p>
            <w:pPr>
              <w:jc w:val="right"/>
              <w:ind w:right="12"/>
              <w:spacing w:after="0"/>
              <w:rPr>
                <w:sz w:val="20"/>
                <w:szCs w:val="20"/>
                <w:color w:val="auto"/>
              </w:rPr>
            </w:pPr>
            <w:r>
              <w:rPr>
                <w:rFonts w:ascii="Arial" w:cs="Arial" w:eastAsia="Arial" w:hAnsi="Arial"/>
                <w:sz w:val="14"/>
                <w:szCs w:val="14"/>
                <w:color w:val="auto"/>
              </w:rPr>
              <w:t>$1,084,158</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116.0%</w:t>
            </w:r>
          </w:p>
        </w:tc>
        <w:tc>
          <w:tcPr>
            <w:tcW w:w="940" w:type="dxa"/>
            <w:vAlign w:val="bottom"/>
          </w:tcPr>
          <w:p>
            <w:pPr>
              <w:jc w:val="right"/>
              <w:spacing w:after="0"/>
              <w:rPr>
                <w:sz w:val="20"/>
                <w:szCs w:val="20"/>
                <w:color w:val="auto"/>
              </w:rPr>
            </w:pPr>
            <w:r>
              <w:rPr>
                <w:rFonts w:ascii="Arial" w:cs="Arial" w:eastAsia="Arial" w:hAnsi="Arial"/>
                <w:sz w:val="14"/>
                <w:szCs w:val="14"/>
                <w:color w:val="auto"/>
              </w:rPr>
              <w:t>$1,257,623</w:t>
            </w:r>
          </w:p>
        </w:tc>
        <w:tc>
          <w:tcPr>
            <w:tcW w:w="0" w:type="dxa"/>
            <w:vAlign w:val="bottom"/>
          </w:tcPr>
          <w:p>
            <w:pPr>
              <w:spacing w:after="0"/>
              <w:rPr>
                <w:sz w:val="1"/>
                <w:szCs w:val="1"/>
                <w:color w:val="auto"/>
              </w:rPr>
            </w:pPr>
          </w:p>
        </w:tc>
      </w:tr>
      <w:tr>
        <w:trPr>
          <w:trHeight w:val="38"/>
        </w:trPr>
        <w:tc>
          <w:tcPr>
            <w:tcW w:w="354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David L. Deninno</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3540" w:type="dxa"/>
            <w:vAlign w:val="bottom"/>
          </w:tcPr>
          <w:p>
            <w:pPr>
              <w:ind w:left="20"/>
              <w:spacing w:after="0" w:line="90" w:lineRule="exact"/>
              <w:rPr>
                <w:sz w:val="20"/>
                <w:szCs w:val="20"/>
                <w:color w:val="auto"/>
              </w:rPr>
            </w:pPr>
            <w:r>
              <w:rPr>
                <w:rFonts w:ascii="Arial" w:cs="Arial" w:eastAsia="Arial" w:hAnsi="Arial"/>
                <w:sz w:val="10"/>
                <w:szCs w:val="10"/>
                <w:color w:val="auto"/>
              </w:rPr>
              <w:t>Executive Vice President, General Counsel and</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Pr>
          <w:p>
            <w:pPr>
              <w:spacing w:after="0"/>
              <w:rPr>
                <w:sz w:val="8"/>
                <w:szCs w:val="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8"/>
                <w:szCs w:val="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50"/>
        </w:trPr>
        <w:tc>
          <w:tcPr>
            <w:tcW w:w="3540" w:type="dxa"/>
            <w:vAlign w:val="bottom"/>
          </w:tcPr>
          <w:p>
            <w:pPr>
              <w:ind w:left="20"/>
              <w:spacing w:after="0"/>
              <w:rPr>
                <w:sz w:val="20"/>
                <w:szCs w:val="20"/>
                <w:color w:val="auto"/>
              </w:rPr>
            </w:pPr>
            <w:r>
              <w:rPr>
                <w:rFonts w:ascii="Arial" w:cs="Arial" w:eastAsia="Arial" w:hAnsi="Arial"/>
                <w:sz w:val="14"/>
                <w:szCs w:val="14"/>
                <w:color w:val="auto"/>
              </w:rPr>
              <w:t>Secretary</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80%</w:t>
            </w:r>
          </w:p>
        </w:tc>
        <w:tc>
          <w:tcPr>
            <w:tcW w:w="360" w:type="dxa"/>
            <w:vAlign w:val="bottom"/>
          </w:tcPr>
          <w:p>
            <w:pPr>
              <w:ind w:left="26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520,000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141.72%</w:t>
            </w:r>
          </w:p>
        </w:tc>
        <w:tc>
          <w:tcPr>
            <w:tcW w:w="120" w:type="dxa"/>
            <w:vAlign w:val="bottom"/>
          </w:tcPr>
          <w:p>
            <w:pPr>
              <w:spacing w:after="0"/>
              <w:rPr>
                <w:sz w:val="21"/>
                <w:szCs w:val="21"/>
                <w:color w:val="auto"/>
              </w:rPr>
            </w:pPr>
          </w:p>
        </w:tc>
        <w:tc>
          <w:tcPr>
            <w:tcW w:w="14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736,944</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116.0%</w:t>
            </w:r>
          </w:p>
        </w:tc>
        <w:tc>
          <w:tcPr>
            <w:tcW w:w="940" w:type="dxa"/>
            <w:vAlign w:val="bottom"/>
          </w:tcPr>
          <w:p>
            <w:pPr>
              <w:jc w:val="right"/>
              <w:spacing w:after="0"/>
              <w:rPr>
                <w:sz w:val="20"/>
                <w:szCs w:val="20"/>
                <w:color w:val="auto"/>
              </w:rPr>
            </w:pPr>
            <w:r>
              <w:rPr>
                <w:rFonts w:ascii="Arial" w:cs="Arial" w:eastAsia="Arial" w:hAnsi="Arial"/>
                <w:sz w:val="14"/>
                <w:szCs w:val="14"/>
                <w:color w:val="auto"/>
              </w:rPr>
              <w:t>$  854,855</w:t>
            </w:r>
          </w:p>
        </w:tc>
        <w:tc>
          <w:tcPr>
            <w:tcW w:w="0" w:type="dxa"/>
            <w:vAlign w:val="bottom"/>
          </w:tcPr>
          <w:p>
            <w:pPr>
              <w:spacing w:after="0"/>
              <w:rPr>
                <w:sz w:val="1"/>
                <w:szCs w:val="1"/>
                <w:color w:val="auto"/>
              </w:rPr>
            </w:pPr>
          </w:p>
        </w:tc>
      </w:tr>
      <w:tr>
        <w:trPr>
          <w:trHeight w:val="48"/>
        </w:trPr>
        <w:tc>
          <w:tcPr>
            <w:tcW w:w="35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Pascal Schweitzer</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w w:val="98"/>
              </w:rPr>
              <w:t>623,981</w:t>
            </w:r>
            <w:r>
              <w:rPr>
                <w:rFonts w:ascii="Arial" w:cs="Arial" w:eastAsia="Arial" w:hAnsi="Arial"/>
                <w:sz w:val="23"/>
                <w:szCs w:val="23"/>
                <w:color w:val="auto"/>
                <w:w w:val="98"/>
                <w:vertAlign w:val="superscript"/>
              </w:rPr>
              <w:t>1</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808080"/>
            </w:tcBorders>
          </w:tcPr>
          <w:p>
            <w:pPr>
              <w:ind w:left="20"/>
              <w:spacing w:after="0"/>
              <w:rPr>
                <w:sz w:val="20"/>
                <w:szCs w:val="20"/>
                <w:color w:val="auto"/>
              </w:rPr>
            </w:pPr>
            <w:r>
              <w:rPr>
                <w:rFonts w:ascii="Arial" w:cs="Arial" w:eastAsia="Arial" w:hAnsi="Arial"/>
                <w:sz w:val="14"/>
                <w:szCs w:val="14"/>
                <w:color w:val="auto"/>
              </w:rPr>
              <w:t>President, Transit</w:t>
            </w:r>
          </w:p>
        </w:tc>
        <w:tc>
          <w:tcPr>
            <w:tcW w:w="14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100%</w:t>
            </w:r>
          </w:p>
        </w:tc>
        <w:tc>
          <w:tcPr>
            <w:tcW w:w="360" w:type="dxa"/>
            <w:vAlign w:val="bottom"/>
            <w:tcBorders>
              <w:bottom w:val="single" w:sz="8" w:color="808080"/>
            </w:tcBorders>
          </w:tcPr>
          <w:p>
            <w:pPr>
              <w:ind w:left="20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08080"/>
            </w:tcBorders>
            <w:vMerge w:val="continue"/>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141.72%</w:t>
            </w:r>
          </w:p>
        </w:tc>
        <w:tc>
          <w:tcPr>
            <w:tcW w:w="120" w:type="dxa"/>
            <w:vAlign w:val="bottom"/>
            <w:tcBorders>
              <w:bottom w:val="single" w:sz="8" w:color="808080"/>
            </w:tcBorders>
          </w:tcPr>
          <w:p>
            <w:pPr>
              <w:spacing w:after="0"/>
              <w:rPr>
                <w:sz w:val="20"/>
                <w:szCs w:val="20"/>
                <w:color w:val="auto"/>
              </w:rPr>
            </w:pPr>
          </w:p>
        </w:tc>
        <w:tc>
          <w:tcPr>
            <w:tcW w:w="140" w:type="dxa"/>
            <w:vAlign w:val="bottom"/>
            <w:tcBorders>
              <w:bottom w:val="single" w:sz="8" w:color="808080"/>
            </w:tcBorders>
          </w:tcPr>
          <w:p>
            <w:pPr>
              <w:ind w:left="6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808080"/>
            </w:tcBorders>
          </w:tcPr>
          <w:p>
            <w:pPr>
              <w:jc w:val="right"/>
              <w:ind w:right="12"/>
              <w:spacing w:after="0"/>
              <w:rPr>
                <w:sz w:val="20"/>
                <w:szCs w:val="20"/>
                <w:color w:val="auto"/>
              </w:rPr>
            </w:pPr>
            <w:r>
              <w:rPr>
                <w:rFonts w:ascii="Arial" w:cs="Arial" w:eastAsia="Arial" w:hAnsi="Arial"/>
                <w:sz w:val="14"/>
                <w:szCs w:val="14"/>
                <w:color w:val="auto"/>
              </w:rPr>
              <w:t>884,306</w:t>
            </w:r>
          </w:p>
        </w:tc>
        <w:tc>
          <w:tcPr>
            <w:tcW w:w="100" w:type="dxa"/>
            <w:vAlign w:val="bottom"/>
            <w:tcBorders>
              <w:bottom w:val="single" w:sz="8" w:color="808080"/>
            </w:tcBorders>
          </w:tcPr>
          <w:p>
            <w:pPr>
              <w:spacing w:after="0"/>
              <w:rPr>
                <w:sz w:val="20"/>
                <w:szCs w:val="20"/>
                <w:color w:val="auto"/>
              </w:rPr>
            </w:pP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116.0%</w:t>
            </w: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$1,025,795</w:t>
            </w:r>
          </w:p>
        </w:tc>
        <w:tc>
          <w:tcPr>
            <w:tcW w:w="0" w:type="dxa"/>
            <w:vAlign w:val="bottom"/>
          </w:tcPr>
          <w:p>
            <w:pPr>
              <w:spacing w:after="0"/>
              <w:rPr>
                <w:sz w:val="1"/>
                <w:szCs w:val="1"/>
                <w:color w:val="auto"/>
              </w:rPr>
            </w:pPr>
          </w:p>
        </w:tc>
      </w:tr>
      <w:tr>
        <w:trPr>
          <w:trHeight w:val="221"/>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Eric Gebhardt</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625,000</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vMerge w:val="restart"/>
          </w:tcPr>
          <w:p>
            <w:pPr>
              <w:ind w:left="6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89"/>
        </w:trPr>
        <w:tc>
          <w:tcPr>
            <w:tcW w:w="3540" w:type="dxa"/>
            <w:vAlign w:val="bottom"/>
          </w:tcPr>
          <w:p>
            <w:pPr>
              <w:ind w:left="20"/>
              <w:spacing w:after="0"/>
              <w:rPr>
                <w:sz w:val="20"/>
                <w:szCs w:val="20"/>
                <w:color w:val="auto"/>
              </w:rPr>
            </w:pPr>
            <w:r>
              <w:rPr>
                <w:rFonts w:ascii="Arial" w:cs="Arial" w:eastAsia="Arial" w:hAnsi="Arial"/>
                <w:sz w:val="14"/>
                <w:szCs w:val="14"/>
                <w:color w:val="auto"/>
              </w:rPr>
              <w:t>Executive Vice President and Chief Technology Officer</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w:t>
            </w:r>
          </w:p>
        </w:tc>
        <w:tc>
          <w:tcPr>
            <w:tcW w:w="360" w:type="dxa"/>
            <w:vAlign w:val="bottom"/>
          </w:tcPr>
          <w:p>
            <w:pPr>
              <w:ind w:left="260"/>
              <w:spacing w:after="0"/>
              <w:rPr>
                <w:sz w:val="20"/>
                <w:szCs w:val="20"/>
                <w:color w:val="auto"/>
              </w:rPr>
            </w:pPr>
            <w:r>
              <w:rPr>
                <w:rFonts w:ascii="Arial" w:cs="Arial" w:eastAsia="Arial" w:hAnsi="Arial"/>
                <w:sz w:val="14"/>
                <w:szCs w:val="14"/>
                <w:color w:val="auto"/>
              </w:rPr>
              <w:t>$</w:t>
            </w:r>
          </w:p>
        </w:tc>
        <w:tc>
          <w:tcPr>
            <w:tcW w:w="6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141.72%</w:t>
            </w: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885,750</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116.0%</w:t>
            </w:r>
          </w:p>
        </w:tc>
        <w:tc>
          <w:tcPr>
            <w:tcW w:w="940" w:type="dxa"/>
            <w:vAlign w:val="bottom"/>
          </w:tcPr>
          <w:p>
            <w:pPr>
              <w:jc w:val="right"/>
              <w:spacing w:after="0"/>
              <w:rPr>
                <w:sz w:val="20"/>
                <w:szCs w:val="20"/>
                <w:color w:val="auto"/>
              </w:rPr>
            </w:pPr>
            <w:r>
              <w:rPr>
                <w:rFonts w:ascii="Arial" w:cs="Arial" w:eastAsia="Arial" w:hAnsi="Arial"/>
                <w:sz w:val="14"/>
                <w:szCs w:val="14"/>
                <w:color w:val="auto"/>
              </w:rPr>
              <w:t>$1,027,470</w:t>
            </w:r>
          </w:p>
        </w:tc>
        <w:tc>
          <w:tcPr>
            <w:tcW w:w="0" w:type="dxa"/>
            <w:vAlign w:val="bottom"/>
          </w:tcPr>
          <w:p>
            <w:pPr>
              <w:spacing w:after="0"/>
              <w:rPr>
                <w:sz w:val="1"/>
                <w:szCs w:val="1"/>
                <w:color w:val="auto"/>
              </w:rPr>
            </w:pPr>
          </w:p>
        </w:tc>
      </w:tr>
      <w:tr>
        <w:trPr>
          <w:trHeight w:val="38"/>
        </w:trPr>
        <w:tc>
          <w:tcPr>
            <w:tcW w:w="3540" w:type="dxa"/>
            <w:vAlign w:val="bottom"/>
            <w:tcBorders>
              <w:bottom w:val="single" w:sz="8" w:color="0C426A"/>
            </w:tcBorders>
          </w:tcPr>
          <w:p>
            <w:pPr>
              <w:spacing w:after="0"/>
              <w:rPr>
                <w:sz w:val="3"/>
                <w:szCs w:val="3"/>
                <w:color w:val="auto"/>
              </w:rPr>
            </w:pPr>
          </w:p>
        </w:tc>
        <w:tc>
          <w:tcPr>
            <w:tcW w:w="140" w:type="dxa"/>
            <w:vAlign w:val="bottom"/>
            <w:tcBorders>
              <w:bottom w:val="single" w:sz="8" w:color="0C426A"/>
            </w:tcBorders>
          </w:tcPr>
          <w:p>
            <w:pPr>
              <w:spacing w:after="0"/>
              <w:rPr>
                <w:sz w:val="3"/>
                <w:szCs w:val="3"/>
                <w:color w:val="auto"/>
              </w:rPr>
            </w:pPr>
          </w:p>
        </w:tc>
        <w:tc>
          <w:tcPr>
            <w:tcW w:w="40" w:type="dxa"/>
            <w:vAlign w:val="bottom"/>
            <w:tcBorders>
              <w:bottom w:val="single" w:sz="8" w:color="0C426A"/>
            </w:tcBorders>
          </w:tcPr>
          <w:p>
            <w:pPr>
              <w:spacing w:after="0"/>
              <w:rPr>
                <w:sz w:val="3"/>
                <w:szCs w:val="3"/>
                <w:color w:val="auto"/>
              </w:rPr>
            </w:pPr>
          </w:p>
        </w:tc>
        <w:tc>
          <w:tcPr>
            <w:tcW w:w="100" w:type="dxa"/>
            <w:vAlign w:val="bottom"/>
            <w:tcBorders>
              <w:bottom w:val="single" w:sz="8" w:color="0C426A"/>
            </w:tcBorders>
          </w:tcPr>
          <w:p>
            <w:pPr>
              <w:spacing w:after="0"/>
              <w:rPr>
                <w:sz w:val="3"/>
                <w:szCs w:val="3"/>
                <w:color w:val="auto"/>
              </w:rPr>
            </w:pPr>
          </w:p>
        </w:tc>
        <w:tc>
          <w:tcPr>
            <w:tcW w:w="580" w:type="dxa"/>
            <w:vAlign w:val="bottom"/>
            <w:tcBorders>
              <w:bottom w:val="single" w:sz="8" w:color="0C426A"/>
            </w:tcBorders>
          </w:tcPr>
          <w:p>
            <w:pPr>
              <w:spacing w:after="0"/>
              <w:rPr>
                <w:sz w:val="3"/>
                <w:szCs w:val="3"/>
                <w:color w:val="auto"/>
              </w:rPr>
            </w:pPr>
          </w:p>
        </w:tc>
        <w:tc>
          <w:tcPr>
            <w:tcW w:w="360" w:type="dxa"/>
            <w:vAlign w:val="bottom"/>
            <w:tcBorders>
              <w:bottom w:val="single" w:sz="8" w:color="0C426A"/>
            </w:tcBorders>
          </w:tcPr>
          <w:p>
            <w:pPr>
              <w:spacing w:after="0"/>
              <w:rPr>
                <w:sz w:val="3"/>
                <w:szCs w:val="3"/>
                <w:color w:val="auto"/>
              </w:rPr>
            </w:pPr>
          </w:p>
        </w:tc>
        <w:tc>
          <w:tcPr>
            <w:tcW w:w="600" w:type="dxa"/>
            <w:vAlign w:val="bottom"/>
            <w:tcBorders>
              <w:bottom w:val="single" w:sz="8" w:color="0C426A"/>
            </w:tcBorders>
          </w:tcPr>
          <w:p>
            <w:pPr>
              <w:spacing w:after="0"/>
              <w:rPr>
                <w:sz w:val="3"/>
                <w:szCs w:val="3"/>
                <w:color w:val="auto"/>
              </w:rPr>
            </w:pPr>
          </w:p>
        </w:tc>
        <w:tc>
          <w:tcPr>
            <w:tcW w:w="60" w:type="dxa"/>
            <w:vAlign w:val="bottom"/>
            <w:tcBorders>
              <w:bottom w:val="single" w:sz="8" w:color="0C426A"/>
            </w:tcBorders>
          </w:tcPr>
          <w:p>
            <w:pPr>
              <w:spacing w:after="0"/>
              <w:rPr>
                <w:sz w:val="3"/>
                <w:szCs w:val="3"/>
                <w:color w:val="auto"/>
              </w:rPr>
            </w:pPr>
          </w:p>
        </w:tc>
        <w:tc>
          <w:tcPr>
            <w:tcW w:w="40" w:type="dxa"/>
            <w:vAlign w:val="bottom"/>
            <w:tcBorders>
              <w:bottom w:val="single" w:sz="8" w:color="0C426A"/>
            </w:tcBorders>
          </w:tcPr>
          <w:p>
            <w:pPr>
              <w:spacing w:after="0"/>
              <w:rPr>
                <w:sz w:val="3"/>
                <w:szCs w:val="3"/>
                <w:color w:val="auto"/>
              </w:rPr>
            </w:pPr>
          </w:p>
        </w:tc>
        <w:tc>
          <w:tcPr>
            <w:tcW w:w="60" w:type="dxa"/>
            <w:vAlign w:val="bottom"/>
            <w:tcBorders>
              <w:bottom w:val="single" w:sz="8" w:color="0C426A"/>
            </w:tcBorders>
          </w:tcPr>
          <w:p>
            <w:pPr>
              <w:spacing w:after="0"/>
              <w:rPr>
                <w:sz w:val="3"/>
                <w:szCs w:val="3"/>
                <w:color w:val="auto"/>
              </w:rPr>
            </w:pPr>
          </w:p>
        </w:tc>
        <w:tc>
          <w:tcPr>
            <w:tcW w:w="720" w:type="dxa"/>
            <w:vAlign w:val="bottom"/>
            <w:tcBorders>
              <w:bottom w:val="single" w:sz="8" w:color="0C426A"/>
            </w:tcBorders>
          </w:tcPr>
          <w:p>
            <w:pPr>
              <w:spacing w:after="0"/>
              <w:rPr>
                <w:sz w:val="3"/>
                <w:szCs w:val="3"/>
                <w:color w:val="auto"/>
              </w:rPr>
            </w:pPr>
          </w:p>
        </w:tc>
        <w:tc>
          <w:tcPr>
            <w:tcW w:w="120" w:type="dxa"/>
            <w:vAlign w:val="bottom"/>
            <w:tcBorders>
              <w:bottom w:val="single" w:sz="8" w:color="0C426A"/>
            </w:tcBorders>
          </w:tcPr>
          <w:p>
            <w:pPr>
              <w:spacing w:after="0"/>
              <w:rPr>
                <w:sz w:val="3"/>
                <w:szCs w:val="3"/>
                <w:color w:val="auto"/>
              </w:rPr>
            </w:pPr>
          </w:p>
        </w:tc>
        <w:tc>
          <w:tcPr>
            <w:tcW w:w="140" w:type="dxa"/>
            <w:vAlign w:val="bottom"/>
            <w:tcBorders>
              <w:bottom w:val="single" w:sz="8" w:color="0C426A"/>
            </w:tcBorders>
          </w:tcPr>
          <w:p>
            <w:pPr>
              <w:spacing w:after="0"/>
              <w:rPr>
                <w:sz w:val="3"/>
                <w:szCs w:val="3"/>
                <w:color w:val="auto"/>
              </w:rPr>
            </w:pPr>
          </w:p>
        </w:tc>
        <w:tc>
          <w:tcPr>
            <w:tcW w:w="680" w:type="dxa"/>
            <w:vAlign w:val="bottom"/>
            <w:tcBorders>
              <w:bottom w:val="single" w:sz="8" w:color="0C426A"/>
            </w:tcBorders>
          </w:tcPr>
          <w:p>
            <w:pPr>
              <w:spacing w:after="0"/>
              <w:rPr>
                <w:sz w:val="3"/>
                <w:szCs w:val="3"/>
                <w:color w:val="auto"/>
              </w:rPr>
            </w:pPr>
          </w:p>
        </w:tc>
        <w:tc>
          <w:tcPr>
            <w:tcW w:w="100" w:type="dxa"/>
            <w:vAlign w:val="bottom"/>
            <w:tcBorders>
              <w:bottom w:val="single" w:sz="8" w:color="0C426A"/>
            </w:tcBorders>
          </w:tcPr>
          <w:p>
            <w:pPr>
              <w:spacing w:after="0"/>
              <w:rPr>
                <w:sz w:val="3"/>
                <w:szCs w:val="3"/>
                <w:color w:val="auto"/>
              </w:rPr>
            </w:pPr>
          </w:p>
        </w:tc>
        <w:tc>
          <w:tcPr>
            <w:tcW w:w="760" w:type="dxa"/>
            <w:vAlign w:val="bottom"/>
            <w:tcBorders>
              <w:bottom w:val="single" w:sz="8" w:color="0C426A"/>
            </w:tcBorders>
          </w:tcPr>
          <w:p>
            <w:pPr>
              <w:spacing w:after="0"/>
              <w:rPr>
                <w:sz w:val="3"/>
                <w:szCs w:val="3"/>
                <w:color w:val="auto"/>
              </w:rPr>
            </w:pPr>
          </w:p>
        </w:tc>
        <w:tc>
          <w:tcPr>
            <w:tcW w:w="940" w:type="dxa"/>
            <w:vAlign w:val="bottom"/>
            <w:tcBorders>
              <w:bottom w:val="single" w:sz="8" w:color="0C426A"/>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140" w:hanging="175"/>
        <w:spacing w:after="0"/>
        <w:tabs>
          <w:tab w:leader="none" w:pos="1140" w:val="left"/>
        </w:tabs>
        <w:numPr>
          <w:ilvl w:val="0"/>
          <w:numId w:val="37"/>
        </w:numPr>
        <w:rPr>
          <w:rFonts w:ascii="Arial" w:cs="Arial" w:eastAsia="Arial" w:hAnsi="Arial"/>
          <w:sz w:val="21"/>
          <w:szCs w:val="21"/>
          <w:color w:val="auto"/>
          <w:vertAlign w:val="superscript"/>
        </w:rPr>
      </w:pPr>
      <w:r>
        <w:rPr>
          <w:rFonts w:ascii="Arial" w:cs="Arial" w:eastAsia="Arial" w:hAnsi="Arial"/>
          <w:sz w:val="14"/>
          <w:szCs w:val="14"/>
          <w:color w:val="auto"/>
        </w:rPr>
        <w:t>Represents Mr. Schweitzer’s base salary as of 12/31/2023 converted to USD</w:t>
      </w:r>
    </w:p>
    <w:p>
      <w:pPr>
        <w:spacing w:after="0" w:line="325" w:lineRule="exact"/>
        <w:rPr>
          <w:sz w:val="20"/>
          <w:szCs w:val="20"/>
          <w:color w:val="auto"/>
        </w:rPr>
      </w:pPr>
    </w:p>
    <w:p>
      <w:pPr>
        <w:ind w:left="960"/>
        <w:spacing w:after="0"/>
        <w:rPr>
          <w:sz w:val="20"/>
          <w:szCs w:val="20"/>
          <w:color w:val="auto"/>
        </w:rPr>
      </w:pPr>
      <w:r>
        <w:rPr>
          <w:rFonts w:ascii="Arial" w:cs="Arial" w:eastAsia="Arial" w:hAnsi="Arial"/>
          <w:sz w:val="23"/>
          <w:szCs w:val="23"/>
          <w:color w:val="0C426A"/>
        </w:rPr>
        <w:t>Long-Term Incentive Compensation</w:t>
      </w:r>
    </w:p>
    <w:p>
      <w:pPr>
        <w:spacing w:after="0" w:line="181" w:lineRule="exact"/>
        <w:rPr>
          <w:sz w:val="20"/>
          <w:szCs w:val="20"/>
          <w:color w:val="auto"/>
        </w:rPr>
      </w:pPr>
    </w:p>
    <w:p>
      <w:pPr>
        <w:ind w:left="960" w:right="1540"/>
        <w:spacing w:after="0" w:line="282" w:lineRule="auto"/>
        <w:rPr>
          <w:sz w:val="20"/>
          <w:szCs w:val="20"/>
          <w:color w:val="auto"/>
        </w:rPr>
      </w:pPr>
      <w:r>
        <w:rPr>
          <w:rFonts w:ascii="Arial" w:cs="Arial" w:eastAsia="Arial" w:hAnsi="Arial"/>
          <w:sz w:val="16"/>
          <w:szCs w:val="16"/>
          <w:color w:val="auto"/>
        </w:rPr>
        <w:t>Our Compensation Committee administers our long-term incentive compensation under our 2011 Stock Incentive Plan, pursuant to which we grant restricted stock and performance units.</w:t>
      </w:r>
    </w:p>
    <w:p>
      <w:pPr>
        <w:spacing w:after="0" w:line="103" w:lineRule="exact"/>
        <w:rPr>
          <w:sz w:val="20"/>
          <w:szCs w:val="20"/>
          <w:color w:val="auto"/>
        </w:rPr>
      </w:pPr>
    </w:p>
    <w:p>
      <w:pPr>
        <w:ind w:left="960" w:right="1020"/>
        <w:spacing w:after="0" w:line="254" w:lineRule="auto"/>
        <w:rPr>
          <w:sz w:val="20"/>
          <w:szCs w:val="20"/>
          <w:color w:val="auto"/>
        </w:rPr>
      </w:pPr>
      <w:r>
        <w:rPr>
          <w:rFonts w:ascii="Arial" w:cs="Arial" w:eastAsia="Arial" w:hAnsi="Arial"/>
          <w:sz w:val="16"/>
          <w:szCs w:val="16"/>
          <w:color w:val="auto"/>
        </w:rPr>
        <w:t>Our long-term incentive compensation program seeks to align the interests of our executives with those of our stockholders. We have typically granted our executives long term equity awards in February or March of the applicable year, which for 2023 consisted of performance units weighted 60% and restricted stock weighted 40%. We did not grant options in 2023, (similar to 2022), but in prior years we have awarded options to purchase our common stock to executive officers at the fair market value of our common stock at the grant date.</w:t>
      </w:r>
    </w:p>
    <w:p>
      <w:pPr>
        <w:spacing w:after="0" w:line="124" w:lineRule="exact"/>
        <w:rPr>
          <w:sz w:val="20"/>
          <w:szCs w:val="20"/>
          <w:color w:val="auto"/>
        </w:rPr>
      </w:pPr>
    </w:p>
    <w:p>
      <w:pPr>
        <w:ind w:left="960" w:right="1020"/>
        <w:spacing w:after="0" w:line="247" w:lineRule="auto"/>
        <w:rPr>
          <w:sz w:val="20"/>
          <w:szCs w:val="20"/>
          <w:color w:val="auto"/>
        </w:rPr>
      </w:pPr>
      <w:r>
        <w:rPr>
          <w:rFonts w:ascii="Arial" w:cs="Arial" w:eastAsia="Arial" w:hAnsi="Arial"/>
          <w:sz w:val="16"/>
          <w:szCs w:val="16"/>
          <w:color w:val="auto"/>
        </w:rPr>
        <w:t xml:space="preserve">The grant size of each NEO’s long-term incentive awards is based on the Compensation Committee’s judgment and assessment of various factors, including individual performance, the individual’s responsibilities and position with our Company, market practice and values for similar roles within our peer group and other general industries. The Compensation Committee’s external compensation consultant provides both management and the Compensation Committee a market analysis on an annual basis. The analysis is then reviewed by the CEO and Chief Human Resources Officer who subsequently recommend long-term incentive award grant values to the Compensation Committee. Awards are then reviewed and ultimately approved by the Compensation Committee. Neither the CEO nor the Chief Human Resources Officer make recommendations to their own pay. Equity awards made in 2023 to the NEOs are detailed under the table “2023 Grants of Plan Based Awards” on page </w:t>
      </w:r>
      <w:r>
        <w:rPr>
          <w:rFonts w:ascii="Arial" w:cs="Arial" w:eastAsia="Arial" w:hAnsi="Arial"/>
          <w:sz w:val="16"/>
          <w:szCs w:val="16"/>
          <w:u w:val="single" w:color="auto"/>
          <w:color w:val="0000EE"/>
        </w:rPr>
        <w:t>62</w:t>
      </w:r>
      <w:r>
        <w:rPr>
          <w:rFonts w:ascii="Arial" w:cs="Arial" w:eastAsia="Arial" w:hAnsi="Arial"/>
          <w:sz w:val="16"/>
          <w:szCs w:val="16"/>
          <w:color w:val="auto"/>
        </w:rPr>
        <w:t>. For 2023, Wabtec changed the methodology used to calculate the number of restricted shares and target number of performance units. Previously, the Company divided the target value of the awards by our closing average price on the grant date, but for 2023, to avoid the impact of single-day stock price volatility, the Company divided the target value by the 30-day trailing average share price as of the date of grant. The following provides additional information about those awards.</w:t>
      </w:r>
    </w:p>
    <w:p>
      <w:pPr>
        <w:spacing w:after="0" w:line="203"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Restricted Stock (40%)</w:t>
      </w:r>
    </w:p>
    <w:p>
      <w:pPr>
        <w:spacing w:after="0" w:line="164" w:lineRule="exact"/>
        <w:rPr>
          <w:sz w:val="20"/>
          <w:szCs w:val="20"/>
          <w:color w:val="auto"/>
        </w:rPr>
      </w:pPr>
    </w:p>
    <w:p>
      <w:pPr>
        <w:ind w:left="960" w:right="1160"/>
        <w:spacing w:after="0" w:line="263" w:lineRule="auto"/>
        <w:rPr>
          <w:sz w:val="20"/>
          <w:szCs w:val="20"/>
          <w:color w:val="auto"/>
        </w:rPr>
      </w:pPr>
      <w:r>
        <w:rPr>
          <w:rFonts w:ascii="Arial" w:cs="Arial" w:eastAsia="Arial" w:hAnsi="Arial"/>
          <w:sz w:val="16"/>
          <w:szCs w:val="16"/>
          <w:color w:val="auto"/>
        </w:rPr>
        <w:t xml:space="preserve">On March 2, 2023, we granted restricted stock to all NEOs as part of their long-term compensation with the Company, which vests in equal installments over three years. The grant date fair value of those awards is reflected in the Summary Compensation Table on page </w:t>
      </w:r>
      <w:r>
        <w:rPr>
          <w:rFonts w:ascii="Arial" w:cs="Arial" w:eastAsia="Arial" w:hAnsi="Arial"/>
          <w:sz w:val="16"/>
          <w:szCs w:val="16"/>
          <w:u w:val="single" w:color="auto"/>
          <w:color w:val="0000EE"/>
        </w:rPr>
        <w:t>61</w:t>
      </w:r>
      <w:r>
        <w:rPr>
          <w:rFonts w:ascii="Arial" w:cs="Arial" w:eastAsia="Arial" w:hAnsi="Arial"/>
          <w:sz w:val="16"/>
          <w:szCs w:val="16"/>
          <w:color w:val="auto"/>
        </w:rPr>
        <w:t>.</w:t>
      </w:r>
    </w:p>
    <w:p>
      <w:pPr>
        <w:spacing w:after="0" w:line="185"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Performance Units (60%)</w:t>
      </w:r>
    </w:p>
    <w:p>
      <w:pPr>
        <w:spacing w:after="0" w:line="164" w:lineRule="exact"/>
        <w:rPr>
          <w:sz w:val="20"/>
          <w:szCs w:val="20"/>
          <w:color w:val="auto"/>
        </w:rPr>
      </w:pPr>
    </w:p>
    <w:p>
      <w:pPr>
        <w:ind w:left="960" w:right="1060"/>
        <w:spacing w:after="0" w:line="257" w:lineRule="auto"/>
        <w:rPr>
          <w:sz w:val="20"/>
          <w:szCs w:val="20"/>
          <w:color w:val="auto"/>
        </w:rPr>
      </w:pPr>
      <w:r>
        <w:rPr>
          <w:rFonts w:ascii="Arial" w:cs="Arial" w:eastAsia="Arial" w:hAnsi="Arial"/>
          <w:sz w:val="16"/>
          <w:szCs w:val="16"/>
          <w:color w:val="auto"/>
        </w:rPr>
        <w:t>On March 2, 2023, we also granted performance units to all NEOs. A performance unit is equal to a share of Wabtec common stock. This program is designed to reward executives for meeting or exceeding pre-established, objective financial performance goals over a three-year performance period. The program is structured as a rolling three-year plan; each year starts a new three-year performance cycle with the most recently commenced cycle being 2023-2025.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9140" w:type="dxa"/>
            <w:vAlign w:val="bottom"/>
          </w:tcPr>
          <w:p>
            <w:pPr>
              <w:ind w:left="636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800" w:type="dxa"/>
            <w:vAlign w:val="bottom"/>
          </w:tcPr>
          <w:p>
            <w:pPr>
              <w:jc w:val="right"/>
              <w:ind w:right="909"/>
              <w:spacing w:after="0"/>
              <w:rPr>
                <w:sz w:val="20"/>
                <w:szCs w:val="20"/>
                <w:color w:val="auto"/>
              </w:rPr>
            </w:pPr>
            <w:r>
              <w:rPr>
                <w:rFonts w:ascii="Arial" w:cs="Arial" w:eastAsia="Arial" w:hAnsi="Arial"/>
                <w:sz w:val="14"/>
                <w:szCs w:val="14"/>
                <w:b w:val="1"/>
                <w:bCs w:val="1"/>
                <w:color w:val="auto"/>
              </w:rPr>
              <w:t>53</w:t>
            </w:r>
          </w:p>
        </w:tc>
      </w:tr>
      <w:tr>
        <w:trPr>
          <w:trHeight w:val="355"/>
        </w:trPr>
        <w:tc>
          <w:tcPr>
            <w:tcW w:w="9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-407670</wp:posOffset>
            </wp:positionV>
            <wp:extent cx="501650" cy="1701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sectPr>
      </w:pPr>
    </w:p>
    <w:bookmarkStart w:id="56" w:name="page57"/>
    <w:bookmarkEnd w:id="56"/>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960"/>
        <w:spacing w:after="0"/>
        <w:rPr>
          <w:sz w:val="20"/>
          <w:szCs w:val="20"/>
          <w:color w:val="auto"/>
        </w:rPr>
      </w:pPr>
      <w:r>
        <w:rPr>
          <w:rFonts w:ascii="Arial" w:cs="Arial" w:eastAsia="Arial" w:hAnsi="Arial"/>
          <w:sz w:val="12"/>
          <w:szCs w:val="12"/>
          <w:color w:val="auto"/>
        </w:rPr>
        <w:t>Compensation Discussion and Analysis</w:t>
      </w:r>
    </w:p>
    <w:p>
      <w:pPr>
        <w:spacing w:after="0" w:line="107" w:lineRule="exact"/>
        <w:rPr>
          <w:sz w:val="20"/>
          <w:szCs w:val="20"/>
          <w:color w:val="auto"/>
        </w:rPr>
      </w:pPr>
    </w:p>
    <w:p>
      <w:pPr>
        <w:ind w:left="960"/>
        <w:spacing w:after="0"/>
        <w:rPr>
          <w:sz w:val="20"/>
          <w:szCs w:val="20"/>
          <w:color w:val="auto"/>
        </w:rPr>
      </w:pPr>
      <w:r>
        <w:rPr>
          <w:rFonts w:ascii="Arial" w:cs="Arial" w:eastAsia="Arial" w:hAnsi="Arial"/>
          <w:sz w:val="16"/>
          <w:szCs w:val="16"/>
          <w:color w:val="auto"/>
        </w:rPr>
        <w:t>The performance unit awards for the 2023-2025 cycle, like the awards for the 2021-2023 and 2022-2024, use three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207010</wp:posOffset>
            </wp:positionV>
            <wp:extent cx="5704840" cy="10712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04840" cy="107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w:t>
      </w:r>
    </w:p>
    <w:p>
      <w:pPr>
        <w:spacing w:after="0" w:line="164" w:lineRule="exact"/>
        <w:rPr>
          <w:sz w:val="20"/>
          <w:szCs w:val="20"/>
          <w:color w:val="auto"/>
        </w:rPr>
      </w:pPr>
    </w:p>
    <w:p>
      <w:pPr>
        <w:jc w:val="both"/>
        <w:ind w:left="960" w:right="1360"/>
        <w:spacing w:after="0" w:line="263" w:lineRule="auto"/>
        <w:rPr>
          <w:sz w:val="20"/>
          <w:szCs w:val="20"/>
          <w:color w:val="auto"/>
        </w:rPr>
      </w:pPr>
      <w:r>
        <w:rPr>
          <w:rFonts w:ascii="Arial" w:cs="Arial" w:eastAsia="Arial" w:hAnsi="Arial"/>
          <w:sz w:val="16"/>
          <w:szCs w:val="16"/>
          <w:color w:val="auto"/>
        </w:rPr>
        <w:t>ROIC and CCC results are each weighted 50%. The combined results from the two goals are then subject to modification upward or downward based on Wabtec’s RTSR results versus the defined Peer Group. For the 2023 – 2025 performance awards, the modifier was increased from +/-10% to +/-20%. For purposes of these awards:</w:t>
      </w:r>
    </w:p>
    <w:p>
      <w:pPr>
        <w:spacing w:after="0" w:line="118" w:lineRule="exact"/>
        <w:rPr>
          <w:sz w:val="20"/>
          <w:szCs w:val="20"/>
          <w:color w:val="auto"/>
        </w:rPr>
      </w:pPr>
    </w:p>
    <w:p>
      <w:pPr>
        <w:ind w:left="1680" w:right="1040" w:hanging="358"/>
        <w:spacing w:after="0" w:line="257" w:lineRule="auto"/>
        <w:tabs>
          <w:tab w:leader="none" w:pos="1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ROIC means for a year (A) the Company’s Adjusted EBITDA after tax, divided by (B) the sum of the Company’s year-end net debt plus shareholders’ equity. For this purpose, Adjusted EBITDA means the Company’s income from operations plus other income plus depreciation and amortization, as adjusted for restructuring costs and set forth in the Company’s annual earnings release.</w:t>
      </w:r>
    </w:p>
    <w:p>
      <w:pPr>
        <w:spacing w:after="0" w:line="135" w:lineRule="exact"/>
        <w:rPr>
          <w:rFonts w:ascii="Arial" w:cs="Arial" w:eastAsia="Arial" w:hAnsi="Arial"/>
          <w:sz w:val="16"/>
          <w:szCs w:val="16"/>
          <w:color w:val="auto"/>
        </w:rPr>
      </w:pPr>
    </w:p>
    <w:p>
      <w:pPr>
        <w:ind w:left="1680" w:right="980" w:hanging="358"/>
        <w:spacing w:after="0" w:line="282" w:lineRule="auto"/>
        <w:tabs>
          <w:tab w:leader="none" w:pos="1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CCC means for a year (A) the Company’s cash from operations divided by (B) the sum of the Company’s net income plus depreciation and amortization, as adjusted for certain restructuring costs.</w:t>
      </w:r>
    </w:p>
    <w:p>
      <w:pPr>
        <w:spacing w:after="0" w:line="129" w:lineRule="exact"/>
        <w:rPr>
          <w:rFonts w:ascii="Arial" w:cs="Arial" w:eastAsia="Arial" w:hAnsi="Arial"/>
          <w:sz w:val="16"/>
          <w:szCs w:val="16"/>
          <w:color w:val="auto"/>
        </w:rPr>
      </w:pPr>
    </w:p>
    <w:p>
      <w:pPr>
        <w:ind w:left="1680" w:right="1080" w:hanging="358"/>
        <w:spacing w:after="0" w:line="257" w:lineRule="auto"/>
        <w:tabs>
          <w:tab w:leader="none" w:pos="1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RTSR measures the percentile ranking of the Company’s total stockholder return ((“TSR”) which means changes in stock price plus dividends) for the performance period against the total stockholder return of the XLI Index for the 2023-2025 grant. The XLI Index mirrors the S&amp;P 500 Industrials Index and is comprised of 72 companies, including Wabtec. The change was made to more accurately represent industry and investor peers.</w:t>
      </w:r>
    </w:p>
    <w:p>
      <w:pPr>
        <w:spacing w:after="0" w:line="122" w:lineRule="exact"/>
        <w:rPr>
          <w:sz w:val="20"/>
          <w:szCs w:val="20"/>
          <w:color w:val="auto"/>
        </w:rPr>
      </w:pPr>
    </w:p>
    <w:p>
      <w:pPr>
        <w:ind w:left="960" w:right="1020"/>
        <w:spacing w:after="0" w:line="250" w:lineRule="auto"/>
        <w:rPr>
          <w:sz w:val="20"/>
          <w:szCs w:val="20"/>
          <w:color w:val="auto"/>
        </w:rPr>
      </w:pPr>
      <w:r>
        <w:rPr>
          <w:rFonts w:ascii="Arial" w:cs="Arial" w:eastAsia="Arial" w:hAnsi="Arial"/>
          <w:sz w:val="16"/>
          <w:szCs w:val="16"/>
          <w:color w:val="auto"/>
        </w:rPr>
        <w:t>If Wabtec achieves the maximum three-year cumulative ROIC and CCC results, a participant can earn a maximum number of performance units, equal to 200% of the target level. The RTSR modifier cannot increase the payout above 200% of the target. If Wabtec achieves the threshold three-year ROIC and CCC cumulative goals, a participant can earn a threshold number of performance units, equal to 25% of the target level, which would be subject to modification up or down based on RTSR. Payouts calculated under the ROIC and CCC metrics range from 25% of target for actual performance at 75% of target to 200% of target for performance at or above 125% of target. No performance units would be earned for performance below the three-year cumulative ROIC and CCC thresholds.</w:t>
      </w:r>
    </w:p>
    <w:p>
      <w:pPr>
        <w:spacing w:after="0" w:line="131" w:lineRule="exact"/>
        <w:rPr>
          <w:sz w:val="20"/>
          <w:szCs w:val="20"/>
          <w:color w:val="auto"/>
        </w:rPr>
      </w:pPr>
    </w:p>
    <w:p>
      <w:pPr>
        <w:ind w:left="960" w:right="1060"/>
        <w:spacing w:after="0" w:line="250" w:lineRule="auto"/>
        <w:rPr>
          <w:sz w:val="20"/>
          <w:szCs w:val="20"/>
          <w:color w:val="auto"/>
        </w:rPr>
      </w:pPr>
      <w:r>
        <w:rPr>
          <w:rFonts w:ascii="Arial" w:cs="Arial" w:eastAsia="Arial" w:hAnsi="Arial"/>
          <w:sz w:val="16"/>
          <w:szCs w:val="16"/>
          <w:color w:val="auto"/>
        </w:rPr>
        <w:t>The long-term incentive program is intended to encourage the long-term stability of Wabtec’s management by establishing ambitious goals designed to promote the long-term productivity and profitability of the Company. If a program participant leaves the Company voluntarily, or is terminated for cause, they are not eligible to receive any performance units he or she may have earned under the program. If a program participant leaves the Company for death, disability, termination without cause, or retirement, the awards continue to vest, subject to actual performance results for the full performance period. These goals were based on a range of considerations including expected demand in Wabtec’s key end-user markets, investor expectations and management’s business plan which includes year over year growth.</w:t>
      </w:r>
    </w:p>
    <w:p>
      <w:pPr>
        <w:spacing w:after="0" w:line="185"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Long-Term Incentive Payouts (2021-2023 Performance Units)</w:t>
      </w:r>
    </w:p>
    <w:p>
      <w:pPr>
        <w:spacing w:after="0" w:line="178" w:lineRule="exact"/>
        <w:rPr>
          <w:sz w:val="20"/>
          <w:szCs w:val="20"/>
          <w:color w:val="auto"/>
        </w:rPr>
      </w:pPr>
    </w:p>
    <w:p>
      <w:pPr>
        <w:ind w:left="960"/>
        <w:spacing w:after="0"/>
        <w:rPr>
          <w:sz w:val="20"/>
          <w:szCs w:val="20"/>
          <w:color w:val="auto"/>
        </w:rPr>
      </w:pPr>
      <w:r>
        <w:rPr>
          <w:rFonts w:ascii="Arial" w:cs="Arial" w:eastAsia="Arial" w:hAnsi="Arial"/>
          <w:sz w:val="16"/>
          <w:szCs w:val="16"/>
          <w:color w:val="auto"/>
        </w:rPr>
        <w:t>Payouts under our 2021 — 2023 performance unit plan are summarized below.</w:t>
      </w:r>
    </w:p>
    <w:p>
      <w:pPr>
        <w:spacing w:after="0" w:line="10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Actual Peer Group Total Stockholder Return over the three-year period ranged from 15.29% at the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to 39.10%</w:t>
      </w:r>
    </w:p>
    <w:p>
      <w:pPr>
        <w:ind w:left="960" w:right="1060"/>
        <w:spacing w:after="0" w:line="212" w:lineRule="auto"/>
        <w:rPr>
          <w:sz w:val="20"/>
          <w:szCs w:val="20"/>
          <w:color w:val="auto"/>
        </w:rPr>
      </w:pPr>
      <w:r>
        <w:rPr>
          <w:rFonts w:ascii="Arial" w:cs="Arial" w:eastAsia="Arial" w:hAnsi="Arial"/>
          <w:sz w:val="16"/>
          <w:szCs w:val="16"/>
          <w:color w:val="auto"/>
        </w:rPr>
        <w:t>at the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The Company’s TSR of 69.10% over the same three-year period fell above the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resulting in a modification of +10.0%.</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ind w:right="35"/>
              <w:spacing w:after="0"/>
              <w:rPr>
                <w:sz w:val="20"/>
                <w:szCs w:val="20"/>
                <w:color w:val="auto"/>
              </w:rPr>
            </w:pPr>
            <w:r>
              <w:rPr>
                <w:rFonts w:ascii="Arial" w:cs="Arial" w:eastAsia="Arial" w:hAnsi="Arial"/>
                <w:sz w:val="14"/>
                <w:szCs w:val="14"/>
                <w:b w:val="1"/>
                <w:bCs w:val="1"/>
                <w:color w:val="auto"/>
              </w:rPr>
              <w:t>25</w:t>
            </w:r>
            <w:r>
              <w:rPr>
                <w:rFonts w:ascii="Arial" w:cs="Arial" w:eastAsia="Arial" w:hAnsi="Arial"/>
                <w:sz w:val="23"/>
                <w:szCs w:val="23"/>
                <w:b w:val="1"/>
                <w:bCs w:val="1"/>
                <w:color w:val="auto"/>
                <w:vertAlign w:val="superscript"/>
              </w:rPr>
              <w:t>th</w:t>
            </w:r>
            <w:r>
              <w:rPr>
                <w:rFonts w:ascii="Arial" w:cs="Arial" w:eastAsia="Arial" w:hAnsi="Arial"/>
                <w:sz w:val="14"/>
                <w:szCs w:val="14"/>
                <w:b w:val="1"/>
                <w:bCs w:val="1"/>
                <w:color w:val="auto"/>
              </w:rPr>
              <w:t xml:space="preserve"> </w:t>
            </w:r>
            <w:r>
              <w:rPr>
                <w:rFonts w:ascii="Times New Roman" w:cs="Times New Roman" w:eastAsia="Times New Roman" w:hAnsi="Times New Roman"/>
                <w:sz w:val="7"/>
                <w:szCs w:val="7"/>
                <w:color w:val="auto"/>
                <w:vertAlign w:val="subscript"/>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35</w:t>
            </w:r>
            <w:r>
              <w:rPr>
                <w:rFonts w:ascii="Arial" w:cs="Arial" w:eastAsia="Arial" w:hAnsi="Arial"/>
                <w:sz w:val="23"/>
                <w:szCs w:val="23"/>
                <w:b w:val="1"/>
                <w:bCs w:val="1"/>
                <w:color w:val="auto"/>
                <w:vertAlign w:val="superscript"/>
              </w:rPr>
              <w:t>th</w:t>
            </w:r>
            <w:r>
              <w:rPr>
                <w:rFonts w:ascii="Arial" w:cs="Arial" w:eastAsia="Arial" w:hAnsi="Arial"/>
                <w:sz w:val="14"/>
                <w:szCs w:val="14"/>
                <w:b w:val="1"/>
                <w:bCs w:val="1"/>
                <w:color w:val="auto"/>
              </w:rPr>
              <w:t xml:space="preserve"> </w:t>
            </w:r>
            <w:r>
              <w:rPr>
                <w:rFonts w:ascii="Times New Roman" w:cs="Times New Roman" w:eastAsia="Times New Roman" w:hAnsi="Times New Roman"/>
                <w:sz w:val="7"/>
                <w:szCs w:val="7"/>
                <w:color w:val="auto"/>
                <w:vertAlign w:val="subscript"/>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45</w:t>
            </w:r>
            <w:r>
              <w:rPr>
                <w:rFonts w:ascii="Arial" w:cs="Arial" w:eastAsia="Arial" w:hAnsi="Arial"/>
                <w:sz w:val="23"/>
                <w:szCs w:val="23"/>
                <w:b w:val="1"/>
                <w:bCs w:val="1"/>
                <w:color w:val="auto"/>
                <w:vertAlign w:val="superscript"/>
              </w:rPr>
              <w:t>th</w:t>
            </w:r>
            <w:r>
              <w:rPr>
                <w:rFonts w:ascii="Arial" w:cs="Arial" w:eastAsia="Arial" w:hAnsi="Arial"/>
                <w:sz w:val="14"/>
                <w:szCs w:val="14"/>
                <w:b w:val="1"/>
                <w:bCs w:val="1"/>
                <w:color w:val="auto"/>
              </w:rPr>
              <w:t xml:space="preserve"> </w:t>
            </w:r>
            <w:r>
              <w:rPr>
                <w:rFonts w:ascii="Times New Roman" w:cs="Times New Roman" w:eastAsia="Times New Roman" w:hAnsi="Times New Roman"/>
                <w:sz w:val="7"/>
                <w:szCs w:val="7"/>
                <w:color w:val="auto"/>
                <w:vertAlign w:val="subscript"/>
              </w:rPr>
              <w:t>​</w:t>
            </w:r>
          </w:p>
        </w:tc>
        <w:tc>
          <w:tcPr>
            <w:tcW w:w="6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spacing w:after="0"/>
              <w:rPr>
                <w:sz w:val="23"/>
                <w:szCs w:val="23"/>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rPr>
              <w:t>55</w:t>
            </w:r>
            <w:r>
              <w:rPr>
                <w:rFonts w:ascii="Arial" w:cs="Arial" w:eastAsia="Arial" w:hAnsi="Arial"/>
                <w:sz w:val="23"/>
                <w:szCs w:val="23"/>
                <w:b w:val="1"/>
                <w:bCs w:val="1"/>
                <w:color w:val="auto"/>
                <w:vertAlign w:val="superscript"/>
              </w:rPr>
              <w:t>th</w:t>
            </w:r>
            <w:r>
              <w:rPr>
                <w:rFonts w:ascii="Arial" w:cs="Arial" w:eastAsia="Arial" w:hAnsi="Arial"/>
                <w:sz w:val="14"/>
                <w:szCs w:val="14"/>
                <w:b w:val="1"/>
                <w:bCs w:val="1"/>
                <w:color w:val="auto"/>
              </w:rPr>
              <w:t xml:space="preserve"> </w:t>
            </w:r>
            <w:r>
              <w:rPr>
                <w:rFonts w:ascii="Times New Roman" w:cs="Times New Roman" w:eastAsia="Times New Roman" w:hAnsi="Times New Roman"/>
                <w:sz w:val="7"/>
                <w:szCs w:val="7"/>
                <w:color w:val="auto"/>
                <w:vertAlign w:val="subscript"/>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spacing w:after="0"/>
              <w:rPr>
                <w:sz w:val="23"/>
                <w:szCs w:val="23"/>
                <w:color w:val="auto"/>
              </w:rPr>
            </w:pPr>
          </w:p>
        </w:tc>
        <w:tc>
          <w:tcPr>
            <w:tcW w:w="600" w:type="dxa"/>
            <w:vAlign w:val="bottom"/>
          </w:tcPr>
          <w:p>
            <w:pPr>
              <w:jc w:val="right"/>
              <w:ind w:right="100"/>
              <w:spacing w:after="0"/>
              <w:rPr>
                <w:sz w:val="20"/>
                <w:szCs w:val="20"/>
                <w:color w:val="auto"/>
              </w:rPr>
            </w:pPr>
            <w:r>
              <w:rPr>
                <w:rFonts w:ascii="Arial" w:cs="Arial" w:eastAsia="Arial" w:hAnsi="Arial"/>
                <w:sz w:val="14"/>
                <w:szCs w:val="14"/>
                <w:b w:val="1"/>
                <w:bCs w:val="1"/>
                <w:color w:val="auto"/>
              </w:rPr>
              <w:t>65</w:t>
            </w:r>
            <w:r>
              <w:rPr>
                <w:rFonts w:ascii="Arial" w:cs="Arial" w:eastAsia="Arial" w:hAnsi="Arial"/>
                <w:sz w:val="23"/>
                <w:szCs w:val="23"/>
                <w:b w:val="1"/>
                <w:bCs w:val="1"/>
                <w:color w:val="auto"/>
                <w:vertAlign w:val="superscript"/>
              </w:rPr>
              <w:t>th</w:t>
            </w:r>
            <w:r>
              <w:rPr>
                <w:rFonts w:ascii="Arial" w:cs="Arial" w:eastAsia="Arial" w:hAnsi="Arial"/>
                <w:sz w:val="14"/>
                <w:szCs w:val="14"/>
                <w:b w:val="1"/>
                <w:bCs w:val="1"/>
                <w:color w:val="auto"/>
              </w:rPr>
              <w:t xml:space="preserve"> </w:t>
            </w:r>
            <w:r>
              <w:rPr>
                <w:rFonts w:ascii="Times New Roman" w:cs="Times New Roman" w:eastAsia="Times New Roman" w:hAnsi="Times New Roman"/>
                <w:sz w:val="7"/>
                <w:szCs w:val="7"/>
                <w:color w:val="auto"/>
                <w:vertAlign w:val="subscript"/>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ind w:right="75"/>
              <w:spacing w:after="0"/>
              <w:rPr>
                <w:sz w:val="20"/>
                <w:szCs w:val="20"/>
                <w:color w:val="auto"/>
              </w:rPr>
            </w:pPr>
            <w:r>
              <w:rPr>
                <w:rFonts w:ascii="Arial" w:cs="Arial" w:eastAsia="Arial" w:hAnsi="Arial"/>
                <w:sz w:val="14"/>
                <w:szCs w:val="14"/>
                <w:b w:val="1"/>
                <w:bCs w:val="1"/>
                <w:color w:val="auto"/>
              </w:rPr>
              <w:t>75</w:t>
            </w:r>
            <w:r>
              <w:rPr>
                <w:rFonts w:ascii="Arial" w:cs="Arial" w:eastAsia="Arial" w:hAnsi="Arial"/>
                <w:sz w:val="23"/>
                <w:szCs w:val="23"/>
                <w:b w:val="1"/>
                <w:bCs w:val="1"/>
                <w:color w:val="auto"/>
                <w:vertAlign w:val="superscript"/>
              </w:rPr>
              <w:t>th</w:t>
            </w:r>
            <w:r>
              <w:rPr>
                <w:rFonts w:ascii="Arial" w:cs="Arial" w:eastAsia="Arial" w:hAnsi="Arial"/>
                <w:sz w:val="14"/>
                <w:szCs w:val="14"/>
                <w:b w:val="1"/>
                <w:bCs w:val="1"/>
                <w:color w:val="auto"/>
              </w:rPr>
              <w:t xml:space="preserve"> </w:t>
            </w:r>
            <w:r>
              <w:rPr>
                <w:rFonts w:ascii="Times New Roman" w:cs="Times New Roman" w:eastAsia="Times New Roman" w:hAnsi="Times New Roman"/>
                <w:sz w:val="7"/>
                <w:szCs w:val="7"/>
                <w:color w:val="auto"/>
                <w:vertAlign w:val="subscript"/>
              </w:rPr>
              <w:t>​</w:t>
            </w:r>
          </w:p>
        </w:tc>
        <w:tc>
          <w:tcPr>
            <w:tcW w:w="780" w:type="dxa"/>
            <w:vAlign w:val="bottom"/>
          </w:tcPr>
          <w:p>
            <w:pPr>
              <w:jc w:val="right"/>
              <w:ind w:right="66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9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35"/>
              <w:spacing w:after="0"/>
              <w:rPr>
                <w:sz w:val="20"/>
                <w:szCs w:val="20"/>
                <w:color w:val="auto"/>
              </w:rPr>
            </w:pPr>
            <w:r>
              <w:rPr>
                <w:rFonts w:ascii="Arial" w:cs="Arial" w:eastAsia="Arial" w:hAnsi="Arial"/>
                <w:sz w:val="14"/>
                <w:szCs w:val="14"/>
                <w:b w:val="1"/>
                <w:bCs w:val="1"/>
                <w:color w:val="auto"/>
              </w:rPr>
              <w:t>Percentile</w:t>
            </w:r>
          </w:p>
        </w:tc>
        <w:tc>
          <w:tcPr>
            <w:tcW w:w="220" w:type="dxa"/>
            <w:vAlign w:val="bottom"/>
          </w:tcPr>
          <w:p>
            <w:pPr>
              <w:spacing w:after="0"/>
              <w:rPr>
                <w:sz w:val="16"/>
                <w:szCs w:val="16"/>
                <w:color w:val="auto"/>
              </w:rPr>
            </w:pPr>
          </w:p>
        </w:tc>
        <w:tc>
          <w:tcPr>
            <w:tcW w:w="800" w:type="dxa"/>
            <w:vAlign w:val="bottom"/>
          </w:tcPr>
          <w:p>
            <w:pPr>
              <w:jc w:val="center"/>
              <w:ind w:left="18"/>
              <w:spacing w:after="0"/>
              <w:rPr>
                <w:sz w:val="20"/>
                <w:szCs w:val="20"/>
                <w:color w:val="auto"/>
              </w:rPr>
            </w:pPr>
            <w:r>
              <w:rPr>
                <w:rFonts w:ascii="Arial" w:cs="Arial" w:eastAsia="Arial" w:hAnsi="Arial"/>
                <w:sz w:val="14"/>
                <w:szCs w:val="14"/>
                <w:b w:val="1"/>
                <w:bCs w:val="1"/>
                <w:color w:val="auto"/>
              </w:rPr>
              <w:t>Percentile</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Percentile</w:t>
            </w:r>
          </w:p>
        </w:tc>
        <w:tc>
          <w:tcPr>
            <w:tcW w:w="1160" w:type="dxa"/>
            <w:vAlign w:val="bottom"/>
            <w:gridSpan w:val="3"/>
          </w:tcPr>
          <w:p>
            <w:pPr>
              <w:ind w:left="380"/>
              <w:spacing w:after="0"/>
              <w:rPr>
                <w:sz w:val="20"/>
                <w:szCs w:val="20"/>
                <w:color w:val="auto"/>
              </w:rPr>
            </w:pPr>
            <w:r>
              <w:rPr>
                <w:rFonts w:ascii="Arial" w:cs="Arial" w:eastAsia="Arial" w:hAnsi="Arial"/>
                <w:sz w:val="14"/>
                <w:szCs w:val="14"/>
                <w:b w:val="1"/>
                <w:bCs w:val="1"/>
                <w:color w:val="auto"/>
              </w:rPr>
              <w:t>Percentile</w:t>
            </w:r>
          </w:p>
        </w:tc>
        <w:tc>
          <w:tcPr>
            <w:tcW w:w="2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Percentile</w:t>
            </w:r>
          </w:p>
        </w:tc>
        <w:tc>
          <w:tcPr>
            <w:tcW w:w="220" w:type="dxa"/>
            <w:vAlign w:val="bottom"/>
          </w:tcPr>
          <w:p>
            <w:pPr>
              <w:spacing w:after="0"/>
              <w:rPr>
                <w:sz w:val="16"/>
                <w:szCs w:val="16"/>
                <w:color w:val="auto"/>
              </w:rPr>
            </w:pPr>
          </w:p>
        </w:tc>
        <w:tc>
          <w:tcPr>
            <w:tcW w:w="860" w:type="dxa"/>
            <w:vAlign w:val="bottom"/>
          </w:tcPr>
          <w:p>
            <w:pPr>
              <w:jc w:val="right"/>
              <w:ind w:right="75"/>
              <w:spacing w:after="0"/>
              <w:rPr>
                <w:sz w:val="20"/>
                <w:szCs w:val="20"/>
                <w:color w:val="auto"/>
              </w:rPr>
            </w:pPr>
            <w:r>
              <w:rPr>
                <w:rFonts w:ascii="Arial" w:cs="Arial" w:eastAsia="Arial" w:hAnsi="Arial"/>
                <w:sz w:val="14"/>
                <w:szCs w:val="14"/>
                <w:b w:val="1"/>
                <w:bCs w:val="1"/>
                <w:color w:val="auto"/>
              </w:rPr>
              <w:t>Percentile</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Actual</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980" w:type="dxa"/>
            <w:vAlign w:val="bottom"/>
          </w:tcPr>
          <w:p>
            <w:pPr>
              <w:spacing w:after="0"/>
              <w:rPr>
                <w:sz w:val="4"/>
                <w:szCs w:val="4"/>
                <w:color w:val="auto"/>
              </w:rPr>
            </w:pPr>
          </w:p>
        </w:tc>
        <w:tc>
          <w:tcPr>
            <w:tcW w:w="1240" w:type="dxa"/>
            <w:vAlign w:val="bottom"/>
            <w:tcBorders>
              <w:bottom w:val="single" w:sz="8" w:color="0C426A"/>
            </w:tcBorders>
          </w:tcPr>
          <w:p>
            <w:pPr>
              <w:spacing w:after="0"/>
              <w:rPr>
                <w:sz w:val="4"/>
                <w:szCs w:val="4"/>
                <w:color w:val="auto"/>
              </w:rPr>
            </w:pPr>
          </w:p>
        </w:tc>
        <w:tc>
          <w:tcPr>
            <w:tcW w:w="160" w:type="dxa"/>
            <w:vAlign w:val="bottom"/>
            <w:tcBorders>
              <w:bottom w:val="single" w:sz="8" w:color="0C426A"/>
            </w:tcBorders>
          </w:tcPr>
          <w:p>
            <w:pPr>
              <w:spacing w:after="0"/>
              <w:rPr>
                <w:sz w:val="4"/>
                <w:szCs w:val="4"/>
                <w:color w:val="auto"/>
              </w:rPr>
            </w:pPr>
          </w:p>
        </w:tc>
        <w:tc>
          <w:tcPr>
            <w:tcW w:w="180" w:type="dxa"/>
            <w:vAlign w:val="bottom"/>
            <w:tcBorders>
              <w:bottom w:val="single" w:sz="8" w:color="0C426A"/>
            </w:tcBorders>
          </w:tcPr>
          <w:p>
            <w:pPr>
              <w:spacing w:after="0"/>
              <w:rPr>
                <w:sz w:val="4"/>
                <w:szCs w:val="4"/>
                <w:color w:val="auto"/>
              </w:rPr>
            </w:pPr>
          </w:p>
        </w:tc>
        <w:tc>
          <w:tcPr>
            <w:tcW w:w="200" w:type="dxa"/>
            <w:vAlign w:val="bottom"/>
            <w:tcBorders>
              <w:bottom w:val="single" w:sz="8" w:color="0C426A"/>
            </w:tcBorders>
          </w:tcPr>
          <w:p>
            <w:pPr>
              <w:spacing w:after="0"/>
              <w:rPr>
                <w:sz w:val="4"/>
                <w:szCs w:val="4"/>
                <w:color w:val="auto"/>
              </w:rPr>
            </w:pPr>
          </w:p>
        </w:tc>
        <w:tc>
          <w:tcPr>
            <w:tcW w:w="840" w:type="dxa"/>
            <w:vAlign w:val="bottom"/>
            <w:tcBorders>
              <w:bottom w:val="single" w:sz="8" w:color="0C426A"/>
            </w:tcBorders>
          </w:tcPr>
          <w:p>
            <w:pPr>
              <w:spacing w:after="0"/>
              <w:rPr>
                <w:sz w:val="4"/>
                <w:szCs w:val="4"/>
                <w:color w:val="auto"/>
              </w:rPr>
            </w:pPr>
          </w:p>
        </w:tc>
        <w:tc>
          <w:tcPr>
            <w:tcW w:w="220" w:type="dxa"/>
            <w:vAlign w:val="bottom"/>
            <w:tcBorders>
              <w:bottom w:val="single" w:sz="8" w:color="0C426A"/>
            </w:tcBorders>
          </w:tcPr>
          <w:p>
            <w:pPr>
              <w:spacing w:after="0"/>
              <w:rPr>
                <w:sz w:val="4"/>
                <w:szCs w:val="4"/>
                <w:color w:val="auto"/>
              </w:rPr>
            </w:pPr>
          </w:p>
        </w:tc>
        <w:tc>
          <w:tcPr>
            <w:tcW w:w="800" w:type="dxa"/>
            <w:vAlign w:val="bottom"/>
            <w:tcBorders>
              <w:bottom w:val="single" w:sz="8" w:color="0C426A"/>
            </w:tcBorders>
          </w:tcPr>
          <w:p>
            <w:pPr>
              <w:spacing w:after="0"/>
              <w:rPr>
                <w:sz w:val="4"/>
                <w:szCs w:val="4"/>
                <w:color w:val="auto"/>
              </w:rPr>
            </w:pPr>
          </w:p>
        </w:tc>
        <w:tc>
          <w:tcPr>
            <w:tcW w:w="220" w:type="dxa"/>
            <w:vAlign w:val="bottom"/>
            <w:tcBorders>
              <w:bottom w:val="single" w:sz="8" w:color="0C426A"/>
            </w:tcBorders>
          </w:tcPr>
          <w:p>
            <w:pPr>
              <w:spacing w:after="0"/>
              <w:rPr>
                <w:sz w:val="4"/>
                <w:szCs w:val="4"/>
                <w:color w:val="auto"/>
              </w:rPr>
            </w:pPr>
          </w:p>
        </w:tc>
        <w:tc>
          <w:tcPr>
            <w:tcW w:w="920" w:type="dxa"/>
            <w:vAlign w:val="bottom"/>
            <w:tcBorders>
              <w:bottom w:val="single" w:sz="8" w:color="0C426A"/>
            </w:tcBorders>
          </w:tcPr>
          <w:p>
            <w:pPr>
              <w:spacing w:after="0"/>
              <w:rPr>
                <w:sz w:val="4"/>
                <w:szCs w:val="4"/>
                <w:color w:val="auto"/>
              </w:rPr>
            </w:pPr>
          </w:p>
        </w:tc>
        <w:tc>
          <w:tcPr>
            <w:tcW w:w="640" w:type="dxa"/>
            <w:vAlign w:val="bottom"/>
            <w:tcBorders>
              <w:bottom w:val="single" w:sz="8" w:color="0C426A"/>
            </w:tcBorders>
          </w:tcPr>
          <w:p>
            <w:pPr>
              <w:spacing w:after="0"/>
              <w:rPr>
                <w:sz w:val="4"/>
                <w:szCs w:val="4"/>
                <w:color w:val="auto"/>
              </w:rPr>
            </w:pPr>
          </w:p>
        </w:tc>
        <w:tc>
          <w:tcPr>
            <w:tcW w:w="100" w:type="dxa"/>
            <w:vAlign w:val="bottom"/>
            <w:tcBorders>
              <w:bottom w:val="single" w:sz="8" w:color="0C426A"/>
            </w:tcBorders>
          </w:tcPr>
          <w:p>
            <w:pPr>
              <w:spacing w:after="0"/>
              <w:rPr>
                <w:sz w:val="4"/>
                <w:szCs w:val="4"/>
                <w:color w:val="auto"/>
              </w:rPr>
            </w:pPr>
          </w:p>
        </w:tc>
        <w:tc>
          <w:tcPr>
            <w:tcW w:w="420" w:type="dxa"/>
            <w:vAlign w:val="bottom"/>
            <w:tcBorders>
              <w:bottom w:val="single" w:sz="8" w:color="0C426A"/>
            </w:tcBorders>
          </w:tcPr>
          <w:p>
            <w:pPr>
              <w:spacing w:after="0"/>
              <w:rPr>
                <w:sz w:val="4"/>
                <w:szCs w:val="4"/>
                <w:color w:val="auto"/>
              </w:rPr>
            </w:pPr>
          </w:p>
        </w:tc>
        <w:tc>
          <w:tcPr>
            <w:tcW w:w="280" w:type="dxa"/>
            <w:vAlign w:val="bottom"/>
            <w:tcBorders>
              <w:bottom w:val="single" w:sz="8" w:color="0C426A"/>
            </w:tcBorders>
          </w:tcPr>
          <w:p>
            <w:pPr>
              <w:spacing w:after="0"/>
              <w:rPr>
                <w:sz w:val="4"/>
                <w:szCs w:val="4"/>
                <w:color w:val="auto"/>
              </w:rPr>
            </w:pPr>
          </w:p>
        </w:tc>
        <w:tc>
          <w:tcPr>
            <w:tcW w:w="300" w:type="dxa"/>
            <w:vAlign w:val="bottom"/>
            <w:tcBorders>
              <w:bottom w:val="single" w:sz="8" w:color="0C426A"/>
            </w:tcBorders>
          </w:tcPr>
          <w:p>
            <w:pPr>
              <w:spacing w:after="0"/>
              <w:rPr>
                <w:sz w:val="4"/>
                <w:szCs w:val="4"/>
                <w:color w:val="auto"/>
              </w:rPr>
            </w:pPr>
          </w:p>
        </w:tc>
        <w:tc>
          <w:tcPr>
            <w:tcW w:w="600" w:type="dxa"/>
            <w:vAlign w:val="bottom"/>
            <w:tcBorders>
              <w:bottom w:val="single" w:sz="8" w:color="0C426A"/>
            </w:tcBorders>
          </w:tcPr>
          <w:p>
            <w:pPr>
              <w:spacing w:after="0"/>
              <w:rPr>
                <w:sz w:val="4"/>
                <w:szCs w:val="4"/>
                <w:color w:val="auto"/>
              </w:rPr>
            </w:pPr>
          </w:p>
        </w:tc>
        <w:tc>
          <w:tcPr>
            <w:tcW w:w="220" w:type="dxa"/>
            <w:vAlign w:val="bottom"/>
            <w:tcBorders>
              <w:bottom w:val="single" w:sz="8" w:color="0C426A"/>
            </w:tcBorders>
          </w:tcPr>
          <w:p>
            <w:pPr>
              <w:spacing w:after="0"/>
              <w:rPr>
                <w:sz w:val="4"/>
                <w:szCs w:val="4"/>
                <w:color w:val="auto"/>
              </w:rPr>
            </w:pPr>
          </w:p>
        </w:tc>
        <w:tc>
          <w:tcPr>
            <w:tcW w:w="860" w:type="dxa"/>
            <w:vAlign w:val="bottom"/>
            <w:tcBorders>
              <w:bottom w:val="single" w:sz="8" w:color="0C426A"/>
            </w:tcBorders>
          </w:tcPr>
          <w:p>
            <w:pPr>
              <w:spacing w:after="0"/>
              <w:rPr>
                <w:sz w:val="4"/>
                <w:szCs w:val="4"/>
                <w:color w:val="auto"/>
              </w:rPr>
            </w:pPr>
          </w:p>
        </w:tc>
        <w:tc>
          <w:tcPr>
            <w:tcW w:w="780" w:type="dxa"/>
            <w:vAlign w:val="bottom"/>
            <w:tcBorders>
              <w:bottom w:val="single" w:sz="8" w:color="0C426A"/>
            </w:tcBorders>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240" w:type="dxa"/>
            <w:vAlign w:val="bottom"/>
          </w:tcPr>
          <w:p>
            <w:pPr>
              <w:ind w:left="20"/>
              <w:spacing w:after="0"/>
              <w:rPr>
                <w:sz w:val="20"/>
                <w:szCs w:val="20"/>
                <w:color w:val="auto"/>
              </w:rPr>
            </w:pPr>
            <w:r>
              <w:rPr>
                <w:rFonts w:ascii="Arial" w:cs="Arial" w:eastAsia="Arial" w:hAnsi="Arial"/>
                <w:sz w:val="14"/>
                <w:szCs w:val="14"/>
                <w:color w:val="auto"/>
              </w:rPr>
              <w:t>Total Stockholder</w:t>
            </w:r>
          </w:p>
        </w:tc>
        <w:tc>
          <w:tcPr>
            <w:tcW w:w="16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spacing w:after="0"/>
              <w:rPr>
                <w:sz w:val="20"/>
                <w:szCs w:val="20"/>
                <w:color w:val="auto"/>
              </w:rPr>
            </w:pPr>
          </w:p>
        </w:tc>
        <w:tc>
          <w:tcPr>
            <w:tcW w:w="420" w:type="dxa"/>
            <w:vAlign w:val="bottom"/>
          </w:tcPr>
          <w:p>
            <w:pPr>
              <w:ind w:left="32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vMerge w:val="restart"/>
          </w:tcPr>
          <w:p>
            <w:pPr>
              <w:ind w:left="140"/>
              <w:spacing w:after="0"/>
              <w:rPr>
                <w:sz w:val="20"/>
                <w:szCs w:val="20"/>
                <w:color w:val="auto"/>
              </w:rPr>
            </w:pPr>
            <w:r>
              <w:rPr>
                <w:rFonts w:ascii="Arial" w:cs="Arial" w:eastAsia="Arial" w:hAnsi="Arial"/>
                <w:sz w:val="14"/>
                <w:szCs w:val="14"/>
                <w:color w:val="auto"/>
                <w:w w:val="89"/>
              </w:rPr>
              <w:t>34​</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66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1240" w:type="dxa"/>
            <w:vAlign w:val="bottom"/>
          </w:tcPr>
          <w:p>
            <w:pPr>
              <w:ind w:left="20"/>
              <w:spacing w:after="0"/>
              <w:rPr>
                <w:sz w:val="20"/>
                <w:szCs w:val="20"/>
                <w:color w:val="auto"/>
              </w:rPr>
            </w:pPr>
            <w:r>
              <w:rPr>
                <w:rFonts w:ascii="Arial" w:cs="Arial" w:eastAsia="Arial" w:hAnsi="Arial"/>
                <w:sz w:val="14"/>
                <w:szCs w:val="14"/>
                <w:color w:val="auto"/>
              </w:rPr>
              <w:t>Return (“TSR”)</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135"/>
              <w:spacing w:after="0"/>
              <w:rPr>
                <w:sz w:val="20"/>
                <w:szCs w:val="20"/>
                <w:color w:val="auto"/>
              </w:rPr>
            </w:pPr>
            <w:r>
              <w:rPr>
                <w:rFonts w:ascii="Arial" w:cs="Arial" w:eastAsia="Arial" w:hAnsi="Arial"/>
                <w:sz w:val="14"/>
                <w:szCs w:val="14"/>
                <w:color w:val="auto"/>
              </w:rPr>
              <w:t>15​.29%</w:t>
            </w:r>
          </w:p>
        </w:tc>
        <w:tc>
          <w:tcPr>
            <w:tcW w:w="220" w:type="dxa"/>
            <w:vAlign w:val="bottom"/>
          </w:tcPr>
          <w:p>
            <w:pPr>
              <w:spacing w:after="0"/>
              <w:rPr>
                <w:sz w:val="16"/>
                <w:szCs w:val="16"/>
                <w:color w:val="auto"/>
              </w:rPr>
            </w:pPr>
          </w:p>
        </w:tc>
        <w:tc>
          <w:tcPr>
            <w:tcW w:w="800" w:type="dxa"/>
            <w:vAlign w:val="bottom"/>
          </w:tcPr>
          <w:p>
            <w:pPr>
              <w:jc w:val="center"/>
              <w:ind w:left="18"/>
              <w:spacing w:after="0"/>
              <w:rPr>
                <w:sz w:val="20"/>
                <w:szCs w:val="20"/>
                <w:color w:val="auto"/>
              </w:rPr>
            </w:pPr>
            <w:r>
              <w:rPr>
                <w:rFonts w:ascii="Arial" w:cs="Arial" w:eastAsia="Arial" w:hAnsi="Arial"/>
                <w:sz w:val="14"/>
                <w:szCs w:val="14"/>
                <w:color w:val="auto"/>
              </w:rPr>
              <w:t>17​.07%</w:t>
            </w:r>
          </w:p>
        </w:tc>
        <w:tc>
          <w:tcPr>
            <w:tcW w:w="220" w:type="dxa"/>
            <w:vAlign w:val="bottom"/>
          </w:tcPr>
          <w:p>
            <w:pPr>
              <w:spacing w:after="0"/>
              <w:rPr>
                <w:sz w:val="16"/>
                <w:szCs w:val="16"/>
                <w:color w:val="auto"/>
              </w:rPr>
            </w:pPr>
          </w:p>
        </w:tc>
        <w:tc>
          <w:tcPr>
            <w:tcW w:w="920" w:type="dxa"/>
            <w:vAlign w:val="bottom"/>
          </w:tcPr>
          <w:p>
            <w:pPr>
              <w:jc w:val="right"/>
              <w:ind w:right="98"/>
              <w:spacing w:after="0"/>
              <w:rPr>
                <w:sz w:val="20"/>
                <w:szCs w:val="20"/>
                <w:color w:val="auto"/>
              </w:rPr>
            </w:pPr>
            <w:r>
              <w:rPr>
                <w:rFonts w:ascii="Arial" w:cs="Arial" w:eastAsia="Arial" w:hAnsi="Arial"/>
                <w:sz w:val="14"/>
                <w:szCs w:val="14"/>
                <w:color w:val="auto"/>
              </w:rPr>
              <w:t>25​.66%</w:t>
            </w:r>
          </w:p>
        </w:tc>
        <w:tc>
          <w:tcPr>
            <w:tcW w:w="640" w:type="dxa"/>
            <w:vAlign w:val="bottom"/>
          </w:tcPr>
          <w:p>
            <w:pPr>
              <w:jc w:val="right"/>
              <w:spacing w:after="0"/>
              <w:rPr>
                <w:sz w:val="20"/>
                <w:szCs w:val="20"/>
                <w:color w:val="auto"/>
              </w:rPr>
            </w:pPr>
            <w:r>
              <w:rPr>
                <w:rFonts w:ascii="Arial" w:cs="Arial" w:eastAsia="Arial" w:hAnsi="Arial"/>
                <w:sz w:val="14"/>
                <w:szCs w:val="14"/>
                <w:color w:val="auto"/>
              </w:rPr>
              <w:t>26​</w:t>
            </w:r>
          </w:p>
        </w:tc>
        <w:tc>
          <w:tcPr>
            <w:tcW w:w="520" w:type="dxa"/>
            <w:vAlign w:val="bottom"/>
            <w:gridSpan w:val="2"/>
          </w:tcPr>
          <w:p>
            <w:pPr>
              <w:jc w:val="right"/>
              <w:ind w:right="142"/>
              <w:spacing w:after="0"/>
              <w:rPr>
                <w:sz w:val="20"/>
                <w:szCs w:val="20"/>
                <w:color w:val="auto"/>
              </w:rPr>
            </w:pPr>
            <w:r>
              <w:rPr>
                <w:rFonts w:ascii="Arial" w:cs="Arial" w:eastAsia="Arial" w:hAnsi="Arial"/>
                <w:sz w:val="14"/>
                <w:szCs w:val="14"/>
                <w:color w:val="auto"/>
                <w:w w:val="93"/>
              </w:rPr>
              <w:t>.91%</w:t>
            </w:r>
          </w:p>
        </w:tc>
        <w:tc>
          <w:tcPr>
            <w:tcW w:w="2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600" w:type="dxa"/>
            <w:vAlign w:val="bottom"/>
          </w:tcPr>
          <w:p>
            <w:pPr>
              <w:jc w:val="right"/>
              <w:ind w:right="220"/>
              <w:spacing w:after="0"/>
              <w:rPr>
                <w:sz w:val="20"/>
                <w:szCs w:val="20"/>
                <w:color w:val="auto"/>
              </w:rPr>
            </w:pPr>
            <w:r>
              <w:rPr>
                <w:rFonts w:ascii="Arial" w:cs="Arial" w:eastAsia="Arial" w:hAnsi="Arial"/>
                <w:sz w:val="14"/>
                <w:szCs w:val="14"/>
                <w:color w:val="auto"/>
                <w:w w:val="93"/>
              </w:rPr>
              <w:t>.31%</w:t>
            </w:r>
          </w:p>
        </w:tc>
        <w:tc>
          <w:tcPr>
            <w:tcW w:w="220" w:type="dxa"/>
            <w:vAlign w:val="bottom"/>
          </w:tcPr>
          <w:p>
            <w:pPr>
              <w:spacing w:after="0"/>
              <w:rPr>
                <w:sz w:val="16"/>
                <w:szCs w:val="16"/>
                <w:color w:val="auto"/>
              </w:rPr>
            </w:pPr>
          </w:p>
        </w:tc>
        <w:tc>
          <w:tcPr>
            <w:tcW w:w="860" w:type="dxa"/>
            <w:vAlign w:val="bottom"/>
          </w:tcPr>
          <w:p>
            <w:pPr>
              <w:jc w:val="right"/>
              <w:ind w:right="175"/>
              <w:spacing w:after="0"/>
              <w:rPr>
                <w:sz w:val="20"/>
                <w:szCs w:val="20"/>
                <w:color w:val="auto"/>
              </w:rPr>
            </w:pPr>
            <w:r>
              <w:rPr>
                <w:rFonts w:ascii="Arial" w:cs="Arial" w:eastAsia="Arial" w:hAnsi="Arial"/>
                <w:sz w:val="14"/>
                <w:szCs w:val="14"/>
                <w:color w:val="auto"/>
              </w:rPr>
              <w:t>39​.10%</w:t>
            </w:r>
          </w:p>
        </w:tc>
        <w:tc>
          <w:tcPr>
            <w:tcW w:w="780" w:type="dxa"/>
            <w:vAlign w:val="bottom"/>
          </w:tcPr>
          <w:p>
            <w:pPr>
              <w:jc w:val="right"/>
              <w:spacing w:after="0"/>
              <w:rPr>
                <w:sz w:val="20"/>
                <w:szCs w:val="20"/>
                <w:color w:val="auto"/>
              </w:rPr>
            </w:pPr>
            <w:r>
              <w:rPr>
                <w:rFonts w:ascii="Arial" w:cs="Arial" w:eastAsia="Arial" w:hAnsi="Arial"/>
                <w:sz w:val="14"/>
                <w:szCs w:val="14"/>
                <w:color w:val="auto"/>
              </w:rPr>
              <w:t>69​.10%</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980" w:type="dxa"/>
            <w:vAlign w:val="bottom"/>
          </w:tcPr>
          <w:p>
            <w:pPr>
              <w:spacing w:after="0"/>
              <w:rPr>
                <w:sz w:val="3"/>
                <w:szCs w:val="3"/>
                <w:color w:val="auto"/>
              </w:rPr>
            </w:pPr>
          </w:p>
        </w:tc>
        <w:tc>
          <w:tcPr>
            <w:tcW w:w="1240" w:type="dxa"/>
            <w:vAlign w:val="bottom"/>
            <w:tcBorders>
              <w:bottom w:val="single" w:sz="8" w:color="0C426A"/>
            </w:tcBorders>
          </w:tcPr>
          <w:p>
            <w:pPr>
              <w:spacing w:after="0"/>
              <w:rPr>
                <w:sz w:val="3"/>
                <w:szCs w:val="3"/>
                <w:color w:val="auto"/>
              </w:rPr>
            </w:pPr>
          </w:p>
        </w:tc>
        <w:tc>
          <w:tcPr>
            <w:tcW w:w="160" w:type="dxa"/>
            <w:vAlign w:val="bottom"/>
            <w:tcBorders>
              <w:bottom w:val="single" w:sz="8" w:color="0C426A"/>
            </w:tcBorders>
          </w:tcPr>
          <w:p>
            <w:pPr>
              <w:spacing w:after="0"/>
              <w:rPr>
                <w:sz w:val="3"/>
                <w:szCs w:val="3"/>
                <w:color w:val="auto"/>
              </w:rPr>
            </w:pPr>
          </w:p>
        </w:tc>
        <w:tc>
          <w:tcPr>
            <w:tcW w:w="180" w:type="dxa"/>
            <w:vAlign w:val="bottom"/>
            <w:tcBorders>
              <w:bottom w:val="single" w:sz="8" w:color="0C426A"/>
            </w:tcBorders>
          </w:tcPr>
          <w:p>
            <w:pPr>
              <w:spacing w:after="0"/>
              <w:rPr>
                <w:sz w:val="3"/>
                <w:szCs w:val="3"/>
                <w:color w:val="auto"/>
              </w:rPr>
            </w:pPr>
          </w:p>
        </w:tc>
        <w:tc>
          <w:tcPr>
            <w:tcW w:w="200" w:type="dxa"/>
            <w:vAlign w:val="bottom"/>
            <w:tcBorders>
              <w:bottom w:val="single" w:sz="8" w:color="0C426A"/>
            </w:tcBorders>
          </w:tcPr>
          <w:p>
            <w:pPr>
              <w:spacing w:after="0"/>
              <w:rPr>
                <w:sz w:val="3"/>
                <w:szCs w:val="3"/>
                <w:color w:val="auto"/>
              </w:rPr>
            </w:pPr>
          </w:p>
        </w:tc>
        <w:tc>
          <w:tcPr>
            <w:tcW w:w="840" w:type="dxa"/>
            <w:vAlign w:val="bottom"/>
            <w:tcBorders>
              <w:bottom w:val="single" w:sz="8" w:color="0C426A"/>
            </w:tcBorders>
          </w:tcPr>
          <w:p>
            <w:pPr>
              <w:spacing w:after="0"/>
              <w:rPr>
                <w:sz w:val="3"/>
                <w:szCs w:val="3"/>
                <w:color w:val="auto"/>
              </w:rPr>
            </w:pPr>
          </w:p>
        </w:tc>
        <w:tc>
          <w:tcPr>
            <w:tcW w:w="220" w:type="dxa"/>
            <w:vAlign w:val="bottom"/>
            <w:tcBorders>
              <w:bottom w:val="single" w:sz="8" w:color="0C426A"/>
            </w:tcBorders>
          </w:tcPr>
          <w:p>
            <w:pPr>
              <w:spacing w:after="0"/>
              <w:rPr>
                <w:sz w:val="3"/>
                <w:szCs w:val="3"/>
                <w:color w:val="auto"/>
              </w:rPr>
            </w:pPr>
          </w:p>
        </w:tc>
        <w:tc>
          <w:tcPr>
            <w:tcW w:w="800" w:type="dxa"/>
            <w:vAlign w:val="bottom"/>
            <w:tcBorders>
              <w:bottom w:val="single" w:sz="8" w:color="0C426A"/>
            </w:tcBorders>
          </w:tcPr>
          <w:p>
            <w:pPr>
              <w:spacing w:after="0"/>
              <w:rPr>
                <w:sz w:val="3"/>
                <w:szCs w:val="3"/>
                <w:color w:val="auto"/>
              </w:rPr>
            </w:pPr>
          </w:p>
        </w:tc>
        <w:tc>
          <w:tcPr>
            <w:tcW w:w="220" w:type="dxa"/>
            <w:vAlign w:val="bottom"/>
            <w:tcBorders>
              <w:bottom w:val="single" w:sz="8" w:color="0C426A"/>
            </w:tcBorders>
          </w:tcPr>
          <w:p>
            <w:pPr>
              <w:spacing w:after="0"/>
              <w:rPr>
                <w:sz w:val="3"/>
                <w:szCs w:val="3"/>
                <w:color w:val="auto"/>
              </w:rPr>
            </w:pPr>
          </w:p>
        </w:tc>
        <w:tc>
          <w:tcPr>
            <w:tcW w:w="920" w:type="dxa"/>
            <w:vAlign w:val="bottom"/>
            <w:tcBorders>
              <w:bottom w:val="single" w:sz="8" w:color="0C426A"/>
            </w:tcBorders>
          </w:tcPr>
          <w:p>
            <w:pPr>
              <w:spacing w:after="0"/>
              <w:rPr>
                <w:sz w:val="3"/>
                <w:szCs w:val="3"/>
                <w:color w:val="auto"/>
              </w:rPr>
            </w:pPr>
          </w:p>
        </w:tc>
        <w:tc>
          <w:tcPr>
            <w:tcW w:w="640" w:type="dxa"/>
            <w:vAlign w:val="bottom"/>
            <w:tcBorders>
              <w:bottom w:val="single" w:sz="8" w:color="0C426A"/>
            </w:tcBorders>
          </w:tcPr>
          <w:p>
            <w:pPr>
              <w:spacing w:after="0"/>
              <w:rPr>
                <w:sz w:val="3"/>
                <w:szCs w:val="3"/>
                <w:color w:val="auto"/>
              </w:rPr>
            </w:pPr>
          </w:p>
        </w:tc>
        <w:tc>
          <w:tcPr>
            <w:tcW w:w="100" w:type="dxa"/>
            <w:vAlign w:val="bottom"/>
            <w:tcBorders>
              <w:bottom w:val="single" w:sz="8" w:color="0C426A"/>
            </w:tcBorders>
          </w:tcPr>
          <w:p>
            <w:pPr>
              <w:spacing w:after="0"/>
              <w:rPr>
                <w:sz w:val="3"/>
                <w:szCs w:val="3"/>
                <w:color w:val="auto"/>
              </w:rPr>
            </w:pPr>
          </w:p>
        </w:tc>
        <w:tc>
          <w:tcPr>
            <w:tcW w:w="420" w:type="dxa"/>
            <w:vAlign w:val="bottom"/>
            <w:tcBorders>
              <w:bottom w:val="single" w:sz="8" w:color="0C426A"/>
            </w:tcBorders>
          </w:tcPr>
          <w:p>
            <w:pPr>
              <w:spacing w:after="0"/>
              <w:rPr>
                <w:sz w:val="3"/>
                <w:szCs w:val="3"/>
                <w:color w:val="auto"/>
              </w:rPr>
            </w:pPr>
          </w:p>
        </w:tc>
        <w:tc>
          <w:tcPr>
            <w:tcW w:w="280" w:type="dxa"/>
            <w:vAlign w:val="bottom"/>
            <w:tcBorders>
              <w:bottom w:val="single" w:sz="8" w:color="0C426A"/>
            </w:tcBorders>
          </w:tcPr>
          <w:p>
            <w:pPr>
              <w:spacing w:after="0"/>
              <w:rPr>
                <w:sz w:val="3"/>
                <w:szCs w:val="3"/>
                <w:color w:val="auto"/>
              </w:rPr>
            </w:pPr>
          </w:p>
        </w:tc>
        <w:tc>
          <w:tcPr>
            <w:tcW w:w="300" w:type="dxa"/>
            <w:vAlign w:val="bottom"/>
            <w:tcBorders>
              <w:bottom w:val="single" w:sz="8" w:color="0C426A"/>
            </w:tcBorders>
          </w:tcPr>
          <w:p>
            <w:pPr>
              <w:spacing w:after="0"/>
              <w:rPr>
                <w:sz w:val="3"/>
                <w:szCs w:val="3"/>
                <w:color w:val="auto"/>
              </w:rPr>
            </w:pPr>
          </w:p>
        </w:tc>
        <w:tc>
          <w:tcPr>
            <w:tcW w:w="600" w:type="dxa"/>
            <w:vAlign w:val="bottom"/>
            <w:tcBorders>
              <w:bottom w:val="single" w:sz="8" w:color="0C426A"/>
            </w:tcBorders>
          </w:tcPr>
          <w:p>
            <w:pPr>
              <w:spacing w:after="0"/>
              <w:rPr>
                <w:sz w:val="3"/>
                <w:szCs w:val="3"/>
                <w:color w:val="auto"/>
              </w:rPr>
            </w:pPr>
          </w:p>
        </w:tc>
        <w:tc>
          <w:tcPr>
            <w:tcW w:w="220" w:type="dxa"/>
            <w:vAlign w:val="bottom"/>
            <w:tcBorders>
              <w:bottom w:val="single" w:sz="8" w:color="0C426A"/>
            </w:tcBorders>
          </w:tcPr>
          <w:p>
            <w:pPr>
              <w:spacing w:after="0"/>
              <w:rPr>
                <w:sz w:val="3"/>
                <w:szCs w:val="3"/>
                <w:color w:val="auto"/>
              </w:rPr>
            </w:pPr>
          </w:p>
        </w:tc>
        <w:tc>
          <w:tcPr>
            <w:tcW w:w="860" w:type="dxa"/>
            <w:vAlign w:val="bottom"/>
            <w:tcBorders>
              <w:bottom w:val="single" w:sz="8" w:color="0C426A"/>
            </w:tcBorders>
          </w:tcPr>
          <w:p>
            <w:pPr>
              <w:spacing w:after="0"/>
              <w:rPr>
                <w:sz w:val="3"/>
                <w:szCs w:val="3"/>
                <w:color w:val="auto"/>
              </w:rPr>
            </w:pPr>
          </w:p>
        </w:tc>
        <w:tc>
          <w:tcPr>
            <w:tcW w:w="780" w:type="dxa"/>
            <w:vAlign w:val="bottom"/>
            <w:tcBorders>
              <w:bottom w:val="single" w:sz="8" w:color="0C426A"/>
            </w:tcBorders>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 xml:space="preserve">Less than </w:t>
            </w:r>
            <w:r>
              <w:rPr>
                <w:rFonts w:ascii="Times New Roman" w:cs="Times New Roman" w:eastAsia="Times New Roman" w:hAnsi="Times New Roman"/>
                <w:sz w:val="3"/>
                <w:szCs w:val="3"/>
                <w:color w:val="auto"/>
              </w:rPr>
              <w:t>​</w:t>
            </w:r>
          </w:p>
        </w:tc>
        <w:tc>
          <w:tcPr>
            <w:tcW w:w="220" w:type="dxa"/>
            <w:vAlign w:val="bottom"/>
          </w:tcPr>
          <w:p>
            <w:pPr>
              <w:spacing w:after="0"/>
              <w:rPr>
                <w:sz w:val="24"/>
                <w:szCs w:val="24"/>
                <w:color w:val="auto"/>
              </w:rPr>
            </w:pPr>
          </w:p>
        </w:tc>
        <w:tc>
          <w:tcPr>
            <w:tcW w:w="1020" w:type="dxa"/>
            <w:vAlign w:val="bottom"/>
            <w:gridSpan w:val="2"/>
            <w:vMerge w:val="restart"/>
          </w:tcPr>
          <w:p>
            <w:pPr>
              <w:jc w:val="right"/>
              <w:ind w:right="162"/>
              <w:spacing w:after="0"/>
              <w:rPr>
                <w:sz w:val="20"/>
                <w:szCs w:val="20"/>
                <w:color w:val="auto"/>
              </w:rPr>
            </w:pPr>
            <w:r>
              <w:rPr>
                <w:rFonts w:ascii="Arial" w:cs="Arial" w:eastAsia="Arial" w:hAnsi="Arial"/>
                <w:sz w:val="28"/>
                <w:szCs w:val="28"/>
                <w:b w:val="1"/>
                <w:bCs w:val="1"/>
                <w:color w:val="auto"/>
                <w:vertAlign w:val="subscript"/>
              </w:rPr>
              <w:t>25</w:t>
            </w:r>
            <w:r>
              <w:rPr>
                <w:rFonts w:ascii="Arial" w:cs="Arial" w:eastAsia="Arial" w:hAnsi="Arial"/>
                <w:sz w:val="12"/>
                <w:szCs w:val="12"/>
                <w:b w:val="1"/>
                <w:bCs w:val="1"/>
                <w:color w:val="auto"/>
              </w:rPr>
              <w:t>th</w:t>
            </w: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 xml:space="preserve"> </w:t>
            </w:r>
            <w:r>
              <w:rPr>
                <w:rFonts w:ascii="Times New Roman" w:cs="Times New Roman" w:eastAsia="Times New Roman" w:hAnsi="Times New Roman"/>
                <w:sz w:val="3"/>
                <w:szCs w:val="3"/>
                <w:color w:val="auto"/>
              </w:rPr>
              <w:t>​           ​</w:t>
            </w:r>
          </w:p>
        </w:tc>
        <w:tc>
          <w:tcPr>
            <w:tcW w:w="920" w:type="dxa"/>
            <w:vAlign w:val="bottom"/>
            <w:vMerge w:val="restart"/>
          </w:tcPr>
          <w:p>
            <w:pPr>
              <w:jc w:val="right"/>
              <w:ind w:right="118"/>
              <w:spacing w:after="0"/>
              <w:rPr>
                <w:sz w:val="20"/>
                <w:szCs w:val="20"/>
                <w:color w:val="auto"/>
              </w:rPr>
            </w:pPr>
            <w:r>
              <w:rPr>
                <w:rFonts w:ascii="Arial" w:cs="Arial" w:eastAsia="Arial" w:hAnsi="Arial"/>
                <w:sz w:val="28"/>
                <w:szCs w:val="28"/>
                <w:b w:val="1"/>
                <w:bCs w:val="1"/>
                <w:color w:val="auto"/>
                <w:vertAlign w:val="subscript"/>
              </w:rPr>
              <w:t>36</w:t>
            </w:r>
            <w:r>
              <w:rPr>
                <w:rFonts w:ascii="Arial" w:cs="Arial" w:eastAsia="Arial" w:hAnsi="Arial"/>
                <w:sz w:val="12"/>
                <w:szCs w:val="12"/>
                <w:b w:val="1"/>
                <w:bCs w:val="1"/>
                <w:color w:val="auto"/>
              </w:rPr>
              <w:t>th</w:t>
            </w: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 xml:space="preserve"> </w:t>
            </w:r>
            <w:r>
              <w:rPr>
                <w:rFonts w:ascii="Times New Roman" w:cs="Times New Roman" w:eastAsia="Times New Roman" w:hAnsi="Times New Roman"/>
                <w:sz w:val="3"/>
                <w:szCs w:val="3"/>
                <w:color w:val="auto"/>
              </w:rPr>
              <w:t>​           ​</w:t>
            </w:r>
          </w:p>
        </w:tc>
        <w:tc>
          <w:tcPr>
            <w:tcW w:w="640" w:type="dxa"/>
            <w:vAlign w:val="bottom"/>
            <w:vMerge w:val="restart"/>
          </w:tcPr>
          <w:p>
            <w:pPr>
              <w:jc w:val="right"/>
              <w:ind w:right="66"/>
              <w:spacing w:after="0"/>
              <w:rPr>
                <w:sz w:val="20"/>
                <w:szCs w:val="20"/>
                <w:color w:val="auto"/>
              </w:rPr>
            </w:pPr>
            <w:r>
              <w:rPr>
                <w:rFonts w:ascii="Arial" w:cs="Arial" w:eastAsia="Arial" w:hAnsi="Arial"/>
                <w:sz w:val="28"/>
                <w:szCs w:val="28"/>
                <w:b w:val="1"/>
                <w:bCs w:val="1"/>
                <w:color w:val="auto"/>
                <w:w w:val="85"/>
                <w:vertAlign w:val="subscript"/>
              </w:rPr>
              <w:t>46</w:t>
            </w:r>
            <w:r>
              <w:rPr>
                <w:rFonts w:ascii="Arial" w:cs="Arial" w:eastAsia="Arial" w:hAnsi="Arial"/>
                <w:sz w:val="12"/>
                <w:szCs w:val="12"/>
                <w:b w:val="1"/>
                <w:bCs w:val="1"/>
                <w:color w:val="auto"/>
                <w:w w:val="85"/>
              </w:rPr>
              <w:t>th</w:t>
            </w:r>
            <w:r>
              <w:rPr>
                <w:rFonts w:ascii="Arial" w:cs="Arial" w:eastAsia="Arial" w:hAnsi="Arial"/>
                <w:sz w:val="28"/>
                <w:szCs w:val="28"/>
                <w:b w:val="1"/>
                <w:bCs w:val="1"/>
                <w:color w:val="auto"/>
                <w:w w:val="85"/>
                <w:vertAlign w:val="subscript"/>
              </w:rPr>
              <w:t>%-</w:t>
            </w:r>
            <w:r>
              <w:rPr>
                <w:rFonts w:ascii="Arial" w:cs="Arial" w:eastAsia="Arial" w:hAnsi="Arial"/>
                <w:sz w:val="12"/>
                <w:szCs w:val="12"/>
                <w:b w:val="1"/>
                <w:bCs w:val="1"/>
                <w:color w:val="auto"/>
                <w:w w:val="85"/>
              </w:rPr>
              <w:t xml:space="preserve"> </w:t>
            </w:r>
            <w:r>
              <w:rPr>
                <w:rFonts w:ascii="Times New Roman" w:cs="Times New Roman" w:eastAsia="Times New Roman" w:hAnsi="Times New Roman"/>
                <w:sz w:val="3"/>
                <w:szCs w:val="3"/>
                <w:color w:val="auto"/>
                <w:w w:val="85"/>
              </w:rPr>
              <w:t>​</w:t>
            </w:r>
          </w:p>
        </w:tc>
        <w:tc>
          <w:tcPr>
            <w:tcW w:w="100" w:type="dxa"/>
            <w:vAlign w:val="bottom"/>
          </w:tcPr>
          <w:p>
            <w:pPr>
              <w:spacing w:after="0"/>
              <w:rPr>
                <w:sz w:val="24"/>
                <w:szCs w:val="24"/>
                <w:color w:val="auto"/>
              </w:rPr>
            </w:pPr>
          </w:p>
        </w:tc>
        <w:tc>
          <w:tcPr>
            <w:tcW w:w="700" w:type="dxa"/>
            <w:vAlign w:val="bottom"/>
            <w:gridSpan w:val="2"/>
            <w:vMerge w:val="restart"/>
          </w:tcPr>
          <w:p>
            <w:pPr>
              <w:jc w:val="right"/>
              <w:ind w:right="2"/>
              <w:spacing w:after="0"/>
              <w:rPr>
                <w:sz w:val="20"/>
                <w:szCs w:val="20"/>
                <w:color w:val="auto"/>
              </w:rPr>
            </w:pPr>
            <w:r>
              <w:rPr>
                <w:rFonts w:ascii="Arial" w:cs="Arial" w:eastAsia="Arial" w:hAnsi="Arial"/>
                <w:sz w:val="28"/>
                <w:szCs w:val="28"/>
                <w:b w:val="1"/>
                <w:bCs w:val="1"/>
                <w:color w:val="auto"/>
                <w:vertAlign w:val="subscript"/>
              </w:rPr>
              <w:t>56</w:t>
            </w:r>
            <w:r>
              <w:rPr>
                <w:rFonts w:ascii="Arial" w:cs="Arial" w:eastAsia="Arial" w:hAnsi="Arial"/>
                <w:sz w:val="12"/>
                <w:szCs w:val="12"/>
                <w:b w:val="1"/>
                <w:bCs w:val="1"/>
                <w:color w:val="auto"/>
              </w:rPr>
              <w:t>th</w:t>
            </w:r>
            <w:r>
              <w:rPr>
                <w:rFonts w:ascii="Arial" w:cs="Arial" w:eastAsia="Arial" w:hAnsi="Arial"/>
                <w:sz w:val="28"/>
                <w:szCs w:val="28"/>
                <w:b w:val="1"/>
                <w:bCs w:val="1"/>
                <w:color w:val="auto"/>
                <w:vertAlign w:val="subscript"/>
              </w:rPr>
              <w:t>%-</w:t>
            </w:r>
            <w:r>
              <w:rPr>
                <w:rFonts w:ascii="Times New Roman" w:cs="Times New Roman" w:eastAsia="Times New Roman" w:hAnsi="Times New Roman"/>
                <w:sz w:val="3"/>
                <w:szCs w:val="3"/>
                <w:color w:val="auto"/>
              </w:rPr>
              <w:t>​</w:t>
            </w:r>
          </w:p>
        </w:tc>
        <w:tc>
          <w:tcPr>
            <w:tcW w:w="30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Arial" w:cs="Arial" w:eastAsia="Arial" w:hAnsi="Arial"/>
                <w:sz w:val="28"/>
                <w:szCs w:val="28"/>
                <w:b w:val="1"/>
                <w:bCs w:val="1"/>
                <w:color w:val="auto"/>
                <w:w w:val="98"/>
                <w:vertAlign w:val="subscript"/>
              </w:rPr>
              <w:t>66</w:t>
            </w:r>
            <w:r>
              <w:rPr>
                <w:rFonts w:ascii="Arial" w:cs="Arial" w:eastAsia="Arial" w:hAnsi="Arial"/>
                <w:sz w:val="12"/>
                <w:szCs w:val="12"/>
                <w:b w:val="1"/>
                <w:bCs w:val="1"/>
                <w:color w:val="auto"/>
                <w:w w:val="98"/>
              </w:rPr>
              <w:t>th</w:t>
            </w:r>
            <w:r>
              <w:rPr>
                <w:rFonts w:ascii="Arial" w:cs="Arial" w:eastAsia="Arial" w:hAnsi="Arial"/>
                <w:sz w:val="28"/>
                <w:szCs w:val="28"/>
                <w:b w:val="1"/>
                <w:bCs w:val="1"/>
                <w:color w:val="auto"/>
                <w:w w:val="98"/>
                <w:vertAlign w:val="subscript"/>
              </w:rPr>
              <w:t>%-</w:t>
            </w:r>
            <w:r>
              <w:rPr>
                <w:rFonts w:ascii="Times New Roman" w:cs="Times New Roman" w:eastAsia="Times New Roman" w:hAnsi="Times New Roman"/>
                <w:sz w:val="3"/>
                <w:szCs w:val="3"/>
                <w:color w:val="auto"/>
                <w:w w:val="98"/>
              </w:rPr>
              <w:t>​</w:t>
            </w:r>
          </w:p>
        </w:tc>
        <w:tc>
          <w:tcPr>
            <w:tcW w:w="220" w:type="dxa"/>
            <w:vAlign w:val="bottom"/>
          </w:tcPr>
          <w:p>
            <w:pPr>
              <w:spacing w:after="0"/>
              <w:rPr>
                <w:sz w:val="24"/>
                <w:szCs w:val="24"/>
                <w:color w:val="auto"/>
              </w:rPr>
            </w:pPr>
          </w:p>
        </w:tc>
        <w:tc>
          <w:tcPr>
            <w:tcW w:w="860" w:type="dxa"/>
            <w:vAlign w:val="bottom"/>
          </w:tcPr>
          <w:p>
            <w:pPr>
              <w:jc w:val="right"/>
              <w:ind w:right="55"/>
              <w:spacing w:after="0"/>
              <w:rPr>
                <w:sz w:val="20"/>
                <w:szCs w:val="20"/>
                <w:color w:val="auto"/>
              </w:rPr>
            </w:pPr>
            <w:r>
              <w:rPr>
                <w:rFonts w:ascii="Arial" w:cs="Arial" w:eastAsia="Arial" w:hAnsi="Arial"/>
                <w:sz w:val="14"/>
                <w:szCs w:val="14"/>
                <w:b w:val="1"/>
                <w:bCs w:val="1"/>
                <w:color w:val="auto"/>
              </w:rPr>
              <w:t>75</w:t>
            </w:r>
            <w:r>
              <w:rPr>
                <w:rFonts w:ascii="Arial" w:cs="Arial" w:eastAsia="Arial" w:hAnsi="Arial"/>
                <w:sz w:val="23"/>
                <w:szCs w:val="23"/>
                <w:b w:val="1"/>
                <w:bCs w:val="1"/>
                <w:color w:val="auto"/>
                <w:vertAlign w:val="superscript"/>
              </w:rPr>
              <w:t>th</w:t>
            </w:r>
            <w:r>
              <w:rPr>
                <w:rFonts w:ascii="Arial" w:cs="Arial" w:eastAsia="Arial" w:hAnsi="Arial"/>
                <w:sz w:val="14"/>
                <w:szCs w:val="14"/>
                <w:b w:val="1"/>
                <w:bCs w:val="1"/>
                <w:color w:val="auto"/>
              </w:rPr>
              <w:t>%</w:t>
            </w: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vMerge w:val="continue"/>
          </w:tcPr>
          <w:p>
            <w:pPr>
              <w:spacing w:after="0"/>
              <w:rPr>
                <w:sz w:val="12"/>
                <w:szCs w:val="12"/>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gridSpan w:val="2"/>
            <w:vMerge w:val="continue"/>
          </w:tcPr>
          <w:p>
            <w:pPr>
              <w:spacing w:after="0"/>
              <w:rPr>
                <w:sz w:val="12"/>
                <w:szCs w:val="12"/>
                <w:color w:val="auto"/>
              </w:rPr>
            </w:pPr>
          </w:p>
        </w:tc>
        <w:tc>
          <w:tcPr>
            <w:tcW w:w="30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vMerge w:val="continue"/>
          </w:tcPr>
          <w:p>
            <w:pPr>
              <w:spacing w:after="0"/>
              <w:rPr>
                <w:sz w:val="12"/>
                <w:szCs w:val="12"/>
                <w:color w:val="auto"/>
              </w:rPr>
            </w:pPr>
          </w:p>
        </w:tc>
        <w:tc>
          <w:tcPr>
            <w:tcW w:w="22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ind w:right="15"/>
              <w:spacing w:after="0" w:line="143" w:lineRule="exact"/>
              <w:rPr>
                <w:sz w:val="20"/>
                <w:szCs w:val="20"/>
                <w:color w:val="auto"/>
              </w:rPr>
            </w:pPr>
            <w:r>
              <w:rPr>
                <w:rFonts w:ascii="Arial" w:cs="Arial" w:eastAsia="Arial" w:hAnsi="Arial"/>
                <w:sz w:val="14"/>
                <w:szCs w:val="14"/>
                <w:b w:val="1"/>
                <w:bCs w:val="1"/>
                <w:color w:val="auto"/>
              </w:rPr>
              <w:t>or</w:t>
            </w:r>
            <w:r>
              <w:rPr>
                <w:rFonts w:ascii="Times New Roman" w:cs="Times New Roman" w:eastAsia="Times New Roman" w:hAnsi="Times New Roman"/>
                <w:sz w:val="3"/>
                <w:szCs w:val="3"/>
                <w:color w:val="auto"/>
              </w:rPr>
              <w:t>​</w:t>
            </w:r>
          </w:p>
        </w:tc>
        <w:tc>
          <w:tcPr>
            <w:tcW w:w="7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980" w:type="dxa"/>
            <w:vAlign w:val="bottom"/>
          </w:tcPr>
          <w:p>
            <w:pPr>
              <w:spacing w:after="0"/>
              <w:rPr>
                <w:sz w:val="24"/>
                <w:szCs w:val="24"/>
                <w:color w:val="auto"/>
              </w:rPr>
            </w:pPr>
          </w:p>
        </w:tc>
        <w:tc>
          <w:tcPr>
            <w:tcW w:w="1240" w:type="dxa"/>
            <w:vAlign w:val="bottom"/>
            <w:tcBorders>
              <w:bottom w:val="single" w:sz="8" w:color="0C426A"/>
            </w:tcBorders>
          </w:tcPr>
          <w:p>
            <w:pPr>
              <w:spacing w:after="0"/>
              <w:rPr>
                <w:sz w:val="24"/>
                <w:szCs w:val="24"/>
                <w:color w:val="auto"/>
              </w:rPr>
            </w:pPr>
          </w:p>
        </w:tc>
        <w:tc>
          <w:tcPr>
            <w:tcW w:w="160" w:type="dxa"/>
            <w:vAlign w:val="bottom"/>
            <w:tcBorders>
              <w:bottom w:val="single" w:sz="8" w:color="0C426A"/>
            </w:tcBorders>
          </w:tcPr>
          <w:p>
            <w:pPr>
              <w:spacing w:after="0"/>
              <w:rPr>
                <w:sz w:val="24"/>
                <w:szCs w:val="24"/>
                <w:color w:val="auto"/>
              </w:rPr>
            </w:pPr>
          </w:p>
        </w:tc>
        <w:tc>
          <w:tcPr>
            <w:tcW w:w="180" w:type="dxa"/>
            <w:vAlign w:val="bottom"/>
            <w:tcBorders>
              <w:bottom w:val="single" w:sz="8" w:color="0C426A"/>
            </w:tcBorders>
          </w:tcPr>
          <w:p>
            <w:pPr>
              <w:spacing w:after="0"/>
              <w:rPr>
                <w:sz w:val="24"/>
                <w:szCs w:val="24"/>
                <w:color w:val="auto"/>
              </w:rPr>
            </w:pPr>
          </w:p>
        </w:tc>
        <w:tc>
          <w:tcPr>
            <w:tcW w:w="200" w:type="dxa"/>
            <w:vAlign w:val="bottom"/>
            <w:tcBorders>
              <w:bottom w:val="single" w:sz="8" w:color="0C426A"/>
            </w:tcBorders>
          </w:tcPr>
          <w:p>
            <w:pPr>
              <w:spacing w:after="0"/>
              <w:rPr>
                <w:sz w:val="24"/>
                <w:szCs w:val="24"/>
                <w:color w:val="auto"/>
              </w:rPr>
            </w:pPr>
          </w:p>
        </w:tc>
        <w:tc>
          <w:tcPr>
            <w:tcW w:w="840" w:type="dxa"/>
            <w:vAlign w:val="bottom"/>
            <w:tcBorders>
              <w:bottom w:val="single" w:sz="8" w:color="0C426A"/>
            </w:tcBorders>
          </w:tcPr>
          <w:p>
            <w:pPr>
              <w:jc w:val="right"/>
              <w:ind w:right="35"/>
              <w:spacing w:after="0"/>
              <w:rPr>
                <w:sz w:val="20"/>
                <w:szCs w:val="20"/>
                <w:color w:val="auto"/>
              </w:rPr>
            </w:pPr>
            <w:r>
              <w:rPr>
                <w:rFonts w:ascii="Arial" w:cs="Arial" w:eastAsia="Arial" w:hAnsi="Arial"/>
                <w:sz w:val="14"/>
                <w:szCs w:val="14"/>
                <w:b w:val="1"/>
                <w:bCs w:val="1"/>
                <w:color w:val="auto"/>
              </w:rPr>
              <w:t>25</w:t>
            </w:r>
            <w:r>
              <w:rPr>
                <w:rFonts w:ascii="Arial" w:cs="Arial" w:eastAsia="Arial" w:hAnsi="Arial"/>
                <w:sz w:val="23"/>
                <w:szCs w:val="23"/>
                <w:b w:val="1"/>
                <w:bCs w:val="1"/>
                <w:color w:val="auto"/>
                <w:vertAlign w:val="superscript"/>
              </w:rPr>
              <w:t>th</w:t>
            </w:r>
            <w:r>
              <w:rPr>
                <w:rFonts w:ascii="Arial" w:cs="Arial" w:eastAsia="Arial" w:hAnsi="Arial"/>
                <w:sz w:val="14"/>
                <w:szCs w:val="14"/>
                <w:b w:val="1"/>
                <w:bCs w:val="1"/>
                <w:color w:val="auto"/>
              </w:rPr>
              <w:t>%</w:t>
            </w:r>
          </w:p>
        </w:tc>
        <w:tc>
          <w:tcPr>
            <w:tcW w:w="220" w:type="dxa"/>
            <w:vAlign w:val="bottom"/>
            <w:tcBorders>
              <w:bottom w:val="single" w:sz="8" w:color="0C426A"/>
            </w:tcBorders>
          </w:tcPr>
          <w:p>
            <w:pPr>
              <w:spacing w:after="0"/>
              <w:rPr>
                <w:sz w:val="24"/>
                <w:szCs w:val="24"/>
                <w:color w:val="auto"/>
              </w:rPr>
            </w:pPr>
          </w:p>
        </w:tc>
        <w:tc>
          <w:tcPr>
            <w:tcW w:w="800" w:type="dxa"/>
            <w:vAlign w:val="bottom"/>
            <w:tcBorders>
              <w:bottom w:val="single" w:sz="8" w:color="0C426A"/>
            </w:tcBorders>
          </w:tcPr>
          <w:p>
            <w:pPr>
              <w:jc w:val="center"/>
              <w:spacing w:after="0"/>
              <w:rPr>
                <w:sz w:val="20"/>
                <w:szCs w:val="20"/>
                <w:color w:val="auto"/>
              </w:rPr>
            </w:pPr>
            <w:r>
              <w:rPr>
                <w:rFonts w:ascii="Arial" w:cs="Arial" w:eastAsia="Arial" w:hAnsi="Arial"/>
                <w:sz w:val="14"/>
                <w:szCs w:val="14"/>
                <w:b w:val="1"/>
                <w:bCs w:val="1"/>
                <w:color w:val="auto"/>
                <w:w w:val="94"/>
              </w:rPr>
              <w:t>35</w:t>
            </w:r>
            <w:r>
              <w:rPr>
                <w:rFonts w:ascii="Arial" w:cs="Arial" w:eastAsia="Arial" w:hAnsi="Arial"/>
                <w:sz w:val="23"/>
                <w:szCs w:val="23"/>
                <w:b w:val="1"/>
                <w:bCs w:val="1"/>
                <w:color w:val="auto"/>
                <w:w w:val="94"/>
                <w:vertAlign w:val="superscript"/>
              </w:rPr>
              <w:t>th</w:t>
            </w:r>
            <w:r>
              <w:rPr>
                <w:rFonts w:ascii="Arial" w:cs="Arial" w:eastAsia="Arial" w:hAnsi="Arial"/>
                <w:sz w:val="14"/>
                <w:szCs w:val="14"/>
                <w:b w:val="1"/>
                <w:bCs w:val="1"/>
                <w:color w:val="auto"/>
                <w:w w:val="94"/>
              </w:rPr>
              <w:t>%</w:t>
            </w:r>
          </w:p>
        </w:tc>
        <w:tc>
          <w:tcPr>
            <w:tcW w:w="220" w:type="dxa"/>
            <w:vAlign w:val="bottom"/>
            <w:tcBorders>
              <w:bottom w:val="single" w:sz="8" w:color="0C426A"/>
            </w:tcBorders>
          </w:tcPr>
          <w:p>
            <w:pPr>
              <w:spacing w:after="0"/>
              <w:rPr>
                <w:sz w:val="24"/>
                <w:szCs w:val="24"/>
                <w:color w:val="auto"/>
              </w:rPr>
            </w:pPr>
          </w:p>
        </w:tc>
        <w:tc>
          <w:tcPr>
            <w:tcW w:w="920" w:type="dxa"/>
            <w:vAlign w:val="bottom"/>
            <w:tcBorders>
              <w:bottom w:val="single" w:sz="8" w:color="0C426A"/>
            </w:tcBorders>
          </w:tcPr>
          <w:p>
            <w:pPr>
              <w:jc w:val="right"/>
              <w:ind w:right="338"/>
              <w:spacing w:after="0"/>
              <w:rPr>
                <w:sz w:val="20"/>
                <w:szCs w:val="20"/>
                <w:color w:val="auto"/>
              </w:rPr>
            </w:pPr>
            <w:r>
              <w:rPr>
                <w:rFonts w:ascii="Arial" w:cs="Arial" w:eastAsia="Arial" w:hAnsi="Arial"/>
                <w:sz w:val="14"/>
                <w:szCs w:val="14"/>
                <w:b w:val="1"/>
                <w:bCs w:val="1"/>
                <w:color w:val="auto"/>
              </w:rPr>
              <w:t>45</w:t>
            </w:r>
            <w:r>
              <w:rPr>
                <w:rFonts w:ascii="Arial" w:cs="Arial" w:eastAsia="Arial" w:hAnsi="Arial"/>
                <w:sz w:val="23"/>
                <w:szCs w:val="23"/>
                <w:b w:val="1"/>
                <w:bCs w:val="1"/>
                <w:color w:val="auto"/>
                <w:vertAlign w:val="superscript"/>
              </w:rPr>
              <w:t>th</w:t>
            </w:r>
            <w:r>
              <w:rPr>
                <w:rFonts w:ascii="Arial" w:cs="Arial" w:eastAsia="Arial" w:hAnsi="Arial"/>
                <w:sz w:val="14"/>
                <w:szCs w:val="14"/>
                <w:b w:val="1"/>
                <w:bCs w:val="1"/>
                <w:color w:val="auto"/>
              </w:rPr>
              <w:t>%</w:t>
            </w:r>
          </w:p>
        </w:tc>
        <w:tc>
          <w:tcPr>
            <w:tcW w:w="640" w:type="dxa"/>
            <w:vAlign w:val="bottom"/>
            <w:tcBorders>
              <w:bottom w:val="single" w:sz="8" w:color="0C426A"/>
            </w:tcBorders>
          </w:tcPr>
          <w:p>
            <w:pPr>
              <w:jc w:val="right"/>
              <w:ind w:right="66"/>
              <w:spacing w:after="0"/>
              <w:rPr>
                <w:sz w:val="20"/>
                <w:szCs w:val="20"/>
                <w:color w:val="auto"/>
              </w:rPr>
            </w:pPr>
            <w:r>
              <w:rPr>
                <w:rFonts w:ascii="Arial" w:cs="Arial" w:eastAsia="Arial" w:hAnsi="Arial"/>
                <w:sz w:val="14"/>
                <w:szCs w:val="14"/>
                <w:b w:val="1"/>
                <w:bCs w:val="1"/>
                <w:color w:val="auto"/>
              </w:rPr>
              <w:t>55</w:t>
            </w:r>
            <w:r>
              <w:rPr>
                <w:rFonts w:ascii="Arial" w:cs="Arial" w:eastAsia="Arial" w:hAnsi="Arial"/>
                <w:sz w:val="23"/>
                <w:szCs w:val="23"/>
                <w:b w:val="1"/>
                <w:bCs w:val="1"/>
                <w:color w:val="auto"/>
                <w:vertAlign w:val="superscript"/>
              </w:rPr>
              <w:t>th</w:t>
            </w:r>
            <w:r>
              <w:rPr>
                <w:rFonts w:ascii="Arial" w:cs="Arial" w:eastAsia="Arial" w:hAnsi="Arial"/>
                <w:sz w:val="14"/>
                <w:szCs w:val="14"/>
                <w:b w:val="1"/>
                <w:bCs w:val="1"/>
                <w:color w:val="auto"/>
              </w:rPr>
              <w:t>%</w:t>
            </w:r>
          </w:p>
        </w:tc>
        <w:tc>
          <w:tcPr>
            <w:tcW w:w="100" w:type="dxa"/>
            <w:vAlign w:val="bottom"/>
            <w:tcBorders>
              <w:bottom w:val="single" w:sz="8" w:color="0C426A"/>
            </w:tcBorders>
          </w:tcPr>
          <w:p>
            <w:pPr>
              <w:spacing w:after="0"/>
              <w:rPr>
                <w:sz w:val="24"/>
                <w:szCs w:val="24"/>
                <w:color w:val="auto"/>
              </w:rPr>
            </w:pPr>
          </w:p>
        </w:tc>
        <w:tc>
          <w:tcPr>
            <w:tcW w:w="700" w:type="dxa"/>
            <w:vAlign w:val="bottom"/>
            <w:tcBorders>
              <w:bottom w:val="single" w:sz="8" w:color="0C426A"/>
            </w:tcBorders>
            <w:gridSpan w:val="2"/>
          </w:tcPr>
          <w:p>
            <w:pPr>
              <w:jc w:val="right"/>
              <w:ind w:right="22"/>
              <w:spacing w:after="0"/>
              <w:rPr>
                <w:sz w:val="20"/>
                <w:szCs w:val="20"/>
                <w:color w:val="auto"/>
              </w:rPr>
            </w:pPr>
            <w:r>
              <w:rPr>
                <w:rFonts w:ascii="Arial" w:cs="Arial" w:eastAsia="Arial" w:hAnsi="Arial"/>
                <w:sz w:val="14"/>
                <w:szCs w:val="14"/>
                <w:b w:val="1"/>
                <w:bCs w:val="1"/>
                <w:color w:val="auto"/>
              </w:rPr>
              <w:t>65</w:t>
            </w:r>
            <w:r>
              <w:rPr>
                <w:rFonts w:ascii="Arial" w:cs="Arial" w:eastAsia="Arial" w:hAnsi="Arial"/>
                <w:sz w:val="23"/>
                <w:szCs w:val="23"/>
                <w:b w:val="1"/>
                <w:bCs w:val="1"/>
                <w:color w:val="auto"/>
                <w:vertAlign w:val="superscript"/>
              </w:rPr>
              <w:t>th</w:t>
            </w:r>
            <w:r>
              <w:rPr>
                <w:rFonts w:ascii="Arial" w:cs="Arial" w:eastAsia="Arial" w:hAnsi="Arial"/>
                <w:sz w:val="14"/>
                <w:szCs w:val="14"/>
                <w:b w:val="1"/>
                <w:bCs w:val="1"/>
                <w:color w:val="auto"/>
              </w:rPr>
              <w:t>%</w:t>
            </w:r>
          </w:p>
        </w:tc>
        <w:tc>
          <w:tcPr>
            <w:tcW w:w="300" w:type="dxa"/>
            <w:vAlign w:val="bottom"/>
            <w:tcBorders>
              <w:bottom w:val="single" w:sz="8" w:color="0C426A"/>
            </w:tcBorders>
          </w:tcPr>
          <w:p>
            <w:pPr>
              <w:spacing w:after="0"/>
              <w:rPr>
                <w:sz w:val="24"/>
                <w:szCs w:val="24"/>
                <w:color w:val="auto"/>
              </w:rPr>
            </w:pPr>
          </w:p>
        </w:tc>
        <w:tc>
          <w:tcPr>
            <w:tcW w:w="600" w:type="dxa"/>
            <w:vAlign w:val="bottom"/>
            <w:tcBorders>
              <w:bottom w:val="single" w:sz="8" w:color="0C426A"/>
            </w:tcBorders>
          </w:tcPr>
          <w:p>
            <w:pPr>
              <w:jc w:val="right"/>
              <w:spacing w:after="0"/>
              <w:rPr>
                <w:sz w:val="20"/>
                <w:szCs w:val="20"/>
                <w:color w:val="auto"/>
              </w:rPr>
            </w:pPr>
            <w:r>
              <w:rPr>
                <w:rFonts w:ascii="Arial" w:cs="Arial" w:eastAsia="Arial" w:hAnsi="Arial"/>
                <w:sz w:val="14"/>
                <w:szCs w:val="14"/>
                <w:b w:val="1"/>
                <w:bCs w:val="1"/>
                <w:color w:val="auto"/>
              </w:rPr>
              <w:t>75</w:t>
            </w:r>
            <w:r>
              <w:rPr>
                <w:rFonts w:ascii="Arial" w:cs="Arial" w:eastAsia="Arial" w:hAnsi="Arial"/>
                <w:sz w:val="23"/>
                <w:szCs w:val="23"/>
                <w:b w:val="1"/>
                <w:bCs w:val="1"/>
                <w:color w:val="auto"/>
                <w:vertAlign w:val="superscript"/>
              </w:rPr>
              <w:t>th</w:t>
            </w:r>
            <w:r>
              <w:rPr>
                <w:rFonts w:ascii="Arial" w:cs="Arial" w:eastAsia="Arial" w:hAnsi="Arial"/>
                <w:sz w:val="14"/>
                <w:szCs w:val="14"/>
                <w:b w:val="1"/>
                <w:bCs w:val="1"/>
                <w:color w:val="auto"/>
              </w:rPr>
              <w:t>%</w:t>
            </w:r>
          </w:p>
        </w:tc>
        <w:tc>
          <w:tcPr>
            <w:tcW w:w="220" w:type="dxa"/>
            <w:vAlign w:val="bottom"/>
            <w:tcBorders>
              <w:bottom w:val="single" w:sz="8" w:color="0C426A"/>
            </w:tcBorders>
          </w:tcPr>
          <w:p>
            <w:pPr>
              <w:spacing w:after="0"/>
              <w:rPr>
                <w:sz w:val="24"/>
                <w:szCs w:val="24"/>
                <w:color w:val="auto"/>
              </w:rPr>
            </w:pPr>
          </w:p>
        </w:tc>
        <w:tc>
          <w:tcPr>
            <w:tcW w:w="860" w:type="dxa"/>
            <w:vAlign w:val="bottom"/>
            <w:tcBorders>
              <w:bottom w:val="single" w:sz="8" w:color="0C426A"/>
            </w:tcBorders>
          </w:tcPr>
          <w:p>
            <w:pPr>
              <w:jc w:val="right"/>
              <w:ind w:right="15"/>
              <w:spacing w:after="0"/>
              <w:rPr>
                <w:sz w:val="20"/>
                <w:szCs w:val="20"/>
                <w:color w:val="auto"/>
              </w:rPr>
            </w:pPr>
            <w:r>
              <w:rPr>
                <w:rFonts w:ascii="Arial" w:cs="Arial" w:eastAsia="Arial" w:hAnsi="Arial"/>
                <w:sz w:val="14"/>
                <w:szCs w:val="14"/>
                <w:b w:val="1"/>
                <w:bCs w:val="1"/>
                <w:color w:val="auto"/>
              </w:rPr>
              <w:t>greater</w:t>
            </w:r>
          </w:p>
        </w:tc>
        <w:tc>
          <w:tcPr>
            <w:tcW w:w="780" w:type="dxa"/>
            <w:vAlign w:val="bottom"/>
            <w:tcBorders>
              <w:bottom w:val="single" w:sz="8" w:color="0C426A"/>
            </w:tcBorders>
          </w:tcPr>
          <w:p>
            <w:pPr>
              <w:jc w:val="right"/>
              <w:spacing w:after="0"/>
              <w:rPr>
                <w:sz w:val="20"/>
                <w:szCs w:val="20"/>
                <w:color w:val="auto"/>
              </w:rPr>
            </w:pPr>
            <w:r>
              <w:rPr>
                <w:rFonts w:ascii="Arial" w:cs="Arial" w:eastAsia="Arial" w:hAnsi="Arial"/>
                <w:sz w:val="14"/>
                <w:szCs w:val="14"/>
                <w:b w:val="1"/>
                <w:bCs w:val="1"/>
                <w:color w:val="auto"/>
              </w:rPr>
              <w:t>Actual</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98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4"/>
                <w:szCs w:val="14"/>
                <w:color w:val="auto"/>
              </w:rPr>
              <w:t>Modifier</w:t>
            </w:r>
          </w:p>
        </w:tc>
        <w:tc>
          <w:tcPr>
            <w:tcW w:w="16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ind w:right="15"/>
              <w:spacing w:after="0"/>
              <w:rPr>
                <w:sz w:val="20"/>
                <w:szCs w:val="20"/>
                <w:color w:val="auto"/>
              </w:rPr>
            </w:pPr>
            <w:r>
              <w:rPr>
                <w:rFonts w:ascii="Arial" w:cs="Arial" w:eastAsia="Arial" w:hAnsi="Arial"/>
                <w:sz w:val="14"/>
                <w:szCs w:val="14"/>
                <w:color w:val="auto"/>
              </w:rPr>
              <w:t xml:space="preserve">-10.0%  </w:t>
            </w:r>
            <w:r>
              <w:rPr>
                <w:rFonts w:ascii="Times New Roman" w:cs="Times New Roman" w:eastAsia="Times New Roman" w:hAnsi="Times New Roman"/>
                <w:sz w:val="3"/>
                <w:szCs w:val="3"/>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ind w:right="118"/>
              <w:spacing w:after="0"/>
              <w:rPr>
                <w:sz w:val="20"/>
                <w:szCs w:val="20"/>
                <w:color w:val="auto"/>
              </w:rPr>
            </w:pPr>
            <w:r>
              <w:rPr>
                <w:rFonts w:ascii="Arial" w:cs="Arial" w:eastAsia="Arial" w:hAnsi="Arial"/>
                <w:sz w:val="14"/>
                <w:szCs w:val="14"/>
                <w:color w:val="auto"/>
              </w:rPr>
              <w:t xml:space="preserve">-7.5% </w:t>
            </w:r>
            <w:r>
              <w:rPr>
                <w:rFonts w:ascii="Times New Roman" w:cs="Times New Roman" w:eastAsia="Times New Roman" w:hAnsi="Times New Roman"/>
                <w:sz w:val="3"/>
                <w:szCs w:val="3"/>
                <w:color w:val="auto"/>
              </w:rPr>
              <w:t>​</w:t>
            </w:r>
          </w:p>
        </w:tc>
        <w:tc>
          <w:tcPr>
            <w:tcW w:w="220" w:type="dxa"/>
            <w:vAlign w:val="bottom"/>
          </w:tcPr>
          <w:p>
            <w:pPr>
              <w:jc w:val="right"/>
              <w:ind w:right="162"/>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ind w:right="118"/>
              <w:spacing w:after="0"/>
              <w:rPr>
                <w:sz w:val="20"/>
                <w:szCs w:val="20"/>
                <w:color w:val="auto"/>
              </w:rPr>
            </w:pPr>
            <w:r>
              <w:rPr>
                <w:rFonts w:ascii="Arial" w:cs="Arial" w:eastAsia="Arial" w:hAnsi="Arial"/>
                <w:sz w:val="14"/>
                <w:szCs w:val="14"/>
                <w:color w:val="auto"/>
              </w:rPr>
              <w:t xml:space="preserve">-5.0% </w:t>
            </w:r>
            <w:r>
              <w:rPr>
                <w:rFonts w:ascii="Times New Roman" w:cs="Times New Roman" w:eastAsia="Times New Roman" w:hAnsi="Times New Roman"/>
                <w:sz w:val="3"/>
                <w:szCs w:val="3"/>
                <w:color w:val="auto"/>
              </w:rPr>
              <w:t>​           ​</w:t>
            </w:r>
          </w:p>
        </w:tc>
        <w:tc>
          <w:tcPr>
            <w:tcW w:w="640" w:type="dxa"/>
            <w:vAlign w:val="bottom"/>
          </w:tcPr>
          <w:p>
            <w:pPr>
              <w:jc w:val="right"/>
              <w:ind w:right="66"/>
              <w:spacing w:after="0"/>
              <w:rPr>
                <w:sz w:val="20"/>
                <w:szCs w:val="20"/>
                <w:color w:val="auto"/>
              </w:rPr>
            </w:pPr>
            <w:r>
              <w:rPr>
                <w:rFonts w:ascii="Arial" w:cs="Arial" w:eastAsia="Arial" w:hAnsi="Arial"/>
                <w:sz w:val="14"/>
                <w:szCs w:val="14"/>
                <w:color w:val="auto"/>
              </w:rPr>
              <w:t xml:space="preserve">0.0% </w:t>
            </w:r>
            <w:r>
              <w:rPr>
                <w:rFonts w:ascii="Times New Roman" w:cs="Times New Roman" w:eastAsia="Times New Roman" w:hAnsi="Times New Roman"/>
                <w:sz w:val="3"/>
                <w:szCs w:val="3"/>
                <w:color w:val="auto"/>
              </w:rPr>
              <w:t>​</w:t>
            </w:r>
          </w:p>
        </w:tc>
        <w:tc>
          <w:tcPr>
            <w:tcW w:w="1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gridSpan w:val="2"/>
          </w:tcPr>
          <w:p>
            <w:pPr>
              <w:jc w:val="right"/>
              <w:ind w:right="2"/>
              <w:spacing w:after="0"/>
              <w:rPr>
                <w:sz w:val="20"/>
                <w:szCs w:val="20"/>
                <w:color w:val="auto"/>
              </w:rPr>
            </w:pPr>
            <w:r>
              <w:rPr>
                <w:rFonts w:ascii="Arial" w:cs="Arial" w:eastAsia="Arial" w:hAnsi="Arial"/>
                <w:sz w:val="14"/>
                <w:szCs w:val="14"/>
                <w:color w:val="auto"/>
              </w:rPr>
              <w:t xml:space="preserve">5.0% </w:t>
            </w:r>
            <w:r>
              <w:rPr>
                <w:rFonts w:ascii="Times New Roman" w:cs="Times New Roman" w:eastAsia="Times New Roman" w:hAnsi="Times New Roman"/>
                <w:sz w:val="3"/>
                <w:szCs w:val="3"/>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 xml:space="preserve">7.5% </w:t>
            </w:r>
            <w:r>
              <w:rPr>
                <w:rFonts w:ascii="Times New Roman" w:cs="Times New Roman" w:eastAsia="Times New Roman" w:hAnsi="Times New Roman"/>
                <w:sz w:val="3"/>
                <w:szCs w:val="3"/>
                <w:color w:val="auto"/>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ind w:right="15"/>
              <w:spacing w:after="0"/>
              <w:rPr>
                <w:sz w:val="20"/>
                <w:szCs w:val="20"/>
                <w:color w:val="auto"/>
              </w:rPr>
            </w:pPr>
            <w:r>
              <w:rPr>
                <w:rFonts w:ascii="Arial" w:cs="Arial" w:eastAsia="Arial" w:hAnsi="Arial"/>
                <w:sz w:val="14"/>
                <w:szCs w:val="14"/>
                <w:color w:val="auto"/>
              </w:rPr>
              <w:t xml:space="preserve">10.0%  </w:t>
            </w:r>
            <w:r>
              <w:rPr>
                <w:rFonts w:ascii="Times New Roman" w:cs="Times New Roman" w:eastAsia="Times New Roman" w:hAnsi="Times New Roman"/>
                <w:sz w:val="3"/>
                <w:szCs w:val="3"/>
                <w:color w:val="auto"/>
              </w:rPr>
              <w:t>​</w:t>
            </w:r>
          </w:p>
        </w:tc>
        <w:tc>
          <w:tcPr>
            <w:tcW w:w="7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color w:val="auto"/>
              </w:rPr>
              <w:t>10​.0%</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1240" w:type="dxa"/>
            <w:vAlign w:val="bottom"/>
            <w:tcBorders>
              <w:bottom w:val="single" w:sz="8" w:color="0C426A"/>
            </w:tcBorders>
          </w:tcPr>
          <w:p>
            <w:pPr>
              <w:spacing w:after="0"/>
              <w:rPr>
                <w:sz w:val="4"/>
                <w:szCs w:val="4"/>
                <w:color w:val="auto"/>
              </w:rPr>
            </w:pPr>
          </w:p>
        </w:tc>
        <w:tc>
          <w:tcPr>
            <w:tcW w:w="160" w:type="dxa"/>
            <w:vAlign w:val="bottom"/>
            <w:tcBorders>
              <w:bottom w:val="single" w:sz="8" w:color="0C426A"/>
            </w:tcBorders>
          </w:tcPr>
          <w:p>
            <w:pPr>
              <w:spacing w:after="0"/>
              <w:rPr>
                <w:sz w:val="4"/>
                <w:szCs w:val="4"/>
                <w:color w:val="auto"/>
              </w:rPr>
            </w:pPr>
          </w:p>
        </w:tc>
        <w:tc>
          <w:tcPr>
            <w:tcW w:w="180" w:type="dxa"/>
            <w:vAlign w:val="bottom"/>
            <w:tcBorders>
              <w:bottom w:val="single" w:sz="8" w:color="0C426A"/>
            </w:tcBorders>
          </w:tcPr>
          <w:p>
            <w:pPr>
              <w:spacing w:after="0"/>
              <w:rPr>
                <w:sz w:val="4"/>
                <w:szCs w:val="4"/>
                <w:color w:val="auto"/>
              </w:rPr>
            </w:pPr>
          </w:p>
        </w:tc>
        <w:tc>
          <w:tcPr>
            <w:tcW w:w="200" w:type="dxa"/>
            <w:vAlign w:val="bottom"/>
            <w:tcBorders>
              <w:bottom w:val="single" w:sz="8" w:color="0C426A"/>
            </w:tcBorders>
          </w:tcPr>
          <w:p>
            <w:pPr>
              <w:spacing w:after="0"/>
              <w:rPr>
                <w:sz w:val="4"/>
                <w:szCs w:val="4"/>
                <w:color w:val="auto"/>
              </w:rPr>
            </w:pPr>
          </w:p>
        </w:tc>
        <w:tc>
          <w:tcPr>
            <w:tcW w:w="840" w:type="dxa"/>
            <w:vAlign w:val="bottom"/>
            <w:tcBorders>
              <w:bottom w:val="single" w:sz="8" w:color="0C426A"/>
            </w:tcBorders>
          </w:tcPr>
          <w:p>
            <w:pPr>
              <w:spacing w:after="0"/>
              <w:rPr>
                <w:sz w:val="4"/>
                <w:szCs w:val="4"/>
                <w:color w:val="auto"/>
              </w:rPr>
            </w:pPr>
          </w:p>
        </w:tc>
        <w:tc>
          <w:tcPr>
            <w:tcW w:w="220" w:type="dxa"/>
            <w:vAlign w:val="bottom"/>
            <w:tcBorders>
              <w:bottom w:val="single" w:sz="8" w:color="0C426A"/>
            </w:tcBorders>
          </w:tcPr>
          <w:p>
            <w:pPr>
              <w:spacing w:after="0"/>
              <w:rPr>
                <w:sz w:val="4"/>
                <w:szCs w:val="4"/>
                <w:color w:val="auto"/>
              </w:rPr>
            </w:pPr>
          </w:p>
        </w:tc>
        <w:tc>
          <w:tcPr>
            <w:tcW w:w="800" w:type="dxa"/>
            <w:vAlign w:val="bottom"/>
            <w:tcBorders>
              <w:bottom w:val="single" w:sz="8" w:color="0C426A"/>
            </w:tcBorders>
          </w:tcPr>
          <w:p>
            <w:pPr>
              <w:spacing w:after="0"/>
              <w:rPr>
                <w:sz w:val="4"/>
                <w:szCs w:val="4"/>
                <w:color w:val="auto"/>
              </w:rPr>
            </w:pPr>
          </w:p>
        </w:tc>
        <w:tc>
          <w:tcPr>
            <w:tcW w:w="220" w:type="dxa"/>
            <w:vAlign w:val="bottom"/>
            <w:tcBorders>
              <w:bottom w:val="single" w:sz="8" w:color="0C426A"/>
            </w:tcBorders>
          </w:tcPr>
          <w:p>
            <w:pPr>
              <w:spacing w:after="0"/>
              <w:rPr>
                <w:sz w:val="4"/>
                <w:szCs w:val="4"/>
                <w:color w:val="auto"/>
              </w:rPr>
            </w:pPr>
          </w:p>
        </w:tc>
        <w:tc>
          <w:tcPr>
            <w:tcW w:w="920" w:type="dxa"/>
            <w:vAlign w:val="bottom"/>
            <w:tcBorders>
              <w:bottom w:val="single" w:sz="8" w:color="0C426A"/>
            </w:tcBorders>
          </w:tcPr>
          <w:p>
            <w:pPr>
              <w:spacing w:after="0"/>
              <w:rPr>
                <w:sz w:val="4"/>
                <w:szCs w:val="4"/>
                <w:color w:val="auto"/>
              </w:rPr>
            </w:pPr>
          </w:p>
        </w:tc>
        <w:tc>
          <w:tcPr>
            <w:tcW w:w="640" w:type="dxa"/>
            <w:vAlign w:val="bottom"/>
            <w:tcBorders>
              <w:bottom w:val="single" w:sz="8" w:color="0C426A"/>
            </w:tcBorders>
          </w:tcPr>
          <w:p>
            <w:pPr>
              <w:spacing w:after="0"/>
              <w:rPr>
                <w:sz w:val="4"/>
                <w:szCs w:val="4"/>
                <w:color w:val="auto"/>
              </w:rPr>
            </w:pPr>
          </w:p>
        </w:tc>
        <w:tc>
          <w:tcPr>
            <w:tcW w:w="100" w:type="dxa"/>
            <w:vAlign w:val="bottom"/>
            <w:tcBorders>
              <w:bottom w:val="single" w:sz="8" w:color="0C426A"/>
            </w:tcBorders>
          </w:tcPr>
          <w:p>
            <w:pPr>
              <w:spacing w:after="0"/>
              <w:rPr>
                <w:sz w:val="4"/>
                <w:szCs w:val="4"/>
                <w:color w:val="auto"/>
              </w:rPr>
            </w:pPr>
          </w:p>
        </w:tc>
        <w:tc>
          <w:tcPr>
            <w:tcW w:w="420" w:type="dxa"/>
            <w:vAlign w:val="bottom"/>
            <w:tcBorders>
              <w:bottom w:val="single" w:sz="8" w:color="0C426A"/>
            </w:tcBorders>
          </w:tcPr>
          <w:p>
            <w:pPr>
              <w:spacing w:after="0"/>
              <w:rPr>
                <w:sz w:val="4"/>
                <w:szCs w:val="4"/>
                <w:color w:val="auto"/>
              </w:rPr>
            </w:pPr>
          </w:p>
        </w:tc>
        <w:tc>
          <w:tcPr>
            <w:tcW w:w="280" w:type="dxa"/>
            <w:vAlign w:val="bottom"/>
            <w:tcBorders>
              <w:bottom w:val="single" w:sz="8" w:color="0C426A"/>
            </w:tcBorders>
          </w:tcPr>
          <w:p>
            <w:pPr>
              <w:spacing w:after="0"/>
              <w:rPr>
                <w:sz w:val="4"/>
                <w:szCs w:val="4"/>
                <w:color w:val="auto"/>
              </w:rPr>
            </w:pPr>
          </w:p>
        </w:tc>
        <w:tc>
          <w:tcPr>
            <w:tcW w:w="300" w:type="dxa"/>
            <w:vAlign w:val="bottom"/>
            <w:tcBorders>
              <w:bottom w:val="single" w:sz="8" w:color="0C426A"/>
            </w:tcBorders>
          </w:tcPr>
          <w:p>
            <w:pPr>
              <w:spacing w:after="0"/>
              <w:rPr>
                <w:sz w:val="4"/>
                <w:szCs w:val="4"/>
                <w:color w:val="auto"/>
              </w:rPr>
            </w:pPr>
          </w:p>
        </w:tc>
        <w:tc>
          <w:tcPr>
            <w:tcW w:w="600" w:type="dxa"/>
            <w:vAlign w:val="bottom"/>
            <w:tcBorders>
              <w:bottom w:val="single" w:sz="8" w:color="0C426A"/>
            </w:tcBorders>
          </w:tcPr>
          <w:p>
            <w:pPr>
              <w:spacing w:after="0"/>
              <w:rPr>
                <w:sz w:val="4"/>
                <w:szCs w:val="4"/>
                <w:color w:val="auto"/>
              </w:rPr>
            </w:pPr>
          </w:p>
        </w:tc>
        <w:tc>
          <w:tcPr>
            <w:tcW w:w="220" w:type="dxa"/>
            <w:vAlign w:val="bottom"/>
            <w:tcBorders>
              <w:bottom w:val="single" w:sz="8" w:color="0C426A"/>
            </w:tcBorders>
          </w:tcPr>
          <w:p>
            <w:pPr>
              <w:spacing w:after="0"/>
              <w:rPr>
                <w:sz w:val="4"/>
                <w:szCs w:val="4"/>
                <w:color w:val="auto"/>
              </w:rPr>
            </w:pPr>
          </w:p>
        </w:tc>
        <w:tc>
          <w:tcPr>
            <w:tcW w:w="860" w:type="dxa"/>
            <w:vAlign w:val="bottom"/>
            <w:tcBorders>
              <w:bottom w:val="single" w:sz="8" w:color="0C426A"/>
            </w:tcBorders>
          </w:tcPr>
          <w:p>
            <w:pPr>
              <w:spacing w:after="0"/>
              <w:rPr>
                <w:sz w:val="4"/>
                <w:szCs w:val="4"/>
                <w:color w:val="auto"/>
              </w:rPr>
            </w:pPr>
          </w:p>
        </w:tc>
        <w:tc>
          <w:tcPr>
            <w:tcW w:w="780" w:type="dxa"/>
            <w:vAlign w:val="bottom"/>
            <w:tcBorders>
              <w:bottom w:val="single" w:sz="8" w:color="0C426A"/>
            </w:tcBorders>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7"/>
        </w:trPr>
        <w:tc>
          <w:tcPr>
            <w:tcW w:w="2220" w:type="dxa"/>
            <w:vAlign w:val="bottom"/>
            <w:gridSpan w:val="2"/>
          </w:tcPr>
          <w:p>
            <w:pPr>
              <w:jc w:val="right"/>
              <w:ind w:right="1029"/>
              <w:spacing w:after="0"/>
              <w:rPr>
                <w:sz w:val="20"/>
                <w:szCs w:val="20"/>
                <w:color w:val="auto"/>
              </w:rPr>
            </w:pPr>
            <w:r>
              <w:rPr>
                <w:rFonts w:ascii="Arial" w:cs="Arial" w:eastAsia="Arial" w:hAnsi="Arial"/>
                <w:sz w:val="14"/>
                <w:szCs w:val="14"/>
                <w:b w:val="1"/>
                <w:bCs w:val="1"/>
                <w:color w:val="auto"/>
              </w:rPr>
              <w:t>54</w:t>
            </w:r>
          </w:p>
        </w:tc>
        <w:tc>
          <w:tcPr>
            <w:tcW w:w="160" w:type="dxa"/>
            <w:vAlign w:val="bottom"/>
            <w:vMerge w:val="restart"/>
          </w:tcPr>
          <w:p>
            <w:pPr>
              <w:ind w:left="120"/>
              <w:spacing w:after="0"/>
              <w:rPr>
                <w:sz w:val="20"/>
                <w:szCs w:val="20"/>
                <w:color w:val="auto"/>
              </w:rPr>
            </w:pPr>
            <w:r>
              <w:rPr>
                <w:rFonts w:ascii="Arial" w:cs="Arial" w:eastAsia="Arial" w:hAnsi="Arial"/>
                <w:sz w:val="2"/>
                <w:szCs w:val="2"/>
                <w:color w:val="auto"/>
                <w:w w:val="97"/>
              </w:rPr>
              <w:t> </w:t>
            </w:r>
          </w:p>
        </w:tc>
        <w:tc>
          <w:tcPr>
            <w:tcW w:w="180" w:type="dxa"/>
            <w:vAlign w:val="bottom"/>
            <w:vMerge w:val="restart"/>
          </w:tcPr>
          <w:p>
            <w:pPr>
              <w:ind w:left="100"/>
              <w:spacing w:after="0"/>
              <w:rPr>
                <w:sz w:val="20"/>
                <w:szCs w:val="20"/>
                <w:color w:val="auto"/>
              </w:rPr>
            </w:pPr>
            <w:r>
              <w:rPr>
                <w:rFonts w:ascii="Arial" w:cs="Arial" w:eastAsia="Arial" w:hAnsi="Arial"/>
                <w:sz w:val="8"/>
                <w:szCs w:val="8"/>
                <w:color w:val="auto"/>
                <w:w w:val="74"/>
              </w:rPr>
              <w:t> </w:t>
            </w:r>
          </w:p>
        </w:tc>
        <w:tc>
          <w:tcPr>
            <w:tcW w:w="200" w:type="dxa"/>
            <w:vAlign w:val="bottom"/>
            <w:vMerge w:val="restart"/>
          </w:tcPr>
          <w:p>
            <w:pPr>
              <w:ind w:left="60"/>
              <w:spacing w:after="0"/>
              <w:rPr>
                <w:sz w:val="20"/>
                <w:szCs w:val="20"/>
                <w:color w:val="auto"/>
              </w:rPr>
            </w:pPr>
            <w:r>
              <w:rPr>
                <w:rFonts w:ascii="Arial" w:cs="Arial" w:eastAsia="Arial" w:hAnsi="Arial"/>
                <w:sz w:val="25"/>
                <w:szCs w:val="25"/>
                <w:color w:val="636466"/>
                <w:w w:val="98"/>
              </w:rPr>
              <w:t>/</w:t>
            </w:r>
            <w:r>
              <w:rPr>
                <w:rFonts w:ascii="Arial" w:cs="Arial" w:eastAsia="Arial" w:hAnsi="Arial"/>
                <w:sz w:val="28"/>
                <w:szCs w:val="28"/>
                <w:color w:val="000000"/>
                <w:w w:val="98"/>
                <w:vertAlign w:val="superscript"/>
              </w:rPr>
              <w:t xml:space="preserve"> </w:t>
            </w:r>
          </w:p>
        </w:tc>
        <w:tc>
          <w:tcPr>
            <w:tcW w:w="1860" w:type="dxa"/>
            <w:vAlign w:val="bottom"/>
            <w:gridSpan w:val="3"/>
            <w:vMerge w:val="restart"/>
          </w:tcPr>
          <w:p>
            <w:pPr>
              <w:jc w:val="right"/>
              <w:ind w:right="178"/>
              <w:spacing w:after="0"/>
              <w:rPr>
                <w:sz w:val="20"/>
                <w:szCs w:val="20"/>
                <w:color w:val="auto"/>
              </w:rPr>
            </w:pPr>
            <w:r>
              <w:rPr>
                <w:rFonts w:ascii="Arial" w:cs="Arial" w:eastAsia="Arial" w:hAnsi="Arial"/>
                <w:sz w:val="28"/>
                <w:szCs w:val="28"/>
                <w:color w:val="auto"/>
                <w:vertAlign w:val="subscript"/>
              </w:rPr>
              <w:t xml:space="preserve"> </w:t>
            </w:r>
            <w:r>
              <w:rPr>
                <w:rFonts w:ascii="Arial" w:cs="Arial" w:eastAsia="Arial" w:hAnsi="Arial"/>
                <w:sz w:val="14"/>
                <w:szCs w:val="14"/>
                <w:color w:val="auto"/>
              </w:rPr>
              <w:t xml:space="preserve">  2024 Proxy Statement</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9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vMerge w:val="continue"/>
          </w:tcPr>
          <w:p>
            <w:pPr>
              <w:spacing w:after="0"/>
              <w:rPr>
                <w:sz w:val="23"/>
                <w:szCs w:val="23"/>
                <w:color w:val="auto"/>
              </w:rPr>
            </w:pPr>
          </w:p>
        </w:tc>
        <w:tc>
          <w:tcPr>
            <w:tcW w:w="180" w:type="dxa"/>
            <w:vAlign w:val="bottom"/>
            <w:vMerge w:val="continue"/>
          </w:tcPr>
          <w:p>
            <w:pPr>
              <w:spacing w:after="0"/>
              <w:rPr>
                <w:sz w:val="23"/>
                <w:szCs w:val="23"/>
                <w:color w:val="auto"/>
              </w:rPr>
            </w:pPr>
          </w:p>
        </w:tc>
        <w:tc>
          <w:tcPr>
            <w:tcW w:w="200" w:type="dxa"/>
            <w:vAlign w:val="bottom"/>
            <w:vMerge w:val="continue"/>
          </w:tcPr>
          <w:p>
            <w:pPr>
              <w:spacing w:after="0"/>
              <w:rPr>
                <w:sz w:val="23"/>
                <w:szCs w:val="23"/>
                <w:color w:val="auto"/>
              </w:rPr>
            </w:pPr>
          </w:p>
        </w:tc>
        <w:tc>
          <w:tcPr>
            <w:tcW w:w="1860" w:type="dxa"/>
            <w:vAlign w:val="bottom"/>
            <w:gridSpan w:val="3"/>
            <w:vMerge w:val="continue"/>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9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-407670</wp:posOffset>
            </wp:positionV>
            <wp:extent cx="501650" cy="1701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sectPr>
      </w:pPr>
    </w:p>
    <w:bookmarkStart w:id="57" w:name="page58"/>
    <w:bookmarkEnd w:id="57"/>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7780"/>
        <w:spacing w:after="0"/>
        <w:rPr>
          <w:sz w:val="20"/>
          <w:szCs w:val="20"/>
          <w:color w:val="auto"/>
        </w:rPr>
      </w:pPr>
      <w:r>
        <w:rPr>
          <w:rFonts w:ascii="Arial" w:cs="Arial" w:eastAsia="Arial" w:hAnsi="Arial"/>
          <w:sz w:val="12"/>
          <w:szCs w:val="12"/>
          <w:color w:val="auto"/>
        </w:rPr>
        <w:t>Compensation Discussion and Analysis</w:t>
      </w:r>
    </w:p>
    <w:p>
      <w:pPr>
        <w:spacing w:after="0" w:line="107" w:lineRule="exact"/>
        <w:rPr>
          <w:sz w:val="20"/>
          <w:szCs w:val="20"/>
          <w:color w:val="auto"/>
        </w:rPr>
      </w:pPr>
    </w:p>
    <w:p>
      <w:pPr>
        <w:ind w:left="960" w:right="1020"/>
        <w:spacing w:after="0" w:line="263" w:lineRule="auto"/>
        <w:rPr>
          <w:sz w:val="20"/>
          <w:szCs w:val="20"/>
          <w:color w:val="auto"/>
        </w:rPr>
      </w:pPr>
      <w:r>
        <w:rPr>
          <w:rFonts w:ascii="Arial" w:cs="Arial" w:eastAsia="Arial" w:hAnsi="Arial"/>
          <w:sz w:val="16"/>
          <w:szCs w:val="16"/>
          <w:color w:val="auto"/>
        </w:rPr>
        <w:t>Actual ROIC and CCC performance for the 2021 – 2023 performance period exceeded the target goals resulting in a payout under the plan of 132.0% of target. When applying the impact of the RTSR modifier at +10.0% (impact of +13.2%), a payout of 145.3% of target was earned under the plan.</w:t>
      </w:r>
    </w:p>
    <w:p>
      <w:pPr>
        <w:spacing w:after="0" w:line="136"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1900" w:type="dxa"/>
            <w:vAlign w:val="bottom"/>
          </w:tcPr>
          <w:p>
            <w:pPr>
              <w:ind w:left="166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340" w:type="dxa"/>
            <w:vAlign w:val="bottom"/>
          </w:tcPr>
          <w:p>
            <w:pPr>
              <w:ind w:left="1040"/>
              <w:spacing w:after="0"/>
              <w:rPr>
                <w:sz w:val="20"/>
                <w:szCs w:val="20"/>
                <w:color w:val="auto"/>
              </w:rPr>
            </w:pPr>
            <w:r>
              <w:rPr>
                <w:rFonts w:ascii="Times New Roman" w:cs="Times New Roman" w:eastAsia="Times New Roman" w:hAnsi="Times New Roman"/>
                <w:sz w:val="4"/>
                <w:szCs w:val="4"/>
                <w:color w:val="auto"/>
              </w:rPr>
              <w:t>​​</w:t>
            </w:r>
          </w:p>
        </w:tc>
        <w:tc>
          <w:tcPr>
            <w:tcW w:w="1240" w:type="dxa"/>
            <w:vAlign w:val="bottom"/>
          </w:tcPr>
          <w:p>
            <w:pPr>
              <w:ind w:left="1000"/>
              <w:spacing w:after="0"/>
              <w:rPr>
                <w:sz w:val="20"/>
                <w:szCs w:val="20"/>
                <w:color w:val="auto"/>
              </w:rPr>
            </w:pPr>
            <w:r>
              <w:rPr>
                <w:rFonts w:ascii="Times New Roman" w:cs="Times New Roman" w:eastAsia="Times New Roman" w:hAnsi="Times New Roman"/>
                <w:sz w:val="4"/>
                <w:szCs w:val="4"/>
                <w:color w:val="auto"/>
              </w:rPr>
              <w:t>​​</w:t>
            </w:r>
          </w:p>
        </w:tc>
        <w:tc>
          <w:tcPr>
            <w:tcW w:w="1360" w:type="dxa"/>
            <w:vAlign w:val="bottom"/>
          </w:tcPr>
          <w:p>
            <w:pPr>
              <w:ind w:left="106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tcPr>
          <w:p>
            <w:pPr>
              <w:ind w:left="100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80" w:type="dxa"/>
            <w:vAlign w:val="bottom"/>
          </w:tcPr>
          <w:p>
            <w:pPr>
              <w:jc w:val="center"/>
              <w:ind w:right="49"/>
              <w:spacing w:after="0"/>
              <w:rPr>
                <w:sz w:val="20"/>
                <w:szCs w:val="20"/>
                <w:color w:val="auto"/>
              </w:rPr>
            </w:pPr>
            <w:r>
              <w:rPr>
                <w:rFonts w:ascii="Arial" w:cs="Arial" w:eastAsia="Arial" w:hAnsi="Arial"/>
                <w:sz w:val="14"/>
                <w:szCs w:val="14"/>
                <w:b w:val="1"/>
                <w:bCs w:val="1"/>
                <w:color w:val="auto"/>
              </w:rPr>
              <w:t>Weighted</w:t>
            </w:r>
          </w:p>
        </w:tc>
      </w:tr>
      <w:tr>
        <w:trPr>
          <w:trHeight w:val="195"/>
        </w:trPr>
        <w:tc>
          <w:tcPr>
            <w:tcW w:w="1900" w:type="dxa"/>
            <w:vAlign w:val="bottom"/>
          </w:tcPr>
          <w:p>
            <w:pPr>
              <w:ind w:left="20"/>
              <w:spacing w:after="0"/>
              <w:rPr>
                <w:sz w:val="20"/>
                <w:szCs w:val="20"/>
                <w:color w:val="auto"/>
              </w:rPr>
            </w:pPr>
            <w:r>
              <w:rPr>
                <w:rFonts w:ascii="Arial" w:cs="Arial" w:eastAsia="Arial" w:hAnsi="Arial"/>
                <w:sz w:val="14"/>
                <w:szCs w:val="14"/>
                <w:b w:val="1"/>
                <w:bCs w:val="1"/>
                <w:color w:val="auto"/>
              </w:rPr>
              <w:t>Measure</w:t>
            </w:r>
          </w:p>
        </w:tc>
        <w:tc>
          <w:tcPr>
            <w:tcW w:w="1340" w:type="dxa"/>
            <w:vAlign w:val="bottom"/>
          </w:tcPr>
          <w:p>
            <w:pPr>
              <w:ind w:left="140"/>
              <w:spacing w:after="0"/>
              <w:rPr>
                <w:sz w:val="20"/>
                <w:szCs w:val="20"/>
                <w:color w:val="auto"/>
              </w:rPr>
            </w:pPr>
            <w:r>
              <w:rPr>
                <w:rFonts w:ascii="Arial" w:cs="Arial" w:eastAsia="Arial" w:hAnsi="Arial"/>
                <w:sz w:val="14"/>
                <w:szCs w:val="14"/>
                <w:b w:val="1"/>
                <w:bCs w:val="1"/>
                <w:color w:val="auto"/>
              </w:rPr>
              <w:t>Threshold</w:t>
            </w:r>
          </w:p>
        </w:tc>
        <w:tc>
          <w:tcPr>
            <w:tcW w:w="1240" w:type="dxa"/>
            <w:vAlign w:val="bottom"/>
          </w:tcPr>
          <w:p>
            <w:pPr>
              <w:ind w:left="220"/>
              <w:spacing w:after="0"/>
              <w:rPr>
                <w:sz w:val="20"/>
                <w:szCs w:val="20"/>
                <w:color w:val="auto"/>
              </w:rPr>
            </w:pPr>
            <w:r>
              <w:rPr>
                <w:rFonts w:ascii="Arial" w:cs="Arial" w:eastAsia="Arial" w:hAnsi="Arial"/>
                <w:sz w:val="14"/>
                <w:szCs w:val="14"/>
                <w:b w:val="1"/>
                <w:bCs w:val="1"/>
                <w:color w:val="auto"/>
              </w:rPr>
              <w:t>Target</w:t>
            </w:r>
          </w:p>
        </w:tc>
        <w:tc>
          <w:tcPr>
            <w:tcW w:w="1360" w:type="dxa"/>
            <w:vAlign w:val="bottom"/>
          </w:tcPr>
          <w:p>
            <w:pPr>
              <w:ind w:left="160"/>
              <w:spacing w:after="0"/>
              <w:rPr>
                <w:sz w:val="20"/>
                <w:szCs w:val="20"/>
                <w:color w:val="auto"/>
              </w:rPr>
            </w:pPr>
            <w:r>
              <w:rPr>
                <w:rFonts w:ascii="Arial" w:cs="Arial" w:eastAsia="Arial" w:hAnsi="Arial"/>
                <w:sz w:val="14"/>
                <w:szCs w:val="14"/>
                <w:b w:val="1"/>
                <w:bCs w:val="1"/>
                <w:color w:val="auto"/>
              </w:rPr>
              <w:t>Maximum</w:t>
            </w:r>
          </w:p>
        </w:tc>
        <w:tc>
          <w:tcPr>
            <w:tcW w:w="1180" w:type="dxa"/>
            <w:vAlign w:val="bottom"/>
          </w:tcPr>
          <w:p>
            <w:pPr>
              <w:ind w:left="220"/>
              <w:spacing w:after="0"/>
              <w:rPr>
                <w:sz w:val="20"/>
                <w:szCs w:val="20"/>
                <w:color w:val="auto"/>
              </w:rPr>
            </w:pPr>
            <w:r>
              <w:rPr>
                <w:rFonts w:ascii="Arial" w:cs="Arial" w:eastAsia="Arial" w:hAnsi="Arial"/>
                <w:sz w:val="14"/>
                <w:szCs w:val="14"/>
                <w:b w:val="1"/>
                <w:bCs w:val="1"/>
                <w:color w:val="auto"/>
              </w:rPr>
              <w:t>Actual</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Payout</w:t>
            </w:r>
          </w:p>
        </w:tc>
        <w:tc>
          <w:tcPr>
            <w:tcW w:w="1080" w:type="dxa"/>
            <w:vAlign w:val="bottom"/>
          </w:tcPr>
          <w:p>
            <w:pPr>
              <w:jc w:val="center"/>
              <w:ind w:right="9"/>
              <w:spacing w:after="0"/>
              <w:rPr>
                <w:sz w:val="20"/>
                <w:szCs w:val="20"/>
                <w:color w:val="auto"/>
              </w:rPr>
            </w:pPr>
            <w:r>
              <w:rPr>
                <w:rFonts w:ascii="Arial" w:cs="Arial" w:eastAsia="Arial" w:hAnsi="Arial"/>
                <w:sz w:val="14"/>
                <w:szCs w:val="14"/>
                <w:b w:val="1"/>
                <w:bCs w:val="1"/>
                <w:color w:val="auto"/>
              </w:rPr>
              <w:t>Payout</w:t>
            </w:r>
          </w:p>
        </w:tc>
      </w:tr>
      <w:tr>
        <w:trPr>
          <w:trHeight w:val="46"/>
        </w:trPr>
        <w:tc>
          <w:tcPr>
            <w:tcW w:w="1900" w:type="dxa"/>
            <w:vAlign w:val="bottom"/>
            <w:tcBorders>
              <w:bottom w:val="single" w:sz="8" w:color="0C426A"/>
            </w:tcBorders>
          </w:tcPr>
          <w:p>
            <w:pPr>
              <w:spacing w:after="0"/>
              <w:rPr>
                <w:sz w:val="3"/>
                <w:szCs w:val="3"/>
                <w:color w:val="auto"/>
              </w:rPr>
            </w:pPr>
          </w:p>
        </w:tc>
        <w:tc>
          <w:tcPr>
            <w:tcW w:w="1340" w:type="dxa"/>
            <w:vAlign w:val="bottom"/>
            <w:tcBorders>
              <w:bottom w:val="single" w:sz="8" w:color="0C426A"/>
            </w:tcBorders>
          </w:tcPr>
          <w:p>
            <w:pPr>
              <w:spacing w:after="0"/>
              <w:rPr>
                <w:sz w:val="3"/>
                <w:szCs w:val="3"/>
                <w:color w:val="auto"/>
              </w:rPr>
            </w:pPr>
          </w:p>
        </w:tc>
        <w:tc>
          <w:tcPr>
            <w:tcW w:w="1240" w:type="dxa"/>
            <w:vAlign w:val="bottom"/>
            <w:tcBorders>
              <w:bottom w:val="single" w:sz="8" w:color="0C426A"/>
            </w:tcBorders>
          </w:tcPr>
          <w:p>
            <w:pPr>
              <w:spacing w:after="0"/>
              <w:rPr>
                <w:sz w:val="3"/>
                <w:szCs w:val="3"/>
                <w:color w:val="auto"/>
              </w:rPr>
            </w:pPr>
          </w:p>
        </w:tc>
        <w:tc>
          <w:tcPr>
            <w:tcW w:w="1360" w:type="dxa"/>
            <w:vAlign w:val="bottom"/>
            <w:tcBorders>
              <w:bottom w:val="single" w:sz="8" w:color="0C426A"/>
            </w:tcBorders>
          </w:tcPr>
          <w:p>
            <w:pPr>
              <w:spacing w:after="0"/>
              <w:rPr>
                <w:sz w:val="3"/>
                <w:szCs w:val="3"/>
                <w:color w:val="auto"/>
              </w:rPr>
            </w:pPr>
          </w:p>
        </w:tc>
        <w:tc>
          <w:tcPr>
            <w:tcW w:w="1180" w:type="dxa"/>
            <w:vAlign w:val="bottom"/>
            <w:tcBorders>
              <w:bottom w:val="single" w:sz="8" w:color="0C426A"/>
            </w:tcBorders>
          </w:tcPr>
          <w:p>
            <w:pPr>
              <w:spacing w:after="0"/>
              <w:rPr>
                <w:sz w:val="3"/>
                <w:szCs w:val="3"/>
                <w:color w:val="auto"/>
              </w:rPr>
            </w:pPr>
          </w:p>
        </w:tc>
        <w:tc>
          <w:tcPr>
            <w:tcW w:w="880" w:type="dxa"/>
            <w:vAlign w:val="bottom"/>
            <w:tcBorders>
              <w:bottom w:val="single" w:sz="8" w:color="0C426A"/>
            </w:tcBorders>
          </w:tcPr>
          <w:p>
            <w:pPr>
              <w:spacing w:after="0"/>
              <w:rPr>
                <w:sz w:val="3"/>
                <w:szCs w:val="3"/>
                <w:color w:val="auto"/>
              </w:rPr>
            </w:pPr>
          </w:p>
        </w:tc>
        <w:tc>
          <w:tcPr>
            <w:tcW w:w="1080" w:type="dxa"/>
            <w:vAlign w:val="bottom"/>
            <w:tcBorders>
              <w:bottom w:val="single" w:sz="8" w:color="0C426A"/>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1926590</wp:posOffset>
            </wp:positionH>
            <wp:positionV relativeFrom="paragraph">
              <wp:posOffset>50800</wp:posOffset>
            </wp:positionV>
            <wp:extent cx="2066290" cy="4933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066290" cy="493395"/>
                    </a:xfrm>
                    <a:prstGeom prst="rect">
                      <a:avLst/>
                    </a:prstGeom>
                    <a:noFill/>
                  </pic:spPr>
                </pic:pic>
              </a:graphicData>
            </a:graphic>
          </wp:anchor>
        </w:drawing>
      </w:r>
    </w:p>
    <w:p>
      <w:pPr>
        <w:spacing w:after="0" w:line="341" w:lineRule="exact"/>
        <w:rPr>
          <w:sz w:val="20"/>
          <w:szCs w:val="20"/>
          <w:color w:val="auto"/>
        </w:rPr>
      </w:pPr>
    </w:p>
    <w:tbl>
      <w:tblPr>
        <w:tblLayout w:type="fixed"/>
        <w:tblInd w:w="980" w:type="dxa"/>
        <w:tblCellMar>
          <w:top w:w="0" w:type="dxa"/>
          <w:left w:w="0" w:type="dxa"/>
          <w:bottom w:w="0" w:type="dxa"/>
          <w:right w:w="0" w:type="dxa"/>
        </w:tblCellMar>
      </w:tblPr>
      <w:tr>
        <w:trPr>
          <w:trHeight w:val="255"/>
        </w:trPr>
        <w:tc>
          <w:tcPr>
            <w:tcW w:w="1580" w:type="dxa"/>
            <w:vAlign w:val="bottom"/>
          </w:tcPr>
          <w:p>
            <w:pPr>
              <w:ind w:left="20"/>
              <w:spacing w:after="0"/>
              <w:rPr>
                <w:sz w:val="20"/>
                <w:szCs w:val="20"/>
                <w:color w:val="auto"/>
              </w:rPr>
            </w:pPr>
            <w:r>
              <w:rPr>
                <w:rFonts w:ascii="Arial" w:cs="Arial" w:eastAsia="Arial" w:hAnsi="Arial"/>
                <w:sz w:val="16"/>
                <w:szCs w:val="16"/>
                <w:b w:val="1"/>
                <w:bCs w:val="1"/>
                <w:color w:val="auto"/>
              </w:rPr>
              <w:t>ROIC</w:t>
            </w:r>
          </w:p>
        </w:tc>
        <w:tc>
          <w:tcPr>
            <w:tcW w:w="200" w:type="dxa"/>
            <w:vAlign w:val="bottom"/>
          </w:tcPr>
          <w:p>
            <w:pPr>
              <w:ind w:left="8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4100" w:type="dxa"/>
            <w:vAlign w:val="bottom"/>
          </w:tcPr>
          <w:p>
            <w:pPr>
              <w:ind w:left="37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ind w:left="240"/>
              <w:spacing w:after="0"/>
              <w:rPr>
                <w:sz w:val="20"/>
                <w:szCs w:val="20"/>
                <w:color w:val="auto"/>
              </w:rPr>
            </w:pPr>
            <w:r>
              <w:rPr>
                <w:rFonts w:ascii="Arial" w:cs="Arial" w:eastAsia="Arial" w:hAnsi="Arial"/>
                <w:sz w:val="16"/>
                <w:szCs w:val="16"/>
                <w:color w:val="auto"/>
              </w:rPr>
              <w:t>  8.8</w:t>
            </w:r>
          </w:p>
        </w:tc>
        <w:tc>
          <w:tcPr>
            <w:tcW w:w="380" w:type="dxa"/>
            <w:vAlign w:val="bottom"/>
          </w:tcPr>
          <w:p>
            <w:pPr>
              <w:ind w:left="20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136%</w:t>
            </w:r>
          </w:p>
        </w:tc>
        <w:tc>
          <w:tcPr>
            <w:tcW w:w="340" w:type="dxa"/>
            <w:vAlign w:val="bottom"/>
          </w:tcPr>
          <w:p>
            <w:pPr>
              <w:ind w:left="6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40" w:type="dxa"/>
            <w:vAlign w:val="bottom"/>
          </w:tcPr>
          <w:p>
            <w:pPr>
              <w:jc w:val="center"/>
              <w:ind w:right="40"/>
              <w:spacing w:after="0"/>
              <w:rPr>
                <w:sz w:val="20"/>
                <w:szCs w:val="20"/>
                <w:color w:val="auto"/>
              </w:rPr>
            </w:pPr>
            <w:r>
              <w:rPr>
                <w:rFonts w:ascii="Arial" w:cs="Arial" w:eastAsia="Arial" w:hAnsi="Arial"/>
                <w:sz w:val="16"/>
                <w:szCs w:val="16"/>
                <w:color w:val="auto"/>
                <w:w w:val="96"/>
              </w:rPr>
              <w:t>68.2%</w:t>
            </w:r>
          </w:p>
        </w:tc>
      </w:tr>
      <w:tr>
        <w:trPr>
          <w:trHeight w:val="213"/>
        </w:trPr>
        <w:tc>
          <w:tcPr>
            <w:tcW w:w="1580" w:type="dxa"/>
            <w:vAlign w:val="bottom"/>
          </w:tcPr>
          <w:p>
            <w:pPr>
              <w:ind w:left="20"/>
              <w:spacing w:after="0"/>
              <w:rPr>
                <w:sz w:val="20"/>
                <w:szCs w:val="20"/>
                <w:color w:val="auto"/>
              </w:rPr>
            </w:pPr>
            <w:r>
              <w:rPr>
                <w:rFonts w:ascii="Arial" w:cs="Arial" w:eastAsia="Arial" w:hAnsi="Arial"/>
                <w:sz w:val="16"/>
                <w:szCs w:val="16"/>
                <w:color w:val="auto"/>
              </w:rPr>
              <w:t>(50% Weighting)</w:t>
            </w:r>
          </w:p>
        </w:tc>
        <w:tc>
          <w:tcPr>
            <w:tcW w:w="2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7"/>
        </w:trPr>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100" w:type="dxa"/>
            <w:vAlign w:val="bottom"/>
          </w:tcPr>
          <w:p>
            <w:pPr>
              <w:ind w:left="40"/>
              <w:spacing w:after="0"/>
              <w:rPr>
                <w:sz w:val="20"/>
                <w:szCs w:val="20"/>
                <w:color w:val="auto"/>
              </w:rPr>
            </w:pPr>
            <w:r>
              <w:rPr>
                <w:rFonts w:ascii="Arial" w:cs="Arial" w:eastAsia="Arial" w:hAnsi="Arial"/>
                <w:sz w:val="16"/>
                <w:szCs w:val="16"/>
                <w:color w:val="auto"/>
              </w:rPr>
              <w:t> </w:t>
            </w: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2"/>
        </w:trPr>
        <w:tc>
          <w:tcPr>
            <w:tcW w:w="1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410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r>
      <w:tr>
        <w:trPr>
          <w:trHeight w:val="583"/>
        </w:trPr>
        <w:tc>
          <w:tcPr>
            <w:tcW w:w="1580" w:type="dxa"/>
            <w:vAlign w:val="bottom"/>
          </w:tcPr>
          <w:p>
            <w:pPr>
              <w:ind w:left="20"/>
              <w:spacing w:after="0"/>
              <w:rPr>
                <w:sz w:val="20"/>
                <w:szCs w:val="20"/>
                <w:color w:val="auto"/>
              </w:rPr>
            </w:pPr>
            <w:r>
              <w:rPr>
                <w:rFonts w:ascii="Arial" w:cs="Arial" w:eastAsia="Arial" w:hAnsi="Arial"/>
                <w:sz w:val="16"/>
                <w:szCs w:val="16"/>
                <w:b w:val="1"/>
                <w:bCs w:val="1"/>
                <w:color w:val="auto"/>
              </w:rPr>
              <w:t>CCC</w:t>
            </w:r>
          </w:p>
        </w:tc>
        <w:tc>
          <w:tcPr>
            <w:tcW w:w="200" w:type="dxa"/>
            <w:vAlign w:val="bottom"/>
          </w:tcPr>
          <w:p>
            <w:pPr>
              <w:ind w:left="8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4100" w:type="dxa"/>
            <w:vAlign w:val="bottom"/>
          </w:tcPr>
          <w:p>
            <w:pPr>
              <w:ind w:left="37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ind w:left="240"/>
              <w:spacing w:after="0"/>
              <w:rPr>
                <w:sz w:val="20"/>
                <w:szCs w:val="20"/>
                <w:color w:val="auto"/>
              </w:rPr>
            </w:pPr>
            <w:r>
              <w:rPr>
                <w:rFonts w:ascii="Arial" w:cs="Arial" w:eastAsia="Arial" w:hAnsi="Arial"/>
                <w:sz w:val="16"/>
                <w:szCs w:val="16"/>
                <w:color w:val="auto"/>
              </w:rPr>
              <w:t>96.2</w:t>
            </w:r>
          </w:p>
        </w:tc>
        <w:tc>
          <w:tcPr>
            <w:tcW w:w="380" w:type="dxa"/>
            <w:vAlign w:val="bottom"/>
          </w:tcPr>
          <w:p>
            <w:pPr>
              <w:ind w:left="20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128%</w:t>
            </w:r>
          </w:p>
        </w:tc>
        <w:tc>
          <w:tcPr>
            <w:tcW w:w="340" w:type="dxa"/>
            <w:vAlign w:val="bottom"/>
          </w:tcPr>
          <w:p>
            <w:pPr>
              <w:ind w:left="6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40" w:type="dxa"/>
            <w:vAlign w:val="bottom"/>
          </w:tcPr>
          <w:p>
            <w:pPr>
              <w:jc w:val="center"/>
              <w:ind w:right="40"/>
              <w:spacing w:after="0"/>
              <w:rPr>
                <w:sz w:val="20"/>
                <w:szCs w:val="20"/>
                <w:color w:val="auto"/>
              </w:rPr>
            </w:pPr>
            <w:r>
              <w:rPr>
                <w:rFonts w:ascii="Arial" w:cs="Arial" w:eastAsia="Arial" w:hAnsi="Arial"/>
                <w:sz w:val="16"/>
                <w:szCs w:val="16"/>
                <w:color w:val="auto"/>
                <w:w w:val="96"/>
              </w:rPr>
              <w:t>63.9%</w:t>
            </w:r>
          </w:p>
        </w:tc>
      </w:tr>
      <w:tr>
        <w:trPr>
          <w:trHeight w:val="213"/>
        </w:trPr>
        <w:tc>
          <w:tcPr>
            <w:tcW w:w="1580" w:type="dxa"/>
            <w:vAlign w:val="bottom"/>
          </w:tcPr>
          <w:p>
            <w:pPr>
              <w:ind w:left="20"/>
              <w:spacing w:after="0"/>
              <w:rPr>
                <w:sz w:val="20"/>
                <w:szCs w:val="20"/>
                <w:color w:val="auto"/>
              </w:rPr>
            </w:pPr>
            <w:r>
              <w:rPr>
                <w:rFonts w:ascii="Arial" w:cs="Arial" w:eastAsia="Arial" w:hAnsi="Arial"/>
                <w:sz w:val="16"/>
                <w:szCs w:val="16"/>
                <w:color w:val="auto"/>
              </w:rPr>
              <w:t>(50% Weighting)</w:t>
            </w:r>
          </w:p>
        </w:tc>
        <w:tc>
          <w:tcPr>
            <w:tcW w:w="2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7"/>
        </w:trPr>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100" w:type="dxa"/>
            <w:vAlign w:val="bottom"/>
          </w:tcPr>
          <w:p>
            <w:pPr>
              <w:ind w:left="40"/>
              <w:spacing w:after="0"/>
              <w:rPr>
                <w:sz w:val="20"/>
                <w:szCs w:val="20"/>
                <w:color w:val="auto"/>
              </w:rPr>
            </w:pPr>
            <w:r>
              <w:rPr>
                <w:rFonts w:ascii="Arial" w:cs="Arial" w:eastAsia="Arial" w:hAnsi="Arial"/>
                <w:sz w:val="16"/>
                <w:szCs w:val="16"/>
                <w:color w:val="auto"/>
              </w:rPr>
              <w:t> </w:t>
            </w: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2"/>
        </w:trPr>
        <w:tc>
          <w:tcPr>
            <w:tcW w:w="1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410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r>
      <w:tr>
        <w:trPr>
          <w:trHeight w:val="246"/>
        </w:trPr>
        <w:tc>
          <w:tcPr>
            <w:tcW w:w="1580" w:type="dxa"/>
            <w:vAlign w:val="bottom"/>
          </w:tcPr>
          <w:p>
            <w:pPr>
              <w:ind w:left="20"/>
              <w:spacing w:after="0"/>
              <w:rPr>
                <w:sz w:val="20"/>
                <w:szCs w:val="20"/>
                <w:color w:val="auto"/>
              </w:rPr>
            </w:pPr>
            <w:r>
              <w:rPr>
                <w:rFonts w:ascii="Arial" w:cs="Arial" w:eastAsia="Arial" w:hAnsi="Arial"/>
                <w:sz w:val="16"/>
                <w:szCs w:val="16"/>
                <w:color w:val="auto"/>
              </w:rPr>
              <w:t>Total Before Modifier</w:t>
            </w:r>
          </w:p>
        </w:tc>
        <w:tc>
          <w:tcPr>
            <w:tcW w:w="200" w:type="dxa"/>
            <w:vAlign w:val="bottom"/>
          </w:tcPr>
          <w:p>
            <w:pPr>
              <w:ind w:left="8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4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40" w:type="dxa"/>
            <w:vAlign w:val="bottom"/>
          </w:tcPr>
          <w:p>
            <w:pPr>
              <w:jc w:val="center"/>
              <w:ind w:right="40"/>
              <w:spacing w:after="0"/>
              <w:rPr>
                <w:sz w:val="20"/>
                <w:szCs w:val="20"/>
                <w:color w:val="auto"/>
              </w:rPr>
            </w:pPr>
            <w:r>
              <w:rPr>
                <w:rFonts w:ascii="Arial" w:cs="Arial" w:eastAsia="Arial" w:hAnsi="Arial"/>
                <w:sz w:val="16"/>
                <w:szCs w:val="16"/>
                <w:color w:val="auto"/>
              </w:rPr>
              <w:t>132.1%</w:t>
            </w:r>
          </w:p>
        </w:tc>
      </w:tr>
      <w:tr>
        <w:trPr>
          <w:trHeight w:val="42"/>
        </w:trPr>
        <w:tc>
          <w:tcPr>
            <w:tcW w:w="1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410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r>
      <w:tr>
        <w:trPr>
          <w:trHeight w:val="151"/>
        </w:trPr>
        <w:tc>
          <w:tcPr>
            <w:tcW w:w="1580" w:type="dxa"/>
            <w:vAlign w:val="bottom"/>
          </w:tcPr>
          <w:p>
            <w:pPr>
              <w:ind w:left="20"/>
              <w:spacing w:after="0" w:line="148" w:lineRule="exact"/>
              <w:rPr>
                <w:sz w:val="20"/>
                <w:szCs w:val="20"/>
                <w:color w:val="auto"/>
              </w:rPr>
            </w:pPr>
            <w:r>
              <w:rPr>
                <w:rFonts w:ascii="Arial" w:cs="Arial" w:eastAsia="Arial" w:hAnsi="Arial"/>
                <w:sz w:val="16"/>
                <w:szCs w:val="16"/>
                <w:color w:val="auto"/>
              </w:rPr>
              <w:t>Modifier (+10.0%)</w:t>
            </w:r>
          </w:p>
        </w:tc>
        <w:tc>
          <w:tcPr>
            <w:tcW w:w="200" w:type="dxa"/>
            <w:vAlign w:val="bottom"/>
          </w:tcPr>
          <w:p>
            <w:pPr>
              <w:ind w:left="8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4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40" w:type="dxa"/>
            <w:vAlign w:val="bottom"/>
          </w:tcPr>
          <w:p>
            <w:pPr>
              <w:jc w:val="center"/>
              <w:ind w:right="40"/>
              <w:spacing w:after="0" w:line="148" w:lineRule="exact"/>
              <w:rPr>
                <w:sz w:val="20"/>
                <w:szCs w:val="20"/>
                <w:color w:val="auto"/>
              </w:rPr>
            </w:pPr>
            <w:r>
              <w:rPr>
                <w:rFonts w:ascii="Arial" w:cs="Arial" w:eastAsia="Arial" w:hAnsi="Arial"/>
                <w:sz w:val="16"/>
                <w:szCs w:val="16"/>
                <w:color w:val="auto"/>
              </w:rPr>
              <w:t>+13.2%</w:t>
            </w:r>
          </w:p>
        </w:tc>
      </w:tr>
      <w:tr>
        <w:trPr>
          <w:trHeight w:val="137"/>
        </w:trPr>
        <w:tc>
          <w:tcPr>
            <w:tcW w:w="15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1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r>
      <w:tr>
        <w:trPr>
          <w:trHeight w:val="151"/>
        </w:trPr>
        <w:tc>
          <w:tcPr>
            <w:tcW w:w="1580" w:type="dxa"/>
            <w:vAlign w:val="bottom"/>
          </w:tcPr>
          <w:p>
            <w:pPr>
              <w:ind w:left="20"/>
              <w:spacing w:after="0" w:line="148" w:lineRule="exact"/>
              <w:rPr>
                <w:sz w:val="20"/>
                <w:szCs w:val="20"/>
                <w:color w:val="auto"/>
              </w:rPr>
            </w:pPr>
            <w:r>
              <w:rPr>
                <w:rFonts w:ascii="Arial" w:cs="Arial" w:eastAsia="Arial" w:hAnsi="Arial"/>
                <w:sz w:val="16"/>
                <w:szCs w:val="16"/>
                <w:color w:val="auto"/>
              </w:rPr>
              <w:t>Total Payout</w:t>
            </w:r>
          </w:p>
        </w:tc>
        <w:tc>
          <w:tcPr>
            <w:tcW w:w="200" w:type="dxa"/>
            <w:vAlign w:val="bottom"/>
          </w:tcPr>
          <w:p>
            <w:pPr>
              <w:ind w:left="8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4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40" w:type="dxa"/>
            <w:vAlign w:val="bottom"/>
          </w:tcPr>
          <w:p>
            <w:pPr>
              <w:jc w:val="center"/>
              <w:ind w:right="40"/>
              <w:spacing w:after="0" w:line="148" w:lineRule="exact"/>
              <w:rPr>
                <w:sz w:val="20"/>
                <w:szCs w:val="20"/>
                <w:color w:val="auto"/>
              </w:rPr>
            </w:pPr>
            <w:r>
              <w:rPr>
                <w:rFonts w:ascii="Arial" w:cs="Arial" w:eastAsia="Arial" w:hAnsi="Arial"/>
                <w:sz w:val="16"/>
                <w:szCs w:val="16"/>
                <w:color w:val="auto"/>
              </w:rPr>
              <w:t>145.3%</w:t>
            </w:r>
          </w:p>
        </w:tc>
      </w:tr>
      <w:tr>
        <w:trPr>
          <w:trHeight w:val="191"/>
        </w:trPr>
        <w:tc>
          <w:tcPr>
            <w:tcW w:w="158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4100" w:type="dxa"/>
            <w:vAlign w:val="bottom"/>
            <w:tcBorders>
              <w:bottom w:val="single" w:sz="8" w:color="808080"/>
            </w:tcBorders>
          </w:tcPr>
          <w:p>
            <w:pPr>
              <w:spacing w:after="0"/>
              <w:rPr>
                <w:sz w:val="16"/>
                <w:szCs w:val="16"/>
                <w:color w:val="auto"/>
              </w:rPr>
            </w:pPr>
          </w:p>
        </w:tc>
        <w:tc>
          <w:tcPr>
            <w:tcW w:w="760" w:type="dxa"/>
            <w:vAlign w:val="bottom"/>
            <w:tcBorders>
              <w:bottom w:val="single" w:sz="8" w:color="808080"/>
            </w:tcBorders>
          </w:tcPr>
          <w:p>
            <w:pPr>
              <w:spacing w:after="0"/>
              <w:rPr>
                <w:sz w:val="16"/>
                <w:szCs w:val="16"/>
                <w:color w:val="auto"/>
              </w:rPr>
            </w:pPr>
          </w:p>
        </w:tc>
        <w:tc>
          <w:tcPr>
            <w:tcW w:w="38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10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1926590</wp:posOffset>
            </wp:positionH>
            <wp:positionV relativeFrom="paragraph">
              <wp:posOffset>-1274445</wp:posOffset>
            </wp:positionV>
            <wp:extent cx="2066290" cy="4933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066290" cy="493395"/>
                    </a:xfrm>
                    <a:prstGeom prst="rect">
                      <a:avLst/>
                    </a:prstGeom>
                    <a:noFill/>
                  </pic:spPr>
                </pic:pic>
              </a:graphicData>
            </a:graphic>
          </wp:anchor>
        </w:drawing>
      </w:r>
    </w:p>
    <w:p>
      <w:pPr>
        <w:spacing w:after="0" w:line="341" w:lineRule="exact"/>
        <w:rPr>
          <w:sz w:val="20"/>
          <w:szCs w:val="20"/>
          <w:color w:val="auto"/>
        </w:rPr>
      </w:pPr>
    </w:p>
    <w:p>
      <w:pPr>
        <w:ind w:left="960" w:right="1080"/>
        <w:spacing w:after="0" w:line="282" w:lineRule="auto"/>
        <w:rPr>
          <w:sz w:val="20"/>
          <w:szCs w:val="20"/>
          <w:color w:val="auto"/>
        </w:rPr>
      </w:pPr>
      <w:r>
        <w:rPr>
          <w:rFonts w:ascii="Arial" w:cs="Arial" w:eastAsia="Arial" w:hAnsi="Arial"/>
          <w:sz w:val="16"/>
          <w:szCs w:val="16"/>
          <w:color w:val="auto"/>
        </w:rPr>
        <w:t>Based on these results, for the 2021-2023 performance period, the NEOs received the payouts as set forth below in March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15240</wp:posOffset>
            </wp:positionV>
            <wp:extent cx="571373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128" w:lineRule="exact"/>
        <w:rPr>
          <w:sz w:val="20"/>
          <w:szCs w:val="20"/>
          <w:color w:val="auto"/>
        </w:rPr>
      </w:pPr>
    </w:p>
    <w:tbl>
      <w:tblPr>
        <w:tblLayout w:type="fixed"/>
        <w:tblInd w:w="980" w:type="dxa"/>
        <w:tblCellMar>
          <w:top w:w="0" w:type="dxa"/>
          <w:left w:w="0" w:type="dxa"/>
          <w:bottom w:w="0" w:type="dxa"/>
          <w:right w:w="0" w:type="dxa"/>
        </w:tblCellMar>
      </w:tblPr>
      <w:tr>
        <w:trPr>
          <w:trHeight w:val="195"/>
        </w:trPr>
        <w:tc>
          <w:tcPr>
            <w:tcW w:w="2040" w:type="dxa"/>
            <w:vAlign w:val="bottom"/>
            <w:gridSpan w:val="2"/>
          </w:tcPr>
          <w:p>
            <w:pPr>
              <w:ind w:left="20"/>
              <w:spacing w:after="0"/>
              <w:rPr>
                <w:sz w:val="20"/>
                <w:szCs w:val="20"/>
                <w:color w:val="auto"/>
              </w:rPr>
            </w:pPr>
            <w:r>
              <w:rPr>
                <w:rFonts w:ascii="Arial" w:cs="Arial" w:eastAsia="Arial" w:hAnsi="Arial"/>
                <w:sz w:val="14"/>
                <w:szCs w:val="14"/>
                <w:b w:val="1"/>
                <w:bCs w:val="1"/>
                <w:color w:val="0C426A"/>
              </w:rPr>
              <w:t>Rafael Santana</w:t>
            </w:r>
          </w:p>
        </w:tc>
        <w:tc>
          <w:tcPr>
            <w:tcW w:w="820" w:type="dxa"/>
            <w:vAlign w:val="bottom"/>
          </w:tcPr>
          <w:p>
            <w:pPr>
              <w:ind w:left="7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020" w:type="dxa"/>
            <w:vAlign w:val="bottom"/>
          </w:tcPr>
          <w:p>
            <w:pPr>
              <w:ind w:left="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69,095 shares of Wabtec Common stock with a value at payout of $9,304,850</w:t>
            </w:r>
          </w:p>
        </w:tc>
      </w:tr>
      <w:tr>
        <w:trPr>
          <w:trHeight w:val="42"/>
        </w:trPr>
        <w:tc>
          <w:tcPr>
            <w:tcW w:w="2040" w:type="dxa"/>
            <w:vAlign w:val="bottom"/>
            <w:tcBorders>
              <w:bottom w:val="single" w:sz="8" w:color="808080"/>
            </w:tcBorders>
            <w:gridSpan w:val="2"/>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6020" w:type="dxa"/>
            <w:vAlign w:val="bottom"/>
            <w:tcBorders>
              <w:bottom w:val="single" w:sz="8" w:color="808080"/>
            </w:tcBorders>
          </w:tcPr>
          <w:p>
            <w:pPr>
              <w:spacing w:after="0"/>
              <w:rPr>
                <w:sz w:val="3"/>
                <w:szCs w:val="3"/>
                <w:color w:val="auto"/>
              </w:rPr>
            </w:pPr>
          </w:p>
        </w:tc>
      </w:tr>
      <w:tr>
        <w:trPr>
          <w:trHeight w:val="246"/>
        </w:trPr>
        <w:tc>
          <w:tcPr>
            <w:tcW w:w="2040" w:type="dxa"/>
            <w:vAlign w:val="bottom"/>
            <w:gridSpan w:val="2"/>
          </w:tcPr>
          <w:p>
            <w:pPr>
              <w:ind w:left="20"/>
              <w:spacing w:after="0"/>
              <w:rPr>
                <w:sz w:val="20"/>
                <w:szCs w:val="20"/>
                <w:color w:val="auto"/>
              </w:rPr>
            </w:pPr>
            <w:r>
              <w:rPr>
                <w:rFonts w:ascii="Arial" w:cs="Arial" w:eastAsia="Arial" w:hAnsi="Arial"/>
                <w:sz w:val="14"/>
                <w:szCs w:val="14"/>
                <w:b w:val="1"/>
                <w:bCs w:val="1"/>
                <w:color w:val="0C426A"/>
              </w:rPr>
              <w:t>David L. DeNinno</w:t>
            </w:r>
          </w:p>
        </w:tc>
        <w:tc>
          <w:tcPr>
            <w:tcW w:w="820" w:type="dxa"/>
            <w:vAlign w:val="bottom"/>
          </w:tcPr>
          <w:p>
            <w:pPr>
              <w:ind w:left="7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020" w:type="dxa"/>
            <w:vAlign w:val="bottom"/>
          </w:tcPr>
          <w:p>
            <w:pPr>
              <w:ind w:left="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11,755 shares of Wabtec Common stock with a value at payout of $1,583,016</w:t>
            </w:r>
          </w:p>
        </w:tc>
      </w:tr>
      <w:tr>
        <w:trPr>
          <w:trHeight w:val="42"/>
        </w:trPr>
        <w:tc>
          <w:tcPr>
            <w:tcW w:w="480" w:type="dxa"/>
            <w:vAlign w:val="bottom"/>
            <w:tcBorders>
              <w:bottom w:val="single" w:sz="8" w:color="808080"/>
            </w:tcBorders>
          </w:tcPr>
          <w:p>
            <w:pPr>
              <w:spacing w:after="0"/>
              <w:rPr>
                <w:sz w:val="3"/>
                <w:szCs w:val="3"/>
                <w:color w:val="auto"/>
              </w:rPr>
            </w:pPr>
          </w:p>
        </w:tc>
        <w:tc>
          <w:tcPr>
            <w:tcW w:w="15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6020" w:type="dxa"/>
            <w:vAlign w:val="bottom"/>
            <w:tcBorders>
              <w:bottom w:val="single" w:sz="8" w:color="808080"/>
            </w:tcBorders>
          </w:tcPr>
          <w:p>
            <w:pPr>
              <w:spacing w:after="0"/>
              <w:rPr>
                <w:sz w:val="3"/>
                <w:szCs w:val="3"/>
                <w:color w:val="auto"/>
              </w:rPr>
            </w:pPr>
          </w:p>
        </w:tc>
      </w:tr>
      <w:tr>
        <w:trPr>
          <w:trHeight w:val="246"/>
        </w:trPr>
        <w:tc>
          <w:tcPr>
            <w:tcW w:w="480" w:type="dxa"/>
            <w:vAlign w:val="bottom"/>
          </w:tcPr>
          <w:p>
            <w:pPr>
              <w:ind w:left="20"/>
              <w:spacing w:after="0"/>
              <w:rPr>
                <w:sz w:val="20"/>
                <w:szCs w:val="20"/>
                <w:color w:val="auto"/>
              </w:rPr>
            </w:pPr>
            <w:r>
              <w:rPr>
                <w:rFonts w:ascii="Arial" w:cs="Arial" w:eastAsia="Arial" w:hAnsi="Arial"/>
                <w:sz w:val="14"/>
                <w:szCs w:val="14"/>
                <w:b w:val="1"/>
                <w:bCs w:val="1"/>
                <w:color w:val="0C426A"/>
                <w:w w:val="99"/>
              </w:rPr>
              <w:t>Pascal</w:t>
            </w:r>
            <w:r>
              <w:rPr>
                <w:rFonts w:ascii="Arial" w:cs="Arial" w:eastAsia="Arial" w:hAnsi="Arial"/>
                <w:sz w:val="14"/>
                <w:szCs w:val="14"/>
                <w:color w:val="0C426A"/>
                <w:w w:val="99"/>
              </w:rPr>
              <w:t>​</w:t>
            </w:r>
          </w:p>
        </w:tc>
        <w:tc>
          <w:tcPr>
            <w:tcW w:w="1560" w:type="dxa"/>
            <w:vAlign w:val="bottom"/>
          </w:tcPr>
          <w:p>
            <w:pPr>
              <w:ind w:left="20"/>
              <w:spacing w:after="0"/>
              <w:rPr>
                <w:sz w:val="20"/>
                <w:szCs w:val="20"/>
                <w:color w:val="auto"/>
              </w:rPr>
            </w:pPr>
            <w:r>
              <w:rPr>
                <w:rFonts w:ascii="Arial" w:cs="Arial" w:eastAsia="Arial" w:hAnsi="Arial"/>
                <w:sz w:val="14"/>
                <w:szCs w:val="14"/>
                <w:b w:val="1"/>
                <w:bCs w:val="1"/>
                <w:color w:val="0C426A"/>
              </w:rPr>
              <w:t>Schweitzer</w:t>
            </w:r>
          </w:p>
        </w:tc>
        <w:tc>
          <w:tcPr>
            <w:tcW w:w="820" w:type="dxa"/>
            <w:vAlign w:val="bottom"/>
          </w:tcPr>
          <w:p>
            <w:pPr>
              <w:ind w:left="7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020" w:type="dxa"/>
            <w:vAlign w:val="bottom"/>
          </w:tcPr>
          <w:p>
            <w:pPr>
              <w:ind w:left="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9,117 shares of Wabtec Common stock with a value at payout of $1,227,763</w:t>
            </w:r>
          </w:p>
        </w:tc>
      </w:tr>
      <w:tr>
        <w:trPr>
          <w:trHeight w:val="42"/>
        </w:trPr>
        <w:tc>
          <w:tcPr>
            <w:tcW w:w="2040" w:type="dxa"/>
            <w:vAlign w:val="bottom"/>
            <w:tcBorders>
              <w:bottom w:val="single" w:sz="8" w:color="808080"/>
            </w:tcBorders>
            <w:gridSpan w:val="2"/>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6020" w:type="dxa"/>
            <w:vAlign w:val="bottom"/>
            <w:tcBorders>
              <w:bottom w:val="single" w:sz="8" w:color="808080"/>
            </w:tcBorders>
          </w:tcPr>
          <w:p>
            <w:pPr>
              <w:spacing w:after="0"/>
              <w:rPr>
                <w:sz w:val="3"/>
                <w:szCs w:val="3"/>
                <w:color w:val="auto"/>
              </w:rPr>
            </w:pPr>
          </w:p>
        </w:tc>
      </w:tr>
      <w:tr>
        <w:trPr>
          <w:trHeight w:val="246"/>
        </w:trPr>
        <w:tc>
          <w:tcPr>
            <w:tcW w:w="2040" w:type="dxa"/>
            <w:vAlign w:val="bottom"/>
            <w:gridSpan w:val="2"/>
          </w:tcPr>
          <w:p>
            <w:pPr>
              <w:ind w:left="20"/>
              <w:spacing w:after="0"/>
              <w:rPr>
                <w:sz w:val="20"/>
                <w:szCs w:val="20"/>
                <w:color w:val="auto"/>
              </w:rPr>
            </w:pPr>
            <w:r>
              <w:rPr>
                <w:rFonts w:ascii="Arial" w:cs="Arial" w:eastAsia="Arial" w:hAnsi="Arial"/>
                <w:sz w:val="14"/>
                <w:szCs w:val="14"/>
                <w:b w:val="1"/>
                <w:bCs w:val="1"/>
                <w:color w:val="0C426A"/>
              </w:rPr>
              <w:t>Eric Gebhardt</w:t>
            </w:r>
          </w:p>
        </w:tc>
        <w:tc>
          <w:tcPr>
            <w:tcW w:w="820" w:type="dxa"/>
            <w:vAlign w:val="bottom"/>
          </w:tcPr>
          <w:p>
            <w:pPr>
              <w:ind w:left="7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020" w:type="dxa"/>
            <w:vAlign w:val="bottom"/>
          </w:tcPr>
          <w:p>
            <w:pPr>
              <w:ind w:left="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7,199 shares of Wabtec Common stock with a value at payout of $969,471</w:t>
            </w:r>
          </w:p>
        </w:tc>
      </w:tr>
      <w:tr>
        <w:trPr>
          <w:trHeight w:val="42"/>
        </w:trPr>
        <w:tc>
          <w:tcPr>
            <w:tcW w:w="480" w:type="dxa"/>
            <w:vAlign w:val="bottom"/>
            <w:tcBorders>
              <w:bottom w:val="single" w:sz="8" w:color="0C426A"/>
            </w:tcBorders>
          </w:tcPr>
          <w:p>
            <w:pPr>
              <w:spacing w:after="0"/>
              <w:rPr>
                <w:sz w:val="3"/>
                <w:szCs w:val="3"/>
                <w:color w:val="auto"/>
              </w:rPr>
            </w:pPr>
          </w:p>
        </w:tc>
        <w:tc>
          <w:tcPr>
            <w:tcW w:w="1560" w:type="dxa"/>
            <w:vAlign w:val="bottom"/>
            <w:tcBorders>
              <w:bottom w:val="single" w:sz="8" w:color="0C426A"/>
            </w:tcBorders>
          </w:tcPr>
          <w:p>
            <w:pPr>
              <w:spacing w:after="0"/>
              <w:rPr>
                <w:sz w:val="3"/>
                <w:szCs w:val="3"/>
                <w:color w:val="auto"/>
              </w:rPr>
            </w:pPr>
          </w:p>
        </w:tc>
        <w:tc>
          <w:tcPr>
            <w:tcW w:w="820" w:type="dxa"/>
            <w:vAlign w:val="bottom"/>
            <w:tcBorders>
              <w:bottom w:val="single" w:sz="8" w:color="0C426A"/>
            </w:tcBorders>
          </w:tcPr>
          <w:p>
            <w:pPr>
              <w:spacing w:after="0"/>
              <w:rPr>
                <w:sz w:val="3"/>
                <w:szCs w:val="3"/>
                <w:color w:val="auto"/>
              </w:rPr>
            </w:pPr>
          </w:p>
        </w:tc>
        <w:tc>
          <w:tcPr>
            <w:tcW w:w="100" w:type="dxa"/>
            <w:vAlign w:val="bottom"/>
            <w:tcBorders>
              <w:bottom w:val="single" w:sz="8" w:color="0C426A"/>
            </w:tcBorders>
          </w:tcPr>
          <w:p>
            <w:pPr>
              <w:spacing w:after="0"/>
              <w:rPr>
                <w:sz w:val="3"/>
                <w:szCs w:val="3"/>
                <w:color w:val="auto"/>
              </w:rPr>
            </w:pPr>
          </w:p>
        </w:tc>
        <w:tc>
          <w:tcPr>
            <w:tcW w:w="6020" w:type="dxa"/>
            <w:vAlign w:val="bottom"/>
            <w:tcBorders>
              <w:bottom w:val="single" w:sz="8" w:color="0C426A"/>
            </w:tcBorders>
          </w:tcPr>
          <w:p>
            <w:pPr>
              <w:spacing w:after="0"/>
              <w:rPr>
                <w:sz w:val="3"/>
                <w:szCs w:val="3"/>
                <w:color w:val="auto"/>
              </w:rPr>
            </w:pPr>
          </w:p>
        </w:tc>
      </w:tr>
    </w:tbl>
    <w:p>
      <w:pPr>
        <w:spacing w:after="0" w:line="37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Mr. Olin did not receive grants in the 2021 fiscal year as he was not employed by the Company at that time.</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Additional Equity Award Policies</w:t>
      </w:r>
    </w:p>
    <w:p>
      <w:pPr>
        <w:spacing w:after="0" w:line="164" w:lineRule="exact"/>
        <w:rPr>
          <w:sz w:val="20"/>
          <w:szCs w:val="20"/>
          <w:color w:val="auto"/>
        </w:rPr>
      </w:pPr>
    </w:p>
    <w:p>
      <w:pPr>
        <w:ind w:left="960" w:right="1080"/>
        <w:spacing w:after="0" w:line="252" w:lineRule="auto"/>
        <w:rPr>
          <w:sz w:val="20"/>
          <w:szCs w:val="20"/>
          <w:color w:val="auto"/>
        </w:rPr>
      </w:pPr>
      <w:r>
        <w:rPr>
          <w:rFonts w:ascii="Arial" w:cs="Arial" w:eastAsia="Arial" w:hAnsi="Arial"/>
          <w:sz w:val="16"/>
          <w:szCs w:val="16"/>
          <w:color w:val="auto"/>
        </w:rPr>
        <w:t>Additional equity awards may be made throughout the year to new hires, current employees in connection with promotions, and key management obtained through acquisitions. We vary the relative amounts of equity granted in a given year based on a number of factors including the overall performance of the Company, the stock price and retention of key management. Employees eligible for the long-term incentive program include those who are determined by the Compensation Committee to be in key policy-setting and decision-making roles, and to have responsibilities that contribute significantly to achieving our earnings goals.</w:t>
      </w:r>
    </w:p>
    <w:p>
      <w:pPr>
        <w:spacing w:after="0" w:line="126" w:lineRule="exact"/>
        <w:rPr>
          <w:sz w:val="20"/>
          <w:szCs w:val="20"/>
          <w:color w:val="auto"/>
        </w:rPr>
      </w:pPr>
    </w:p>
    <w:p>
      <w:pPr>
        <w:ind w:left="960" w:right="1380"/>
        <w:spacing w:after="0" w:line="263" w:lineRule="auto"/>
        <w:rPr>
          <w:sz w:val="20"/>
          <w:szCs w:val="20"/>
          <w:color w:val="auto"/>
        </w:rPr>
      </w:pPr>
      <w:r>
        <w:rPr>
          <w:rFonts w:ascii="Arial" w:cs="Arial" w:eastAsia="Arial" w:hAnsi="Arial"/>
          <w:sz w:val="16"/>
          <w:szCs w:val="16"/>
          <w:color w:val="auto"/>
        </w:rPr>
        <w:t>Any awards made under the 2011 Stock Incentive Plan may be subject to forfeiture at the discretion of the Compensation Committee if between the date of grant and the third anniversary of any exercise, payment or vesting of the award, the participant:</w:t>
      </w:r>
    </w:p>
    <w:p>
      <w:pPr>
        <w:spacing w:after="0" w:line="118" w:lineRule="exact"/>
        <w:rPr>
          <w:sz w:val="20"/>
          <w:szCs w:val="20"/>
          <w:color w:val="auto"/>
        </w:rPr>
      </w:pPr>
    </w:p>
    <w:p>
      <w:pPr>
        <w:ind w:left="1680" w:right="1280" w:hanging="358"/>
        <w:spacing w:after="0" w:line="282" w:lineRule="auto"/>
        <w:tabs>
          <w:tab w:leader="none" w:pos="16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engages in the operation or management of a business (whether as owner, partner, officer, director, employee or otherwise) which is in competition with the Company or any of its subsidiaries;</w:t>
      </w:r>
    </w:p>
    <w:p>
      <w:pPr>
        <w:spacing w:after="0" w:line="103" w:lineRule="exact"/>
        <w:rPr>
          <w:rFonts w:ascii="Arial" w:cs="Arial" w:eastAsia="Arial" w:hAnsi="Arial"/>
          <w:sz w:val="16"/>
          <w:szCs w:val="16"/>
          <w:color w:val="auto"/>
        </w:rPr>
      </w:pPr>
    </w:p>
    <w:p>
      <w:pPr>
        <w:ind w:left="1680" w:right="1000" w:hanging="358"/>
        <w:spacing w:after="0" w:line="257" w:lineRule="auto"/>
        <w:tabs>
          <w:tab w:leader="none" w:pos="16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induces or attempts to induce any customer, supplier, licensee or other individual, corporation or other business organization having a business relationship with the Company or any of its subsidiaries to cease doing business with the Company or any of its subsidiaries or in any way interferes with the relationship between any such customer, supplier, licensee or other person and the Company or any of its subsidiaries;</w:t>
      </w:r>
    </w:p>
    <w:p>
      <w:pPr>
        <w:spacing w:after="0" w:line="122" w:lineRule="exact"/>
        <w:rPr>
          <w:rFonts w:ascii="Arial" w:cs="Arial" w:eastAsia="Arial" w:hAnsi="Arial"/>
          <w:sz w:val="16"/>
          <w:szCs w:val="16"/>
          <w:color w:val="auto"/>
        </w:rPr>
      </w:pPr>
    </w:p>
    <w:p>
      <w:pPr>
        <w:ind w:left="1680" w:right="1460" w:hanging="358"/>
        <w:spacing w:after="0" w:line="282" w:lineRule="auto"/>
        <w:tabs>
          <w:tab w:leader="none" w:pos="16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solicits any employee of the Company or any of its subsidiaries to leave the employment thereof or in any way interferes with the relationship of such employee with the Company or any of its subsidiaries; or</w:t>
      </w:r>
    </w:p>
    <w:p>
      <w:pPr>
        <w:spacing w:after="0" w:line="103" w:lineRule="exact"/>
        <w:rPr>
          <w:rFonts w:ascii="Arial" w:cs="Arial" w:eastAsia="Arial" w:hAnsi="Arial"/>
          <w:sz w:val="16"/>
          <w:szCs w:val="16"/>
          <w:color w:val="auto"/>
        </w:rPr>
      </w:pPr>
    </w:p>
    <w:p>
      <w:pPr>
        <w:ind w:left="1680" w:right="1020" w:hanging="358"/>
        <w:spacing w:after="0" w:line="263" w:lineRule="auto"/>
        <w:tabs>
          <w:tab w:leader="none" w:pos="16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makes any statements or comments, orally or in writing, of a defamatory or disparaging nature regarding the Company or any of its subsidiaries (including but not limited to regarding any of their respective businesses, officers, directors, personnel, products or policies).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9140" w:type="dxa"/>
            <w:vAlign w:val="bottom"/>
          </w:tcPr>
          <w:p>
            <w:pPr>
              <w:ind w:left="636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800" w:type="dxa"/>
            <w:vAlign w:val="bottom"/>
          </w:tcPr>
          <w:p>
            <w:pPr>
              <w:jc w:val="right"/>
              <w:ind w:right="909"/>
              <w:spacing w:after="0"/>
              <w:rPr>
                <w:sz w:val="20"/>
                <w:szCs w:val="20"/>
                <w:color w:val="auto"/>
              </w:rPr>
            </w:pPr>
            <w:r>
              <w:rPr>
                <w:rFonts w:ascii="Arial" w:cs="Arial" w:eastAsia="Arial" w:hAnsi="Arial"/>
                <w:sz w:val="14"/>
                <w:szCs w:val="14"/>
                <w:b w:val="1"/>
                <w:bCs w:val="1"/>
                <w:color w:val="auto"/>
              </w:rPr>
              <w:t>55</w:t>
            </w:r>
          </w:p>
        </w:tc>
      </w:tr>
      <w:tr>
        <w:trPr>
          <w:trHeight w:val="355"/>
        </w:trPr>
        <w:tc>
          <w:tcPr>
            <w:tcW w:w="9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-407670</wp:posOffset>
            </wp:positionV>
            <wp:extent cx="501650" cy="1701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Compensation Discussion and Analysis</w:t>
      </w:r>
    </w:p>
    <w:p>
      <w:pPr>
        <w:spacing w:after="0" w:line="107" w:lineRule="exact"/>
        <w:rPr>
          <w:sz w:val="20"/>
          <w:szCs w:val="20"/>
          <w:color w:val="auto"/>
        </w:rPr>
      </w:pPr>
    </w:p>
    <w:p>
      <w:pPr>
        <w:ind w:right="179"/>
        <w:spacing w:after="0" w:line="282" w:lineRule="auto"/>
        <w:rPr>
          <w:sz w:val="20"/>
          <w:szCs w:val="20"/>
          <w:color w:val="auto"/>
        </w:rPr>
      </w:pPr>
      <w:r>
        <w:rPr>
          <w:rFonts w:ascii="Arial" w:cs="Arial" w:eastAsia="Arial" w:hAnsi="Arial"/>
          <w:sz w:val="16"/>
          <w:szCs w:val="16"/>
          <w:color w:val="auto"/>
        </w:rPr>
        <w:t>Such forfeiture does not apply following the occurrence of a change of control event unless the award agreement specifically so provides or as required by applicable law.</w:t>
      </w:r>
    </w:p>
    <w:p>
      <w:pPr>
        <w:spacing w:after="0" w:line="314" w:lineRule="exact"/>
        <w:rPr>
          <w:sz w:val="20"/>
          <w:szCs w:val="20"/>
          <w:color w:val="auto"/>
        </w:rPr>
      </w:pPr>
    </w:p>
    <w:p>
      <w:pPr>
        <w:spacing w:after="0"/>
        <w:rPr>
          <w:sz w:val="20"/>
          <w:szCs w:val="20"/>
          <w:color w:val="auto"/>
        </w:rPr>
      </w:pPr>
      <w:r>
        <w:rPr>
          <w:rFonts w:ascii="Arial" w:cs="Arial" w:eastAsia="Arial" w:hAnsi="Arial"/>
          <w:sz w:val="23"/>
          <w:szCs w:val="23"/>
          <w:color w:val="0C426A"/>
        </w:rPr>
        <w:t>Additional Benefits and Perquisites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Perquisites and Other Personal Benefits</w:t>
      </w:r>
    </w:p>
    <w:p>
      <w:pPr>
        <w:spacing w:after="0" w:line="164" w:lineRule="exact"/>
        <w:rPr>
          <w:sz w:val="20"/>
          <w:szCs w:val="20"/>
          <w:color w:val="auto"/>
        </w:rPr>
      </w:pPr>
    </w:p>
    <w:p>
      <w:pPr>
        <w:ind w:right="99"/>
        <w:spacing w:after="0" w:line="263" w:lineRule="auto"/>
        <w:rPr>
          <w:sz w:val="20"/>
          <w:szCs w:val="20"/>
          <w:color w:val="auto"/>
        </w:rPr>
      </w:pPr>
      <w:r>
        <w:rPr>
          <w:rFonts w:ascii="Arial" w:cs="Arial" w:eastAsia="Arial" w:hAnsi="Arial"/>
          <w:sz w:val="16"/>
          <w:szCs w:val="16"/>
          <w:color w:val="auto"/>
        </w:rPr>
        <w:t>Supplemental benefits are offered to select executive officers with the goal of attracting and retaining key executive talent. Those perquisites may include life and health insurance benefits, executive physicals, car and housing allowances, and social and health club dues.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Retirement Benefits</w:t>
      </w:r>
    </w:p>
    <w:p>
      <w:pPr>
        <w:spacing w:after="0" w:line="164" w:lineRule="exact"/>
        <w:rPr>
          <w:sz w:val="20"/>
          <w:szCs w:val="20"/>
          <w:color w:val="auto"/>
        </w:rPr>
      </w:pPr>
    </w:p>
    <w:p>
      <w:pPr>
        <w:ind w:right="79"/>
        <w:spacing w:after="0" w:line="254" w:lineRule="auto"/>
        <w:rPr>
          <w:sz w:val="20"/>
          <w:szCs w:val="20"/>
          <w:color w:val="auto"/>
        </w:rPr>
      </w:pPr>
      <w:r>
        <w:rPr>
          <w:rFonts w:ascii="Arial" w:cs="Arial" w:eastAsia="Arial" w:hAnsi="Arial"/>
          <w:sz w:val="16"/>
          <w:szCs w:val="16"/>
          <w:color w:val="auto"/>
        </w:rPr>
        <w:t>The Company maintains a qualified defined contribution program which includes a Company match on participant contributions, which is provided to executives in the United States on the same basis as is provided to other salaried employees of the Company who reside in the United States. The Company also maintains various defined benefit plans which are provided to executives on the same basis as are provided to other employees of the Company who reside or work outside the United States.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Compensation Plan</w:t>
      </w:r>
    </w:p>
    <w:p>
      <w:pPr>
        <w:spacing w:after="0" w:line="164" w:lineRule="exact"/>
        <w:rPr>
          <w:sz w:val="20"/>
          <w:szCs w:val="20"/>
          <w:color w:val="auto"/>
        </w:rPr>
      </w:pPr>
    </w:p>
    <w:p>
      <w:pPr>
        <w:ind w:right="99"/>
        <w:spacing w:after="0" w:line="252" w:lineRule="auto"/>
        <w:rPr>
          <w:sz w:val="20"/>
          <w:szCs w:val="20"/>
          <w:color w:val="auto"/>
        </w:rPr>
      </w:pPr>
      <w:r>
        <w:rPr>
          <w:rFonts w:ascii="Arial" w:cs="Arial" w:eastAsia="Arial" w:hAnsi="Arial"/>
          <w:sz w:val="16"/>
          <w:szCs w:val="16"/>
          <w:color w:val="auto"/>
        </w:rPr>
        <w:t>The Company sponsors a deferred compensation plan for executive officers and non-employee directors. Under the terms of the plan, eligible executive officers may elect to defer their base salary, cash bonus and/or long-term incentive payout. The Deferred Compensation Plan was re-designed in 2023. During 2023, the plan was changed from crediting interest based on a fixed rate (for 2023) to participant-selected investment options that mirror those provided under the Company’s 401(k) plan (starting in 2024). Additional plan details are provided in the Deferred Compensation section. Mr. Olin elected to defer 15% of his base salary during 2023. No other NEOs deferred compensation for 2023.</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Post-Termination Compensation</w:t>
      </w:r>
    </w:p>
    <w:p>
      <w:pPr>
        <w:spacing w:after="0" w:line="164" w:lineRule="exact"/>
        <w:rPr>
          <w:sz w:val="20"/>
          <w:szCs w:val="20"/>
          <w:color w:val="auto"/>
        </w:rPr>
      </w:pPr>
    </w:p>
    <w:p>
      <w:pPr>
        <w:ind w:right="59"/>
        <w:spacing w:after="0" w:line="252" w:lineRule="auto"/>
        <w:rPr>
          <w:sz w:val="20"/>
          <w:szCs w:val="20"/>
          <w:color w:val="auto"/>
        </w:rPr>
      </w:pPr>
      <w:r>
        <w:rPr>
          <w:rFonts w:ascii="Arial" w:cs="Arial" w:eastAsia="Arial" w:hAnsi="Arial"/>
          <w:sz w:val="16"/>
          <w:szCs w:val="16"/>
          <w:color w:val="auto"/>
        </w:rPr>
        <w:t>The Company has entered into Severance and Employment Continuation Agreements with each of the NEOs that include severance protection for certain types of involuntary termination of employment, including following a change in control. The Company entered into these agreements to provide our NEOs with a competitive compensation package and to ensure that management properly considers potential transactions that could result in their job loss. See “Potential Payments Upon Termination or Change in Control” for additional details about these agreements, as well as termination treatment provisions in our equity award agreements.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0C426A"/>
        </w:rPr>
        <w:t>Tax Implications of Executive Compensation</w:t>
      </w:r>
    </w:p>
    <w:p>
      <w:pPr>
        <w:spacing w:after="0" w:line="164" w:lineRule="exact"/>
        <w:rPr>
          <w:sz w:val="20"/>
          <w:szCs w:val="20"/>
          <w:color w:val="auto"/>
        </w:rPr>
      </w:pPr>
    </w:p>
    <w:p>
      <w:pPr>
        <w:ind w:right="99"/>
        <w:spacing w:after="0" w:line="254" w:lineRule="auto"/>
        <w:rPr>
          <w:sz w:val="20"/>
          <w:szCs w:val="20"/>
          <w:color w:val="auto"/>
        </w:rPr>
      </w:pPr>
      <w:r>
        <w:rPr>
          <w:rFonts w:ascii="Arial" w:cs="Arial" w:eastAsia="Arial" w:hAnsi="Arial"/>
          <w:sz w:val="16"/>
          <w:szCs w:val="16"/>
          <w:color w:val="auto"/>
        </w:rPr>
        <w:t>Section 162(m) of the Internal Revenue Code of 1986, as amended (the “Code”), limits the deductibility of compensation in excess of $1 million paid to certain covered employees (generally including the NEOs) in any calendar year. As a result, compensation paid in excess of $1 million to our named executive officers generally will not be deductible. The Compensation Committee designs compensation programs that are intended to be in the best long-term interests of the Company and our stockholders, with deductibility of compensation being one of a variety of considerations taken into account.</w:t>
      </w:r>
    </w:p>
    <w:p>
      <w:pPr>
        <w:spacing w:after="0" w:line="124" w:lineRule="exact"/>
        <w:rPr>
          <w:sz w:val="20"/>
          <w:szCs w:val="20"/>
          <w:color w:val="auto"/>
        </w:rPr>
      </w:pPr>
    </w:p>
    <w:p>
      <w:pPr>
        <w:ind w:right="99"/>
        <w:spacing w:after="0" w:line="263" w:lineRule="auto"/>
        <w:rPr>
          <w:sz w:val="20"/>
          <w:szCs w:val="20"/>
          <w:color w:val="auto"/>
        </w:rPr>
      </w:pPr>
      <w:r>
        <w:rPr>
          <w:rFonts w:ascii="Arial" w:cs="Arial" w:eastAsia="Arial" w:hAnsi="Arial"/>
          <w:sz w:val="16"/>
          <w:szCs w:val="16"/>
          <w:b w:val="1"/>
          <w:bCs w:val="1"/>
          <w:color w:val="auto"/>
        </w:rPr>
        <w:t>Accounting Considerations with Regard to Compensation Practices</w:t>
      </w:r>
      <w:r>
        <w:rPr>
          <w:rFonts w:ascii="Arial" w:cs="Arial" w:eastAsia="Arial" w:hAnsi="Arial"/>
          <w:sz w:val="16"/>
          <w:szCs w:val="16"/>
          <w:color w:val="auto"/>
        </w:rPr>
        <w:t>. The Compensation Committee reviews on an on-going basis the impact of our compensation programs on Wabtec’s financial statements, including the accounting treatment of equity-based compensation, and the Compensation Committee’s decisions may be influenced by such factors.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760" w:type="dxa"/>
            <w:vAlign w:val="bottom"/>
          </w:tcPr>
          <w:p>
            <w:pPr>
              <w:jc w:val="right"/>
              <w:ind w:right="529"/>
              <w:spacing w:after="0"/>
              <w:rPr>
                <w:sz w:val="20"/>
                <w:szCs w:val="20"/>
                <w:color w:val="auto"/>
              </w:rPr>
            </w:pPr>
            <w:r>
              <w:rPr>
                <w:rFonts w:ascii="Arial" w:cs="Arial" w:eastAsia="Arial" w:hAnsi="Arial"/>
                <w:sz w:val="14"/>
                <w:szCs w:val="14"/>
                <w:b w:val="1"/>
                <w:bCs w:val="1"/>
                <w:color w:val="auto"/>
                <w:w w:val="89"/>
              </w:rPr>
              <w:t>56</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170180</wp:posOffset>
            </wp:positionV>
            <wp:extent cx="693801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59" w:name="page60"/>
    <w:bookmarkEnd w:id="59"/>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right"/>
        <w:ind w:right="980"/>
        <w:spacing w:after="0"/>
        <w:rPr>
          <w:sz w:val="20"/>
          <w:szCs w:val="20"/>
          <w:color w:val="auto"/>
        </w:rPr>
      </w:pPr>
      <w:r>
        <w:rPr>
          <w:rFonts w:ascii="Arial" w:cs="Arial" w:eastAsia="Arial" w:hAnsi="Arial"/>
          <w:sz w:val="12"/>
          <w:szCs w:val="12"/>
          <w:color w:val="auto"/>
        </w:rPr>
        <w:t>Compensation Discussion and Analysis</w:t>
      </w:r>
    </w:p>
    <w:p>
      <w:pPr>
        <w:spacing w:after="0" w:line="169" w:lineRule="exact"/>
        <w:rPr>
          <w:sz w:val="20"/>
          <w:szCs w:val="20"/>
          <w:color w:val="auto"/>
        </w:rPr>
      </w:pPr>
    </w:p>
    <w:p>
      <w:pPr>
        <w:ind w:left="960"/>
        <w:spacing w:after="0"/>
        <w:rPr>
          <w:sz w:val="20"/>
          <w:szCs w:val="20"/>
          <w:color w:val="auto"/>
        </w:rPr>
      </w:pPr>
      <w:r>
        <w:rPr>
          <w:rFonts w:ascii="Arial" w:cs="Arial" w:eastAsia="Arial" w:hAnsi="Arial"/>
          <w:sz w:val="29"/>
          <w:szCs w:val="29"/>
          <w:color w:val="636466"/>
        </w:rPr>
        <w:t>NEO Pay Summaries</w:t>
      </w:r>
    </w:p>
    <w:p>
      <w:pPr>
        <w:spacing w:after="0" w:line="180" w:lineRule="exact"/>
        <w:rPr>
          <w:sz w:val="20"/>
          <w:szCs w:val="20"/>
          <w:color w:val="auto"/>
        </w:rPr>
      </w:pPr>
    </w:p>
    <w:p>
      <w:pPr>
        <w:ind w:left="960" w:right="1200"/>
        <w:spacing w:after="0" w:line="282" w:lineRule="auto"/>
        <w:rPr>
          <w:sz w:val="20"/>
          <w:szCs w:val="20"/>
          <w:color w:val="auto"/>
        </w:rPr>
      </w:pPr>
      <w:r>
        <w:rPr>
          <w:rFonts w:ascii="Arial" w:cs="Arial" w:eastAsia="Arial" w:hAnsi="Arial"/>
          <w:sz w:val="16"/>
          <w:szCs w:val="16"/>
          <w:color w:val="auto"/>
        </w:rPr>
        <w:t xml:space="preserve">In 2023, our NEO compensation, based on actual amounts awarded for salary, bonus, and grant values for restricted stock and performance units was allocated as follows (and as more fully set forth on the Summary Compensation Table on p. </w:t>
      </w:r>
      <w:r>
        <w:rPr>
          <w:rFonts w:ascii="Arial" w:cs="Arial" w:eastAsia="Arial" w:hAnsi="Arial"/>
          <w:sz w:val="16"/>
          <w:szCs w:val="16"/>
          <w:u w:val="single" w:color="auto"/>
          <w:color w:val="0000EE"/>
        </w:rPr>
        <w:t>61</w:t>
      </w:r>
      <w:r>
        <w:rPr>
          <w:rFonts w:ascii="Arial" w:cs="Arial" w:eastAsia="Arial" w:hAnsi="Arial"/>
          <w:sz w:val="16"/>
          <w:szCs w:val="16"/>
          <w:color w:val="auto"/>
        </w:rPr>
        <w:t>):</w:t>
      </w:r>
    </w:p>
    <w:p>
      <w:pPr>
        <w:spacing w:after="0" w:line="142" w:lineRule="exact"/>
        <w:rPr>
          <w:sz w:val="20"/>
          <w:szCs w:val="20"/>
          <w:color w:val="auto"/>
        </w:rPr>
      </w:pPr>
    </w:p>
    <w:p>
      <w:pPr>
        <w:ind w:left="960"/>
        <w:spacing w:after="0"/>
        <w:rPr>
          <w:sz w:val="20"/>
          <w:szCs w:val="20"/>
          <w:color w:val="auto"/>
        </w:rPr>
      </w:pPr>
      <w:r>
        <w:rPr>
          <w:rFonts w:ascii="Arial" w:cs="Arial" w:eastAsia="Arial" w:hAnsi="Arial"/>
          <w:sz w:val="21"/>
          <w:szCs w:val="21"/>
          <w:b w:val="1"/>
          <w:bCs w:val="1"/>
          <w:color w:val="auto"/>
        </w:rPr>
        <w:t>Rafael Santana</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3"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2023 Performance and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2742565</wp:posOffset>
            </wp:positionH>
            <wp:positionV relativeFrom="paragraph">
              <wp:posOffset>264795</wp:posOffset>
            </wp:positionV>
            <wp:extent cx="1462405" cy="9436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46240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w:t>
      </w:r>
    </w:p>
    <w:p>
      <w:pPr>
        <w:spacing w:after="0" w:line="177" w:lineRule="exact"/>
        <w:rPr>
          <w:sz w:val="20"/>
          <w:szCs w:val="20"/>
          <w:color w:val="auto"/>
        </w:rPr>
      </w:pPr>
    </w:p>
    <w:p>
      <w:pPr>
        <w:ind w:left="960"/>
        <w:spacing w:after="0"/>
        <w:rPr>
          <w:sz w:val="20"/>
          <w:szCs w:val="20"/>
          <w:color w:val="auto"/>
        </w:rPr>
      </w:pPr>
      <w:r>
        <w:rPr>
          <w:rFonts w:ascii="Arial" w:cs="Arial" w:eastAsia="Arial" w:hAnsi="Arial"/>
          <w:sz w:val="21"/>
          <w:szCs w:val="21"/>
          <w:b w:val="1"/>
          <w:bCs w:val="1"/>
          <w:color w:val="auto"/>
        </w:rPr>
        <w:t>John Olin</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Executive Vice President and Chief Financial Officer</w:t>
      </w:r>
    </w:p>
    <w:p>
      <w:pPr>
        <w:spacing w:after="0" w:line="3"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2023 Performance and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2725420</wp:posOffset>
            </wp:positionH>
            <wp:positionV relativeFrom="paragraph">
              <wp:posOffset>264795</wp:posOffset>
            </wp:positionV>
            <wp:extent cx="1487805" cy="9436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8780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w:t>
      </w:r>
    </w:p>
    <w:p>
      <w:pPr>
        <w:spacing w:after="0" w:line="190" w:lineRule="exact"/>
        <w:rPr>
          <w:sz w:val="20"/>
          <w:szCs w:val="20"/>
          <w:color w:val="auto"/>
        </w:rPr>
      </w:pPr>
    </w:p>
    <w:p>
      <w:pPr>
        <w:ind w:left="960"/>
        <w:spacing w:after="0"/>
        <w:rPr>
          <w:sz w:val="20"/>
          <w:szCs w:val="20"/>
          <w:color w:val="auto"/>
        </w:rPr>
      </w:pPr>
      <w:r>
        <w:rPr>
          <w:rFonts w:ascii="Arial" w:cs="Arial" w:eastAsia="Arial" w:hAnsi="Arial"/>
          <w:sz w:val="21"/>
          <w:szCs w:val="21"/>
          <w:b w:val="1"/>
          <w:bCs w:val="1"/>
          <w:color w:val="auto"/>
        </w:rPr>
        <w:t>David L. DeNinno</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Executive Vice President, General Counsel and Secretary</w:t>
      </w:r>
    </w:p>
    <w:p>
      <w:pPr>
        <w:spacing w:after="0" w:line="3"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2023 Performance and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2725420</wp:posOffset>
            </wp:positionH>
            <wp:positionV relativeFrom="paragraph">
              <wp:posOffset>120015</wp:posOffset>
            </wp:positionV>
            <wp:extent cx="1487805" cy="9436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48780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xml:space="preserve">  </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9140" w:type="dxa"/>
            <w:vAlign w:val="bottom"/>
          </w:tcPr>
          <w:p>
            <w:pPr>
              <w:ind w:left="636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800" w:type="dxa"/>
            <w:vAlign w:val="bottom"/>
          </w:tcPr>
          <w:p>
            <w:pPr>
              <w:jc w:val="right"/>
              <w:ind w:right="909"/>
              <w:spacing w:after="0"/>
              <w:rPr>
                <w:sz w:val="20"/>
                <w:szCs w:val="20"/>
                <w:color w:val="auto"/>
              </w:rPr>
            </w:pPr>
            <w:r>
              <w:rPr>
                <w:rFonts w:ascii="Arial" w:cs="Arial" w:eastAsia="Arial" w:hAnsi="Arial"/>
                <w:sz w:val="14"/>
                <w:szCs w:val="14"/>
                <w:b w:val="1"/>
                <w:bCs w:val="1"/>
                <w:color w:val="auto"/>
              </w:rPr>
              <w:t>57</w:t>
            </w:r>
          </w:p>
        </w:tc>
      </w:tr>
      <w:tr>
        <w:trPr>
          <w:trHeight w:val="355"/>
        </w:trPr>
        <w:tc>
          <w:tcPr>
            <w:tcW w:w="9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-415925</wp:posOffset>
            </wp:positionV>
            <wp:extent cx="501650" cy="1701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Compensation Discussion and Analysis</w:t>
      </w:r>
    </w:p>
    <w:p>
      <w:pPr>
        <w:spacing w:after="0" w:line="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Pascal Schweitzer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President, Transit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2023 Performance and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128270</wp:posOffset>
            </wp:positionV>
            <wp:extent cx="1462405" cy="9436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46240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Eric Gebhardt</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Vice President and Chief Technology Officer</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2023 Performance and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2115820</wp:posOffset>
            </wp:positionH>
            <wp:positionV relativeFrom="paragraph">
              <wp:posOffset>340995</wp:posOffset>
            </wp:positionV>
            <wp:extent cx="1487805" cy="9436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8780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9"/>
          <w:szCs w:val="29"/>
          <w:color w:val="636466"/>
        </w:rPr>
        <w:t>Other Compensation Policies and Practices</w:t>
      </w:r>
    </w:p>
    <w:p>
      <w:pPr>
        <w:spacing w:after="0" w:line="149" w:lineRule="exact"/>
        <w:rPr>
          <w:sz w:val="20"/>
          <w:szCs w:val="20"/>
          <w:color w:val="auto"/>
        </w:rPr>
      </w:pPr>
    </w:p>
    <w:p>
      <w:pPr>
        <w:spacing w:after="0"/>
        <w:rPr>
          <w:sz w:val="20"/>
          <w:szCs w:val="20"/>
          <w:color w:val="auto"/>
        </w:rPr>
      </w:pPr>
      <w:r>
        <w:rPr>
          <w:rFonts w:ascii="Arial" w:cs="Arial" w:eastAsia="Arial" w:hAnsi="Arial"/>
          <w:sz w:val="23"/>
          <w:szCs w:val="23"/>
          <w:color w:val="0C426A"/>
        </w:rPr>
        <w:t>Stock Ownership Guidelines</w:t>
      </w:r>
    </w:p>
    <w:p>
      <w:pPr>
        <w:spacing w:after="0" w:line="181" w:lineRule="exact"/>
        <w:rPr>
          <w:sz w:val="20"/>
          <w:szCs w:val="20"/>
          <w:color w:val="auto"/>
        </w:rPr>
      </w:pPr>
    </w:p>
    <w:p>
      <w:pPr>
        <w:ind w:right="199"/>
        <w:spacing w:after="0" w:line="282" w:lineRule="auto"/>
        <w:rPr>
          <w:sz w:val="20"/>
          <w:szCs w:val="20"/>
          <w:color w:val="auto"/>
        </w:rPr>
      </w:pPr>
      <w:r>
        <w:rPr>
          <w:rFonts w:ascii="Arial" w:cs="Arial" w:eastAsia="Arial" w:hAnsi="Arial"/>
          <w:sz w:val="16"/>
          <w:szCs w:val="16"/>
          <w:color w:val="auto"/>
        </w:rPr>
        <w:t>Wabtec has established stock ownership guidelines to encourage our key employees to own and retain shares of stock. The guidelines are as follows: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92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c>
          <w:tcPr>
            <w:tcW w:w="1980" w:type="dxa"/>
            <w:vAlign w:val="bottom"/>
          </w:tcPr>
          <w:p>
            <w:pPr>
              <w:ind w:left="194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000" w:type="dxa"/>
            <w:vAlign w:val="bottom"/>
          </w:tcPr>
          <w:p>
            <w:pPr>
              <w:ind w:left="40"/>
              <w:spacing w:after="0"/>
              <w:rPr>
                <w:sz w:val="20"/>
                <w:szCs w:val="20"/>
                <w:color w:val="auto"/>
              </w:rPr>
            </w:pPr>
            <w:r>
              <w:rPr>
                <w:rFonts w:ascii="Arial" w:cs="Arial" w:eastAsia="Arial" w:hAnsi="Arial"/>
                <w:sz w:val="14"/>
                <w:szCs w:val="14"/>
                <w:b w:val="1"/>
                <w:bCs w:val="1"/>
                <w:color w:val="auto"/>
              </w:rPr>
              <w:t>Required Shares Value</w:t>
            </w:r>
          </w:p>
        </w:tc>
      </w:tr>
      <w:tr>
        <w:trPr>
          <w:trHeight w:val="109"/>
        </w:trPr>
        <w:tc>
          <w:tcPr>
            <w:tcW w:w="3920" w:type="dxa"/>
            <w:vAlign w:val="bottom"/>
            <w:tcBorders>
              <w:bottom w:val="single" w:sz="8" w:color="0C426A"/>
            </w:tcBorders>
          </w:tcPr>
          <w:p>
            <w:pPr>
              <w:spacing w:after="0"/>
              <w:rPr>
                <w:sz w:val="9"/>
                <w:szCs w:val="9"/>
                <w:color w:val="auto"/>
              </w:rPr>
            </w:pPr>
          </w:p>
        </w:tc>
        <w:tc>
          <w:tcPr>
            <w:tcW w:w="1980" w:type="dxa"/>
            <w:vAlign w:val="bottom"/>
            <w:tcBorders>
              <w:bottom w:val="single" w:sz="8" w:color="0C426A"/>
            </w:tcBorders>
          </w:tcPr>
          <w:p>
            <w:pPr>
              <w:spacing w:after="0"/>
              <w:rPr>
                <w:sz w:val="9"/>
                <w:szCs w:val="9"/>
                <w:color w:val="auto"/>
              </w:rPr>
            </w:pPr>
          </w:p>
        </w:tc>
        <w:tc>
          <w:tcPr>
            <w:tcW w:w="80" w:type="dxa"/>
            <w:vAlign w:val="bottom"/>
            <w:tcBorders>
              <w:bottom w:val="single" w:sz="8" w:color="0C426A"/>
            </w:tcBorders>
          </w:tcPr>
          <w:p>
            <w:pPr>
              <w:spacing w:after="0"/>
              <w:rPr>
                <w:sz w:val="9"/>
                <w:szCs w:val="9"/>
                <w:color w:val="auto"/>
              </w:rPr>
            </w:pPr>
          </w:p>
        </w:tc>
        <w:tc>
          <w:tcPr>
            <w:tcW w:w="3000" w:type="dxa"/>
            <w:vAlign w:val="bottom"/>
            <w:tcBorders>
              <w:bottom w:val="single" w:sz="8" w:color="0C426A"/>
            </w:tcBorders>
          </w:tcPr>
          <w:p>
            <w:pPr>
              <w:spacing w:after="0"/>
              <w:rPr>
                <w:sz w:val="9"/>
                <w:szCs w:val="9"/>
                <w:color w:val="auto"/>
              </w:rPr>
            </w:pPr>
          </w:p>
        </w:tc>
      </w:tr>
      <w:tr>
        <w:trPr>
          <w:trHeight w:val="307"/>
        </w:trPr>
        <w:tc>
          <w:tcPr>
            <w:tcW w:w="3920" w:type="dxa"/>
            <w:vAlign w:val="bottom"/>
          </w:tcPr>
          <w:p>
            <w:pPr>
              <w:ind w:left="20"/>
              <w:spacing w:after="0"/>
              <w:rPr>
                <w:sz w:val="20"/>
                <w:szCs w:val="20"/>
                <w:color w:val="auto"/>
              </w:rPr>
            </w:pPr>
            <w:r>
              <w:rPr>
                <w:rFonts w:ascii="Arial" w:cs="Arial" w:eastAsia="Arial" w:hAnsi="Arial"/>
                <w:sz w:val="14"/>
                <w:szCs w:val="14"/>
                <w:color w:val="auto"/>
              </w:rPr>
              <w:t>President and CEO</w:t>
            </w:r>
          </w:p>
        </w:tc>
        <w:tc>
          <w:tcPr>
            <w:tcW w:w="1980" w:type="dxa"/>
            <w:vAlign w:val="bottom"/>
          </w:tcPr>
          <w:p>
            <w:pPr>
              <w:ind w:left="194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000" w:type="dxa"/>
            <w:vAlign w:val="bottom"/>
          </w:tcPr>
          <w:p>
            <w:pPr>
              <w:ind w:left="40"/>
              <w:spacing w:after="0"/>
              <w:rPr>
                <w:sz w:val="20"/>
                <w:szCs w:val="20"/>
                <w:color w:val="auto"/>
              </w:rPr>
            </w:pPr>
            <w:r>
              <w:rPr>
                <w:rFonts w:ascii="Arial" w:cs="Arial" w:eastAsia="Arial" w:hAnsi="Arial"/>
                <w:sz w:val="14"/>
                <w:szCs w:val="14"/>
                <w:color w:val="auto"/>
              </w:rPr>
              <w:t>7x base salary</w:t>
            </w:r>
          </w:p>
        </w:tc>
      </w:tr>
      <w:tr>
        <w:trPr>
          <w:trHeight w:val="88"/>
        </w:trPr>
        <w:tc>
          <w:tcPr>
            <w:tcW w:w="3920" w:type="dxa"/>
            <w:vAlign w:val="bottom"/>
            <w:tcBorders>
              <w:bottom w:val="single" w:sz="8" w:color="808080"/>
            </w:tcBorders>
          </w:tcPr>
          <w:p>
            <w:pPr>
              <w:spacing w:after="0"/>
              <w:rPr>
                <w:sz w:val="7"/>
                <w:szCs w:val="7"/>
                <w:color w:val="auto"/>
              </w:rPr>
            </w:pPr>
          </w:p>
        </w:tc>
        <w:tc>
          <w:tcPr>
            <w:tcW w:w="198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3000" w:type="dxa"/>
            <w:vAlign w:val="bottom"/>
            <w:tcBorders>
              <w:bottom w:val="single" w:sz="8" w:color="808080"/>
            </w:tcBorders>
          </w:tcPr>
          <w:p>
            <w:pPr>
              <w:spacing w:after="0"/>
              <w:rPr>
                <w:sz w:val="7"/>
                <w:szCs w:val="7"/>
                <w:color w:val="auto"/>
              </w:rPr>
            </w:pPr>
          </w:p>
        </w:tc>
      </w:tr>
      <w:tr>
        <w:trPr>
          <w:trHeight w:val="280"/>
        </w:trPr>
        <w:tc>
          <w:tcPr>
            <w:tcW w:w="3920" w:type="dxa"/>
            <w:vAlign w:val="bottom"/>
          </w:tcPr>
          <w:p>
            <w:pPr>
              <w:ind w:left="20"/>
              <w:spacing w:after="0"/>
              <w:rPr>
                <w:sz w:val="20"/>
                <w:szCs w:val="20"/>
                <w:color w:val="auto"/>
              </w:rPr>
            </w:pPr>
            <w:r>
              <w:rPr>
                <w:rFonts w:ascii="Arial" w:cs="Arial" w:eastAsia="Arial" w:hAnsi="Arial"/>
                <w:sz w:val="14"/>
                <w:szCs w:val="14"/>
                <w:color w:val="auto"/>
              </w:rPr>
              <w:t>Other NEOs</w:t>
            </w:r>
          </w:p>
        </w:tc>
        <w:tc>
          <w:tcPr>
            <w:tcW w:w="1980" w:type="dxa"/>
            <w:vAlign w:val="bottom"/>
          </w:tcPr>
          <w:p>
            <w:pPr>
              <w:ind w:left="194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000" w:type="dxa"/>
            <w:vAlign w:val="bottom"/>
          </w:tcPr>
          <w:p>
            <w:pPr>
              <w:ind w:left="40"/>
              <w:spacing w:after="0"/>
              <w:rPr>
                <w:sz w:val="20"/>
                <w:szCs w:val="20"/>
                <w:color w:val="auto"/>
              </w:rPr>
            </w:pPr>
            <w:r>
              <w:rPr>
                <w:rFonts w:ascii="Arial" w:cs="Arial" w:eastAsia="Arial" w:hAnsi="Arial"/>
                <w:sz w:val="14"/>
                <w:szCs w:val="14"/>
                <w:color w:val="auto"/>
              </w:rPr>
              <w:t>3x base salary</w:t>
            </w:r>
          </w:p>
        </w:tc>
      </w:tr>
      <w:tr>
        <w:trPr>
          <w:trHeight w:val="88"/>
        </w:trPr>
        <w:tc>
          <w:tcPr>
            <w:tcW w:w="3920" w:type="dxa"/>
            <w:vAlign w:val="bottom"/>
            <w:tcBorders>
              <w:bottom w:val="single" w:sz="8" w:color="808080"/>
            </w:tcBorders>
          </w:tcPr>
          <w:p>
            <w:pPr>
              <w:spacing w:after="0"/>
              <w:rPr>
                <w:sz w:val="7"/>
                <w:szCs w:val="7"/>
                <w:color w:val="auto"/>
              </w:rPr>
            </w:pPr>
          </w:p>
        </w:tc>
        <w:tc>
          <w:tcPr>
            <w:tcW w:w="198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3000" w:type="dxa"/>
            <w:vAlign w:val="bottom"/>
            <w:tcBorders>
              <w:bottom w:val="single" w:sz="8" w:color="808080"/>
            </w:tcBorders>
          </w:tcPr>
          <w:p>
            <w:pPr>
              <w:spacing w:after="0"/>
              <w:rPr>
                <w:sz w:val="7"/>
                <w:szCs w:val="7"/>
                <w:color w:val="auto"/>
              </w:rPr>
            </w:pPr>
          </w:p>
        </w:tc>
      </w:tr>
      <w:tr>
        <w:trPr>
          <w:trHeight w:val="280"/>
        </w:trPr>
        <w:tc>
          <w:tcPr>
            <w:tcW w:w="3920" w:type="dxa"/>
            <w:vAlign w:val="bottom"/>
          </w:tcPr>
          <w:p>
            <w:pPr>
              <w:ind w:left="20"/>
              <w:spacing w:after="0"/>
              <w:rPr>
                <w:sz w:val="20"/>
                <w:szCs w:val="20"/>
                <w:color w:val="auto"/>
              </w:rPr>
            </w:pPr>
            <w:r>
              <w:rPr>
                <w:rFonts w:ascii="Arial" w:cs="Arial" w:eastAsia="Arial" w:hAnsi="Arial"/>
                <w:sz w:val="14"/>
                <w:szCs w:val="14"/>
                <w:color w:val="auto"/>
              </w:rPr>
              <w:t>U.S. based senior leaders</w:t>
            </w:r>
          </w:p>
        </w:tc>
        <w:tc>
          <w:tcPr>
            <w:tcW w:w="1980" w:type="dxa"/>
            <w:vAlign w:val="bottom"/>
          </w:tcPr>
          <w:p>
            <w:pPr>
              <w:ind w:left="194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000" w:type="dxa"/>
            <w:vAlign w:val="bottom"/>
          </w:tcPr>
          <w:p>
            <w:pPr>
              <w:ind w:left="40"/>
              <w:spacing w:after="0"/>
              <w:rPr>
                <w:sz w:val="20"/>
                <w:szCs w:val="20"/>
                <w:color w:val="auto"/>
              </w:rPr>
            </w:pPr>
            <w:r>
              <w:rPr>
                <w:rFonts w:ascii="Arial" w:cs="Arial" w:eastAsia="Arial" w:hAnsi="Arial"/>
                <w:sz w:val="14"/>
                <w:szCs w:val="14"/>
                <w:color w:val="auto"/>
              </w:rPr>
              <w:t>½x base salary</w:t>
            </w:r>
          </w:p>
        </w:tc>
      </w:tr>
      <w:tr>
        <w:trPr>
          <w:trHeight w:val="88"/>
        </w:trPr>
        <w:tc>
          <w:tcPr>
            <w:tcW w:w="3920" w:type="dxa"/>
            <w:vAlign w:val="bottom"/>
            <w:tcBorders>
              <w:bottom w:val="single" w:sz="8" w:color="808080"/>
            </w:tcBorders>
          </w:tcPr>
          <w:p>
            <w:pPr>
              <w:spacing w:after="0"/>
              <w:rPr>
                <w:sz w:val="7"/>
                <w:szCs w:val="7"/>
                <w:color w:val="auto"/>
              </w:rPr>
            </w:pPr>
          </w:p>
        </w:tc>
        <w:tc>
          <w:tcPr>
            <w:tcW w:w="198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3000" w:type="dxa"/>
            <w:vAlign w:val="bottom"/>
            <w:tcBorders>
              <w:bottom w:val="single" w:sz="8" w:color="808080"/>
            </w:tcBorders>
          </w:tcPr>
          <w:p>
            <w:pPr>
              <w:spacing w:after="0"/>
              <w:rPr>
                <w:sz w:val="7"/>
                <w:szCs w:val="7"/>
                <w:color w:val="auto"/>
              </w:rPr>
            </w:pPr>
          </w:p>
        </w:tc>
      </w:tr>
      <w:tr>
        <w:trPr>
          <w:trHeight w:val="280"/>
        </w:trPr>
        <w:tc>
          <w:tcPr>
            <w:tcW w:w="3920" w:type="dxa"/>
            <w:vAlign w:val="bottom"/>
          </w:tcPr>
          <w:p>
            <w:pPr>
              <w:ind w:left="20"/>
              <w:spacing w:after="0"/>
              <w:rPr>
                <w:sz w:val="20"/>
                <w:szCs w:val="20"/>
                <w:color w:val="auto"/>
              </w:rPr>
            </w:pPr>
            <w:r>
              <w:rPr>
                <w:rFonts w:ascii="Arial" w:cs="Arial" w:eastAsia="Arial" w:hAnsi="Arial"/>
                <w:sz w:val="14"/>
                <w:szCs w:val="14"/>
                <w:color w:val="auto"/>
              </w:rPr>
              <w:t>Non-U.S. based senior leaders</w:t>
            </w:r>
          </w:p>
        </w:tc>
        <w:tc>
          <w:tcPr>
            <w:tcW w:w="1980" w:type="dxa"/>
            <w:vAlign w:val="bottom"/>
          </w:tcPr>
          <w:p>
            <w:pPr>
              <w:ind w:left="194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000" w:type="dxa"/>
            <w:vAlign w:val="bottom"/>
          </w:tcPr>
          <w:p>
            <w:pPr>
              <w:ind w:left="40"/>
              <w:spacing w:after="0"/>
              <w:rPr>
                <w:sz w:val="20"/>
                <w:szCs w:val="20"/>
                <w:color w:val="auto"/>
              </w:rPr>
            </w:pPr>
            <w:r>
              <w:rPr>
                <w:rFonts w:ascii="Arial" w:cs="Arial" w:eastAsia="Arial" w:hAnsi="Arial"/>
                <w:sz w:val="14"/>
                <w:szCs w:val="14"/>
                <w:color w:val="auto"/>
              </w:rPr>
              <w:t>¼x base salary</w:t>
            </w:r>
          </w:p>
        </w:tc>
      </w:tr>
      <w:tr>
        <w:trPr>
          <w:trHeight w:val="88"/>
        </w:trPr>
        <w:tc>
          <w:tcPr>
            <w:tcW w:w="3920" w:type="dxa"/>
            <w:vAlign w:val="bottom"/>
            <w:tcBorders>
              <w:bottom w:val="single" w:sz="8" w:color="0C426A"/>
            </w:tcBorders>
          </w:tcPr>
          <w:p>
            <w:pPr>
              <w:spacing w:after="0"/>
              <w:rPr>
                <w:sz w:val="7"/>
                <w:szCs w:val="7"/>
                <w:color w:val="auto"/>
              </w:rPr>
            </w:pPr>
          </w:p>
        </w:tc>
        <w:tc>
          <w:tcPr>
            <w:tcW w:w="1980" w:type="dxa"/>
            <w:vAlign w:val="bottom"/>
            <w:tcBorders>
              <w:bottom w:val="single" w:sz="8" w:color="0C426A"/>
            </w:tcBorders>
          </w:tcPr>
          <w:p>
            <w:pPr>
              <w:spacing w:after="0"/>
              <w:rPr>
                <w:sz w:val="7"/>
                <w:szCs w:val="7"/>
                <w:color w:val="auto"/>
              </w:rPr>
            </w:pPr>
          </w:p>
        </w:tc>
        <w:tc>
          <w:tcPr>
            <w:tcW w:w="80" w:type="dxa"/>
            <w:vAlign w:val="bottom"/>
            <w:tcBorders>
              <w:bottom w:val="single" w:sz="8" w:color="0C426A"/>
            </w:tcBorders>
          </w:tcPr>
          <w:p>
            <w:pPr>
              <w:spacing w:after="0"/>
              <w:rPr>
                <w:sz w:val="7"/>
                <w:szCs w:val="7"/>
                <w:color w:val="auto"/>
              </w:rPr>
            </w:pPr>
          </w:p>
        </w:tc>
        <w:tc>
          <w:tcPr>
            <w:tcW w:w="3000" w:type="dxa"/>
            <w:vAlign w:val="bottom"/>
            <w:tcBorders>
              <w:bottom w:val="single" w:sz="8" w:color="0C426A"/>
            </w:tcBorders>
          </w:tcPr>
          <w:p>
            <w:pPr>
              <w:spacing w:after="0"/>
              <w:rPr>
                <w:sz w:val="7"/>
                <w:szCs w:val="7"/>
                <w:color w:val="auto"/>
              </w:rPr>
            </w:pPr>
          </w:p>
        </w:tc>
      </w:tr>
    </w:tbl>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The stock ownership guidelines include: (i) all vested shares held in personal accounts, (ii) any unvested restricted stock,</w:t>
      </w:r>
    </w:p>
    <w:p>
      <w:pPr>
        <w:spacing w:after="0" w:line="19" w:lineRule="exact"/>
        <w:rPr>
          <w:sz w:val="20"/>
          <w:szCs w:val="20"/>
          <w:color w:val="auto"/>
        </w:rPr>
      </w:pPr>
    </w:p>
    <w:p>
      <w:pPr>
        <w:ind w:right="459" w:firstLine="5"/>
        <w:spacing w:after="0" w:line="262" w:lineRule="auto"/>
        <w:tabs>
          <w:tab w:leader="none" w:pos="259" w:val="left"/>
        </w:tabs>
        <w:numPr>
          <w:ilvl w:val="0"/>
          <w:numId w:val="40"/>
        </w:numPr>
        <w:rPr>
          <w:rFonts w:ascii="Arial" w:cs="Arial" w:eastAsia="Arial" w:hAnsi="Arial"/>
          <w:sz w:val="16"/>
          <w:szCs w:val="16"/>
          <w:color w:val="auto"/>
        </w:rPr>
      </w:pPr>
      <w:r>
        <w:rPr>
          <w:rFonts w:ascii="Arial" w:cs="Arial" w:eastAsia="Arial" w:hAnsi="Arial"/>
          <w:sz w:val="16"/>
          <w:szCs w:val="16"/>
          <w:color w:val="auto"/>
        </w:rPr>
        <w:t>shares held in retirement accounts, and (iv) unvested restricted stock units for non U.S.-participants. Stock options or unvested performance units do not count towards the stock ownership guidelines.</w:t>
      </w:r>
    </w:p>
    <w:p>
      <w:pPr>
        <w:spacing w:after="0" w:line="118" w:lineRule="exact"/>
        <w:rPr>
          <w:sz w:val="20"/>
          <w:szCs w:val="20"/>
          <w:color w:val="auto"/>
        </w:rPr>
      </w:pPr>
    </w:p>
    <w:p>
      <w:pPr>
        <w:ind w:right="139"/>
        <w:spacing w:after="0" w:line="252" w:lineRule="auto"/>
        <w:rPr>
          <w:sz w:val="20"/>
          <w:szCs w:val="20"/>
          <w:color w:val="auto"/>
        </w:rPr>
      </w:pPr>
      <w:r>
        <w:rPr>
          <w:rFonts w:ascii="Arial" w:cs="Arial" w:eastAsia="Arial" w:hAnsi="Arial"/>
          <w:sz w:val="16"/>
          <w:szCs w:val="16"/>
          <w:color w:val="auto"/>
        </w:rPr>
        <w:t>The aforementioned employees are given five years to satisfy these guidelines. The Compensation Committee is responsible for administering and monitoring compliance with this guideline, including establishing parameters for determination. As of December 31, 2023, each of the named executive officers has met their required stock ownership described above (including any shares deferred pursuant to the deferred compensation plan), except for those individuals within their first five years of service with the Company, all of whom are on track to meet their ownership guidelines. As of January 31, 2024, our directors and executive officers as a group owned approximately 1.1% of our common stock.</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760" w:type="dxa"/>
            <w:vAlign w:val="bottom"/>
          </w:tcPr>
          <w:p>
            <w:pPr>
              <w:jc w:val="right"/>
              <w:ind w:right="529"/>
              <w:spacing w:after="0"/>
              <w:rPr>
                <w:sz w:val="20"/>
                <w:szCs w:val="20"/>
                <w:color w:val="auto"/>
              </w:rPr>
            </w:pPr>
            <w:r>
              <w:rPr>
                <w:rFonts w:ascii="Arial" w:cs="Arial" w:eastAsia="Arial" w:hAnsi="Arial"/>
                <w:sz w:val="14"/>
                <w:szCs w:val="14"/>
                <w:b w:val="1"/>
                <w:bCs w:val="1"/>
                <w:color w:val="auto"/>
                <w:w w:val="89"/>
              </w:rPr>
              <w:t>58</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170180</wp:posOffset>
            </wp:positionV>
            <wp:extent cx="693801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61" w:name="page62"/>
    <w:bookmarkEnd w:id="61"/>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right"/>
        <w:ind w:right="980"/>
        <w:spacing w:after="0"/>
        <w:rPr>
          <w:sz w:val="20"/>
          <w:szCs w:val="20"/>
          <w:color w:val="auto"/>
        </w:rPr>
      </w:pPr>
      <w:r>
        <w:rPr>
          <w:rFonts w:ascii="Arial" w:cs="Arial" w:eastAsia="Arial" w:hAnsi="Arial"/>
          <w:sz w:val="12"/>
          <w:szCs w:val="12"/>
          <w:color w:val="auto"/>
        </w:rPr>
        <w:t>Compensation Discussion and Analysis</w:t>
      </w:r>
    </w:p>
    <w:p>
      <w:pPr>
        <w:spacing w:after="0" w:line="143" w:lineRule="exact"/>
        <w:rPr>
          <w:sz w:val="20"/>
          <w:szCs w:val="20"/>
          <w:color w:val="auto"/>
        </w:rPr>
      </w:pPr>
    </w:p>
    <w:p>
      <w:pPr>
        <w:ind w:left="960"/>
        <w:spacing w:after="0"/>
        <w:rPr>
          <w:sz w:val="20"/>
          <w:szCs w:val="20"/>
          <w:color w:val="auto"/>
        </w:rPr>
      </w:pPr>
      <w:r>
        <w:rPr>
          <w:rFonts w:ascii="Arial" w:cs="Arial" w:eastAsia="Arial" w:hAnsi="Arial"/>
          <w:sz w:val="23"/>
          <w:szCs w:val="23"/>
          <w:color w:val="0C426A"/>
        </w:rPr>
        <w:t>Clawback Policy</w:t>
      </w:r>
    </w:p>
    <w:p>
      <w:pPr>
        <w:spacing w:after="0" w:line="181" w:lineRule="exact"/>
        <w:rPr>
          <w:sz w:val="20"/>
          <w:szCs w:val="20"/>
          <w:color w:val="auto"/>
        </w:rPr>
      </w:pPr>
    </w:p>
    <w:p>
      <w:pPr>
        <w:ind w:left="960" w:right="1160"/>
        <w:spacing w:after="0" w:line="250" w:lineRule="auto"/>
        <w:rPr>
          <w:sz w:val="20"/>
          <w:szCs w:val="20"/>
          <w:color w:val="auto"/>
        </w:rPr>
      </w:pPr>
      <w:r>
        <w:rPr>
          <w:rFonts w:ascii="Arial" w:cs="Arial" w:eastAsia="Arial" w:hAnsi="Arial"/>
          <w:sz w:val="16"/>
          <w:szCs w:val="16"/>
          <w:color w:val="auto"/>
        </w:rPr>
        <w:t>Our Board of Directors maintains a Clawback Policy that is administered by the Compensation Committee. The Clawback Policy requires the Company to reasonably promptly recoup certain incentive-based compensation (without regard to taxes paid) that was erroneously awarded or paid to executive officers during the applicable three-year recovery period upon the Board, a Committee of the Board, or the officers of the Company concluding that the Company is required to prepare an accounting restatement of the Company’s financials as a result of material noncompliance by the Company under applicable securities laws. Incentive-based compensation potentially subject to recovery under the mandatory accounting restatement provisions of the Clawback Policy is generally limited to any compensation granted, earned or vested based wholly or in part on the attainment of one or more financial reporting measures.</w:t>
      </w:r>
    </w:p>
    <w:p>
      <w:pPr>
        <w:spacing w:after="0" w:line="127" w:lineRule="exact"/>
        <w:rPr>
          <w:sz w:val="20"/>
          <w:szCs w:val="20"/>
          <w:color w:val="auto"/>
        </w:rPr>
      </w:pPr>
    </w:p>
    <w:p>
      <w:pPr>
        <w:ind w:left="960" w:right="1020"/>
        <w:spacing w:after="0" w:line="250" w:lineRule="auto"/>
        <w:rPr>
          <w:sz w:val="20"/>
          <w:szCs w:val="20"/>
          <w:color w:val="auto"/>
        </w:rPr>
      </w:pPr>
      <w:r>
        <w:rPr>
          <w:rFonts w:ascii="Arial" w:cs="Arial" w:eastAsia="Arial" w:hAnsi="Arial"/>
          <w:sz w:val="16"/>
          <w:szCs w:val="16"/>
          <w:color w:val="auto"/>
        </w:rPr>
        <w:t>The Clawback Policy does not condition such clawback on the fault of the executive officer, but the Company is not required to recover amounts in limited circumstances set forth in the Clawback Policy where the Compensation Committee has made a determination that recovery would be impracticable. Operation of the mandatory accounting restatement provisions of the Clawback Policy is subject to a brief phase-in process during the first few years after its effectiveness. The Company may not indemnify any such executive officer against the loss of such recovered compensation in the event of a mandatory accounting restatement. The Clawback Policy is intended to comply with the requirements of the Dodd-Frank Wall Street Reform and Consumer Protection Act and related SEC and NYSE implementing rules.</w:t>
      </w:r>
    </w:p>
    <w:p>
      <w:pPr>
        <w:spacing w:after="0" w:line="342" w:lineRule="exact"/>
        <w:rPr>
          <w:sz w:val="20"/>
          <w:szCs w:val="20"/>
          <w:color w:val="auto"/>
        </w:rPr>
      </w:pPr>
    </w:p>
    <w:p>
      <w:pPr>
        <w:ind w:left="960"/>
        <w:spacing w:after="0"/>
        <w:rPr>
          <w:sz w:val="20"/>
          <w:szCs w:val="20"/>
          <w:color w:val="auto"/>
        </w:rPr>
      </w:pPr>
      <w:r>
        <w:rPr>
          <w:rFonts w:ascii="Arial" w:cs="Arial" w:eastAsia="Arial" w:hAnsi="Arial"/>
          <w:sz w:val="23"/>
          <w:szCs w:val="23"/>
          <w:color w:val="0C426A"/>
        </w:rPr>
        <w:t>Prohibition on Hedging</w:t>
      </w:r>
    </w:p>
    <w:p>
      <w:pPr>
        <w:spacing w:after="0" w:line="181" w:lineRule="exact"/>
        <w:rPr>
          <w:sz w:val="20"/>
          <w:szCs w:val="20"/>
          <w:color w:val="auto"/>
        </w:rPr>
      </w:pPr>
    </w:p>
    <w:p>
      <w:pPr>
        <w:ind w:left="960" w:right="1200"/>
        <w:spacing w:after="0" w:line="251" w:lineRule="auto"/>
        <w:rPr>
          <w:sz w:val="20"/>
          <w:szCs w:val="20"/>
          <w:color w:val="auto"/>
        </w:rPr>
      </w:pPr>
      <w:r>
        <w:rPr>
          <w:rFonts w:ascii="Arial" w:cs="Arial" w:eastAsia="Arial" w:hAnsi="Arial"/>
          <w:sz w:val="16"/>
          <w:szCs w:val="16"/>
          <w:color w:val="auto"/>
        </w:rPr>
        <w:t>The Company considers it improper and inappropriate for any of its directors and officers, including the named executive officers, to engage in short-term or speculative transactions in Wabtec securities or in other transactions that may (i) lead to inadvertent violations of insider trading laws, (ii) reduce an officer’s or director’s incentive to improve Wabtec’s performance,</w:t>
      </w:r>
    </w:p>
    <w:p>
      <w:pPr>
        <w:spacing w:after="0" w:line="1" w:lineRule="exact"/>
        <w:rPr>
          <w:sz w:val="20"/>
          <w:szCs w:val="20"/>
          <w:color w:val="auto"/>
        </w:rPr>
      </w:pPr>
    </w:p>
    <w:p>
      <w:pPr>
        <w:ind w:left="960" w:right="980" w:firstLine="5"/>
        <w:spacing w:after="0" w:line="248" w:lineRule="auto"/>
        <w:tabs>
          <w:tab w:leader="none" w:pos="1219"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focus the officer’s or director’s attention on short-term performance at the expense of long-term objectives, or (iv) otherwise engage in transactions to hedge or offset any decrease in the market value of Wabtec’s stock. To that end, the Company has adopted and maintains a policy covering transactions involving all Wabtec stock held by its officers or directors, including but not limited to stock held directly or indirectly by such officer or director and stock or other equity granted to an officer or director as part of their compensation.</w:t>
      </w:r>
    </w:p>
    <w:p>
      <w:pPr>
        <w:spacing w:after="0" w:line="92" w:lineRule="exact"/>
        <w:rPr>
          <w:sz w:val="20"/>
          <w:szCs w:val="20"/>
          <w:color w:val="auto"/>
        </w:rPr>
      </w:pPr>
    </w:p>
    <w:tbl>
      <w:tblPr>
        <w:tblLayout w:type="fixed"/>
        <w:tblInd w:w="2200" w:type="dxa"/>
        <w:tblCellMar>
          <w:top w:w="0" w:type="dxa"/>
          <w:left w:w="0" w:type="dxa"/>
          <w:bottom w:w="0" w:type="dxa"/>
          <w:right w:w="0" w:type="dxa"/>
        </w:tblCellMar>
      </w:tblPr>
      <w:tr>
        <w:trPr>
          <w:trHeight w:val="171"/>
        </w:trPr>
        <w:tc>
          <w:tcPr>
            <w:tcW w:w="2240" w:type="dxa"/>
            <w:vAlign w:val="bottom"/>
          </w:tcPr>
          <w:p>
            <w:pPr>
              <w:spacing w:after="0"/>
              <w:rPr>
                <w:sz w:val="20"/>
                <w:szCs w:val="20"/>
                <w:color w:val="auto"/>
              </w:rPr>
            </w:pPr>
            <w:r>
              <w:rPr>
                <w:rFonts w:ascii="Arial" w:cs="Arial" w:eastAsia="Arial" w:hAnsi="Arial"/>
                <w:sz w:val="14"/>
                <w:szCs w:val="14"/>
                <w:b w:val="1"/>
                <w:bCs w:val="1"/>
                <w:color w:val="auto"/>
              </w:rPr>
              <w:t>Transactions Prohibited</w:t>
            </w:r>
          </w:p>
        </w:tc>
        <w:tc>
          <w:tcPr>
            <w:tcW w:w="660" w:type="dxa"/>
            <w:vAlign w:val="bottom"/>
          </w:tcPr>
          <w:p>
            <w:pPr>
              <w:ind w:left="6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0" w:type="dxa"/>
            <w:vAlign w:val="bottom"/>
          </w:tcPr>
          <w:p>
            <w:pPr>
              <w:ind w:left="820"/>
              <w:spacing w:after="0"/>
              <w:rPr>
                <w:sz w:val="20"/>
                <w:szCs w:val="20"/>
                <w:color w:val="auto"/>
              </w:rPr>
            </w:pPr>
            <w:r>
              <w:rPr>
                <w:rFonts w:ascii="Arial" w:cs="Arial" w:eastAsia="Arial" w:hAnsi="Arial"/>
                <w:sz w:val="14"/>
                <w:szCs w:val="14"/>
                <w:b w:val="1"/>
                <w:bCs w:val="1"/>
                <w:color w:val="auto"/>
              </w:rPr>
              <w:t>Permitted Transactions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121285</wp:posOffset>
            </wp:positionV>
            <wp:extent cx="571373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sectPr>
      </w:pPr>
    </w:p>
    <w:p>
      <w:pPr>
        <w:spacing w:after="0" w:line="317" w:lineRule="exact"/>
        <w:rPr>
          <w:sz w:val="20"/>
          <w:szCs w:val="20"/>
          <w:color w:val="auto"/>
        </w:rPr>
      </w:pPr>
    </w:p>
    <w:p>
      <w:pPr>
        <w:ind w:left="1880" w:hanging="291"/>
        <w:spacing w:after="0" w:line="287" w:lineRule="auto"/>
        <w:rPr>
          <w:sz w:val="20"/>
          <w:szCs w:val="20"/>
          <w:color w:val="auto"/>
        </w:rPr>
      </w:pPr>
      <w:r>
        <w:rPr>
          <w:rFonts w:ascii="Arial" w:cs="Arial" w:eastAsia="Arial" w:hAnsi="Arial"/>
          <w:sz w:val="14"/>
          <w:szCs w:val="14"/>
          <w:b w:val="1"/>
          <w:bCs w:val="1"/>
          <w:i w:val="1"/>
          <w:iCs w:val="1"/>
          <w:color w:val="auto"/>
        </w:rPr>
        <w:t>The following transactions are prohibited by Wabtec officers and directors:</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ind w:left="78" w:hanging="78"/>
        <w:spacing w:after="0"/>
        <w:tabs>
          <w:tab w:leader="none" w:pos="78" w:val="left"/>
        </w:tabs>
        <w:numPr>
          <w:ilvl w:val="0"/>
          <w:numId w:val="42"/>
        </w:numPr>
        <w:rPr>
          <w:rFonts w:ascii="Times New Roman" w:cs="Times New Roman" w:eastAsia="Times New Roman" w:hAnsi="Times New Roman"/>
          <w:sz w:val="7"/>
          <w:szCs w:val="7"/>
          <w:color w:val="auto"/>
          <w:vertAlign w:val="subscript"/>
        </w:rPr>
      </w:pPr>
      <w:r>
        <w:rPr>
          <w:rFonts w:ascii="Times New Roman" w:cs="Times New Roman" w:eastAsia="Times New Roman" w:hAnsi="Times New Roman"/>
          <w:sz w:val="7"/>
          <w:szCs w:val="7"/>
          <w:color w:val="auto"/>
          <w:vertAlign w:val="subscript"/>
        </w:rPr>
        <w:t>​</w:t>
      </w:r>
      <w:r>
        <w:rPr>
          <w:rFonts w:ascii="Arial" w:cs="Arial" w:eastAsia="Arial" w:hAnsi="Arial"/>
          <w:sz w:val="14"/>
          <w:szCs w:val="14"/>
          <w:b w:val="1"/>
          <w:bCs w:val="1"/>
          <w:i w:val="1"/>
          <w:iCs w:val="1"/>
          <w:color w:val="auto"/>
        </w:rPr>
        <w:t xml:space="preserve">    During a quiet period and with the prior approval of the Wabtec Legal</w:t>
      </w:r>
    </w:p>
    <w:p>
      <w:pPr>
        <w:spacing w:after="0" w:line="11" w:lineRule="exact"/>
        <w:rPr>
          <w:rFonts w:ascii="Times New Roman" w:cs="Times New Roman" w:eastAsia="Times New Roman" w:hAnsi="Times New Roman"/>
          <w:sz w:val="7"/>
          <w:szCs w:val="7"/>
          <w:color w:val="auto"/>
          <w:vertAlign w:val="subscript"/>
        </w:rPr>
      </w:pPr>
    </w:p>
    <w:p>
      <w:pPr>
        <w:ind w:left="778"/>
        <w:spacing w:after="0"/>
        <w:rPr>
          <w:rFonts w:ascii="Times New Roman" w:cs="Times New Roman" w:eastAsia="Times New Roman" w:hAnsi="Times New Roman"/>
          <w:sz w:val="7"/>
          <w:szCs w:val="7"/>
          <w:color w:val="auto"/>
          <w:vertAlign w:val="subscript"/>
        </w:rPr>
      </w:pPr>
      <w:r>
        <w:rPr>
          <w:rFonts w:ascii="Arial" w:cs="Arial" w:eastAsia="Arial" w:hAnsi="Arial"/>
          <w:sz w:val="14"/>
          <w:szCs w:val="14"/>
          <w:b w:val="1"/>
          <w:bCs w:val="1"/>
          <w:i w:val="1"/>
          <w:iCs w:val="1"/>
          <w:color w:val="auto"/>
        </w:rPr>
        <w:t>Department, directors and officers are permitted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-2597150</wp:posOffset>
            </wp:positionH>
            <wp:positionV relativeFrom="paragraph">
              <wp:posOffset>56515</wp:posOffset>
            </wp:positionV>
            <wp:extent cx="571373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155" w:lineRule="exact"/>
        <w:rPr>
          <w:sz w:val="20"/>
          <w:szCs w:val="20"/>
          <w:color w:val="auto"/>
        </w:rPr>
      </w:pPr>
    </w:p>
    <w:p>
      <w:pPr>
        <w:sectPr>
          <w:pgSz w:w="11900" w:h="16838" w:orient="portrait"/>
          <w:cols w:equalWidth="0" w:num="2">
            <w:col w:w="4400" w:space="662"/>
            <w:col w:w="5878"/>
          </w:cols>
          <w:pgMar w:left="480" w:top="116" w:right="479" w:bottom="1440" w:gutter="0" w:footer="0" w:header="0"/>
          <w:type w:val="continuous"/>
        </w:sectPr>
      </w:pPr>
    </w:p>
    <w:p>
      <w:pPr>
        <w:ind w:left="1000"/>
        <w:spacing w:after="0" w:line="161" w:lineRule="exact"/>
        <w:rPr>
          <w:sz w:val="20"/>
          <w:szCs w:val="20"/>
          <w:color w:val="auto"/>
        </w:rPr>
      </w:pPr>
      <w:r>
        <w:rPr>
          <w:rFonts w:ascii="MS PGothic" w:cs="MS PGothic" w:eastAsia="MS PGothic" w:hAnsi="MS PGothic"/>
          <w:sz w:val="14"/>
          <w:szCs w:val="14"/>
          <w:color w:val="0C426A"/>
        </w:rPr>
        <w:t>✘</w:t>
      </w:r>
      <w:r>
        <w:rPr>
          <w:rFonts w:ascii="Arial" w:cs="Arial" w:eastAsia="Arial" w:hAnsi="Arial"/>
          <w:sz w:val="14"/>
          <w:szCs w:val="14"/>
          <w:color w:val="auto"/>
        </w:rPr>
        <w:t xml:space="preserve">  Short sales of Wabtec stock;</w:t>
      </w:r>
    </w:p>
    <w:p>
      <w:pPr>
        <w:spacing w:after="0" w:line="80" w:lineRule="exact"/>
        <w:rPr>
          <w:sz w:val="20"/>
          <w:szCs w:val="20"/>
          <w:color w:val="auto"/>
        </w:rPr>
      </w:pPr>
    </w:p>
    <w:p>
      <w:pPr>
        <w:ind w:left="1000" w:right="660"/>
        <w:spacing w:after="0" w:line="240" w:lineRule="exact"/>
        <w:rPr>
          <w:sz w:val="20"/>
          <w:szCs w:val="20"/>
          <w:color w:val="auto"/>
        </w:rPr>
      </w:pPr>
      <w:r>
        <w:rPr>
          <w:rFonts w:ascii="MS PGothic" w:cs="MS PGothic" w:eastAsia="MS PGothic" w:hAnsi="MS PGothic"/>
          <w:sz w:val="14"/>
          <w:szCs w:val="14"/>
          <w:color w:val="0C426A"/>
        </w:rPr>
        <w:t>✘</w:t>
      </w:r>
      <w:r>
        <w:rPr>
          <w:rFonts w:ascii="Arial" w:cs="Arial" w:eastAsia="Arial" w:hAnsi="Arial"/>
          <w:sz w:val="14"/>
          <w:szCs w:val="14"/>
          <w:color w:val="auto"/>
        </w:rPr>
        <w:t xml:space="preserve">  Buying and selling publicly traded Wabtec options; </w:t>
      </w:r>
      <w:r>
        <w:rPr>
          <w:rFonts w:ascii="MS PGothic" w:cs="MS PGothic" w:eastAsia="MS PGothic" w:hAnsi="MS PGothic"/>
          <w:sz w:val="14"/>
          <w:szCs w:val="14"/>
          <w:color w:val="0C426A"/>
        </w:rPr>
        <w:t>✘</w:t>
      </w:r>
      <w:r>
        <w:rPr>
          <w:rFonts w:ascii="Arial" w:cs="Arial" w:eastAsia="Arial" w:hAnsi="Arial"/>
          <w:sz w:val="14"/>
          <w:szCs w:val="14"/>
          <w:color w:val="auto"/>
        </w:rPr>
        <w:t xml:space="preserve">  Standing orders to buy or sell Wabtec stock;</w:t>
      </w:r>
    </w:p>
    <w:p>
      <w:pPr>
        <w:spacing w:after="0" w:line="16" w:lineRule="exact"/>
        <w:rPr>
          <w:sz w:val="20"/>
          <w:szCs w:val="20"/>
          <w:color w:val="auto"/>
        </w:rPr>
      </w:pPr>
    </w:p>
    <w:p>
      <w:pPr>
        <w:ind w:left="1160" w:right="320" w:hanging="168"/>
        <w:spacing w:after="0" w:line="198" w:lineRule="exact"/>
        <w:rPr>
          <w:sz w:val="20"/>
          <w:szCs w:val="20"/>
          <w:color w:val="auto"/>
        </w:rPr>
      </w:pPr>
      <w:r>
        <w:rPr>
          <w:rFonts w:ascii="MS PGothic" w:cs="MS PGothic" w:eastAsia="MS PGothic" w:hAnsi="MS PGothic"/>
          <w:sz w:val="14"/>
          <w:szCs w:val="14"/>
          <w:color w:val="0C426A"/>
        </w:rPr>
        <w:t>✘</w:t>
      </w:r>
      <w:r>
        <w:rPr>
          <w:rFonts w:ascii="Arial" w:cs="Arial" w:eastAsia="Arial" w:hAnsi="Arial"/>
          <w:sz w:val="14"/>
          <w:szCs w:val="14"/>
          <w:color w:val="auto"/>
        </w:rPr>
        <w:t xml:space="preserve">  Hedging or monetization transactions such as zero cost collars, forward sale contracts involving Wabtec stock;</w:t>
      </w:r>
    </w:p>
    <w:p>
      <w:pPr>
        <w:spacing w:after="0" w:line="7" w:lineRule="exact"/>
        <w:rPr>
          <w:sz w:val="20"/>
          <w:szCs w:val="20"/>
          <w:color w:val="auto"/>
        </w:rPr>
      </w:pPr>
    </w:p>
    <w:p>
      <w:pPr>
        <w:ind w:left="1160" w:right="240" w:hanging="168"/>
        <w:spacing w:after="0" w:line="198" w:lineRule="exact"/>
        <w:rPr>
          <w:sz w:val="20"/>
          <w:szCs w:val="20"/>
          <w:color w:val="auto"/>
        </w:rPr>
      </w:pPr>
      <w:r>
        <w:rPr>
          <w:rFonts w:ascii="MS PGothic" w:cs="MS PGothic" w:eastAsia="MS PGothic" w:hAnsi="MS PGothic"/>
          <w:sz w:val="14"/>
          <w:szCs w:val="14"/>
          <w:color w:val="0C426A"/>
        </w:rPr>
        <w:t>✘</w:t>
      </w:r>
      <w:r>
        <w:rPr>
          <w:rFonts w:ascii="Arial" w:cs="Arial" w:eastAsia="Arial" w:hAnsi="Arial"/>
          <w:sz w:val="14"/>
          <w:szCs w:val="14"/>
          <w:color w:val="auto"/>
        </w:rPr>
        <w:t xml:space="preserve">  Pledges of Wabtec stock as collateral for loans or margin accounts; or</w:t>
      </w:r>
    </w:p>
    <w:p>
      <w:pPr>
        <w:spacing w:after="0" w:line="7" w:lineRule="exact"/>
        <w:rPr>
          <w:sz w:val="20"/>
          <w:szCs w:val="20"/>
          <w:color w:val="auto"/>
        </w:rPr>
      </w:pPr>
    </w:p>
    <w:p>
      <w:pPr>
        <w:jc w:val="both"/>
        <w:ind w:left="1160" w:hanging="168"/>
        <w:spacing w:after="0" w:line="185" w:lineRule="exact"/>
        <w:rPr>
          <w:sz w:val="20"/>
          <w:szCs w:val="20"/>
          <w:color w:val="auto"/>
        </w:rPr>
      </w:pPr>
      <w:r>
        <w:rPr>
          <w:rFonts w:ascii="MS PGothic" w:cs="MS PGothic" w:eastAsia="MS PGothic" w:hAnsi="MS PGothic"/>
          <w:sz w:val="14"/>
          <w:szCs w:val="14"/>
          <w:color w:val="0C426A"/>
        </w:rPr>
        <w:t>✘</w:t>
      </w:r>
      <w:r>
        <w:rPr>
          <w:rFonts w:ascii="Arial" w:cs="Arial" w:eastAsia="Arial" w:hAnsi="Arial"/>
          <w:sz w:val="14"/>
          <w:szCs w:val="14"/>
          <w:color w:val="auto"/>
        </w:rPr>
        <w:t xml:space="preserve">  Enter into, amend, or terminate Rule 10b5-1 plans to buy or sell Wabtec stock during quiet periods or when in possession of material, non-public information.</w:t>
      </w:r>
    </w:p>
    <w:p>
      <w:pPr>
        <w:spacing w:after="0" w:line="20" w:lineRule="exact"/>
        <w:rPr>
          <w:sz w:val="20"/>
          <w:szCs w:val="20"/>
          <w:color w:val="auto"/>
        </w:rPr>
      </w:pPr>
      <w:r>
        <w:rPr>
          <w:sz w:val="20"/>
          <w:szCs w:val="20"/>
          <w:color w:val="auto"/>
        </w:rPr>
        <w:br w:type="column"/>
      </w:r>
    </w:p>
    <w:p>
      <w:pPr>
        <w:ind w:left="340" w:right="1080" w:hanging="179"/>
        <w:spacing w:after="0" w:line="178" w:lineRule="exact"/>
        <w:rPr>
          <w:sz w:val="20"/>
          <w:szCs w:val="20"/>
          <w:color w:val="auto"/>
        </w:rPr>
      </w:pPr>
      <w:r>
        <w:rPr>
          <w:rFonts w:ascii="MS PGothic" w:cs="MS PGothic" w:eastAsia="MS PGothic" w:hAnsi="MS PGothic"/>
          <w:sz w:val="14"/>
          <w:szCs w:val="14"/>
          <w:color w:val="0C426A"/>
        </w:rPr>
        <w:t>✔</w:t>
      </w:r>
      <w:r>
        <w:rPr>
          <w:rFonts w:ascii="Arial" w:cs="Arial" w:eastAsia="Arial" w:hAnsi="Arial"/>
          <w:sz w:val="14"/>
          <w:szCs w:val="14"/>
          <w:color w:val="auto"/>
        </w:rPr>
        <w:t xml:space="preserve">  Conduct cashless exercises of options if no Wabtec securities are sold in the market to fund such exercise;</w:t>
      </w:r>
    </w:p>
    <w:p>
      <w:pPr>
        <w:spacing w:after="0" w:line="7" w:lineRule="exact"/>
        <w:rPr>
          <w:sz w:val="20"/>
          <w:szCs w:val="20"/>
          <w:color w:val="auto"/>
        </w:rPr>
      </w:pPr>
    </w:p>
    <w:p>
      <w:pPr>
        <w:ind w:left="160"/>
        <w:spacing w:after="0" w:line="161" w:lineRule="exact"/>
        <w:rPr>
          <w:sz w:val="20"/>
          <w:szCs w:val="20"/>
          <w:color w:val="auto"/>
        </w:rPr>
      </w:pPr>
      <w:r>
        <w:rPr>
          <w:rFonts w:ascii="MS PGothic" w:cs="MS PGothic" w:eastAsia="MS PGothic" w:hAnsi="MS PGothic"/>
          <w:sz w:val="14"/>
          <w:szCs w:val="14"/>
          <w:color w:val="0C426A"/>
        </w:rPr>
        <w:t>✔</w:t>
      </w:r>
      <w:r>
        <w:rPr>
          <w:rFonts w:ascii="Arial" w:cs="Arial" w:eastAsia="Arial" w:hAnsi="Arial"/>
          <w:sz w:val="14"/>
          <w:szCs w:val="14"/>
          <w:color w:val="auto"/>
        </w:rPr>
        <w:t xml:space="preserve">  Continue regular and matching contributions in benefit plans;</w:t>
      </w:r>
    </w:p>
    <w:p>
      <w:pPr>
        <w:spacing w:after="0" w:line="80" w:lineRule="exact"/>
        <w:rPr>
          <w:sz w:val="20"/>
          <w:szCs w:val="20"/>
          <w:color w:val="auto"/>
        </w:rPr>
      </w:pPr>
    </w:p>
    <w:p>
      <w:pPr>
        <w:ind w:left="160"/>
        <w:spacing w:after="0" w:line="161" w:lineRule="exact"/>
        <w:rPr>
          <w:sz w:val="20"/>
          <w:szCs w:val="20"/>
          <w:color w:val="auto"/>
        </w:rPr>
      </w:pPr>
      <w:r>
        <w:rPr>
          <w:rFonts w:ascii="MS PGothic" w:cs="MS PGothic" w:eastAsia="MS PGothic" w:hAnsi="MS PGothic"/>
          <w:sz w:val="14"/>
          <w:szCs w:val="14"/>
          <w:color w:val="0C426A"/>
        </w:rPr>
        <w:t>✔</w:t>
      </w:r>
      <w:r>
        <w:rPr>
          <w:rFonts w:ascii="Arial" w:cs="Arial" w:eastAsia="Arial" w:hAnsi="Arial"/>
          <w:sz w:val="14"/>
          <w:szCs w:val="14"/>
          <w:color w:val="auto"/>
        </w:rPr>
        <w:t xml:space="preserve">  Make gifts of Wabtec securities unless the recipient intends to sell the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4600" w:type="dxa"/>
            <w:vAlign w:val="bottom"/>
          </w:tcPr>
          <w:p>
            <w:pPr>
              <w:ind w:left="120"/>
              <w:spacing w:after="0"/>
              <w:rPr>
                <w:sz w:val="20"/>
                <w:szCs w:val="20"/>
                <w:color w:val="auto"/>
              </w:rPr>
            </w:pPr>
            <w:r>
              <w:rPr>
                <w:rFonts w:ascii="Arial" w:cs="Arial" w:eastAsia="Arial" w:hAnsi="Arial"/>
                <w:sz w:val="14"/>
                <w:szCs w:val="14"/>
                <w:color w:val="auto"/>
              </w:rPr>
              <w:t>securities during the quiet period and the donor has knowledge of such</w:t>
            </w:r>
          </w:p>
        </w:tc>
      </w:tr>
      <w:tr>
        <w:trPr>
          <w:trHeight w:val="73"/>
        </w:trPr>
        <w:tc>
          <w:tcPr>
            <w:tcW w:w="2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4600" w:type="dxa"/>
            <w:vAlign w:val="bottom"/>
          </w:tcPr>
          <w:p>
            <w:pPr>
              <w:ind w:left="120"/>
              <w:spacing w:after="0" w:line="63" w:lineRule="exact"/>
              <w:rPr>
                <w:sz w:val="20"/>
                <w:szCs w:val="20"/>
                <w:color w:val="auto"/>
              </w:rPr>
            </w:pPr>
            <w:r>
              <w:rPr>
                <w:rFonts w:ascii="Arial" w:cs="Arial" w:eastAsia="Arial" w:hAnsi="Arial"/>
                <w:sz w:val="7"/>
                <w:szCs w:val="7"/>
                <w:color w:val="auto"/>
              </w:rPr>
              <w:t>intent to sell during the quiet period; and</w:t>
            </w:r>
          </w:p>
        </w:tc>
      </w:tr>
    </w:tbl>
    <w:p>
      <w:pPr>
        <w:spacing w:after="0" w:line="137" w:lineRule="exact"/>
        <w:rPr>
          <w:sz w:val="20"/>
          <w:szCs w:val="20"/>
          <w:color w:val="auto"/>
        </w:rPr>
      </w:pPr>
    </w:p>
    <w:p>
      <w:pPr>
        <w:ind w:left="340" w:right="1060" w:hanging="179"/>
        <w:spacing w:after="0" w:line="198" w:lineRule="exact"/>
        <w:rPr>
          <w:sz w:val="20"/>
          <w:szCs w:val="20"/>
          <w:color w:val="auto"/>
        </w:rPr>
      </w:pPr>
      <w:r>
        <w:rPr>
          <w:rFonts w:ascii="MS PGothic" w:cs="MS PGothic" w:eastAsia="MS PGothic" w:hAnsi="MS PGothic"/>
          <w:sz w:val="14"/>
          <w:szCs w:val="14"/>
          <w:color w:val="0C426A"/>
        </w:rPr>
        <w:t>✔</w:t>
      </w:r>
      <w:r>
        <w:rPr>
          <w:rFonts w:ascii="Arial" w:cs="Arial" w:eastAsia="Arial" w:hAnsi="Arial"/>
          <w:sz w:val="14"/>
          <w:szCs w:val="14"/>
          <w:color w:val="auto"/>
        </w:rPr>
        <w:t xml:space="preserve">  Conduct transactions in previously approved and adopted Rule 10b5-1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370205</wp:posOffset>
            </wp:positionV>
            <wp:extent cx="571373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680" w:lineRule="exact"/>
        <w:rPr>
          <w:sz w:val="20"/>
          <w:szCs w:val="20"/>
          <w:color w:val="auto"/>
        </w:rPr>
      </w:pPr>
    </w:p>
    <w:p>
      <w:pPr>
        <w:sectPr>
          <w:pgSz w:w="11900" w:h="16838" w:orient="portrait"/>
          <w:cols w:equalWidth="0" w:num="2">
            <w:col w:w="5020" w:space="40"/>
            <w:col w:w="5880"/>
          </w:cols>
          <w:pgMar w:left="480" w:top="116" w:right="479" w:bottom="1440" w:gutter="0" w:footer="0" w:header="0"/>
          <w:type w:val="continuous"/>
        </w:sectPr>
      </w:pP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9140" w:type="dxa"/>
            <w:vAlign w:val="bottom"/>
          </w:tcPr>
          <w:p>
            <w:pPr>
              <w:ind w:left="636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800" w:type="dxa"/>
            <w:vAlign w:val="bottom"/>
          </w:tcPr>
          <w:p>
            <w:pPr>
              <w:jc w:val="right"/>
              <w:ind w:right="909"/>
              <w:spacing w:after="0"/>
              <w:rPr>
                <w:sz w:val="20"/>
                <w:szCs w:val="20"/>
                <w:color w:val="auto"/>
              </w:rPr>
            </w:pPr>
            <w:r>
              <w:rPr>
                <w:rFonts w:ascii="Arial" w:cs="Arial" w:eastAsia="Arial" w:hAnsi="Arial"/>
                <w:sz w:val="14"/>
                <w:szCs w:val="14"/>
                <w:b w:val="1"/>
                <w:bCs w:val="1"/>
                <w:color w:val="auto"/>
              </w:rPr>
              <w:t>59</w:t>
            </w:r>
          </w:p>
        </w:tc>
      </w:tr>
      <w:tr>
        <w:trPr>
          <w:trHeight w:val="355"/>
        </w:trPr>
        <w:tc>
          <w:tcPr>
            <w:tcW w:w="9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-407670</wp:posOffset>
            </wp:positionV>
            <wp:extent cx="501650" cy="1701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ind w:right="1539"/>
        <w:spacing w:after="0" w:line="276" w:lineRule="auto"/>
        <w:rPr>
          <w:sz w:val="20"/>
          <w:szCs w:val="20"/>
          <w:color w:val="auto"/>
        </w:rPr>
      </w:pPr>
      <w:r>
        <w:rPr>
          <w:rFonts w:ascii="Arial" w:cs="Arial" w:eastAsia="Arial" w:hAnsi="Arial"/>
          <w:sz w:val="43"/>
          <w:szCs w:val="43"/>
          <w:color w:val="E02826"/>
        </w:rPr>
        <w:t>Compensation and Talent Management Committee Report</w:t>
      </w:r>
    </w:p>
    <w:p>
      <w:pPr>
        <w:spacing w:after="0" w:line="95" w:lineRule="exact"/>
        <w:rPr>
          <w:sz w:val="20"/>
          <w:szCs w:val="20"/>
          <w:color w:val="auto"/>
        </w:rPr>
      </w:pPr>
    </w:p>
    <w:p>
      <w:pPr>
        <w:ind w:right="499"/>
        <w:spacing w:after="0" w:line="282" w:lineRule="auto"/>
        <w:rPr>
          <w:sz w:val="20"/>
          <w:szCs w:val="20"/>
          <w:color w:val="auto"/>
        </w:rPr>
      </w:pPr>
      <w:r>
        <w:rPr>
          <w:rFonts w:ascii="Arial" w:cs="Arial" w:eastAsia="Arial" w:hAnsi="Arial"/>
          <w:sz w:val="16"/>
          <w:szCs w:val="16"/>
          <w:color w:val="auto"/>
        </w:rPr>
        <w:t xml:space="preserve">The Compensation Committee of the Board of Directors has reviewed and discussed the Compensation Discussion and Analysis included on pages </w:t>
      </w:r>
      <w:r>
        <w:rPr>
          <w:rFonts w:ascii="Arial" w:cs="Arial" w:eastAsia="Arial" w:hAnsi="Arial"/>
          <w:sz w:val="16"/>
          <w:szCs w:val="16"/>
          <w:u w:val="single" w:color="auto"/>
          <w:color w:val="0000EE"/>
        </w:rPr>
        <w:t>43</w:t>
      </w:r>
      <w:r>
        <w:rPr>
          <w:rFonts w:ascii="Arial" w:cs="Arial" w:eastAsia="Arial" w:hAnsi="Arial"/>
          <w:sz w:val="16"/>
          <w:szCs w:val="16"/>
          <w:color w:val="auto"/>
        </w:rPr>
        <w:t xml:space="preserve"> through </w:t>
      </w:r>
      <w:r>
        <w:rPr>
          <w:rFonts w:ascii="Arial" w:cs="Arial" w:eastAsia="Arial" w:hAnsi="Arial"/>
          <w:sz w:val="16"/>
          <w:szCs w:val="16"/>
          <w:u w:val="single" w:color="auto"/>
          <w:color w:val="0000EE"/>
        </w:rPr>
        <w:t>59</w:t>
      </w:r>
      <w:r>
        <w:rPr>
          <w:rFonts w:ascii="Arial" w:cs="Arial" w:eastAsia="Arial" w:hAnsi="Arial"/>
          <w:sz w:val="16"/>
          <w:szCs w:val="16"/>
          <w:color w:val="auto"/>
        </w:rPr>
        <w:t xml:space="preserve"> of this Proxy Statement with management.</w:t>
      </w:r>
    </w:p>
    <w:p>
      <w:pPr>
        <w:spacing w:after="0" w:line="103" w:lineRule="exact"/>
        <w:rPr>
          <w:sz w:val="20"/>
          <w:szCs w:val="20"/>
          <w:color w:val="auto"/>
        </w:rPr>
      </w:pPr>
    </w:p>
    <w:p>
      <w:pPr>
        <w:ind w:right="419"/>
        <w:spacing w:after="0" w:line="263" w:lineRule="auto"/>
        <w:rPr>
          <w:sz w:val="20"/>
          <w:szCs w:val="20"/>
          <w:color w:val="auto"/>
        </w:rPr>
      </w:pPr>
      <w:r>
        <w:rPr>
          <w:rFonts w:ascii="Arial" w:cs="Arial" w:eastAsia="Arial" w:hAnsi="Arial"/>
          <w:sz w:val="16"/>
          <w:szCs w:val="16"/>
          <w:color w:val="auto"/>
        </w:rPr>
        <w:t>Based on this review and discussion, the Compensation Committee recommends to the Board of Directors that the Compensation Discussion and Analysis be included in this Proxy Statement, and incorporated by reference in our Annual Report on Form 10-K for the year ended December 31, 2023 filed with the SEC.</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w:t>
      </w:r>
    </w:p>
    <w:p>
      <w:pPr>
        <w:spacing w:after="0" w:line="375" w:lineRule="exact"/>
        <w:rPr>
          <w:sz w:val="20"/>
          <w:szCs w:val="20"/>
          <w:color w:val="auto"/>
        </w:rPr>
      </w:pPr>
    </w:p>
    <w:p>
      <w:pPr>
        <w:spacing w:after="0"/>
        <w:rPr>
          <w:sz w:val="20"/>
          <w:szCs w:val="20"/>
          <w:color w:val="auto"/>
        </w:rPr>
      </w:pPr>
      <w:r>
        <w:rPr>
          <w:rFonts w:ascii="Arial" w:cs="Arial" w:eastAsia="Arial" w:hAnsi="Arial"/>
          <w:sz w:val="23"/>
          <w:szCs w:val="23"/>
          <w:color w:val="0C426A"/>
        </w:rPr>
        <w:t>Compensation and Talent Management Committee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Ms. Klee (Chair)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Ms. Babcock</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Mr. Banks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Mr. Hehir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760" w:type="dxa"/>
            <w:vAlign w:val="bottom"/>
          </w:tcPr>
          <w:p>
            <w:pPr>
              <w:jc w:val="right"/>
              <w:ind w:right="529"/>
              <w:spacing w:after="0"/>
              <w:rPr>
                <w:sz w:val="20"/>
                <w:szCs w:val="20"/>
                <w:color w:val="auto"/>
              </w:rPr>
            </w:pPr>
            <w:r>
              <w:rPr>
                <w:rFonts w:ascii="Arial" w:cs="Arial" w:eastAsia="Arial" w:hAnsi="Arial"/>
                <w:sz w:val="14"/>
                <w:szCs w:val="14"/>
                <w:b w:val="1"/>
                <w:bCs w:val="1"/>
                <w:color w:val="auto"/>
                <w:w w:val="89"/>
              </w:rPr>
              <w:t>60</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179070</wp:posOffset>
            </wp:positionV>
            <wp:extent cx="693801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63" w:name="page64"/>
    <w:bookmarkEnd w:id="63"/>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ind w:left="960"/>
        <w:spacing w:after="0"/>
        <w:rPr>
          <w:sz w:val="20"/>
          <w:szCs w:val="20"/>
          <w:color w:val="auto"/>
        </w:rPr>
      </w:pPr>
      <w:r>
        <w:rPr>
          <w:rFonts w:ascii="Arial" w:cs="Arial" w:eastAsia="Arial" w:hAnsi="Arial"/>
          <w:sz w:val="43"/>
          <w:szCs w:val="43"/>
          <w:color w:val="E02826"/>
        </w:rPr>
        <w:t>Executive Compensation Tables</w:t>
      </w:r>
    </w:p>
    <w:p>
      <w:pPr>
        <w:spacing w:after="0" w:line="358" w:lineRule="exact"/>
        <w:rPr>
          <w:sz w:val="20"/>
          <w:szCs w:val="20"/>
          <w:color w:val="auto"/>
        </w:rPr>
      </w:pPr>
    </w:p>
    <w:p>
      <w:pPr>
        <w:ind w:left="960"/>
        <w:spacing w:after="0"/>
        <w:rPr>
          <w:sz w:val="20"/>
          <w:szCs w:val="20"/>
          <w:color w:val="auto"/>
        </w:rPr>
      </w:pPr>
      <w:r>
        <w:rPr>
          <w:rFonts w:ascii="Arial" w:cs="Arial" w:eastAsia="Arial" w:hAnsi="Arial"/>
          <w:sz w:val="29"/>
          <w:szCs w:val="29"/>
          <w:color w:val="636466"/>
        </w:rPr>
        <w:t>Summary Compensation Table</w:t>
      </w:r>
    </w:p>
    <w:p>
      <w:pPr>
        <w:spacing w:after="0" w:line="211"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43"/>
              <w:spacing w:after="0"/>
              <w:rPr>
                <w:sz w:val="20"/>
                <w:szCs w:val="20"/>
                <w:color w:val="auto"/>
              </w:rPr>
            </w:pPr>
            <w:r>
              <w:rPr>
                <w:rFonts w:ascii="Arial" w:cs="Arial" w:eastAsia="Arial" w:hAnsi="Arial"/>
                <w:sz w:val="14"/>
                <w:szCs w:val="14"/>
                <w:b w:val="1"/>
                <w:bCs w:val="1"/>
                <w:color w:val="auto"/>
              </w:rPr>
              <w:t>Change in</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Arial" w:cs="Arial" w:eastAsia="Arial" w:hAnsi="Arial"/>
                <w:sz w:val="14"/>
                <w:szCs w:val="14"/>
                <w:b w:val="1"/>
                <w:bCs w:val="1"/>
                <w:color w:val="auto"/>
              </w:rPr>
              <w:t>Pension Value</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Arial" w:cs="Arial" w:eastAsia="Arial" w:hAnsi="Arial"/>
                <w:sz w:val="14"/>
                <w:szCs w:val="14"/>
                <w:b w:val="1"/>
                <w:bCs w:val="1"/>
                <w:color w:val="auto"/>
              </w:rPr>
              <w:t>and Non-</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420" w:type="dxa"/>
            <w:vAlign w:val="bottom"/>
          </w:tcPr>
          <w:p>
            <w:pPr>
              <w:spacing w:after="0"/>
              <w:rPr>
                <w:sz w:val="13"/>
                <w:szCs w:val="13"/>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gridSpan w:val="2"/>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380" w:type="dxa"/>
            <w:vAlign w:val="bottom"/>
          </w:tcPr>
          <w:p>
            <w:pPr>
              <w:spacing w:after="0"/>
              <w:rPr>
                <w:sz w:val="13"/>
                <w:szCs w:val="13"/>
                <w:color w:val="auto"/>
              </w:rPr>
            </w:pP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gridSpan w:val="3"/>
          </w:tcPr>
          <w:p>
            <w:pPr>
              <w:jc w:val="right"/>
              <w:ind w:right="31"/>
              <w:spacing w:after="0"/>
              <w:rPr>
                <w:sz w:val="20"/>
                <w:szCs w:val="20"/>
                <w:color w:val="auto"/>
              </w:rPr>
            </w:pPr>
            <w:r>
              <w:rPr>
                <w:rFonts w:ascii="Arial" w:cs="Arial" w:eastAsia="Arial" w:hAnsi="Arial"/>
                <w:sz w:val="14"/>
                <w:szCs w:val="14"/>
                <w:b w:val="1"/>
                <w:bCs w:val="1"/>
                <w:color w:val="auto"/>
              </w:rPr>
              <w:t xml:space="preserve">Non-Equity </w:t>
            </w:r>
            <w:r>
              <w:rPr>
                <w:rFonts w:ascii="Times New Roman" w:cs="Times New Roman" w:eastAsia="Times New Roman" w:hAnsi="Times New Roman"/>
                <w:sz w:val="3"/>
                <w:szCs w:val="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ind w:right="3"/>
              <w:spacing w:after="0"/>
              <w:rPr>
                <w:sz w:val="20"/>
                <w:szCs w:val="20"/>
                <w:color w:val="auto"/>
              </w:rPr>
            </w:pPr>
            <w:r>
              <w:rPr>
                <w:rFonts w:ascii="Arial" w:cs="Arial" w:eastAsia="Arial" w:hAnsi="Arial"/>
                <w:sz w:val="14"/>
                <w:szCs w:val="14"/>
                <w:b w:val="1"/>
                <w:bCs w:val="1"/>
                <w:color w:val="auto"/>
              </w:rPr>
              <w:t xml:space="preserve">Qualified </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xml:space="preserve">All </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Incentive Plan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43"/>
              <w:spacing w:after="0"/>
              <w:rPr>
                <w:sz w:val="20"/>
                <w:szCs w:val="20"/>
                <w:color w:val="auto"/>
              </w:rPr>
            </w:pPr>
            <w:r>
              <w:rPr>
                <w:rFonts w:ascii="Arial" w:cs="Arial" w:eastAsia="Arial" w:hAnsi="Arial"/>
                <w:sz w:val="14"/>
                <w:szCs w:val="14"/>
                <w:b w:val="1"/>
                <w:bCs w:val="1"/>
                <w:color w:val="auto"/>
              </w:rPr>
              <w:t>Deferred</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420" w:type="dxa"/>
            <w:vAlign w:val="bottom"/>
          </w:tcPr>
          <w:p>
            <w:pPr>
              <w:ind w:left="20"/>
              <w:spacing w:after="0"/>
              <w:rPr>
                <w:sz w:val="20"/>
                <w:szCs w:val="20"/>
                <w:color w:val="auto"/>
              </w:rPr>
            </w:pPr>
            <w:r>
              <w:rPr>
                <w:rFonts w:ascii="Arial" w:cs="Arial" w:eastAsia="Arial" w:hAnsi="Arial"/>
                <w:sz w:val="14"/>
                <w:szCs w:val="14"/>
                <w:b w:val="1"/>
                <w:bCs w:val="1"/>
                <w:color w:val="auto"/>
              </w:rPr>
              <w:t>Name and Principal</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Compensation</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Compensation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1420" w:type="dxa"/>
            <w:vAlign w:val="bottom"/>
            <w:tcBorders>
              <w:bottom w:val="single" w:sz="8" w:color="0C426A"/>
            </w:tcBorders>
          </w:tcPr>
          <w:p>
            <w:pPr>
              <w:ind w:left="20"/>
              <w:spacing w:after="0"/>
              <w:rPr>
                <w:sz w:val="20"/>
                <w:szCs w:val="20"/>
                <w:color w:val="auto"/>
              </w:rPr>
            </w:pPr>
            <w:r>
              <w:rPr>
                <w:rFonts w:ascii="Arial" w:cs="Arial" w:eastAsia="Arial" w:hAnsi="Arial"/>
                <w:sz w:val="14"/>
                <w:szCs w:val="14"/>
                <w:b w:val="1"/>
                <w:bCs w:val="1"/>
                <w:color w:val="auto"/>
              </w:rPr>
              <w:t>Position</w:t>
            </w:r>
          </w:p>
        </w:tc>
        <w:tc>
          <w:tcPr>
            <w:tcW w:w="60" w:type="dxa"/>
            <w:vAlign w:val="bottom"/>
            <w:tcBorders>
              <w:bottom w:val="single" w:sz="8" w:color="0C426A"/>
            </w:tcBorders>
          </w:tcPr>
          <w:p>
            <w:pPr>
              <w:spacing w:after="0"/>
              <w:rPr>
                <w:sz w:val="24"/>
                <w:szCs w:val="24"/>
                <w:color w:val="auto"/>
              </w:rPr>
            </w:pPr>
          </w:p>
        </w:tc>
        <w:tc>
          <w:tcPr>
            <w:tcW w:w="40" w:type="dxa"/>
            <w:vAlign w:val="bottom"/>
            <w:tcBorders>
              <w:bottom w:val="single" w:sz="8" w:color="0C426A"/>
            </w:tcBorders>
          </w:tcPr>
          <w:p>
            <w:pPr>
              <w:spacing w:after="0"/>
              <w:rPr>
                <w:sz w:val="24"/>
                <w:szCs w:val="24"/>
                <w:color w:val="auto"/>
              </w:rPr>
            </w:pPr>
          </w:p>
        </w:tc>
        <w:tc>
          <w:tcPr>
            <w:tcW w:w="20" w:type="dxa"/>
            <w:vAlign w:val="bottom"/>
            <w:tcBorders>
              <w:bottom w:val="single" w:sz="8" w:color="0C426A"/>
            </w:tcBorders>
          </w:tcPr>
          <w:p>
            <w:pPr>
              <w:spacing w:after="0"/>
              <w:rPr>
                <w:sz w:val="24"/>
                <w:szCs w:val="24"/>
                <w:color w:val="auto"/>
              </w:rPr>
            </w:pPr>
          </w:p>
        </w:tc>
        <w:tc>
          <w:tcPr>
            <w:tcW w:w="380" w:type="dxa"/>
            <w:vAlign w:val="bottom"/>
            <w:tcBorders>
              <w:bottom w:val="single" w:sz="8" w:color="0C426A"/>
            </w:tcBorders>
          </w:tcPr>
          <w:p>
            <w:pPr>
              <w:ind w:left="60"/>
              <w:spacing w:after="0"/>
              <w:rPr>
                <w:sz w:val="20"/>
                <w:szCs w:val="20"/>
                <w:color w:val="auto"/>
              </w:rPr>
            </w:pPr>
            <w:r>
              <w:rPr>
                <w:rFonts w:ascii="Arial" w:cs="Arial" w:eastAsia="Arial" w:hAnsi="Arial"/>
                <w:sz w:val="14"/>
                <w:szCs w:val="14"/>
                <w:b w:val="1"/>
                <w:bCs w:val="1"/>
                <w:color w:val="auto"/>
                <w:w w:val="98"/>
              </w:rPr>
              <w:t>Year</w:t>
            </w:r>
          </w:p>
        </w:tc>
        <w:tc>
          <w:tcPr>
            <w:tcW w:w="40" w:type="dxa"/>
            <w:vAlign w:val="bottom"/>
            <w:tcBorders>
              <w:bottom w:val="single" w:sz="8" w:color="0C426A"/>
            </w:tcBorders>
          </w:tcPr>
          <w:p>
            <w:pPr>
              <w:spacing w:after="0"/>
              <w:rPr>
                <w:sz w:val="24"/>
                <w:szCs w:val="24"/>
                <w:color w:val="auto"/>
              </w:rPr>
            </w:pPr>
          </w:p>
        </w:tc>
        <w:tc>
          <w:tcPr>
            <w:tcW w:w="80" w:type="dxa"/>
            <w:vAlign w:val="bottom"/>
            <w:tcBorders>
              <w:bottom w:val="single" w:sz="8" w:color="0C426A"/>
            </w:tcBorders>
          </w:tcPr>
          <w:p>
            <w:pPr>
              <w:spacing w:after="0"/>
              <w:rPr>
                <w:sz w:val="24"/>
                <w:szCs w:val="24"/>
                <w:color w:val="auto"/>
              </w:rPr>
            </w:pPr>
          </w:p>
        </w:tc>
        <w:tc>
          <w:tcPr>
            <w:tcW w:w="760" w:type="dxa"/>
            <w:vAlign w:val="bottom"/>
            <w:tcBorders>
              <w:bottom w:val="single" w:sz="8" w:color="0C426A"/>
            </w:tcBorders>
            <w:gridSpan w:val="2"/>
          </w:tcPr>
          <w:p>
            <w:pPr>
              <w:jc w:val="right"/>
              <w:spacing w:after="0"/>
              <w:rPr>
                <w:sz w:val="20"/>
                <w:szCs w:val="20"/>
                <w:color w:val="auto"/>
              </w:rPr>
            </w:pPr>
            <w:r>
              <w:rPr>
                <w:rFonts w:ascii="Arial" w:cs="Arial" w:eastAsia="Arial" w:hAnsi="Arial"/>
                <w:sz w:val="14"/>
                <w:szCs w:val="14"/>
                <w:b w:val="1"/>
                <w:bCs w:val="1"/>
                <w:color w:val="auto"/>
              </w:rPr>
              <w:t>Salary ($)</w:t>
            </w:r>
          </w:p>
        </w:tc>
        <w:tc>
          <w:tcPr>
            <w:tcW w:w="40" w:type="dxa"/>
            <w:vAlign w:val="bottom"/>
            <w:tcBorders>
              <w:bottom w:val="single" w:sz="8" w:color="0C426A"/>
            </w:tcBorders>
          </w:tcPr>
          <w:p>
            <w:pPr>
              <w:spacing w:after="0"/>
              <w:rPr>
                <w:sz w:val="24"/>
                <w:szCs w:val="24"/>
                <w:color w:val="auto"/>
              </w:rPr>
            </w:pPr>
          </w:p>
        </w:tc>
        <w:tc>
          <w:tcPr>
            <w:tcW w:w="80" w:type="dxa"/>
            <w:vAlign w:val="bottom"/>
            <w:tcBorders>
              <w:bottom w:val="single" w:sz="8" w:color="0C426A"/>
            </w:tcBorders>
          </w:tcPr>
          <w:p>
            <w:pPr>
              <w:spacing w:after="0"/>
              <w:rPr>
                <w:sz w:val="24"/>
                <w:szCs w:val="24"/>
                <w:color w:val="auto"/>
              </w:rPr>
            </w:pPr>
          </w:p>
        </w:tc>
        <w:tc>
          <w:tcPr>
            <w:tcW w:w="840" w:type="dxa"/>
            <w:vAlign w:val="bottom"/>
            <w:tcBorders>
              <w:bottom w:val="single" w:sz="8" w:color="0C426A"/>
            </w:tcBorders>
            <w:gridSpan w:val="2"/>
          </w:tcPr>
          <w:p>
            <w:pPr>
              <w:jc w:val="right"/>
              <w:spacing w:after="0"/>
              <w:rPr>
                <w:sz w:val="20"/>
                <w:szCs w:val="20"/>
                <w:color w:val="auto"/>
              </w:rPr>
            </w:pPr>
            <w:r>
              <w:rPr>
                <w:rFonts w:ascii="Arial" w:cs="Arial" w:eastAsia="Arial" w:hAnsi="Arial"/>
                <w:sz w:val="14"/>
                <w:szCs w:val="14"/>
                <w:b w:val="1"/>
                <w:bCs w:val="1"/>
                <w:color w:val="auto"/>
              </w:rPr>
              <w:t>Awards ($)</w:t>
            </w:r>
            <w:r>
              <w:rPr>
                <w:rFonts w:ascii="Arial" w:cs="Arial" w:eastAsia="Arial" w:hAnsi="Arial"/>
                <w:sz w:val="23"/>
                <w:szCs w:val="23"/>
                <w:b w:val="1"/>
                <w:bCs w:val="1"/>
                <w:color w:val="auto"/>
                <w:vertAlign w:val="superscript"/>
              </w:rPr>
              <w:t>1</w:t>
            </w:r>
          </w:p>
        </w:tc>
        <w:tc>
          <w:tcPr>
            <w:tcW w:w="40" w:type="dxa"/>
            <w:vAlign w:val="bottom"/>
            <w:tcBorders>
              <w:bottom w:val="single" w:sz="8" w:color="0C426A"/>
            </w:tcBorders>
          </w:tcPr>
          <w:p>
            <w:pPr>
              <w:spacing w:after="0"/>
              <w:rPr>
                <w:sz w:val="24"/>
                <w:szCs w:val="24"/>
                <w:color w:val="auto"/>
              </w:rPr>
            </w:pPr>
          </w:p>
        </w:tc>
        <w:tc>
          <w:tcPr>
            <w:tcW w:w="80" w:type="dxa"/>
            <w:vAlign w:val="bottom"/>
            <w:tcBorders>
              <w:bottom w:val="single" w:sz="8" w:color="0C426A"/>
            </w:tcBorders>
          </w:tcPr>
          <w:p>
            <w:pPr>
              <w:spacing w:after="0"/>
              <w:rPr>
                <w:sz w:val="24"/>
                <w:szCs w:val="24"/>
                <w:color w:val="auto"/>
              </w:rPr>
            </w:pPr>
          </w:p>
        </w:tc>
        <w:tc>
          <w:tcPr>
            <w:tcW w:w="140" w:type="dxa"/>
            <w:vAlign w:val="bottom"/>
            <w:tcBorders>
              <w:bottom w:val="single" w:sz="8" w:color="0C426A"/>
            </w:tcBorders>
          </w:tcPr>
          <w:p>
            <w:pPr>
              <w:spacing w:after="0"/>
              <w:rPr>
                <w:sz w:val="24"/>
                <w:szCs w:val="24"/>
                <w:color w:val="auto"/>
              </w:rPr>
            </w:pPr>
          </w:p>
        </w:tc>
        <w:tc>
          <w:tcPr>
            <w:tcW w:w="540" w:type="dxa"/>
            <w:vAlign w:val="bottom"/>
            <w:tcBorders>
              <w:bottom w:val="single" w:sz="8" w:color="0C426A"/>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0C426A"/>
            </w:tcBorders>
          </w:tcPr>
          <w:p>
            <w:pPr>
              <w:spacing w:after="0"/>
              <w:rPr>
                <w:sz w:val="24"/>
                <w:szCs w:val="24"/>
                <w:color w:val="auto"/>
              </w:rPr>
            </w:pPr>
          </w:p>
        </w:tc>
        <w:tc>
          <w:tcPr>
            <w:tcW w:w="460" w:type="dxa"/>
            <w:vAlign w:val="bottom"/>
            <w:tcBorders>
              <w:bottom w:val="single" w:sz="8" w:color="0C426A"/>
            </w:tcBorders>
          </w:tcPr>
          <w:p>
            <w:pPr>
              <w:spacing w:after="0"/>
              <w:rPr>
                <w:sz w:val="24"/>
                <w:szCs w:val="24"/>
                <w:color w:val="auto"/>
              </w:rPr>
            </w:pPr>
          </w:p>
        </w:tc>
        <w:tc>
          <w:tcPr>
            <w:tcW w:w="560" w:type="dxa"/>
            <w:vAlign w:val="bottom"/>
            <w:tcBorders>
              <w:bottom w:val="single" w:sz="8" w:color="0C426A"/>
            </w:tcBorders>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2</w:t>
            </w:r>
          </w:p>
        </w:tc>
        <w:tc>
          <w:tcPr>
            <w:tcW w:w="60" w:type="dxa"/>
            <w:vAlign w:val="bottom"/>
            <w:tcBorders>
              <w:bottom w:val="single" w:sz="8" w:color="0C426A"/>
            </w:tcBorders>
          </w:tcPr>
          <w:p>
            <w:pPr>
              <w:spacing w:after="0"/>
              <w:rPr>
                <w:sz w:val="24"/>
                <w:szCs w:val="24"/>
                <w:color w:val="auto"/>
              </w:rPr>
            </w:pPr>
          </w:p>
        </w:tc>
        <w:tc>
          <w:tcPr>
            <w:tcW w:w="80" w:type="dxa"/>
            <w:vAlign w:val="bottom"/>
            <w:tcBorders>
              <w:bottom w:val="single" w:sz="8" w:color="0C426A"/>
            </w:tcBorders>
          </w:tcPr>
          <w:p>
            <w:pPr>
              <w:spacing w:after="0"/>
              <w:rPr>
                <w:sz w:val="24"/>
                <w:szCs w:val="24"/>
                <w:color w:val="auto"/>
              </w:rPr>
            </w:pPr>
          </w:p>
        </w:tc>
        <w:tc>
          <w:tcPr>
            <w:tcW w:w="1080" w:type="dxa"/>
            <w:vAlign w:val="bottom"/>
            <w:tcBorders>
              <w:bottom w:val="single" w:sz="8" w:color="0C426A"/>
            </w:tcBorders>
          </w:tcPr>
          <w:p>
            <w:pPr>
              <w:jc w:val="right"/>
              <w:ind w:right="3"/>
              <w:spacing w:after="0"/>
              <w:rPr>
                <w:sz w:val="20"/>
                <w:szCs w:val="20"/>
                <w:color w:val="auto"/>
              </w:rPr>
            </w:pPr>
            <w:r>
              <w:rPr>
                <w:rFonts w:ascii="Arial" w:cs="Arial" w:eastAsia="Arial" w:hAnsi="Arial"/>
                <w:sz w:val="14"/>
                <w:szCs w:val="14"/>
                <w:b w:val="1"/>
                <w:bCs w:val="1"/>
                <w:color w:val="auto"/>
              </w:rPr>
              <w:t>Earnings</w:t>
            </w:r>
            <w:r>
              <w:rPr>
                <w:rFonts w:ascii="Arial" w:cs="Arial" w:eastAsia="Arial" w:hAnsi="Arial"/>
                <w:sz w:val="23"/>
                <w:szCs w:val="23"/>
                <w:b w:val="1"/>
                <w:bCs w:val="1"/>
                <w:color w:val="auto"/>
                <w:vertAlign w:val="superscript"/>
              </w:rPr>
              <w:t>3</w:t>
            </w:r>
          </w:p>
        </w:tc>
        <w:tc>
          <w:tcPr>
            <w:tcW w:w="80" w:type="dxa"/>
            <w:vAlign w:val="bottom"/>
            <w:tcBorders>
              <w:bottom w:val="single" w:sz="8" w:color="0C426A"/>
            </w:tcBorders>
          </w:tcPr>
          <w:p>
            <w:pPr>
              <w:spacing w:after="0"/>
              <w:rPr>
                <w:sz w:val="24"/>
                <w:szCs w:val="24"/>
                <w:color w:val="auto"/>
              </w:rPr>
            </w:pPr>
          </w:p>
        </w:tc>
        <w:tc>
          <w:tcPr>
            <w:tcW w:w="1040" w:type="dxa"/>
            <w:vAlign w:val="bottom"/>
            <w:tcBorders>
              <w:bottom w:val="single" w:sz="8" w:color="0C426A"/>
            </w:tcBorders>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5</w:t>
            </w:r>
          </w:p>
        </w:tc>
        <w:tc>
          <w:tcPr>
            <w:tcW w:w="40" w:type="dxa"/>
            <w:vAlign w:val="bottom"/>
            <w:tcBorders>
              <w:bottom w:val="single" w:sz="8" w:color="0C426A"/>
            </w:tcBorders>
          </w:tcPr>
          <w:p>
            <w:pPr>
              <w:spacing w:after="0"/>
              <w:rPr>
                <w:sz w:val="24"/>
                <w:szCs w:val="24"/>
                <w:color w:val="auto"/>
              </w:rPr>
            </w:pPr>
          </w:p>
        </w:tc>
        <w:tc>
          <w:tcPr>
            <w:tcW w:w="80" w:type="dxa"/>
            <w:vAlign w:val="bottom"/>
            <w:tcBorders>
              <w:bottom w:val="single" w:sz="8" w:color="0C426A"/>
            </w:tcBorders>
          </w:tcPr>
          <w:p>
            <w:pPr>
              <w:spacing w:after="0"/>
              <w:rPr>
                <w:sz w:val="24"/>
                <w:szCs w:val="24"/>
                <w:color w:val="auto"/>
              </w:rPr>
            </w:pPr>
          </w:p>
        </w:tc>
        <w:tc>
          <w:tcPr>
            <w:tcW w:w="180" w:type="dxa"/>
            <w:vAlign w:val="bottom"/>
            <w:tcBorders>
              <w:bottom w:val="single" w:sz="8" w:color="0C426A"/>
            </w:tcBorders>
          </w:tcPr>
          <w:p>
            <w:pPr>
              <w:spacing w:after="0"/>
              <w:rPr>
                <w:sz w:val="24"/>
                <w:szCs w:val="24"/>
                <w:color w:val="auto"/>
              </w:rPr>
            </w:pPr>
          </w:p>
        </w:tc>
        <w:tc>
          <w:tcPr>
            <w:tcW w:w="660" w:type="dxa"/>
            <w:vAlign w:val="bottom"/>
            <w:tcBorders>
              <w:bottom w:val="single" w:sz="8" w:color="0C426A"/>
            </w:tcBorders>
          </w:tcPr>
          <w:p>
            <w:pPr>
              <w:jc w:val="right"/>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52"/>
        </w:trPr>
        <w:tc>
          <w:tcPr>
            <w:tcW w:w="1420" w:type="dxa"/>
            <w:vAlign w:val="bottom"/>
          </w:tcPr>
          <w:p>
            <w:pPr>
              <w:ind w:left="20"/>
              <w:spacing w:after="0"/>
              <w:rPr>
                <w:sz w:val="20"/>
                <w:szCs w:val="20"/>
                <w:color w:val="auto"/>
              </w:rPr>
            </w:pPr>
            <w:r>
              <w:rPr>
                <w:rFonts w:ascii="Arial" w:cs="Arial" w:eastAsia="Arial" w:hAnsi="Arial"/>
                <w:sz w:val="14"/>
                <w:szCs w:val="14"/>
                <w:b w:val="1"/>
                <w:bCs w:val="1"/>
                <w:color w:val="0C426A"/>
              </w:rPr>
              <w:t>Rafael Santana</w:t>
            </w:r>
          </w:p>
        </w:tc>
        <w:tc>
          <w:tcPr>
            <w:tcW w:w="60" w:type="dxa"/>
            <w:vAlign w:val="bottom"/>
          </w:tcPr>
          <w:p>
            <w:pPr>
              <w:spacing w:after="0"/>
              <w:rPr>
                <w:sz w:val="21"/>
                <w:szCs w:val="21"/>
                <w:color w:val="auto"/>
              </w:rPr>
            </w:pPr>
          </w:p>
        </w:tc>
        <w:tc>
          <w:tcPr>
            <w:tcW w:w="60" w:type="dxa"/>
            <w:vAlign w:val="bottom"/>
            <w:gridSpan w:val="2"/>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420" w:type="dxa"/>
            <w:vAlign w:val="bottom"/>
            <w:gridSpan w:val="2"/>
          </w:tcPr>
          <w:p>
            <w:pPr>
              <w:jc w:val="right"/>
              <w:ind w:right="22"/>
              <w:spacing w:after="0"/>
              <w:rPr>
                <w:sz w:val="20"/>
                <w:szCs w:val="20"/>
                <w:color w:val="auto"/>
              </w:rPr>
            </w:pPr>
            <w:r>
              <w:rPr>
                <w:rFonts w:ascii="Arial" w:cs="Arial" w:eastAsia="Arial" w:hAnsi="Arial"/>
                <w:sz w:val="14"/>
                <w:szCs w:val="14"/>
                <w:color w:val="auto"/>
              </w:rPr>
              <w:t>2023</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gridSpan w:val="3"/>
          </w:tcPr>
          <w:p>
            <w:pPr>
              <w:jc w:val="right"/>
              <w:ind w:right="22"/>
              <w:spacing w:after="0"/>
              <w:rPr>
                <w:sz w:val="20"/>
                <w:szCs w:val="20"/>
                <w:color w:val="auto"/>
              </w:rPr>
            </w:pPr>
            <w:r>
              <w:rPr>
                <w:rFonts w:ascii="Arial" w:cs="Arial" w:eastAsia="Arial" w:hAnsi="Arial"/>
                <w:sz w:val="14"/>
                <w:szCs w:val="14"/>
                <w:color w:val="auto"/>
              </w:rPr>
              <w:t>$​1,325,000</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3"/>
          </w:tcPr>
          <w:p>
            <w:pPr>
              <w:jc w:val="right"/>
              <w:ind w:right="22"/>
              <w:spacing w:after="0"/>
              <w:rPr>
                <w:sz w:val="20"/>
                <w:szCs w:val="20"/>
                <w:color w:val="auto"/>
              </w:rPr>
            </w:pPr>
            <w:r>
              <w:rPr>
                <w:rFonts w:ascii="Arial" w:cs="Arial" w:eastAsia="Arial" w:hAnsi="Arial"/>
                <w:sz w:val="14"/>
                <w:szCs w:val="14"/>
                <w:color w:val="auto"/>
              </w:rPr>
              <w:t>$10,655,185</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gridSpan w:val="3"/>
          </w:tcPr>
          <w:p>
            <w:pPr>
              <w:jc w:val="right"/>
              <w:ind w:right="31"/>
              <w:spacing w:after="0"/>
              <w:rPr>
                <w:sz w:val="20"/>
                <w:szCs w:val="20"/>
                <w:color w:val="auto"/>
              </w:rPr>
            </w:pPr>
            <w:r>
              <w:rPr>
                <w:rFonts w:ascii="Arial" w:cs="Arial" w:eastAsia="Arial" w:hAnsi="Arial"/>
                <w:sz w:val="14"/>
                <w:szCs w:val="14"/>
                <w:color w:val="auto"/>
              </w:rPr>
              <w:t>$​3,485,178</w:t>
            </w:r>
            <w:r>
              <w:rPr>
                <w:rFonts w:ascii="Times New Roman" w:cs="Times New Roman" w:eastAsia="Times New Roman" w:hAnsi="Times New Roman"/>
                <w:sz w:val="3"/>
                <w:szCs w:val="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$ 27,877​</w:t>
            </w:r>
          </w:p>
        </w:tc>
        <w:tc>
          <w:tcPr>
            <w:tcW w:w="40" w:type="dxa"/>
            <w:vAlign w:val="bottom"/>
          </w:tcPr>
          <w:p>
            <w:pPr>
              <w:jc w:val="right"/>
              <w:ind w:righ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$15,493,240</w:t>
            </w:r>
          </w:p>
        </w:tc>
        <w:tc>
          <w:tcPr>
            <w:tcW w:w="0" w:type="dxa"/>
            <w:vAlign w:val="bottom"/>
          </w:tcPr>
          <w:p>
            <w:pPr>
              <w:spacing w:after="0"/>
              <w:rPr>
                <w:sz w:val="1"/>
                <w:szCs w:val="1"/>
                <w:color w:val="auto"/>
              </w:rPr>
            </w:pPr>
          </w:p>
        </w:tc>
      </w:tr>
      <w:tr>
        <w:trPr>
          <w:trHeight w:val="76"/>
        </w:trPr>
        <w:tc>
          <w:tcPr>
            <w:tcW w:w="1420" w:type="dxa"/>
            <w:vAlign w:val="bottom"/>
            <w:vMerge w:val="restart"/>
          </w:tcPr>
          <w:p>
            <w:pPr>
              <w:ind w:left="20"/>
              <w:spacing w:after="0"/>
              <w:rPr>
                <w:sz w:val="20"/>
                <w:szCs w:val="20"/>
                <w:color w:val="auto"/>
              </w:rPr>
            </w:pPr>
            <w:r>
              <w:rPr>
                <w:rFonts w:ascii="Arial" w:cs="Arial" w:eastAsia="Arial" w:hAnsi="Arial"/>
                <w:sz w:val="14"/>
                <w:szCs w:val="14"/>
                <w:color w:val="auto"/>
              </w:rPr>
              <w:t>President and Chief</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14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gridSpan w:val="2"/>
            <w:vMerge w:val="restart"/>
          </w:tcPr>
          <w:p>
            <w:pPr>
              <w:jc w:val="right"/>
              <w:ind w:right="22"/>
              <w:spacing w:after="0"/>
              <w:rPr>
                <w:sz w:val="20"/>
                <w:szCs w:val="20"/>
                <w:color w:val="auto"/>
              </w:rPr>
            </w:pPr>
            <w:r>
              <w:rPr>
                <w:rFonts w:ascii="Arial" w:cs="Arial" w:eastAsia="Arial" w:hAnsi="Arial"/>
                <w:sz w:val="14"/>
                <w:szCs w:val="14"/>
                <w:color w:val="auto"/>
              </w:rPr>
              <w:t>2022</w:t>
            </w:r>
            <w:r>
              <w:rPr>
                <w:rFonts w:ascii="Times New Roman" w:cs="Times New Roman" w:eastAsia="Times New Roman" w:hAnsi="Times New Roman"/>
                <w:sz w:val="3"/>
                <w:szCs w:val="3"/>
                <w:color w:val="auto"/>
              </w:rPr>
              <w:t>​</w:t>
            </w:r>
          </w:p>
        </w:tc>
        <w:tc>
          <w:tcPr>
            <w:tcW w:w="80" w:type="dxa"/>
            <w:vAlign w:val="bottom"/>
          </w:tcPr>
          <w:p>
            <w:pPr>
              <w:spacing w:after="0"/>
              <w:rPr>
                <w:sz w:val="5"/>
                <w:szCs w:val="5"/>
                <w:color w:val="auto"/>
              </w:rPr>
            </w:pPr>
          </w:p>
        </w:tc>
        <w:tc>
          <w:tcPr>
            <w:tcW w:w="800" w:type="dxa"/>
            <w:vAlign w:val="bottom"/>
            <w:gridSpan w:val="3"/>
            <w:vMerge w:val="restart"/>
          </w:tcPr>
          <w:p>
            <w:pPr>
              <w:jc w:val="right"/>
              <w:ind w:right="22"/>
              <w:spacing w:after="0"/>
              <w:rPr>
                <w:sz w:val="20"/>
                <w:szCs w:val="20"/>
                <w:color w:val="auto"/>
              </w:rPr>
            </w:pPr>
            <w:r>
              <w:rPr>
                <w:rFonts w:ascii="Arial" w:cs="Arial" w:eastAsia="Arial" w:hAnsi="Arial"/>
                <w:sz w:val="14"/>
                <w:szCs w:val="14"/>
                <w:color w:val="auto"/>
              </w:rPr>
              <w:t>$1,242,308</w:t>
            </w:r>
            <w:r>
              <w:rPr>
                <w:rFonts w:ascii="Times New Roman" w:cs="Times New Roman" w:eastAsia="Times New Roman" w:hAnsi="Times New Roman"/>
                <w:sz w:val="3"/>
                <w:szCs w:val="3"/>
                <w:color w:val="auto"/>
              </w:rPr>
              <w:t>​</w:t>
            </w:r>
          </w:p>
        </w:tc>
        <w:tc>
          <w:tcPr>
            <w:tcW w:w="80" w:type="dxa"/>
            <w:vAlign w:val="bottom"/>
          </w:tcPr>
          <w:p>
            <w:pPr>
              <w:spacing w:after="0"/>
              <w:rPr>
                <w:sz w:val="5"/>
                <w:szCs w:val="5"/>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8,200,042​</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00" w:type="dxa"/>
            <w:vAlign w:val="bottom"/>
          </w:tcPr>
          <w:p>
            <w:pPr>
              <w:spacing w:after="0"/>
              <w:rPr>
                <w:sz w:val="5"/>
                <w:szCs w:val="5"/>
                <w:color w:val="auto"/>
              </w:rPr>
            </w:pPr>
          </w:p>
        </w:tc>
        <w:tc>
          <w:tcPr>
            <w:tcW w:w="1080" w:type="dxa"/>
            <w:vAlign w:val="bottom"/>
            <w:gridSpan w:val="3"/>
            <w:vMerge w:val="restart"/>
          </w:tcPr>
          <w:p>
            <w:pPr>
              <w:jc w:val="right"/>
              <w:ind w:right="31"/>
              <w:spacing w:after="0"/>
              <w:rPr>
                <w:sz w:val="20"/>
                <w:szCs w:val="20"/>
                <w:color w:val="auto"/>
              </w:rPr>
            </w:pPr>
            <w:r>
              <w:rPr>
                <w:rFonts w:ascii="Arial" w:cs="Arial" w:eastAsia="Arial" w:hAnsi="Arial"/>
                <w:sz w:val="14"/>
                <w:szCs w:val="14"/>
                <w:color w:val="auto"/>
              </w:rPr>
              <w:t>$2,222,200</w:t>
            </w:r>
            <w:r>
              <w:rPr>
                <w:rFonts w:ascii="Times New Roman" w:cs="Times New Roman" w:eastAsia="Times New Roman" w:hAnsi="Times New Roman"/>
                <w:sz w:val="3"/>
                <w:szCs w:val="3"/>
                <w:color w:val="auto"/>
              </w:rPr>
              <w:t>​</w:t>
            </w: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$ 20,922​</w:t>
            </w:r>
          </w:p>
        </w:tc>
        <w:tc>
          <w:tcPr>
            <w:tcW w:w="960" w:type="dxa"/>
            <w:vAlign w:val="bottom"/>
            <w:gridSpan w:val="4"/>
            <w:vMerge w:val="restart"/>
          </w:tcPr>
          <w:p>
            <w:pPr>
              <w:jc w:val="right"/>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color w:val="auto"/>
              </w:rPr>
              <w:t>$11,685,472</w:t>
            </w:r>
          </w:p>
        </w:tc>
        <w:tc>
          <w:tcPr>
            <w:tcW w:w="0" w:type="dxa"/>
            <w:vAlign w:val="bottom"/>
          </w:tcPr>
          <w:p>
            <w:pPr>
              <w:spacing w:after="0"/>
              <w:rPr>
                <w:sz w:val="1"/>
                <w:szCs w:val="1"/>
                <w:color w:val="auto"/>
              </w:rPr>
            </w:pPr>
          </w:p>
        </w:tc>
      </w:tr>
      <w:tr>
        <w:trPr>
          <w:trHeight w:val="189"/>
        </w:trPr>
        <w:tc>
          <w:tcPr>
            <w:tcW w:w="1420" w:type="dxa"/>
            <w:vAlign w:val="bottom"/>
          </w:tcPr>
          <w:p>
            <w:pPr>
              <w:ind w:left="20"/>
              <w:spacing w:after="0"/>
              <w:rPr>
                <w:sz w:val="20"/>
                <w:szCs w:val="20"/>
                <w:color w:val="auto"/>
              </w:rPr>
            </w:pPr>
            <w:r>
              <w:rPr>
                <w:rFonts w:ascii="Arial" w:cs="Arial" w:eastAsia="Arial" w:hAnsi="Arial"/>
                <w:sz w:val="14"/>
                <w:szCs w:val="14"/>
                <w:color w:val="auto"/>
              </w:rPr>
              <w:t>Executive Officer</w:t>
            </w: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gridSpan w:val="2"/>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420" w:type="dxa"/>
            <w:vAlign w:val="bottom"/>
            <w:gridSpan w:val="2"/>
            <w:vMerge w:val="continue"/>
          </w:tcPr>
          <w:p>
            <w:pPr>
              <w:spacing w:after="0"/>
              <w:rPr>
                <w:sz w:val="16"/>
                <w:szCs w:val="16"/>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gridSpan w:val="3"/>
            <w:vMerge w:val="continue"/>
          </w:tcPr>
          <w:p>
            <w:pPr>
              <w:spacing w:after="0"/>
              <w:rPr>
                <w:sz w:val="16"/>
                <w:szCs w:val="16"/>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gridSpan w:val="3"/>
            <w:vMerge w:val="continue"/>
          </w:tcPr>
          <w:p>
            <w:pPr>
              <w:spacing w:after="0"/>
              <w:rPr>
                <w:sz w:val="16"/>
                <w:szCs w:val="16"/>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vMerge w:val="continue"/>
          </w:tcPr>
          <w:p>
            <w:pPr>
              <w:spacing w:after="0"/>
              <w:rPr>
                <w:sz w:val="16"/>
                <w:szCs w:val="16"/>
                <w:color w:val="auto"/>
              </w:rPr>
            </w:pPr>
          </w:p>
        </w:tc>
        <w:tc>
          <w:tcPr>
            <w:tcW w:w="9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1560" w:type="dxa"/>
            <w:vAlign w:val="bottom"/>
            <w:tcBorders>
              <w:bottom w:val="single" w:sz="8" w:color="808080"/>
            </w:tcBorders>
            <w:gridSpan w:val="8"/>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gridSpan w:val="2"/>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1080" w:type="dxa"/>
            <w:vAlign w:val="bottom"/>
            <w:tcBorders>
              <w:bottom w:val="single" w:sz="8" w:color="808080"/>
            </w:tcBorders>
            <w:gridSpan w:val="3"/>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108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1040" w:type="dxa"/>
            <w:vAlign w:val="bottom"/>
            <w:tcBorders>
              <w:bottom w:val="single" w:sz="8" w:color="808080"/>
            </w:tcBorders>
          </w:tcPr>
          <w:p>
            <w:pPr>
              <w:spacing w:after="0"/>
              <w:rPr>
                <w:sz w:val="2"/>
                <w:szCs w:val="2"/>
                <w:color w:val="auto"/>
              </w:rPr>
            </w:pPr>
          </w:p>
        </w:tc>
        <w:tc>
          <w:tcPr>
            <w:tcW w:w="960" w:type="dxa"/>
            <w:vAlign w:val="bottom"/>
            <w:tcBorders>
              <w:bottom w:val="single" w:sz="8" w:color="808080"/>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gridSpan w:val="2"/>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1560" w:type="dxa"/>
            <w:vAlign w:val="bottom"/>
            <w:gridSpan w:val="8"/>
          </w:tcPr>
          <w:p>
            <w:pPr>
              <w:jc w:val="right"/>
              <w:spacing w:after="0"/>
              <w:rPr>
                <w:sz w:val="20"/>
                <w:szCs w:val="20"/>
                <w:color w:val="auto"/>
              </w:rPr>
            </w:pPr>
            <w:r>
              <w:rPr>
                <w:rFonts w:ascii="Arial" w:cs="Arial" w:eastAsia="Arial" w:hAnsi="Arial"/>
                <w:sz w:val="14"/>
                <w:szCs w:val="14"/>
                <w:color w:val="auto"/>
                <w:w w:val="96"/>
              </w:rPr>
              <w:t>2021</w:t>
            </w:r>
            <w:r>
              <w:rPr>
                <w:rFonts w:ascii="Times New Roman" w:cs="Times New Roman" w:eastAsia="Times New Roman" w:hAnsi="Times New Roman"/>
                <w:sz w:val="3"/>
                <w:szCs w:val="3"/>
                <w:color w:val="auto"/>
                <w:w w:val="96"/>
              </w:rPr>
              <w:t>​    ​</w:t>
            </w:r>
            <w:r>
              <w:rPr>
                <w:rFonts w:ascii="Arial" w:cs="Arial" w:eastAsia="Arial" w:hAnsi="Arial"/>
                <w:sz w:val="14"/>
                <w:szCs w:val="14"/>
                <w:color w:val="auto"/>
                <w:w w:val="96"/>
              </w:rPr>
              <w:t xml:space="preserve">     $1,200,000</w:t>
            </w:r>
            <w:r>
              <w:rPr>
                <w:rFonts w:ascii="Times New Roman" w:cs="Times New Roman" w:eastAsia="Times New Roman" w:hAnsi="Times New Roman"/>
                <w:sz w:val="3"/>
                <w:szCs w:val="3"/>
                <w:color w:val="auto"/>
                <w:w w:val="96"/>
              </w:rPr>
              <w:t>​    ​</w:t>
            </w:r>
            <w:r>
              <w:rPr>
                <w:rFonts w:ascii="Arial" w:cs="Arial" w:eastAsia="Arial" w:hAnsi="Arial"/>
                <w:sz w:val="14"/>
                <w:szCs w:val="14"/>
                <w:color w:val="auto"/>
                <w:w w:val="96"/>
              </w:rPr>
              <w:t xml:space="preserve">     $</w:t>
            </w:r>
          </w:p>
        </w:tc>
        <w:tc>
          <w:tcPr>
            <w:tcW w:w="660" w:type="dxa"/>
            <w:vAlign w:val="bottom"/>
          </w:tcPr>
          <w:p>
            <w:pPr>
              <w:jc w:val="right"/>
              <w:spacing w:after="0"/>
              <w:rPr>
                <w:sz w:val="20"/>
                <w:szCs w:val="20"/>
                <w:color w:val="auto"/>
              </w:rPr>
            </w:pPr>
            <w:r>
              <w:rPr>
                <w:rFonts w:ascii="Arial" w:cs="Arial" w:eastAsia="Arial" w:hAnsi="Arial"/>
                <w:sz w:val="14"/>
                <w:szCs w:val="14"/>
                <w:color w:val="auto"/>
              </w:rPr>
              <w:t>6,415,184​</w:t>
            </w: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$​786,364</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gridSpan w:val="3"/>
          </w:tcPr>
          <w:p>
            <w:pPr>
              <w:jc w:val="right"/>
              <w:ind w:right="31"/>
              <w:spacing w:after="0"/>
              <w:rPr>
                <w:sz w:val="20"/>
                <w:szCs w:val="20"/>
                <w:color w:val="auto"/>
              </w:rPr>
            </w:pPr>
            <w:r>
              <w:rPr>
                <w:rFonts w:ascii="Arial" w:cs="Arial" w:eastAsia="Arial" w:hAnsi="Arial"/>
                <w:sz w:val="14"/>
                <w:szCs w:val="14"/>
                <w:color w:val="auto"/>
              </w:rPr>
              <w:t>$2,606,580</w:t>
            </w:r>
            <w:r>
              <w:rPr>
                <w:rFonts w:ascii="Times New Roman" w:cs="Times New Roman" w:eastAsia="Times New Roman" w:hAnsi="Times New Roman"/>
                <w:sz w:val="3"/>
                <w:szCs w:val="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$ 19,110​</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color w:val="auto"/>
              </w:rPr>
              <w:t>$11,027,238</w:t>
            </w:r>
          </w:p>
        </w:tc>
        <w:tc>
          <w:tcPr>
            <w:tcW w:w="0" w:type="dxa"/>
            <w:vAlign w:val="bottom"/>
          </w:tcPr>
          <w:p>
            <w:pPr>
              <w:spacing w:after="0"/>
              <w:rPr>
                <w:sz w:val="1"/>
                <w:szCs w:val="1"/>
                <w:color w:val="auto"/>
              </w:rPr>
            </w:pPr>
          </w:p>
        </w:tc>
      </w:tr>
      <w:tr>
        <w:trPr>
          <w:trHeight w:val="48"/>
        </w:trPr>
        <w:tc>
          <w:tcPr>
            <w:tcW w:w="14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gridSpan w:val="2"/>
          </w:tcPr>
          <w:p>
            <w:pPr>
              <w:spacing w:after="0"/>
              <w:rPr>
                <w:sz w:val="4"/>
                <w:szCs w:val="4"/>
                <w:color w:val="auto"/>
              </w:rPr>
            </w:pPr>
          </w:p>
        </w:tc>
        <w:tc>
          <w:tcPr>
            <w:tcW w:w="420" w:type="dxa"/>
            <w:vAlign w:val="bottom"/>
            <w:tcBorders>
              <w:bottom w:val="single" w:sz="8" w:color="808080"/>
            </w:tcBorders>
            <w:gridSpan w:val="2"/>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gridSpan w:val="2"/>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gridSpan w:val="2"/>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gridSpan w:val="3"/>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1420" w:type="dxa"/>
            <w:vAlign w:val="bottom"/>
          </w:tcPr>
          <w:p>
            <w:pPr>
              <w:ind w:left="20"/>
              <w:spacing w:after="0"/>
              <w:rPr>
                <w:sz w:val="20"/>
                <w:szCs w:val="20"/>
                <w:color w:val="auto"/>
              </w:rPr>
            </w:pPr>
            <w:r>
              <w:rPr>
                <w:rFonts w:ascii="Arial" w:cs="Arial" w:eastAsia="Arial" w:hAnsi="Arial"/>
                <w:sz w:val="14"/>
                <w:szCs w:val="14"/>
                <w:b w:val="1"/>
                <w:bCs w:val="1"/>
                <w:color w:val="0C426A"/>
              </w:rPr>
              <w:t>John Olin</w:t>
            </w:r>
          </w:p>
        </w:tc>
        <w:tc>
          <w:tcPr>
            <w:tcW w:w="60" w:type="dxa"/>
            <w:vAlign w:val="bottom"/>
          </w:tcPr>
          <w:p>
            <w:pPr>
              <w:spacing w:after="0"/>
              <w:rPr>
                <w:sz w:val="18"/>
                <w:szCs w:val="18"/>
                <w:color w:val="auto"/>
              </w:rPr>
            </w:pPr>
          </w:p>
        </w:tc>
        <w:tc>
          <w:tcPr>
            <w:tcW w:w="60" w:type="dxa"/>
            <w:vAlign w:val="bottom"/>
            <w:gridSpan w:val="2"/>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420" w:type="dxa"/>
            <w:vAlign w:val="bottom"/>
            <w:gridSpan w:val="2"/>
          </w:tcPr>
          <w:p>
            <w:pPr>
              <w:jc w:val="right"/>
              <w:ind w:right="22"/>
              <w:spacing w:after="0"/>
              <w:rPr>
                <w:sz w:val="20"/>
                <w:szCs w:val="20"/>
                <w:color w:val="auto"/>
              </w:rPr>
            </w:pPr>
            <w:r>
              <w:rPr>
                <w:rFonts w:ascii="Arial" w:cs="Arial" w:eastAsia="Arial" w:hAnsi="Arial"/>
                <w:sz w:val="14"/>
                <w:szCs w:val="14"/>
                <w:color w:val="auto"/>
              </w:rPr>
              <w:t>2023</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2"/>
              <w:spacing w:after="0"/>
              <w:rPr>
                <w:sz w:val="20"/>
                <w:szCs w:val="20"/>
                <w:color w:val="auto"/>
              </w:rPr>
            </w:pPr>
            <w:r>
              <w:rPr>
                <w:rFonts w:ascii="Arial" w:cs="Arial" w:eastAsia="Arial" w:hAnsi="Arial"/>
                <w:sz w:val="14"/>
                <w:szCs w:val="14"/>
                <w:color w:val="auto"/>
              </w:rPr>
              <w:t>765,000</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
              <w:spacing w:after="0"/>
              <w:rPr>
                <w:sz w:val="20"/>
                <w:szCs w:val="20"/>
                <w:color w:val="auto"/>
              </w:rPr>
            </w:pPr>
            <w:r>
              <w:rPr>
                <w:rFonts w:ascii="Arial" w:cs="Arial" w:eastAsia="Arial" w:hAnsi="Arial"/>
                <w:sz w:val="14"/>
                <w:szCs w:val="14"/>
                <w:color w:val="auto"/>
              </w:rPr>
              <w:t>2,523,752</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7"/>
                <w:szCs w:val="7"/>
                <w:color w:val="auto"/>
                <w:vertAlign w:val="superscript"/>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gridSpan w:val="3"/>
          </w:tcPr>
          <w:p>
            <w:pPr>
              <w:jc w:val="right"/>
              <w:ind w:right="31"/>
              <w:spacing w:after="0"/>
              <w:rPr>
                <w:sz w:val="20"/>
                <w:szCs w:val="20"/>
                <w:color w:val="auto"/>
              </w:rPr>
            </w:pPr>
            <w:r>
              <w:rPr>
                <w:rFonts w:ascii="Arial" w:cs="Arial" w:eastAsia="Arial" w:hAnsi="Arial"/>
                <w:sz w:val="14"/>
                <w:szCs w:val="14"/>
                <w:color w:val="auto"/>
              </w:rPr>
              <w:t>$​1,257,623</w:t>
            </w:r>
            <w:r>
              <w:rPr>
                <w:rFonts w:ascii="Times New Roman" w:cs="Times New Roman" w:eastAsia="Times New Roman" w:hAnsi="Times New Roman"/>
                <w:sz w:val="3"/>
                <w:szCs w:val="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ind w:right="3"/>
              <w:spacing w:after="0"/>
              <w:rPr>
                <w:sz w:val="20"/>
                <w:szCs w:val="20"/>
                <w:color w:val="auto"/>
              </w:rPr>
            </w:pPr>
            <w:r>
              <w:rPr>
                <w:rFonts w:ascii="Arial" w:cs="Arial" w:eastAsia="Arial" w:hAnsi="Arial"/>
                <w:sz w:val="14"/>
                <w:szCs w:val="14"/>
                <w:color w:val="auto"/>
              </w:rPr>
              <w:t>$2,427</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$ 30,597​</w:t>
            </w:r>
          </w:p>
        </w:tc>
        <w:tc>
          <w:tcPr>
            <w:tcW w:w="40" w:type="dxa"/>
            <w:vAlign w:val="bottom"/>
          </w:tcPr>
          <w:p>
            <w:pPr>
              <w:jc w:val="right"/>
              <w:ind w:righ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4,579,399​</w:t>
            </w:r>
          </w:p>
        </w:tc>
        <w:tc>
          <w:tcPr>
            <w:tcW w:w="0" w:type="dxa"/>
            <w:vAlign w:val="bottom"/>
          </w:tcPr>
          <w:p>
            <w:pPr>
              <w:spacing w:after="0"/>
              <w:rPr>
                <w:sz w:val="1"/>
                <w:szCs w:val="1"/>
                <w:color w:val="auto"/>
              </w:rPr>
            </w:pPr>
          </w:p>
        </w:tc>
      </w:tr>
      <w:tr>
        <w:trPr>
          <w:trHeight w:val="76"/>
        </w:trPr>
        <w:tc>
          <w:tcPr>
            <w:tcW w:w="1420" w:type="dxa"/>
            <w:vAlign w:val="bottom"/>
            <w:vMerge w:val="restart"/>
          </w:tcPr>
          <w:p>
            <w:pPr>
              <w:ind w:left="20"/>
              <w:spacing w:after="0"/>
              <w:rPr>
                <w:sz w:val="20"/>
                <w:szCs w:val="20"/>
                <w:color w:val="auto"/>
              </w:rPr>
            </w:pPr>
            <w:r>
              <w:rPr>
                <w:rFonts w:ascii="Arial" w:cs="Arial" w:eastAsia="Arial" w:hAnsi="Arial"/>
                <w:sz w:val="14"/>
                <w:szCs w:val="14"/>
                <w:color w:val="auto"/>
              </w:rPr>
              <w:t>Executive Vice</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14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gridSpan w:val="2"/>
            <w:vMerge w:val="restart"/>
          </w:tcPr>
          <w:p>
            <w:pPr>
              <w:jc w:val="right"/>
              <w:ind w:right="22"/>
              <w:spacing w:after="0"/>
              <w:rPr>
                <w:sz w:val="20"/>
                <w:szCs w:val="20"/>
                <w:color w:val="auto"/>
              </w:rPr>
            </w:pPr>
            <w:r>
              <w:rPr>
                <w:rFonts w:ascii="Arial" w:cs="Arial" w:eastAsia="Arial" w:hAnsi="Arial"/>
                <w:sz w:val="14"/>
                <w:szCs w:val="14"/>
                <w:color w:val="auto"/>
              </w:rPr>
              <w:t>2022</w:t>
            </w:r>
            <w:r>
              <w:rPr>
                <w:rFonts w:ascii="Times New Roman" w:cs="Times New Roman" w:eastAsia="Times New Roman" w:hAnsi="Times New Roman"/>
                <w:sz w:val="3"/>
                <w:szCs w:val="3"/>
                <w:color w:val="auto"/>
              </w:rPr>
              <w:t>​</w:t>
            </w:r>
          </w:p>
        </w:tc>
        <w:tc>
          <w:tcPr>
            <w:tcW w:w="80" w:type="dxa"/>
            <w:vAlign w:val="bottom"/>
          </w:tcPr>
          <w:p>
            <w:pPr>
              <w:spacing w:after="0"/>
              <w:rPr>
                <w:sz w:val="5"/>
                <w:szCs w:val="5"/>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750,000​</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2,000,056​</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00" w:type="dxa"/>
            <w:vAlign w:val="bottom"/>
          </w:tcPr>
          <w:p>
            <w:pPr>
              <w:spacing w:after="0"/>
              <w:rPr>
                <w:sz w:val="5"/>
                <w:szCs w:val="5"/>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833,325​</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$ 25,000​</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3,608,381​</w:t>
            </w:r>
          </w:p>
        </w:tc>
        <w:tc>
          <w:tcPr>
            <w:tcW w:w="0" w:type="dxa"/>
            <w:vAlign w:val="bottom"/>
          </w:tcPr>
          <w:p>
            <w:pPr>
              <w:spacing w:after="0"/>
              <w:rPr>
                <w:sz w:val="1"/>
                <w:szCs w:val="1"/>
                <w:color w:val="auto"/>
              </w:rPr>
            </w:pPr>
          </w:p>
        </w:tc>
      </w:tr>
      <w:tr>
        <w:trPr>
          <w:trHeight w:val="161"/>
        </w:trPr>
        <w:tc>
          <w:tcPr>
            <w:tcW w:w="1420" w:type="dxa"/>
            <w:vAlign w:val="bottom"/>
          </w:tcPr>
          <w:p>
            <w:pPr>
              <w:ind w:left="20"/>
              <w:spacing w:after="0"/>
              <w:rPr>
                <w:sz w:val="20"/>
                <w:szCs w:val="20"/>
                <w:color w:val="auto"/>
              </w:rPr>
            </w:pPr>
            <w:r>
              <w:rPr>
                <w:rFonts w:ascii="Arial" w:cs="Arial" w:eastAsia="Arial" w:hAnsi="Arial"/>
                <w:sz w:val="14"/>
                <w:szCs w:val="14"/>
                <w:color w:val="auto"/>
              </w:rPr>
              <w:t>President and Chief</w:t>
            </w: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gridSpan w:val="2"/>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420" w:type="dxa"/>
            <w:vAlign w:val="bottom"/>
            <w:gridSpan w:val="2"/>
            <w:vMerge w:val="continue"/>
          </w:tcPr>
          <w:p>
            <w:pPr>
              <w:spacing w:after="0"/>
              <w:rPr>
                <w:sz w:val="13"/>
                <w:szCs w:val="13"/>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vMerge w:val="continue"/>
          </w:tcPr>
          <w:p>
            <w:pPr>
              <w:spacing w:after="0"/>
              <w:rPr>
                <w:sz w:val="13"/>
                <w:szCs w:val="13"/>
                <w:color w:val="auto"/>
              </w:rPr>
            </w:pPr>
          </w:p>
        </w:tc>
        <w:tc>
          <w:tcPr>
            <w:tcW w:w="40" w:type="dxa"/>
            <w:vAlign w:val="bottom"/>
          </w:tcPr>
          <w:p>
            <w:pPr>
              <w:jc w:val="right"/>
              <w:ind w:righ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420" w:type="dxa"/>
            <w:vAlign w:val="bottom"/>
            <w:vMerge w:val="restart"/>
          </w:tcPr>
          <w:p>
            <w:pPr>
              <w:ind w:left="20"/>
              <w:spacing w:after="0"/>
              <w:rPr>
                <w:sz w:val="20"/>
                <w:szCs w:val="20"/>
                <w:color w:val="auto"/>
              </w:rPr>
            </w:pPr>
            <w:r>
              <w:rPr>
                <w:rFonts w:ascii="Arial" w:cs="Arial" w:eastAsia="Arial" w:hAnsi="Arial"/>
                <w:sz w:val="14"/>
                <w:szCs w:val="14"/>
                <w:color w:val="auto"/>
              </w:rPr>
              <w:t>Financial Officer</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08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04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14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gridSpan w:val="2"/>
            <w:vMerge w:val="restart"/>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420" w:type="dxa"/>
            <w:vAlign w:val="bottom"/>
            <w:gridSpan w:val="2"/>
            <w:vMerge w:val="restart"/>
          </w:tcPr>
          <w:p>
            <w:pPr>
              <w:jc w:val="right"/>
              <w:ind w:right="22"/>
              <w:spacing w:after="0"/>
              <w:rPr>
                <w:sz w:val="20"/>
                <w:szCs w:val="20"/>
                <w:color w:val="auto"/>
              </w:rPr>
            </w:pPr>
            <w:r>
              <w:rPr>
                <w:rFonts w:ascii="Arial" w:cs="Arial" w:eastAsia="Arial" w:hAnsi="Arial"/>
                <w:sz w:val="14"/>
                <w:szCs w:val="14"/>
                <w:color w:val="auto"/>
              </w:rPr>
              <w:t>2021</w:t>
            </w:r>
            <w:r>
              <w:rPr>
                <w:rFonts w:ascii="Times New Roman" w:cs="Times New Roman" w:eastAsia="Times New Roman" w:hAnsi="Times New Roman"/>
                <w:sz w:val="3"/>
                <w:szCs w:val="3"/>
                <w:color w:val="auto"/>
              </w:rPr>
              <w: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jc w:val="right"/>
              <w:ind w:right="22"/>
              <w:spacing w:after="0"/>
              <w:rPr>
                <w:sz w:val="20"/>
                <w:szCs w:val="20"/>
                <w:color w:val="auto"/>
              </w:rPr>
            </w:pPr>
            <w:r>
              <w:rPr>
                <w:rFonts w:ascii="Arial" w:cs="Arial" w:eastAsia="Arial" w:hAnsi="Arial"/>
                <w:sz w:val="14"/>
                <w:szCs w:val="14"/>
                <w:color w:val="auto"/>
              </w:rPr>
              <w:t>259,615</w:t>
            </w:r>
            <w:r>
              <w:rPr>
                <w:rFonts w:ascii="Times New Roman" w:cs="Times New Roman" w:eastAsia="Times New Roman" w:hAnsi="Times New Roman"/>
                <w:sz w:val="3"/>
                <w:szCs w:val="3"/>
                <w:color w:val="auto"/>
              </w:rPr>
              <w: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22"/>
              <w:spacing w:after="0"/>
              <w:rPr>
                <w:sz w:val="20"/>
                <w:szCs w:val="20"/>
                <w:color w:val="auto"/>
              </w:rPr>
            </w:pPr>
            <w:r>
              <w:rPr>
                <w:rFonts w:ascii="Arial" w:cs="Arial" w:eastAsia="Arial" w:hAnsi="Arial"/>
                <w:sz w:val="14"/>
                <w:szCs w:val="14"/>
                <w:color w:val="auto"/>
              </w:rPr>
              <w:t>1,000,032</w:t>
            </w:r>
            <w:r>
              <w:rPr>
                <w:rFonts w:ascii="Times New Roman" w:cs="Times New Roman" w:eastAsia="Times New Roman" w:hAnsi="Times New Roman"/>
                <w:sz w:val="3"/>
                <w:szCs w:val="3"/>
                <w:color w:val="auto"/>
              </w:rPr>
              <w: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7"/>
                <w:szCs w:val="7"/>
                <w:color w:val="auto"/>
                <w:vertAlign w:val="superscript"/>
              </w:rPr>
              <w:t>​</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jc w:val="right"/>
              <w:ind w:right="31"/>
              <w:spacing w:after="0"/>
              <w:rPr>
                <w:sz w:val="20"/>
                <w:szCs w:val="20"/>
                <w:color w:val="auto"/>
              </w:rPr>
            </w:pPr>
            <w:r>
              <w:rPr>
                <w:rFonts w:ascii="Arial" w:cs="Arial" w:eastAsia="Arial" w:hAnsi="Arial"/>
                <w:sz w:val="14"/>
                <w:szCs w:val="14"/>
                <w:color w:val="auto"/>
              </w:rPr>
              <w:t>368,968</w:t>
            </w:r>
            <w:r>
              <w:rPr>
                <w:rFonts w:ascii="Times New Roman" w:cs="Times New Roman" w:eastAsia="Times New Roman" w:hAnsi="Times New Roman"/>
                <w:sz w:val="3"/>
                <w:szCs w:val="3"/>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vMerge w:val="restart"/>
          </w:tcPr>
          <w:p>
            <w:pPr>
              <w:jc w:val="right"/>
              <w:ind w:right="3"/>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gridSpan w:val="4"/>
            <w:vMerge w:val="restart"/>
          </w:tcPr>
          <w:p>
            <w:pPr>
              <w:jc w:val="right"/>
              <w:spacing w:after="0"/>
              <w:rPr>
                <w:sz w:val="20"/>
                <w:szCs w:val="20"/>
                <w:color w:val="auto"/>
              </w:rPr>
            </w:pPr>
            <w:r>
              <w:rPr>
                <w:rFonts w:ascii="Arial" w:cs="Arial" w:eastAsia="Arial" w:hAnsi="Arial"/>
                <w:sz w:val="14"/>
                <w:szCs w:val="14"/>
                <w:color w:val="auto"/>
              </w:rPr>
              <w:t>$115,957</w:t>
            </w:r>
            <w:r>
              <w:rPr>
                <w:rFonts w:ascii="Times New Roman" w:cs="Times New Roman" w:eastAsia="Times New Roman" w:hAnsi="Times New Roman"/>
                <w:sz w:val="3"/>
                <w:szCs w:val="3"/>
                <w:color w:val="auto"/>
              </w:rPr>
              <w:t>​    ​</w:t>
            </w:r>
            <w:r>
              <w:rPr>
                <w:rFonts w:ascii="Arial" w:cs="Arial" w:eastAsia="Arial" w:hAnsi="Arial"/>
                <w:sz w:val="14"/>
                <w:szCs w:val="14"/>
                <w:color w:val="auto"/>
              </w:rPr>
              <w:t xml:space="preserve">     $</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1,744,572</w:t>
            </w:r>
          </w:p>
        </w:tc>
        <w:tc>
          <w:tcPr>
            <w:tcW w:w="0" w:type="dxa"/>
            <w:vAlign w:val="bottom"/>
          </w:tcPr>
          <w:p>
            <w:pPr>
              <w:spacing w:after="0"/>
              <w:rPr>
                <w:sz w:val="1"/>
                <w:szCs w:val="1"/>
                <w:color w:val="auto"/>
              </w:rPr>
            </w:pPr>
          </w:p>
        </w:tc>
      </w:tr>
      <w:tr>
        <w:trPr>
          <w:trHeight w:val="134"/>
        </w:trPr>
        <w:tc>
          <w:tcPr>
            <w:tcW w:w="1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gridSpan w:val="2"/>
            <w:vMerge w:val="continue"/>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340" w:type="dxa"/>
            <w:vAlign w:val="bottom"/>
            <w:gridSpan w:val="4"/>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14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gridSpan w:val="2"/>
          </w:tcPr>
          <w:p>
            <w:pPr>
              <w:spacing w:after="0"/>
              <w:rPr>
                <w:sz w:val="4"/>
                <w:szCs w:val="4"/>
                <w:color w:val="auto"/>
              </w:rPr>
            </w:pPr>
          </w:p>
        </w:tc>
        <w:tc>
          <w:tcPr>
            <w:tcW w:w="420" w:type="dxa"/>
            <w:vAlign w:val="bottom"/>
            <w:tcBorders>
              <w:bottom w:val="single" w:sz="8" w:color="808080"/>
            </w:tcBorders>
            <w:gridSpan w:val="2"/>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gridSpan w:val="2"/>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gridSpan w:val="2"/>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1420" w:type="dxa"/>
            <w:vAlign w:val="bottom"/>
          </w:tcPr>
          <w:p>
            <w:pPr>
              <w:ind w:left="20"/>
              <w:spacing w:after="0"/>
              <w:rPr>
                <w:sz w:val="20"/>
                <w:szCs w:val="20"/>
                <w:color w:val="auto"/>
              </w:rPr>
            </w:pPr>
            <w:r>
              <w:rPr>
                <w:rFonts w:ascii="Arial" w:cs="Arial" w:eastAsia="Arial" w:hAnsi="Arial"/>
                <w:sz w:val="14"/>
                <w:szCs w:val="14"/>
                <w:b w:val="1"/>
                <w:bCs w:val="1"/>
                <w:color w:val="0C426A"/>
              </w:rPr>
              <w:t>David L. DeNinno</w:t>
            </w:r>
          </w:p>
        </w:tc>
        <w:tc>
          <w:tcPr>
            <w:tcW w:w="60" w:type="dxa"/>
            <w:vAlign w:val="bottom"/>
          </w:tcPr>
          <w:p>
            <w:pPr>
              <w:spacing w:after="0"/>
              <w:rPr>
                <w:sz w:val="18"/>
                <w:szCs w:val="18"/>
                <w:color w:val="auto"/>
              </w:rPr>
            </w:pPr>
          </w:p>
        </w:tc>
        <w:tc>
          <w:tcPr>
            <w:tcW w:w="60" w:type="dxa"/>
            <w:vAlign w:val="bottom"/>
            <w:gridSpan w:val="2"/>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420" w:type="dxa"/>
            <w:vAlign w:val="bottom"/>
            <w:gridSpan w:val="2"/>
          </w:tcPr>
          <w:p>
            <w:pPr>
              <w:jc w:val="right"/>
              <w:ind w:right="22"/>
              <w:spacing w:after="0"/>
              <w:rPr>
                <w:sz w:val="20"/>
                <w:szCs w:val="20"/>
                <w:color w:val="auto"/>
              </w:rPr>
            </w:pPr>
            <w:r>
              <w:rPr>
                <w:rFonts w:ascii="Arial" w:cs="Arial" w:eastAsia="Arial" w:hAnsi="Arial"/>
                <w:sz w:val="14"/>
                <w:szCs w:val="14"/>
                <w:color w:val="auto"/>
              </w:rPr>
              <w:t>2023</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2"/>
              <w:spacing w:after="0"/>
              <w:rPr>
                <w:sz w:val="20"/>
                <w:szCs w:val="20"/>
                <w:color w:val="auto"/>
              </w:rPr>
            </w:pPr>
            <w:r>
              <w:rPr>
                <w:rFonts w:ascii="Arial" w:cs="Arial" w:eastAsia="Arial" w:hAnsi="Arial"/>
                <w:sz w:val="14"/>
                <w:szCs w:val="14"/>
                <w:color w:val="auto"/>
              </w:rPr>
              <w:t>650,000</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
              <w:spacing w:after="0"/>
              <w:rPr>
                <w:sz w:val="20"/>
                <w:szCs w:val="20"/>
                <w:color w:val="auto"/>
              </w:rPr>
            </w:pPr>
            <w:r>
              <w:rPr>
                <w:rFonts w:ascii="Arial" w:cs="Arial" w:eastAsia="Arial" w:hAnsi="Arial"/>
                <w:sz w:val="14"/>
                <w:szCs w:val="14"/>
                <w:color w:val="auto"/>
              </w:rPr>
              <w:t>1,388,053</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854,855​</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$ 56,846​</w:t>
            </w:r>
          </w:p>
        </w:tc>
        <w:tc>
          <w:tcPr>
            <w:tcW w:w="40" w:type="dxa"/>
            <w:vAlign w:val="bottom"/>
          </w:tcPr>
          <w:p>
            <w:pPr>
              <w:jc w:val="right"/>
              <w:ind w:righ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2,949,754​</w:t>
            </w:r>
          </w:p>
        </w:tc>
        <w:tc>
          <w:tcPr>
            <w:tcW w:w="0" w:type="dxa"/>
            <w:vAlign w:val="bottom"/>
          </w:tcPr>
          <w:p>
            <w:pPr>
              <w:spacing w:after="0"/>
              <w:rPr>
                <w:sz w:val="1"/>
                <w:szCs w:val="1"/>
                <w:color w:val="auto"/>
              </w:rPr>
            </w:pPr>
          </w:p>
        </w:tc>
      </w:tr>
      <w:tr>
        <w:trPr>
          <w:trHeight w:val="76"/>
        </w:trPr>
        <w:tc>
          <w:tcPr>
            <w:tcW w:w="1420" w:type="dxa"/>
            <w:vAlign w:val="bottom"/>
            <w:vMerge w:val="restart"/>
          </w:tcPr>
          <w:p>
            <w:pPr>
              <w:ind w:left="20"/>
              <w:spacing w:after="0"/>
              <w:rPr>
                <w:sz w:val="20"/>
                <w:szCs w:val="20"/>
                <w:color w:val="auto"/>
              </w:rPr>
            </w:pPr>
            <w:r>
              <w:rPr>
                <w:rFonts w:ascii="Arial" w:cs="Arial" w:eastAsia="Arial" w:hAnsi="Arial"/>
                <w:sz w:val="14"/>
                <w:szCs w:val="14"/>
                <w:color w:val="auto"/>
              </w:rPr>
              <w:t>Executive Vice</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14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420" w:type="dxa"/>
            <w:vAlign w:val="bottom"/>
          </w:tcPr>
          <w:p>
            <w:pPr>
              <w:ind w:left="20"/>
              <w:spacing w:after="0"/>
              <w:rPr>
                <w:sz w:val="20"/>
                <w:szCs w:val="20"/>
                <w:color w:val="auto"/>
              </w:rPr>
            </w:pPr>
            <w:r>
              <w:rPr>
                <w:rFonts w:ascii="Arial" w:cs="Arial" w:eastAsia="Arial" w:hAnsi="Arial"/>
                <w:sz w:val="14"/>
                <w:szCs w:val="14"/>
                <w:color w:val="auto"/>
              </w:rPr>
              <w:t>President, General</w:t>
            </w: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gridSpan w:val="2"/>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420" w:type="dxa"/>
            <w:vAlign w:val="bottom"/>
            <w:gridSpan w:val="2"/>
          </w:tcPr>
          <w:p>
            <w:pPr>
              <w:jc w:val="right"/>
              <w:ind w:right="22"/>
              <w:spacing w:after="0"/>
              <w:rPr>
                <w:sz w:val="20"/>
                <w:szCs w:val="20"/>
                <w:color w:val="auto"/>
              </w:rPr>
            </w:pPr>
            <w:r>
              <w:rPr>
                <w:rFonts w:ascii="Arial" w:cs="Arial" w:eastAsia="Arial" w:hAnsi="Arial"/>
                <w:sz w:val="14"/>
                <w:szCs w:val="14"/>
                <w:color w:val="auto"/>
              </w:rPr>
              <w:t>2022</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2"/>
              <w:spacing w:after="0"/>
              <w:rPr>
                <w:sz w:val="20"/>
                <w:szCs w:val="20"/>
                <w:color w:val="auto"/>
              </w:rPr>
            </w:pPr>
            <w:r>
              <w:rPr>
                <w:rFonts w:ascii="Arial" w:cs="Arial" w:eastAsia="Arial" w:hAnsi="Arial"/>
                <w:sz w:val="14"/>
                <w:szCs w:val="14"/>
                <w:color w:val="auto"/>
              </w:rPr>
              <w:t>637,692</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
              <w:spacing w:after="0"/>
              <w:rPr>
                <w:sz w:val="20"/>
                <w:szCs w:val="20"/>
                <w:color w:val="auto"/>
              </w:rPr>
            </w:pPr>
            <w:r>
              <w:rPr>
                <w:rFonts w:ascii="Arial" w:cs="Arial" w:eastAsia="Arial" w:hAnsi="Arial"/>
                <w:sz w:val="14"/>
                <w:szCs w:val="14"/>
                <w:color w:val="auto"/>
              </w:rPr>
              <w:t>1,249,965</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568,883​</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$ 52,420​</w:t>
            </w:r>
          </w:p>
        </w:tc>
        <w:tc>
          <w:tcPr>
            <w:tcW w:w="40" w:type="dxa"/>
            <w:vAlign w:val="bottom"/>
          </w:tcPr>
          <w:p>
            <w:pPr>
              <w:jc w:val="right"/>
              <w:ind w:righ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2,508,960</w:t>
            </w:r>
          </w:p>
        </w:tc>
        <w:tc>
          <w:tcPr>
            <w:tcW w:w="0" w:type="dxa"/>
            <w:vAlign w:val="bottom"/>
          </w:tcPr>
          <w:p>
            <w:pPr>
              <w:spacing w:after="0"/>
              <w:rPr>
                <w:sz w:val="1"/>
                <w:szCs w:val="1"/>
                <w:color w:val="auto"/>
              </w:rPr>
            </w:pPr>
          </w:p>
        </w:tc>
      </w:tr>
      <w:tr>
        <w:trPr>
          <w:trHeight w:val="76"/>
        </w:trPr>
        <w:tc>
          <w:tcPr>
            <w:tcW w:w="1420" w:type="dxa"/>
            <w:vAlign w:val="bottom"/>
            <w:vMerge w:val="restart"/>
          </w:tcPr>
          <w:p>
            <w:pPr>
              <w:ind w:left="20"/>
              <w:spacing w:after="0"/>
              <w:rPr>
                <w:sz w:val="20"/>
                <w:szCs w:val="20"/>
                <w:color w:val="auto"/>
              </w:rPr>
            </w:pPr>
            <w:r>
              <w:rPr>
                <w:rFonts w:ascii="Arial" w:cs="Arial" w:eastAsia="Arial" w:hAnsi="Arial"/>
                <w:sz w:val="14"/>
                <w:szCs w:val="14"/>
                <w:color w:val="auto"/>
              </w:rPr>
              <w:t>Counsel and</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14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420" w:type="dxa"/>
            <w:vAlign w:val="bottom"/>
          </w:tcPr>
          <w:p>
            <w:pPr>
              <w:ind w:left="20"/>
              <w:spacing w:after="0"/>
              <w:rPr>
                <w:sz w:val="20"/>
                <w:szCs w:val="20"/>
                <w:color w:val="auto"/>
              </w:rPr>
            </w:pPr>
            <w:r>
              <w:rPr>
                <w:rFonts w:ascii="Arial" w:cs="Arial" w:eastAsia="Arial" w:hAnsi="Arial"/>
                <w:sz w:val="14"/>
                <w:szCs w:val="14"/>
                <w:color w:val="auto"/>
              </w:rPr>
              <w:t>Secretary</w:t>
            </w:r>
          </w:p>
        </w:tc>
        <w:tc>
          <w:tcPr>
            <w:tcW w:w="60" w:type="dxa"/>
            <w:vAlign w:val="bottom"/>
          </w:tcPr>
          <w:p>
            <w:pPr>
              <w:spacing w:after="0"/>
              <w:rPr>
                <w:sz w:val="16"/>
                <w:szCs w:val="16"/>
                <w:color w:val="auto"/>
              </w:rPr>
            </w:pPr>
          </w:p>
        </w:tc>
        <w:tc>
          <w:tcPr>
            <w:tcW w:w="60" w:type="dxa"/>
            <w:vAlign w:val="bottom"/>
            <w:gridSpan w:val="2"/>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420" w:type="dxa"/>
            <w:vAlign w:val="bottom"/>
            <w:gridSpan w:val="2"/>
          </w:tcPr>
          <w:p>
            <w:pPr>
              <w:jc w:val="right"/>
              <w:ind w:right="22"/>
              <w:spacing w:after="0"/>
              <w:rPr>
                <w:sz w:val="20"/>
                <w:szCs w:val="20"/>
                <w:color w:val="auto"/>
              </w:rPr>
            </w:pPr>
            <w:r>
              <w:rPr>
                <w:rFonts w:ascii="Arial" w:cs="Arial" w:eastAsia="Arial" w:hAnsi="Arial"/>
                <w:sz w:val="14"/>
                <w:szCs w:val="14"/>
                <w:color w:val="auto"/>
              </w:rPr>
              <w:t>2021</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2"/>
              <w:spacing w:after="0"/>
              <w:rPr>
                <w:sz w:val="20"/>
                <w:szCs w:val="20"/>
                <w:color w:val="auto"/>
              </w:rPr>
            </w:pPr>
            <w:r>
              <w:rPr>
                <w:rFonts w:ascii="Arial" w:cs="Arial" w:eastAsia="Arial" w:hAnsi="Arial"/>
                <w:sz w:val="14"/>
                <w:szCs w:val="14"/>
                <w:color w:val="auto"/>
              </w:rPr>
              <w:t>625,000</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1,091,463​</w:t>
            </w: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$133,804</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724,050​</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$ 48,769​</w:t>
            </w:r>
          </w:p>
        </w:tc>
        <w:tc>
          <w:tcPr>
            <w:tcW w:w="40" w:type="dxa"/>
            <w:vAlign w:val="bottom"/>
          </w:tcPr>
          <w:p>
            <w:pPr>
              <w:jc w:val="right"/>
              <w:ind w:righ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2,623,086</w:t>
            </w:r>
          </w:p>
        </w:tc>
        <w:tc>
          <w:tcPr>
            <w:tcW w:w="0" w:type="dxa"/>
            <w:vAlign w:val="bottom"/>
          </w:tcPr>
          <w:p>
            <w:pPr>
              <w:spacing w:after="0"/>
              <w:rPr>
                <w:sz w:val="1"/>
                <w:szCs w:val="1"/>
                <w:color w:val="auto"/>
              </w:rPr>
            </w:pPr>
          </w:p>
        </w:tc>
      </w:tr>
      <w:tr>
        <w:trPr>
          <w:trHeight w:val="48"/>
        </w:trPr>
        <w:tc>
          <w:tcPr>
            <w:tcW w:w="14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gridSpan w:val="2"/>
          </w:tcPr>
          <w:p>
            <w:pPr>
              <w:spacing w:after="0"/>
              <w:rPr>
                <w:sz w:val="4"/>
                <w:szCs w:val="4"/>
                <w:color w:val="auto"/>
              </w:rPr>
            </w:pPr>
          </w:p>
        </w:tc>
        <w:tc>
          <w:tcPr>
            <w:tcW w:w="420" w:type="dxa"/>
            <w:vAlign w:val="bottom"/>
            <w:tcBorders>
              <w:bottom w:val="single" w:sz="8" w:color="808080"/>
            </w:tcBorders>
            <w:gridSpan w:val="2"/>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gridSpan w:val="2"/>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gridSpan w:val="3"/>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gridSpan w:val="2"/>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1420" w:type="dxa"/>
            <w:vAlign w:val="bottom"/>
          </w:tcPr>
          <w:p>
            <w:pPr>
              <w:ind w:left="20"/>
              <w:spacing w:after="0" w:line="239" w:lineRule="exact"/>
              <w:rPr>
                <w:sz w:val="20"/>
                <w:szCs w:val="20"/>
                <w:color w:val="auto"/>
              </w:rPr>
            </w:pPr>
            <w:r>
              <w:rPr>
                <w:rFonts w:ascii="Arial" w:cs="Arial" w:eastAsia="Arial" w:hAnsi="Arial"/>
                <w:sz w:val="14"/>
                <w:szCs w:val="14"/>
                <w:b w:val="1"/>
                <w:bCs w:val="1"/>
                <w:color w:val="0C426A"/>
                <w:w w:val="98"/>
              </w:rPr>
              <w:t>Pascal Schweitzer</w:t>
            </w:r>
            <w:r>
              <w:rPr>
                <w:rFonts w:ascii="Arial" w:cs="Arial" w:eastAsia="Arial" w:hAnsi="Arial"/>
                <w:sz w:val="23"/>
                <w:szCs w:val="23"/>
                <w:b w:val="1"/>
                <w:bCs w:val="1"/>
                <w:color w:val="0C426A"/>
                <w:w w:val="98"/>
                <w:vertAlign w:val="superscript"/>
              </w:rPr>
              <w:t>(4)</w:t>
            </w:r>
          </w:p>
        </w:tc>
        <w:tc>
          <w:tcPr>
            <w:tcW w:w="60" w:type="dxa"/>
            <w:vAlign w:val="bottom"/>
          </w:tcPr>
          <w:p>
            <w:pPr>
              <w:spacing w:after="0"/>
              <w:rPr>
                <w:sz w:val="20"/>
                <w:szCs w:val="20"/>
                <w:color w:val="auto"/>
              </w:rPr>
            </w:pPr>
          </w:p>
        </w:tc>
        <w:tc>
          <w:tcPr>
            <w:tcW w:w="60" w:type="dxa"/>
            <w:vAlign w:val="bottom"/>
            <w:gridSpan w:val="2"/>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420" w:type="dxa"/>
            <w:vAlign w:val="bottom"/>
            <w:gridSpan w:val="2"/>
          </w:tcPr>
          <w:p>
            <w:pPr>
              <w:jc w:val="right"/>
              <w:ind w:right="22"/>
              <w:spacing w:after="0"/>
              <w:rPr>
                <w:sz w:val="20"/>
                <w:szCs w:val="20"/>
                <w:color w:val="auto"/>
              </w:rPr>
            </w:pPr>
            <w:r>
              <w:rPr>
                <w:rFonts w:ascii="Arial" w:cs="Arial" w:eastAsia="Arial" w:hAnsi="Arial"/>
                <w:sz w:val="14"/>
                <w:szCs w:val="14"/>
                <w:color w:val="auto"/>
              </w:rPr>
              <w:t>2023</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614,525​</w:t>
            </w: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
              <w:spacing w:after="0"/>
              <w:rPr>
                <w:sz w:val="20"/>
                <w:szCs w:val="20"/>
                <w:color w:val="auto"/>
              </w:rPr>
            </w:pPr>
            <w:r>
              <w:rPr>
                <w:rFonts w:ascii="Arial" w:cs="Arial" w:eastAsia="Arial" w:hAnsi="Arial"/>
                <w:sz w:val="14"/>
                <w:szCs w:val="14"/>
                <w:color w:val="auto"/>
              </w:rPr>
              <w:t>1,716,155</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gridSpan w:val="3"/>
          </w:tcPr>
          <w:p>
            <w:pPr>
              <w:jc w:val="right"/>
              <w:ind w:right="31"/>
              <w:spacing w:after="0"/>
              <w:rPr>
                <w:sz w:val="20"/>
                <w:szCs w:val="20"/>
                <w:color w:val="auto"/>
              </w:rPr>
            </w:pPr>
            <w:r>
              <w:rPr>
                <w:rFonts w:ascii="Arial" w:cs="Arial" w:eastAsia="Arial" w:hAnsi="Arial"/>
                <w:sz w:val="14"/>
                <w:szCs w:val="14"/>
                <w:color w:val="auto"/>
              </w:rPr>
              <w:t>$​1,025,795</w:t>
            </w:r>
            <w:r>
              <w:rPr>
                <w:rFonts w:ascii="Times New Roman" w:cs="Times New Roman" w:eastAsia="Times New Roman" w:hAnsi="Times New Roman"/>
                <w:sz w:val="3"/>
                <w:szCs w:val="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$398,159</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3,754,634​</w:t>
            </w:r>
          </w:p>
        </w:tc>
        <w:tc>
          <w:tcPr>
            <w:tcW w:w="0" w:type="dxa"/>
            <w:vAlign w:val="bottom"/>
          </w:tcPr>
          <w:p>
            <w:pPr>
              <w:spacing w:after="0"/>
              <w:rPr>
                <w:sz w:val="1"/>
                <w:szCs w:val="1"/>
                <w:color w:val="auto"/>
              </w:rPr>
            </w:pPr>
          </w:p>
        </w:tc>
      </w:tr>
      <w:tr>
        <w:trPr>
          <w:trHeight w:val="49"/>
        </w:trPr>
        <w:tc>
          <w:tcPr>
            <w:tcW w:w="1420" w:type="dxa"/>
            <w:vAlign w:val="bottom"/>
            <w:vMerge w:val="restart"/>
          </w:tcPr>
          <w:p>
            <w:pPr>
              <w:ind w:left="20"/>
              <w:spacing w:after="0"/>
              <w:rPr>
                <w:sz w:val="20"/>
                <w:szCs w:val="20"/>
                <w:color w:val="auto"/>
              </w:rPr>
            </w:pPr>
            <w:r>
              <w:rPr>
                <w:rFonts w:ascii="Arial" w:cs="Arial" w:eastAsia="Arial" w:hAnsi="Arial"/>
                <w:sz w:val="14"/>
                <w:szCs w:val="14"/>
                <w:color w:val="auto"/>
              </w:rPr>
              <w:t>President, Transit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1420" w:type="dxa"/>
            <w:vAlign w:val="bottom"/>
            <w:vMerge w:val="continue"/>
          </w:tcPr>
          <w:p>
            <w:pPr>
              <w:spacing w:after="0"/>
              <w:rPr>
                <w:sz w:val="10"/>
                <w:szCs w:val="10"/>
                <w:color w:val="auto"/>
              </w:rPr>
            </w:pP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gridSpan w:val="2"/>
            <w:vMerge w:val="restart"/>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420" w:type="dxa"/>
            <w:vAlign w:val="bottom"/>
            <w:gridSpan w:val="2"/>
            <w:vMerge w:val="restart"/>
          </w:tcPr>
          <w:p>
            <w:pPr>
              <w:jc w:val="right"/>
              <w:ind w:right="22"/>
              <w:spacing w:after="0"/>
              <w:rPr>
                <w:sz w:val="20"/>
                <w:szCs w:val="20"/>
                <w:color w:val="auto"/>
              </w:rPr>
            </w:pPr>
            <w:r>
              <w:rPr>
                <w:rFonts w:ascii="Arial" w:cs="Arial" w:eastAsia="Arial" w:hAnsi="Arial"/>
                <w:sz w:val="14"/>
                <w:szCs w:val="14"/>
                <w:color w:val="auto"/>
              </w:rPr>
              <w:t>2022</w:t>
            </w:r>
            <w:r>
              <w:rPr>
                <w:rFonts w:ascii="Times New Roman" w:cs="Times New Roman" w:eastAsia="Times New Roman" w:hAnsi="Times New Roman"/>
                <w:sz w:val="3"/>
                <w:szCs w:val="3"/>
                <w:color w:val="auto"/>
              </w:rPr>
              <w: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jc w:val="right"/>
              <w:ind w:right="22"/>
              <w:spacing w:after="0"/>
              <w:rPr>
                <w:sz w:val="20"/>
                <w:szCs w:val="20"/>
                <w:color w:val="auto"/>
              </w:rPr>
            </w:pPr>
            <w:r>
              <w:rPr>
                <w:rFonts w:ascii="Arial" w:cs="Arial" w:eastAsia="Arial" w:hAnsi="Arial"/>
                <w:sz w:val="14"/>
                <w:szCs w:val="14"/>
                <w:color w:val="auto"/>
              </w:rPr>
              <w:t>537,692</w:t>
            </w:r>
            <w:r>
              <w:rPr>
                <w:rFonts w:ascii="Times New Roman" w:cs="Times New Roman" w:eastAsia="Times New Roman" w:hAnsi="Times New Roman"/>
                <w:sz w:val="3"/>
                <w:szCs w:val="3"/>
                <w:color w:val="auto"/>
              </w:rPr>
              <w: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1,000,028​</w:t>
            </w:r>
          </w:p>
        </w:tc>
        <w:tc>
          <w:tcPr>
            <w:tcW w:w="40" w:type="dxa"/>
            <w:vAlign w:val="bottom"/>
            <w:vMerge w:val="restart"/>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599,994​</w:t>
            </w:r>
          </w:p>
        </w:tc>
        <w:tc>
          <w:tcPr>
            <w:tcW w:w="60" w:type="dxa"/>
            <w:vAlign w:val="bottom"/>
            <w:vMerge w:val="restart"/>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vMerge w:val="restart"/>
          </w:tcPr>
          <w:p>
            <w:pPr>
              <w:jc w:val="right"/>
              <w:ind w:right="3"/>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gridSpan w:val="4"/>
            <w:vMerge w:val="restart"/>
          </w:tcPr>
          <w:p>
            <w:pPr>
              <w:jc w:val="right"/>
              <w:spacing w:after="0"/>
              <w:rPr>
                <w:sz w:val="20"/>
                <w:szCs w:val="20"/>
                <w:color w:val="auto"/>
              </w:rPr>
            </w:pPr>
            <w:r>
              <w:rPr>
                <w:rFonts w:ascii="Arial" w:cs="Arial" w:eastAsia="Arial" w:hAnsi="Arial"/>
                <w:sz w:val="14"/>
                <w:szCs w:val="14"/>
                <w:color w:val="auto"/>
              </w:rPr>
              <w:t>$176,765</w:t>
            </w:r>
            <w:r>
              <w:rPr>
                <w:rFonts w:ascii="Times New Roman" w:cs="Times New Roman" w:eastAsia="Times New Roman" w:hAnsi="Times New Roman"/>
                <w:sz w:val="3"/>
                <w:szCs w:val="3"/>
                <w:color w:val="auto"/>
              </w:rPr>
              <w:t>​    ​</w:t>
            </w:r>
            <w:r>
              <w:rPr>
                <w:rFonts w:ascii="Arial" w:cs="Arial" w:eastAsia="Arial" w:hAnsi="Arial"/>
                <w:sz w:val="14"/>
                <w:szCs w:val="14"/>
                <w:color w:val="auto"/>
              </w:rPr>
              <w:t xml:space="preserve">     $</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2,314,479​</w:t>
            </w:r>
          </w:p>
        </w:tc>
        <w:tc>
          <w:tcPr>
            <w:tcW w:w="0" w:type="dxa"/>
            <w:vAlign w:val="bottom"/>
          </w:tcPr>
          <w:p>
            <w:pPr>
              <w:spacing w:after="0"/>
              <w:rPr>
                <w:sz w:val="1"/>
                <w:szCs w:val="1"/>
                <w:color w:val="auto"/>
              </w:rPr>
            </w:pPr>
          </w:p>
        </w:tc>
      </w:tr>
      <w:tr>
        <w:trPr>
          <w:trHeight w:val="121"/>
        </w:trPr>
        <w:tc>
          <w:tcPr>
            <w:tcW w:w="142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60" w:type="dxa"/>
            <w:vAlign w:val="bottom"/>
            <w:gridSpan w:val="2"/>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340" w:type="dxa"/>
            <w:vAlign w:val="bottom"/>
            <w:gridSpan w:val="4"/>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4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gridSpan w:val="2"/>
          </w:tcPr>
          <w:p>
            <w:pPr>
              <w:spacing w:after="0"/>
              <w:rPr>
                <w:sz w:val="4"/>
                <w:szCs w:val="4"/>
                <w:color w:val="auto"/>
              </w:rPr>
            </w:pPr>
          </w:p>
        </w:tc>
        <w:tc>
          <w:tcPr>
            <w:tcW w:w="420" w:type="dxa"/>
            <w:vAlign w:val="bottom"/>
            <w:tcBorders>
              <w:bottom w:val="single" w:sz="8" w:color="808080"/>
            </w:tcBorders>
            <w:gridSpan w:val="2"/>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gridSpan w:val="2"/>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gridSpan w:val="2"/>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340" w:type="dxa"/>
            <w:vAlign w:val="bottom"/>
            <w:tcBorders>
              <w:bottom w:val="single" w:sz="8" w:color="808080"/>
            </w:tcBorders>
            <w:gridSpan w:val="4"/>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gridSpan w:val="2"/>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420" w:type="dxa"/>
            <w:vAlign w:val="bottom"/>
            <w:gridSpan w:val="2"/>
          </w:tcPr>
          <w:p>
            <w:pPr>
              <w:jc w:val="right"/>
              <w:ind w:right="22"/>
              <w:spacing w:after="0"/>
              <w:rPr>
                <w:sz w:val="20"/>
                <w:szCs w:val="20"/>
                <w:color w:val="auto"/>
              </w:rPr>
            </w:pPr>
            <w:r>
              <w:rPr>
                <w:rFonts w:ascii="Arial" w:cs="Arial" w:eastAsia="Arial" w:hAnsi="Arial"/>
                <w:sz w:val="14"/>
                <w:szCs w:val="14"/>
                <w:color w:val="auto"/>
              </w:rPr>
              <w:t>2021</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2"/>
              <w:spacing w:after="0"/>
              <w:rPr>
                <w:sz w:val="20"/>
                <w:szCs w:val="20"/>
                <w:color w:val="auto"/>
              </w:rPr>
            </w:pPr>
            <w:r>
              <w:rPr>
                <w:rFonts w:ascii="Arial" w:cs="Arial" w:eastAsia="Arial" w:hAnsi="Arial"/>
                <w:sz w:val="14"/>
                <w:szCs w:val="14"/>
                <w:color w:val="auto"/>
              </w:rPr>
              <w:t>525,000</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846,452​</w:t>
            </w: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$103,766</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721,980​</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gridSpan w:val="4"/>
          </w:tcPr>
          <w:p>
            <w:pPr>
              <w:jc w:val="right"/>
              <w:spacing w:after="0"/>
              <w:rPr>
                <w:sz w:val="20"/>
                <w:szCs w:val="20"/>
                <w:color w:val="auto"/>
              </w:rPr>
            </w:pPr>
            <w:r>
              <w:rPr>
                <w:rFonts w:ascii="Arial" w:cs="Arial" w:eastAsia="Arial" w:hAnsi="Arial"/>
                <w:sz w:val="14"/>
                <w:szCs w:val="14"/>
                <w:color w:val="auto"/>
              </w:rPr>
              <w:t>$174,419</w:t>
            </w:r>
            <w:r>
              <w:rPr>
                <w:rFonts w:ascii="Times New Roman" w:cs="Times New Roman" w:eastAsia="Times New Roman" w:hAnsi="Times New Roman"/>
                <w:sz w:val="3"/>
                <w:szCs w:val="3"/>
                <w:color w:val="auto"/>
              </w:rPr>
              <w:t>​    ​</w:t>
            </w:r>
            <w:r>
              <w:rPr>
                <w:rFonts w:ascii="Arial" w:cs="Arial" w:eastAsia="Arial" w:hAnsi="Arial"/>
                <w:sz w:val="14"/>
                <w:szCs w:val="14"/>
                <w:color w:val="auto"/>
              </w:rPr>
              <w:t xml:space="preserve">     $</w:t>
            </w:r>
          </w:p>
        </w:tc>
        <w:tc>
          <w:tcPr>
            <w:tcW w:w="660" w:type="dxa"/>
            <w:vAlign w:val="bottom"/>
          </w:tcPr>
          <w:p>
            <w:pPr>
              <w:jc w:val="right"/>
              <w:spacing w:after="0"/>
              <w:rPr>
                <w:sz w:val="20"/>
                <w:szCs w:val="20"/>
                <w:color w:val="auto"/>
              </w:rPr>
            </w:pPr>
            <w:r>
              <w:rPr>
                <w:rFonts w:ascii="Arial" w:cs="Arial" w:eastAsia="Arial" w:hAnsi="Arial"/>
                <w:sz w:val="14"/>
                <w:szCs w:val="14"/>
                <w:color w:val="auto"/>
              </w:rPr>
              <w:t>2,371,617</w:t>
            </w:r>
          </w:p>
        </w:tc>
        <w:tc>
          <w:tcPr>
            <w:tcW w:w="0" w:type="dxa"/>
            <w:vAlign w:val="bottom"/>
          </w:tcPr>
          <w:p>
            <w:pPr>
              <w:spacing w:after="0"/>
              <w:rPr>
                <w:sz w:val="1"/>
                <w:szCs w:val="1"/>
                <w:color w:val="auto"/>
              </w:rPr>
            </w:pPr>
          </w:p>
        </w:tc>
      </w:tr>
      <w:tr>
        <w:trPr>
          <w:trHeight w:val="48"/>
        </w:trPr>
        <w:tc>
          <w:tcPr>
            <w:tcW w:w="14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gridSpan w:val="2"/>
          </w:tcPr>
          <w:p>
            <w:pPr>
              <w:spacing w:after="0"/>
              <w:rPr>
                <w:sz w:val="4"/>
                <w:szCs w:val="4"/>
                <w:color w:val="auto"/>
              </w:rPr>
            </w:pPr>
          </w:p>
        </w:tc>
        <w:tc>
          <w:tcPr>
            <w:tcW w:w="420" w:type="dxa"/>
            <w:vAlign w:val="bottom"/>
            <w:tcBorders>
              <w:bottom w:val="single" w:sz="8" w:color="808080"/>
            </w:tcBorders>
            <w:gridSpan w:val="2"/>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gridSpan w:val="3"/>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1420" w:type="dxa"/>
            <w:vAlign w:val="bottom"/>
          </w:tcPr>
          <w:p>
            <w:pPr>
              <w:ind w:left="20"/>
              <w:spacing w:after="0"/>
              <w:rPr>
                <w:sz w:val="20"/>
                <w:szCs w:val="20"/>
                <w:color w:val="auto"/>
              </w:rPr>
            </w:pPr>
            <w:r>
              <w:rPr>
                <w:rFonts w:ascii="Arial" w:cs="Arial" w:eastAsia="Arial" w:hAnsi="Arial"/>
                <w:sz w:val="14"/>
                <w:szCs w:val="14"/>
                <w:b w:val="1"/>
                <w:bCs w:val="1"/>
                <w:color w:val="0C426A"/>
              </w:rPr>
              <w:t>Eric Gebhardt</w:t>
            </w:r>
          </w:p>
        </w:tc>
        <w:tc>
          <w:tcPr>
            <w:tcW w:w="60" w:type="dxa"/>
            <w:vAlign w:val="bottom"/>
          </w:tcPr>
          <w:p>
            <w:pPr>
              <w:spacing w:after="0"/>
              <w:rPr>
                <w:sz w:val="18"/>
                <w:szCs w:val="18"/>
                <w:color w:val="auto"/>
              </w:rPr>
            </w:pPr>
          </w:p>
        </w:tc>
        <w:tc>
          <w:tcPr>
            <w:tcW w:w="60" w:type="dxa"/>
            <w:vAlign w:val="bottom"/>
            <w:gridSpan w:val="2"/>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420" w:type="dxa"/>
            <w:vAlign w:val="bottom"/>
            <w:gridSpan w:val="2"/>
          </w:tcPr>
          <w:p>
            <w:pPr>
              <w:jc w:val="right"/>
              <w:ind w:right="22"/>
              <w:spacing w:after="0"/>
              <w:rPr>
                <w:sz w:val="20"/>
                <w:szCs w:val="20"/>
                <w:color w:val="auto"/>
              </w:rPr>
            </w:pPr>
            <w:r>
              <w:rPr>
                <w:rFonts w:ascii="Arial" w:cs="Arial" w:eastAsia="Arial" w:hAnsi="Arial"/>
                <w:sz w:val="14"/>
                <w:szCs w:val="14"/>
                <w:color w:val="auto"/>
              </w:rPr>
              <w:t>2023</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625,000​</w:t>
            </w: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858,130​</w:t>
            </w: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gridSpan w:val="3"/>
          </w:tcPr>
          <w:p>
            <w:pPr>
              <w:jc w:val="right"/>
              <w:ind w:right="31"/>
              <w:spacing w:after="0"/>
              <w:rPr>
                <w:sz w:val="20"/>
                <w:szCs w:val="20"/>
                <w:color w:val="auto"/>
              </w:rPr>
            </w:pPr>
            <w:r>
              <w:rPr>
                <w:rFonts w:ascii="Arial" w:cs="Arial" w:eastAsia="Arial" w:hAnsi="Arial"/>
                <w:sz w:val="14"/>
                <w:szCs w:val="14"/>
                <w:color w:val="auto"/>
              </w:rPr>
              <w:t>$1,027,470</w:t>
            </w:r>
            <w:r>
              <w:rPr>
                <w:rFonts w:ascii="Times New Roman" w:cs="Times New Roman" w:eastAsia="Times New Roman" w:hAnsi="Times New Roman"/>
                <w:sz w:val="3"/>
                <w:szCs w:val="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$ 36,110​</w:t>
            </w:r>
          </w:p>
        </w:tc>
        <w:tc>
          <w:tcPr>
            <w:tcW w:w="40" w:type="dxa"/>
            <w:vAlign w:val="bottom"/>
          </w:tcPr>
          <w:p>
            <w:pPr>
              <w:jc w:val="right"/>
              <w:ind w:righ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2,546,710</w:t>
            </w:r>
          </w:p>
        </w:tc>
        <w:tc>
          <w:tcPr>
            <w:tcW w:w="0" w:type="dxa"/>
            <w:vAlign w:val="bottom"/>
          </w:tcPr>
          <w:p>
            <w:pPr>
              <w:spacing w:after="0"/>
              <w:rPr>
                <w:sz w:val="1"/>
                <w:szCs w:val="1"/>
                <w:color w:val="auto"/>
              </w:rPr>
            </w:pPr>
          </w:p>
        </w:tc>
      </w:tr>
      <w:tr>
        <w:trPr>
          <w:trHeight w:val="76"/>
        </w:trPr>
        <w:tc>
          <w:tcPr>
            <w:tcW w:w="1420" w:type="dxa"/>
            <w:vAlign w:val="bottom"/>
            <w:vMerge w:val="restart"/>
          </w:tcPr>
          <w:p>
            <w:pPr>
              <w:ind w:left="20"/>
              <w:spacing w:after="0"/>
              <w:rPr>
                <w:sz w:val="20"/>
                <w:szCs w:val="20"/>
                <w:color w:val="auto"/>
              </w:rPr>
            </w:pPr>
            <w:r>
              <w:rPr>
                <w:rFonts w:ascii="Arial" w:cs="Arial" w:eastAsia="Arial" w:hAnsi="Arial"/>
                <w:sz w:val="14"/>
                <w:szCs w:val="14"/>
                <w:color w:val="auto"/>
              </w:rPr>
              <w:t>Executive Vice</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14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vMerge w:val="restart"/>
          </w:tcPr>
          <w:p>
            <w:pPr>
              <w:ind w:left="60"/>
              <w:spacing w:after="0"/>
              <w:rPr>
                <w:sz w:val="20"/>
                <w:szCs w:val="20"/>
                <w:color w:val="auto"/>
              </w:rPr>
            </w:pPr>
            <w:r>
              <w:rPr>
                <w:rFonts w:ascii="Arial" w:cs="Arial" w:eastAsia="Arial" w:hAnsi="Arial"/>
                <w:sz w:val="14"/>
                <w:szCs w:val="14"/>
                <w:color w:val="auto"/>
                <w:w w:val="96"/>
              </w:rPr>
              <w:t>2022​</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jc w:val="right"/>
              <w:ind w:right="22"/>
              <w:spacing w:after="0"/>
              <w:rPr>
                <w:sz w:val="20"/>
                <w:szCs w:val="20"/>
                <w:color w:val="auto"/>
              </w:rPr>
            </w:pPr>
            <w:r>
              <w:rPr>
                <w:rFonts w:ascii="Arial" w:cs="Arial" w:eastAsia="Arial" w:hAnsi="Arial"/>
                <w:sz w:val="14"/>
                <w:szCs w:val="14"/>
                <w:color w:val="auto"/>
              </w:rPr>
              <w:t>612,692</w:t>
            </w:r>
            <w:r>
              <w:rPr>
                <w:rFonts w:ascii="Times New Roman" w:cs="Times New Roman" w:eastAsia="Times New Roman" w:hAnsi="Times New Roman"/>
                <w:sz w:val="3"/>
                <w:szCs w:val="3"/>
                <w:color w:val="auto"/>
              </w:rPr>
              <w:t>​</w:t>
            </w:r>
          </w:p>
        </w:tc>
        <w:tc>
          <w:tcPr>
            <w:tcW w:w="80" w:type="dxa"/>
            <w:vAlign w:val="bottom"/>
          </w:tcPr>
          <w:p>
            <w:pPr>
              <w:spacing w:after="0"/>
              <w:rPr>
                <w:sz w:val="5"/>
                <w:szCs w:val="5"/>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749,998​</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00" w:type="dxa"/>
            <w:vAlign w:val="bottom"/>
          </w:tcPr>
          <w:p>
            <w:pPr>
              <w:spacing w:after="0"/>
              <w:rPr>
                <w:sz w:val="5"/>
                <w:szCs w:val="5"/>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683,327​</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$ 40,506​</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2,086,523</w:t>
            </w:r>
          </w:p>
        </w:tc>
        <w:tc>
          <w:tcPr>
            <w:tcW w:w="0" w:type="dxa"/>
            <w:vAlign w:val="bottom"/>
          </w:tcPr>
          <w:p>
            <w:pPr>
              <w:spacing w:after="0"/>
              <w:rPr>
                <w:sz w:val="1"/>
                <w:szCs w:val="1"/>
                <w:color w:val="auto"/>
              </w:rPr>
            </w:pPr>
          </w:p>
        </w:tc>
      </w:tr>
      <w:tr>
        <w:trPr>
          <w:trHeight w:val="161"/>
        </w:trPr>
        <w:tc>
          <w:tcPr>
            <w:tcW w:w="1420" w:type="dxa"/>
            <w:vAlign w:val="bottom"/>
          </w:tcPr>
          <w:p>
            <w:pPr>
              <w:ind w:left="20"/>
              <w:spacing w:after="0"/>
              <w:rPr>
                <w:sz w:val="20"/>
                <w:szCs w:val="20"/>
                <w:color w:val="auto"/>
              </w:rPr>
            </w:pPr>
            <w:r>
              <w:rPr>
                <w:rFonts w:ascii="Arial" w:cs="Arial" w:eastAsia="Arial" w:hAnsi="Arial"/>
                <w:sz w:val="14"/>
                <w:szCs w:val="14"/>
                <w:color w:val="auto"/>
              </w:rPr>
              <w:t>President and Chief</w:t>
            </w: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gridSpan w:val="2"/>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380" w:type="dxa"/>
            <w:vAlign w:val="bottom"/>
            <w:vMerge w:val="continue"/>
          </w:tcPr>
          <w:p>
            <w:pPr>
              <w:spacing w:after="0"/>
              <w:rPr>
                <w:sz w:val="13"/>
                <w:szCs w:val="13"/>
                <w:color w:val="auto"/>
              </w:rPr>
            </w:pP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vMerge w:val="continue"/>
          </w:tcPr>
          <w:p>
            <w:pPr>
              <w:spacing w:after="0"/>
              <w:rPr>
                <w:sz w:val="13"/>
                <w:szCs w:val="13"/>
                <w:color w:val="auto"/>
              </w:rPr>
            </w:pPr>
          </w:p>
        </w:tc>
        <w:tc>
          <w:tcPr>
            <w:tcW w:w="40" w:type="dxa"/>
            <w:vAlign w:val="bottom"/>
          </w:tcPr>
          <w:p>
            <w:pPr>
              <w:jc w:val="right"/>
              <w:ind w:righ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420" w:type="dxa"/>
            <w:vAlign w:val="bottom"/>
            <w:vMerge w:val="restart"/>
          </w:tcPr>
          <w:p>
            <w:pPr>
              <w:ind w:left="20"/>
              <w:spacing w:after="0"/>
              <w:rPr>
                <w:sz w:val="20"/>
                <w:szCs w:val="20"/>
                <w:color w:val="auto"/>
              </w:rPr>
            </w:pPr>
            <w:r>
              <w:rPr>
                <w:rFonts w:ascii="Arial" w:cs="Arial" w:eastAsia="Arial" w:hAnsi="Arial"/>
                <w:sz w:val="14"/>
                <w:szCs w:val="14"/>
                <w:color w:val="auto"/>
              </w:rPr>
              <w:t>Technology Officer</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08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04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14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gridSpan w:val="2"/>
            <w:vMerge w:val="restart"/>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420" w:type="dxa"/>
            <w:vAlign w:val="bottom"/>
            <w:gridSpan w:val="2"/>
            <w:vMerge w:val="restart"/>
          </w:tcPr>
          <w:p>
            <w:pPr>
              <w:jc w:val="right"/>
              <w:ind w:right="22"/>
              <w:spacing w:after="0"/>
              <w:rPr>
                <w:sz w:val="20"/>
                <w:szCs w:val="20"/>
                <w:color w:val="auto"/>
              </w:rPr>
            </w:pPr>
            <w:r>
              <w:rPr>
                <w:rFonts w:ascii="Arial" w:cs="Arial" w:eastAsia="Arial" w:hAnsi="Arial"/>
                <w:sz w:val="14"/>
                <w:szCs w:val="14"/>
                <w:color w:val="auto"/>
              </w:rPr>
              <w:t>2021</w:t>
            </w:r>
            <w:r>
              <w:rPr>
                <w:rFonts w:ascii="Times New Roman" w:cs="Times New Roman" w:eastAsia="Times New Roman" w:hAnsi="Times New Roman"/>
                <w:sz w:val="3"/>
                <w:szCs w:val="3"/>
                <w:color w:val="auto"/>
              </w:rPr>
              <w: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jc w:val="right"/>
              <w:ind w:right="22"/>
              <w:spacing w:after="0"/>
              <w:rPr>
                <w:sz w:val="20"/>
                <w:szCs w:val="20"/>
                <w:color w:val="auto"/>
              </w:rPr>
            </w:pPr>
            <w:r>
              <w:rPr>
                <w:rFonts w:ascii="Arial" w:cs="Arial" w:eastAsia="Arial" w:hAnsi="Arial"/>
                <w:sz w:val="14"/>
                <w:szCs w:val="14"/>
                <w:color w:val="auto"/>
              </w:rPr>
              <w:t>600,000</w:t>
            </w:r>
            <w:r>
              <w:rPr>
                <w:rFonts w:ascii="Times New Roman" w:cs="Times New Roman" w:eastAsia="Times New Roman" w:hAnsi="Times New Roman"/>
                <w:sz w:val="3"/>
                <w:szCs w:val="3"/>
                <w:color w:val="auto"/>
              </w:rPr>
              <w: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22"/>
              <w:spacing w:after="0"/>
              <w:rPr>
                <w:sz w:val="20"/>
                <w:szCs w:val="20"/>
                <w:color w:val="auto"/>
              </w:rPr>
            </w:pPr>
            <w:r>
              <w:rPr>
                <w:rFonts w:ascii="Arial" w:cs="Arial" w:eastAsia="Arial" w:hAnsi="Arial"/>
                <w:sz w:val="14"/>
                <w:szCs w:val="14"/>
                <w:color w:val="auto"/>
              </w:rPr>
              <w:t>668,277</w:t>
            </w:r>
            <w:r>
              <w:rPr>
                <w:rFonts w:ascii="Times New Roman" w:cs="Times New Roman" w:eastAsia="Times New Roman" w:hAnsi="Times New Roman"/>
                <w:sz w:val="3"/>
                <w:szCs w:val="3"/>
                <w:color w:val="auto"/>
              </w:rPr>
              <w: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$ 81,908</w:t>
            </w:r>
            <w:r>
              <w:rPr>
                <w:rFonts w:ascii="Times New Roman" w:cs="Times New Roman" w:eastAsia="Times New Roman" w:hAnsi="Times New Roman"/>
                <w:sz w:val="3"/>
                <w:szCs w:val="3"/>
                <w:color w:val="auto"/>
              </w:rPr>
              <w:t>​</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jc w:val="right"/>
              <w:ind w:right="31"/>
              <w:spacing w:after="0"/>
              <w:rPr>
                <w:sz w:val="20"/>
                <w:szCs w:val="20"/>
                <w:color w:val="auto"/>
              </w:rPr>
            </w:pPr>
            <w:r>
              <w:rPr>
                <w:rFonts w:ascii="Arial" w:cs="Arial" w:eastAsia="Arial" w:hAnsi="Arial"/>
                <w:sz w:val="14"/>
                <w:szCs w:val="14"/>
                <w:color w:val="auto"/>
              </w:rPr>
              <w:t>868,860</w:t>
            </w:r>
            <w:r>
              <w:rPr>
                <w:rFonts w:ascii="Times New Roman" w:cs="Times New Roman" w:eastAsia="Times New Roman" w:hAnsi="Times New Roman"/>
                <w:sz w:val="3"/>
                <w:szCs w:val="3"/>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vMerge w:val="restart"/>
          </w:tcPr>
          <w:p>
            <w:pPr>
              <w:jc w:val="right"/>
              <w:ind w:right="3"/>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$269,746</w:t>
            </w:r>
            <w:r>
              <w:rPr>
                <w:rFonts w:ascii="Times New Roman" w:cs="Times New Roman" w:eastAsia="Times New Roman" w:hAnsi="Times New Roman"/>
                <w:sz w:val="3"/>
                <w:szCs w:val="3"/>
                <w:color w:val="auto"/>
              </w:rPr>
              <w: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2,488,791</w:t>
            </w:r>
          </w:p>
        </w:tc>
        <w:tc>
          <w:tcPr>
            <w:tcW w:w="0" w:type="dxa"/>
            <w:vAlign w:val="bottom"/>
          </w:tcPr>
          <w:p>
            <w:pPr>
              <w:spacing w:after="0"/>
              <w:rPr>
                <w:sz w:val="1"/>
                <w:szCs w:val="1"/>
                <w:color w:val="auto"/>
              </w:rPr>
            </w:pPr>
          </w:p>
        </w:tc>
      </w:tr>
      <w:tr>
        <w:trPr>
          <w:trHeight w:val="134"/>
        </w:trPr>
        <w:tc>
          <w:tcPr>
            <w:tcW w:w="1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gridSpan w:val="2"/>
            <w:vMerge w:val="continue"/>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1420" w:type="dxa"/>
            <w:vAlign w:val="bottom"/>
            <w:tcBorders>
              <w:bottom w:val="single" w:sz="8" w:color="0C426A"/>
            </w:tcBorders>
          </w:tcPr>
          <w:p>
            <w:pPr>
              <w:spacing w:after="0"/>
              <w:rPr>
                <w:sz w:val="4"/>
                <w:szCs w:val="4"/>
                <w:color w:val="auto"/>
              </w:rPr>
            </w:pPr>
          </w:p>
        </w:tc>
        <w:tc>
          <w:tcPr>
            <w:tcW w:w="60" w:type="dxa"/>
            <w:vAlign w:val="bottom"/>
            <w:tcBorders>
              <w:bottom w:val="single" w:sz="8" w:color="0C426A"/>
            </w:tcBorders>
          </w:tcPr>
          <w:p>
            <w:pPr>
              <w:spacing w:after="0"/>
              <w:rPr>
                <w:sz w:val="4"/>
                <w:szCs w:val="4"/>
                <w:color w:val="auto"/>
              </w:rPr>
            </w:pPr>
          </w:p>
        </w:tc>
        <w:tc>
          <w:tcPr>
            <w:tcW w:w="40" w:type="dxa"/>
            <w:vAlign w:val="bottom"/>
            <w:tcBorders>
              <w:bottom w:val="single" w:sz="8" w:color="0C426A"/>
            </w:tcBorders>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1320" w:right="1000" w:hanging="355"/>
        <w:spacing w:after="0" w:line="249" w:lineRule="auto"/>
        <w:tabs>
          <w:tab w:leader="none" w:pos="13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Reflects the aggregate grant date fair value dollar amount computed in accordance with FASB ASC Topic 718 (“ASC 718”), related to the awards of a) restricted stock made to the named executive officers in March 2023 under the 2011 Stock Incentive Plan; and</w:t>
      </w:r>
    </w:p>
    <w:p>
      <w:pPr>
        <w:spacing w:after="0" w:line="1" w:lineRule="exact"/>
        <w:rPr>
          <w:rFonts w:ascii="Arial" w:cs="Arial" w:eastAsia="Arial" w:hAnsi="Arial"/>
          <w:sz w:val="14"/>
          <w:szCs w:val="14"/>
          <w:color w:val="auto"/>
        </w:rPr>
      </w:pPr>
    </w:p>
    <w:p>
      <w:pPr>
        <w:ind w:left="1320" w:right="1020"/>
        <w:spacing w:after="0" w:line="246" w:lineRule="auto"/>
        <w:rPr>
          <w:rFonts w:ascii="Arial" w:cs="Arial" w:eastAsia="Arial" w:hAnsi="Arial"/>
          <w:sz w:val="14"/>
          <w:szCs w:val="14"/>
          <w:color w:val="auto"/>
        </w:rPr>
      </w:pPr>
      <w:r>
        <w:rPr>
          <w:rFonts w:ascii="Arial" w:cs="Arial" w:eastAsia="Arial" w:hAnsi="Arial"/>
          <w:sz w:val="14"/>
          <w:szCs w:val="14"/>
          <w:color w:val="auto"/>
        </w:rPr>
        <w:t>b) performance units granted to the named executive officers in 2023 for the 2023-2025 performance period. The value of the 2023 performance units awards set forth in the table above is based on probable achievement of the applicable target performance goals. The value of that award based on achievement of maximum performance level would be: for Mr. Santana – $12,786,222; for Mr. Olin - $3,028,460; for Mr. DeNinno – $1,665,621; for Mr. Schweitzer - $2,463,237; and for Mr. Gebhardt - $1,029,588.</w:t>
      </w:r>
    </w:p>
    <w:p>
      <w:pPr>
        <w:spacing w:after="0" w:line="22" w:lineRule="exact"/>
        <w:rPr>
          <w:sz w:val="20"/>
          <w:szCs w:val="20"/>
          <w:color w:val="auto"/>
        </w:rPr>
      </w:pPr>
    </w:p>
    <w:p>
      <w:pPr>
        <w:ind w:left="1320" w:right="1080" w:hanging="355"/>
        <w:spacing w:after="0" w:line="279" w:lineRule="auto"/>
        <w:tabs>
          <w:tab w:leader="none" w:pos="1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Reflects amounts earned by the named executive officers for fiscal years 2023, 2022, and 2021 under Wabtec’s annual incentive award plan. Payment of bonuses earned for 2023 performance was made in March 2024.</w:t>
      </w:r>
    </w:p>
    <w:p>
      <w:pPr>
        <w:spacing w:after="0" w:line="1" w:lineRule="exact"/>
        <w:rPr>
          <w:sz w:val="20"/>
          <w:szCs w:val="20"/>
          <w:color w:val="auto"/>
        </w:rPr>
      </w:pPr>
    </w:p>
    <w:p>
      <w:pPr>
        <w:ind w:left="1320" w:right="1300" w:hanging="355"/>
        <w:spacing w:after="0" w:line="279" w:lineRule="auto"/>
        <w:tabs>
          <w:tab w:leader="none" w:pos="13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Amount disclosed for Mr. Olin represents the above-market earnings on his 2023 deferrals to the deferred compensation plan, which earned a return for the year based on the prime rate plus 1%, (total of 8.5%).</w:t>
      </w:r>
    </w:p>
    <w:p>
      <w:pPr>
        <w:spacing w:after="0" w:line="1" w:lineRule="exact"/>
        <w:rPr>
          <w:sz w:val="20"/>
          <w:szCs w:val="20"/>
          <w:color w:val="auto"/>
        </w:rPr>
      </w:pPr>
    </w:p>
    <w:p>
      <w:pPr>
        <w:ind w:left="1320" w:right="1020" w:hanging="355"/>
        <w:spacing w:after="0" w:line="279" w:lineRule="auto"/>
        <w:tabs>
          <w:tab w:leader="none" w:pos="1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For Mr. Schweitzer, all compensation amounts paid in CHF were converted to U.S. dollars using the exchange rate in effect as of the last day of the fiscal year.</w:t>
      </w:r>
    </w:p>
    <w:p>
      <w:pPr>
        <w:spacing w:after="0" w:line="1" w:lineRule="exact"/>
        <w:rPr>
          <w:sz w:val="20"/>
          <w:szCs w:val="20"/>
          <w:color w:val="auto"/>
        </w:rPr>
      </w:pPr>
    </w:p>
    <w:p>
      <w:pPr>
        <w:ind w:left="1320" w:right="1300" w:hanging="355"/>
        <w:spacing w:after="0" w:line="281" w:lineRule="auto"/>
        <w:tabs>
          <w:tab w:leader="none" w:pos="1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following table sets forth a detailed breakdown of the items which compose “All Other Compensation” for each named executive officer in 2023:</w:t>
      </w:r>
    </w:p>
    <w:p>
      <w:pPr>
        <w:spacing w:after="0" w:line="109" w:lineRule="exact"/>
        <w:rPr>
          <w:sz w:val="20"/>
          <w:szCs w:val="20"/>
          <w:color w:val="auto"/>
        </w:rPr>
      </w:pPr>
    </w:p>
    <w:tbl>
      <w:tblPr>
        <w:tblLayout w:type="fixed"/>
        <w:tblInd w:w="2760" w:type="dxa"/>
        <w:tblCellMar>
          <w:top w:w="0" w:type="dxa"/>
          <w:left w:w="0" w:type="dxa"/>
          <w:bottom w:w="0" w:type="dxa"/>
          <w:right w:w="0" w:type="dxa"/>
        </w:tblCellMar>
      </w:tblPr>
      <w:tr>
        <w:trPr>
          <w:trHeight w:val="126"/>
        </w:trPr>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60" w:type="dxa"/>
            <w:vAlign w:val="bottom"/>
          </w:tcPr>
          <w:p>
            <w:pPr>
              <w:jc w:val="right"/>
              <w:ind w:right="26"/>
              <w:spacing w:after="0"/>
              <w:rPr>
                <w:sz w:val="20"/>
                <w:szCs w:val="20"/>
                <w:color w:val="auto"/>
              </w:rPr>
            </w:pPr>
            <w:r>
              <w:rPr>
                <w:rFonts w:ascii="Arial" w:cs="Arial" w:eastAsia="Arial" w:hAnsi="Arial"/>
                <w:sz w:val="11"/>
                <w:szCs w:val="11"/>
                <w:b w:val="1"/>
                <w:bCs w:val="1"/>
                <w:color w:val="auto"/>
              </w:rPr>
              <w:t>Imputed</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jc w:val="right"/>
              <w:ind w:right="186"/>
              <w:spacing w:after="0" w:line="121" w:lineRule="exact"/>
              <w:rPr>
                <w:sz w:val="20"/>
                <w:szCs w:val="20"/>
                <w:color w:val="auto"/>
              </w:rPr>
            </w:pPr>
            <w:r>
              <w:rPr>
                <w:rFonts w:ascii="Arial" w:cs="Arial" w:eastAsia="Arial" w:hAnsi="Arial"/>
                <w:sz w:val="11"/>
                <w:szCs w:val="11"/>
                <w:b w:val="1"/>
                <w:bCs w:val="1"/>
                <w:color w:val="auto"/>
              </w:rPr>
              <w:t>Social,</w:t>
            </w:r>
          </w:p>
        </w:tc>
        <w:tc>
          <w:tcPr>
            <w:tcW w:w="960" w:type="dxa"/>
            <w:vAlign w:val="bottom"/>
          </w:tcPr>
          <w:p>
            <w:pPr>
              <w:jc w:val="right"/>
              <w:ind w:right="186"/>
              <w:spacing w:after="0" w:line="121" w:lineRule="exact"/>
              <w:rPr>
                <w:sz w:val="20"/>
                <w:szCs w:val="20"/>
                <w:color w:val="auto"/>
              </w:rPr>
            </w:pPr>
            <w:r>
              <w:rPr>
                <w:rFonts w:ascii="Arial" w:cs="Arial" w:eastAsia="Arial" w:hAnsi="Arial"/>
                <w:sz w:val="11"/>
                <w:szCs w:val="11"/>
                <w:b w:val="1"/>
                <w:bCs w:val="1"/>
                <w:color w:val="auto"/>
              </w:rPr>
              <w:t>Company</w:t>
            </w:r>
          </w:p>
        </w:tc>
        <w:tc>
          <w:tcPr>
            <w:tcW w:w="660" w:type="dxa"/>
            <w:vAlign w:val="bottom"/>
          </w:tcPr>
          <w:p>
            <w:pPr>
              <w:jc w:val="right"/>
              <w:ind w:right="26"/>
              <w:spacing w:after="0" w:line="121" w:lineRule="exact"/>
              <w:rPr>
                <w:sz w:val="20"/>
                <w:szCs w:val="20"/>
                <w:color w:val="auto"/>
              </w:rPr>
            </w:pPr>
            <w:r>
              <w:rPr>
                <w:rFonts w:ascii="Arial" w:cs="Arial" w:eastAsia="Arial" w:hAnsi="Arial"/>
                <w:sz w:val="11"/>
                <w:szCs w:val="11"/>
                <w:b w:val="1"/>
                <w:bCs w:val="1"/>
                <w:color w:val="auto"/>
              </w:rPr>
              <w:t>Group</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Pr>
          <w:p>
            <w:pPr>
              <w:ind w:left="22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7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Tax</w:t>
            </w:r>
          </w:p>
        </w:tc>
        <w:tc>
          <w:tcPr>
            <w:tcW w:w="220" w:type="dxa"/>
            <w:vAlign w:val="bottom"/>
          </w:tcPr>
          <w:p>
            <w:pPr>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820" w:type="dxa"/>
            <w:vAlign w:val="bottom"/>
          </w:tcPr>
          <w:p>
            <w:pPr>
              <w:ind w:left="60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820" w:type="dxa"/>
            <w:vAlign w:val="bottom"/>
          </w:tcPr>
          <w:p>
            <w:pPr>
              <w:jc w:val="right"/>
              <w:ind w:right="26"/>
              <w:spacing w:after="0"/>
              <w:rPr>
                <w:sz w:val="20"/>
                <w:szCs w:val="20"/>
                <w:color w:val="auto"/>
              </w:rPr>
            </w:pPr>
            <w:r>
              <w:rPr>
                <w:rFonts w:ascii="Arial" w:cs="Arial" w:eastAsia="Arial" w:hAnsi="Arial"/>
                <w:sz w:val="11"/>
                <w:szCs w:val="11"/>
                <w:b w:val="1"/>
                <w:bCs w:val="1"/>
                <w:color w:val="auto"/>
              </w:rPr>
              <w:t>Health</w:t>
            </w:r>
            <w:r>
              <w:rPr>
                <w:rFonts w:ascii="Times New Roman" w:cs="Times New Roman" w:eastAsia="Times New Roman" w:hAnsi="Times New Roman"/>
                <w:sz w:val="7"/>
                <w:szCs w:val="7"/>
                <w:color w:val="auto"/>
                <w:vertAlign w:val="subscript"/>
              </w:rPr>
              <w:t>​       ​</w:t>
            </w:r>
          </w:p>
        </w:tc>
        <w:tc>
          <w:tcPr>
            <w:tcW w:w="960" w:type="dxa"/>
            <w:vAlign w:val="bottom"/>
          </w:tcPr>
          <w:p>
            <w:pPr>
              <w:ind w:left="240"/>
              <w:spacing w:after="0"/>
              <w:rPr>
                <w:sz w:val="20"/>
                <w:szCs w:val="20"/>
                <w:color w:val="auto"/>
              </w:rPr>
            </w:pPr>
            <w:r>
              <w:rPr>
                <w:rFonts w:ascii="Arial" w:cs="Arial" w:eastAsia="Arial" w:hAnsi="Arial"/>
                <w:sz w:val="11"/>
                <w:szCs w:val="11"/>
                <w:b w:val="1"/>
                <w:bCs w:val="1"/>
                <w:color w:val="auto"/>
              </w:rPr>
              <w:t>Matching</w:t>
            </w:r>
            <w:r>
              <w:rPr>
                <w:rFonts w:ascii="Times New Roman" w:cs="Times New Roman" w:eastAsia="Times New Roman" w:hAnsi="Times New Roman"/>
                <w:sz w:val="7"/>
                <w:szCs w:val="7"/>
                <w:color w:val="auto"/>
                <w:vertAlign w:val="subscript"/>
              </w:rPr>
              <w:t>​       ​</w:t>
            </w:r>
          </w:p>
        </w:tc>
        <w:tc>
          <w:tcPr>
            <w:tcW w:w="660" w:type="dxa"/>
            <w:vAlign w:val="bottom"/>
          </w:tcPr>
          <w:p>
            <w:pPr>
              <w:jc w:val="right"/>
              <w:ind w:right="6"/>
              <w:spacing w:after="0"/>
              <w:rPr>
                <w:sz w:val="20"/>
                <w:szCs w:val="20"/>
                <w:color w:val="auto"/>
              </w:rPr>
            </w:pPr>
            <w:r>
              <w:rPr>
                <w:rFonts w:ascii="Arial" w:cs="Arial" w:eastAsia="Arial" w:hAnsi="Arial"/>
                <w:sz w:val="11"/>
                <w:szCs w:val="11"/>
                <w:b w:val="1"/>
                <w:bCs w:val="1"/>
                <w:color w:val="auto"/>
              </w:rPr>
              <w:t>Term Life</w:t>
            </w:r>
            <w:r>
              <w:rPr>
                <w:rFonts w:ascii="Times New Roman" w:cs="Times New Roman" w:eastAsia="Times New Roman" w:hAnsi="Times New Roman"/>
                <w:sz w:val="7"/>
                <w:szCs w:val="7"/>
                <w:color w:val="auto"/>
                <w:vertAlign w:val="subscript"/>
              </w:rPr>
              <w:t>​</w:t>
            </w:r>
          </w:p>
        </w:tc>
        <w:tc>
          <w:tcPr>
            <w:tcW w:w="7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07"/>
        </w:trPr>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jc w:val="right"/>
              <w:ind w:right="189"/>
              <w:spacing w:after="0" w:line="107" w:lineRule="exact"/>
              <w:rPr>
                <w:sz w:val="20"/>
                <w:szCs w:val="20"/>
                <w:color w:val="auto"/>
              </w:rPr>
            </w:pPr>
            <w:r>
              <w:rPr>
                <w:rFonts w:ascii="Arial" w:cs="Arial" w:eastAsia="Arial" w:hAnsi="Arial"/>
                <w:sz w:val="11"/>
                <w:szCs w:val="11"/>
                <w:b w:val="1"/>
                <w:bCs w:val="1"/>
                <w:color w:val="auto"/>
              </w:rPr>
              <w:t>Education</w:t>
            </w: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0" w:type="dxa"/>
            <w:vAlign w:val="bottom"/>
          </w:tcPr>
          <w:p>
            <w:pPr>
              <w:jc w:val="right"/>
              <w:ind w:right="166"/>
              <w:spacing w:after="0" w:line="107" w:lineRule="exact"/>
              <w:rPr>
                <w:sz w:val="20"/>
                <w:szCs w:val="20"/>
                <w:color w:val="auto"/>
              </w:rPr>
            </w:pPr>
            <w:r>
              <w:rPr>
                <w:rFonts w:ascii="Arial" w:cs="Arial" w:eastAsia="Arial" w:hAnsi="Arial"/>
                <w:sz w:val="11"/>
                <w:szCs w:val="11"/>
                <w:b w:val="1"/>
                <w:bCs w:val="1"/>
                <w:color w:val="auto"/>
              </w:rPr>
              <w:t>Club Dues</w:t>
            </w:r>
          </w:p>
        </w:tc>
        <w:tc>
          <w:tcPr>
            <w:tcW w:w="960" w:type="dxa"/>
            <w:vAlign w:val="bottom"/>
          </w:tcPr>
          <w:p>
            <w:pPr>
              <w:jc w:val="right"/>
              <w:ind w:right="186"/>
              <w:spacing w:after="0" w:line="107" w:lineRule="exact"/>
              <w:rPr>
                <w:sz w:val="20"/>
                <w:szCs w:val="20"/>
                <w:color w:val="auto"/>
              </w:rPr>
            </w:pPr>
            <w:r>
              <w:rPr>
                <w:rFonts w:ascii="Arial" w:cs="Arial" w:eastAsia="Arial" w:hAnsi="Arial"/>
                <w:sz w:val="11"/>
                <w:szCs w:val="11"/>
                <w:b w:val="1"/>
                <w:bCs w:val="1"/>
                <w:color w:val="auto"/>
              </w:rPr>
              <w:t>Contribution</w:t>
            </w:r>
          </w:p>
        </w:tc>
        <w:tc>
          <w:tcPr>
            <w:tcW w:w="660" w:type="dxa"/>
            <w:vAlign w:val="bottom"/>
          </w:tcPr>
          <w:p>
            <w:pPr>
              <w:jc w:val="right"/>
              <w:ind w:right="26"/>
              <w:spacing w:after="0" w:line="107" w:lineRule="exact"/>
              <w:rPr>
                <w:sz w:val="20"/>
                <w:szCs w:val="20"/>
                <w:color w:val="auto"/>
              </w:rPr>
            </w:pPr>
            <w:r>
              <w:rPr>
                <w:rFonts w:ascii="Arial" w:cs="Arial" w:eastAsia="Arial" w:hAnsi="Arial"/>
                <w:sz w:val="11"/>
                <w:szCs w:val="11"/>
                <w:b w:val="1"/>
                <w:bCs w:val="1"/>
                <w:color w:val="auto"/>
              </w:rPr>
              <w:t>Insurance</w:t>
            </w: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Arial" w:cs="Arial" w:eastAsia="Arial" w:hAnsi="Arial"/>
                <w:sz w:val="11"/>
                <w:szCs w:val="11"/>
                <w:b w:val="1"/>
                <w:bCs w:val="1"/>
                <w:color w:val="auto"/>
              </w:rPr>
              <w:t>Equalization</w:t>
            </w:r>
          </w:p>
        </w:tc>
        <w:tc>
          <w:tcPr>
            <w:tcW w:w="220" w:type="dxa"/>
            <w:vAlign w:val="bottom"/>
          </w:tcPr>
          <w:p>
            <w:pPr>
              <w:spacing w:after="0"/>
              <w:rPr>
                <w:sz w:val="10"/>
                <w:szCs w:val="10"/>
                <w:color w:val="auto"/>
              </w:rPr>
            </w:pPr>
          </w:p>
        </w:tc>
        <w:tc>
          <w:tcPr>
            <w:tcW w:w="940" w:type="dxa"/>
            <w:vAlign w:val="bottom"/>
          </w:tcPr>
          <w:p>
            <w:pPr>
              <w:jc w:val="right"/>
              <w:ind w:right="189"/>
              <w:spacing w:after="0" w:line="121" w:lineRule="exact"/>
              <w:rPr>
                <w:sz w:val="20"/>
                <w:szCs w:val="20"/>
                <w:color w:val="auto"/>
              </w:rPr>
            </w:pPr>
            <w:r>
              <w:rPr>
                <w:rFonts w:ascii="Arial" w:cs="Arial" w:eastAsia="Arial" w:hAnsi="Arial"/>
                <w:sz w:val="11"/>
                <w:szCs w:val="11"/>
                <w:b w:val="1"/>
                <w:bCs w:val="1"/>
                <w:color w:val="auto"/>
              </w:rPr>
              <w:t>and Housing</w:t>
            </w:r>
          </w:p>
        </w:tc>
        <w:tc>
          <w:tcPr>
            <w:tcW w:w="820" w:type="dxa"/>
            <w:vAlign w:val="bottom"/>
          </w:tcPr>
          <w:p>
            <w:pPr>
              <w:spacing w:after="0"/>
              <w:rPr>
                <w:sz w:val="10"/>
                <w:szCs w:val="10"/>
                <w:color w:val="auto"/>
              </w:rPr>
            </w:pPr>
          </w:p>
        </w:tc>
        <w:tc>
          <w:tcPr>
            <w:tcW w:w="900" w:type="dxa"/>
            <w:vAlign w:val="bottom"/>
          </w:tcPr>
          <w:p>
            <w:pPr>
              <w:jc w:val="right"/>
              <w:ind w:right="173"/>
              <w:spacing w:after="0" w:line="121" w:lineRule="exact"/>
              <w:rPr>
                <w:sz w:val="20"/>
                <w:szCs w:val="20"/>
                <w:color w:val="auto"/>
              </w:rPr>
            </w:pPr>
            <w:r>
              <w:rPr>
                <w:rFonts w:ascii="Arial" w:cs="Arial" w:eastAsia="Arial" w:hAnsi="Arial"/>
                <w:sz w:val="11"/>
                <w:szCs w:val="11"/>
                <w:b w:val="1"/>
                <w:bCs w:val="1"/>
                <w:color w:val="auto"/>
              </w:rPr>
              <w:t>Pension</w:t>
            </w:r>
          </w:p>
        </w:tc>
        <w:tc>
          <w:tcPr>
            <w:tcW w:w="820" w:type="dxa"/>
            <w:vAlign w:val="bottom"/>
          </w:tcPr>
          <w:p>
            <w:pPr>
              <w:jc w:val="right"/>
              <w:ind w:right="186"/>
              <w:spacing w:after="0" w:line="121" w:lineRule="exact"/>
              <w:rPr>
                <w:sz w:val="20"/>
                <w:szCs w:val="20"/>
                <w:color w:val="auto"/>
              </w:rPr>
            </w:pPr>
            <w:r>
              <w:rPr>
                <w:rFonts w:ascii="Arial" w:cs="Arial" w:eastAsia="Arial" w:hAnsi="Arial"/>
                <w:sz w:val="11"/>
                <w:szCs w:val="11"/>
                <w:b w:val="1"/>
                <w:bCs w:val="1"/>
                <w:color w:val="auto"/>
              </w:rPr>
              <w:t>and Other</w:t>
            </w:r>
          </w:p>
        </w:tc>
        <w:tc>
          <w:tcPr>
            <w:tcW w:w="960" w:type="dxa"/>
            <w:vAlign w:val="bottom"/>
          </w:tcPr>
          <w:p>
            <w:pPr>
              <w:ind w:left="240"/>
              <w:spacing w:after="0" w:line="121" w:lineRule="exact"/>
              <w:rPr>
                <w:sz w:val="20"/>
                <w:szCs w:val="20"/>
                <w:color w:val="auto"/>
              </w:rPr>
            </w:pPr>
            <w:r>
              <w:rPr>
                <w:rFonts w:ascii="Arial" w:cs="Arial" w:eastAsia="Arial" w:hAnsi="Arial"/>
                <w:sz w:val="11"/>
                <w:szCs w:val="11"/>
                <w:b w:val="1"/>
                <w:bCs w:val="1"/>
                <w:color w:val="auto"/>
              </w:rPr>
              <w:t>to 401(k)</w:t>
            </w:r>
          </w:p>
        </w:tc>
        <w:tc>
          <w:tcPr>
            <w:tcW w:w="660" w:type="dxa"/>
            <w:vAlign w:val="bottom"/>
          </w:tcPr>
          <w:p>
            <w:pPr>
              <w:jc w:val="right"/>
              <w:ind w:right="26"/>
              <w:spacing w:after="0" w:line="121" w:lineRule="exact"/>
              <w:rPr>
                <w:sz w:val="20"/>
                <w:szCs w:val="20"/>
                <w:color w:val="auto"/>
              </w:rPr>
            </w:pPr>
            <w:r>
              <w:rPr>
                <w:rFonts w:ascii="Arial" w:cs="Arial" w:eastAsia="Arial" w:hAnsi="Arial"/>
                <w:sz w:val="11"/>
                <w:szCs w:val="11"/>
                <w:b w:val="1"/>
                <w:bCs w:val="1"/>
                <w:color w:val="auto"/>
              </w:rPr>
              <w:t>Premium</w:t>
            </w:r>
          </w:p>
        </w:tc>
        <w:tc>
          <w:tcPr>
            <w:tcW w:w="760" w:type="dxa"/>
            <w:vAlign w:val="bottom"/>
          </w:tcPr>
          <w:p>
            <w:pPr>
              <w:ind w:left="260"/>
              <w:spacing w:after="0" w:line="121" w:lineRule="exact"/>
              <w:rPr>
                <w:sz w:val="20"/>
                <w:szCs w:val="20"/>
                <w:color w:val="auto"/>
              </w:rPr>
            </w:pPr>
            <w:r>
              <w:rPr>
                <w:rFonts w:ascii="Arial" w:cs="Arial" w:eastAsia="Arial" w:hAnsi="Arial"/>
                <w:sz w:val="11"/>
                <w:szCs w:val="11"/>
                <w:b w:val="1"/>
                <w:bCs w:val="1"/>
                <w:color w:val="auto"/>
                <w:w w:val="93"/>
              </w:rPr>
              <w:t>Executive</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Payments</w:t>
            </w:r>
          </w:p>
        </w:tc>
        <w:tc>
          <w:tcPr>
            <w:tcW w:w="220" w:type="dxa"/>
            <w:vAlign w:val="bottom"/>
          </w:tcPr>
          <w:p>
            <w:pPr>
              <w:spacing w:after="0"/>
              <w:rPr>
                <w:sz w:val="12"/>
                <w:szCs w:val="12"/>
                <w:color w:val="auto"/>
              </w:rPr>
            </w:pPr>
          </w:p>
        </w:tc>
        <w:tc>
          <w:tcPr>
            <w:tcW w:w="940" w:type="dxa"/>
            <w:vAlign w:val="bottom"/>
          </w:tcPr>
          <w:p>
            <w:pPr>
              <w:jc w:val="right"/>
              <w:ind w:right="189"/>
              <w:spacing w:after="0"/>
              <w:rPr>
                <w:sz w:val="20"/>
                <w:szCs w:val="20"/>
                <w:color w:val="auto"/>
              </w:rPr>
            </w:pPr>
            <w:r>
              <w:rPr>
                <w:rFonts w:ascii="Arial" w:cs="Arial" w:eastAsia="Arial" w:hAnsi="Arial"/>
                <w:sz w:val="11"/>
                <w:szCs w:val="11"/>
                <w:b w:val="1"/>
                <w:bCs w:val="1"/>
                <w:color w:val="auto"/>
              </w:rPr>
              <w:t>Allowances</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Relocation</w:t>
            </w:r>
          </w:p>
        </w:tc>
        <w:tc>
          <w:tcPr>
            <w:tcW w:w="900" w:type="dxa"/>
            <w:vAlign w:val="bottom"/>
          </w:tcPr>
          <w:p>
            <w:pPr>
              <w:jc w:val="right"/>
              <w:ind w:right="173"/>
              <w:spacing w:after="0"/>
              <w:rPr>
                <w:sz w:val="20"/>
                <w:szCs w:val="20"/>
                <w:color w:val="auto"/>
              </w:rPr>
            </w:pPr>
            <w:r>
              <w:rPr>
                <w:rFonts w:ascii="Arial" w:cs="Arial" w:eastAsia="Arial" w:hAnsi="Arial"/>
                <w:sz w:val="11"/>
                <w:szCs w:val="11"/>
                <w:b w:val="1"/>
                <w:bCs w:val="1"/>
                <w:color w:val="auto"/>
              </w:rPr>
              <w:t>contribution</w:t>
            </w:r>
          </w:p>
        </w:tc>
        <w:tc>
          <w:tcPr>
            <w:tcW w:w="820" w:type="dxa"/>
            <w:vAlign w:val="bottom"/>
          </w:tcPr>
          <w:p>
            <w:pPr>
              <w:jc w:val="right"/>
              <w:ind w:right="166"/>
              <w:spacing w:after="0"/>
              <w:rPr>
                <w:sz w:val="20"/>
                <w:szCs w:val="20"/>
                <w:color w:val="auto"/>
              </w:rPr>
            </w:pPr>
            <w:r>
              <w:rPr>
                <w:rFonts w:ascii="Arial" w:cs="Arial" w:eastAsia="Arial" w:hAnsi="Arial"/>
                <w:sz w:val="11"/>
                <w:szCs w:val="11"/>
                <w:b w:val="1"/>
                <w:bCs w:val="1"/>
                <w:color w:val="auto"/>
              </w:rPr>
              <w:t>Perks</w:t>
            </w:r>
          </w:p>
        </w:tc>
        <w:tc>
          <w:tcPr>
            <w:tcW w:w="960" w:type="dxa"/>
            <w:vAlign w:val="bottom"/>
          </w:tcPr>
          <w:p>
            <w:pPr>
              <w:jc w:val="right"/>
              <w:ind w:right="186"/>
              <w:spacing w:after="0"/>
              <w:rPr>
                <w:sz w:val="20"/>
                <w:szCs w:val="20"/>
                <w:color w:val="auto"/>
              </w:rPr>
            </w:pPr>
            <w:r>
              <w:rPr>
                <w:rFonts w:ascii="Arial" w:cs="Arial" w:eastAsia="Arial" w:hAnsi="Arial"/>
                <w:sz w:val="11"/>
                <w:szCs w:val="11"/>
                <w:b w:val="1"/>
                <w:bCs w:val="1"/>
                <w:color w:val="auto"/>
              </w:rPr>
              <w:t>Plan</w:t>
            </w:r>
          </w:p>
        </w:tc>
        <w:tc>
          <w:tcPr>
            <w:tcW w:w="660" w:type="dxa"/>
            <w:vAlign w:val="bottom"/>
          </w:tcPr>
          <w:p>
            <w:pPr>
              <w:jc w:val="right"/>
              <w:ind w:right="26"/>
              <w:spacing w:after="0"/>
              <w:rPr>
                <w:sz w:val="20"/>
                <w:szCs w:val="20"/>
                <w:color w:val="auto"/>
              </w:rPr>
            </w:pPr>
            <w:r>
              <w:rPr>
                <w:rFonts w:ascii="Arial" w:cs="Arial" w:eastAsia="Arial" w:hAnsi="Arial"/>
                <w:sz w:val="11"/>
                <w:szCs w:val="11"/>
                <w:b w:val="1"/>
                <w:bCs w:val="1"/>
                <w:color w:val="auto"/>
              </w:rPr>
              <w:t>Payments</w:t>
            </w:r>
          </w:p>
        </w:tc>
        <w:tc>
          <w:tcPr>
            <w:tcW w:w="760" w:type="dxa"/>
            <w:vAlign w:val="bottom"/>
          </w:tcPr>
          <w:p>
            <w:pPr>
              <w:ind w:left="260"/>
              <w:spacing w:after="0"/>
              <w:rPr>
                <w:sz w:val="20"/>
                <w:szCs w:val="20"/>
                <w:color w:val="auto"/>
              </w:rPr>
            </w:pPr>
            <w:r>
              <w:rPr>
                <w:rFonts w:ascii="Arial" w:cs="Arial" w:eastAsia="Arial" w:hAnsi="Arial"/>
                <w:sz w:val="11"/>
                <w:szCs w:val="11"/>
                <w:b w:val="1"/>
                <w:bCs w:val="1"/>
                <w:color w:val="auto"/>
                <w:w w:val="94"/>
              </w:rPr>
              <w:t>Physicals</w:t>
            </w:r>
          </w:p>
        </w:tc>
        <w:tc>
          <w:tcPr>
            <w:tcW w:w="0" w:type="dxa"/>
            <w:vAlign w:val="bottom"/>
          </w:tcPr>
          <w:p>
            <w:pPr>
              <w:spacing w:after="0"/>
              <w:rPr>
                <w:sz w:val="1"/>
                <w:szCs w:val="1"/>
                <w:color w:val="auto"/>
              </w:rPr>
            </w:pPr>
          </w:p>
        </w:tc>
      </w:tr>
    </w:tbl>
    <w:p>
      <w:pPr>
        <w:spacing w:after="0" w:line="67" w:lineRule="exact"/>
        <w:rPr>
          <w:sz w:val="20"/>
          <w:szCs w:val="20"/>
          <w:color w:val="auto"/>
        </w:rPr>
      </w:pPr>
    </w:p>
    <w:p>
      <w:pPr>
        <w:sectPr>
          <w:pgSz w:w="11900" w:h="16838" w:orient="portrait"/>
          <w:cols w:equalWidth="0" w:num="1">
            <w:col w:w="10940"/>
          </w:cols>
          <w:pgMar w:left="480" w:top="116" w:right="479" w:bottom="1440" w:gutter="0" w:footer="0" w:header="0"/>
        </w:sectPr>
      </w:pPr>
    </w:p>
    <w:p>
      <w:pPr>
        <w:spacing w:after="0" w:line="137" w:lineRule="exact"/>
        <w:rPr>
          <w:sz w:val="20"/>
          <w:szCs w:val="20"/>
          <w:color w:val="auto"/>
        </w:rPr>
      </w:pPr>
    </w:p>
    <w:p>
      <w:pPr>
        <w:ind w:left="1360"/>
        <w:spacing w:after="0"/>
        <w:rPr>
          <w:sz w:val="20"/>
          <w:szCs w:val="20"/>
          <w:color w:val="auto"/>
        </w:rPr>
      </w:pPr>
      <w:r>
        <w:rPr>
          <w:rFonts w:ascii="Arial" w:cs="Arial" w:eastAsia="Arial" w:hAnsi="Arial"/>
          <w:sz w:val="12"/>
          <w:szCs w:val="12"/>
          <w:color w:val="auto"/>
        </w:rPr>
        <w:t>Rafael Santana</w:t>
      </w:r>
      <w:r>
        <w:rPr>
          <w:rFonts w:ascii="Arial" w:cs="Arial" w:eastAsia="Arial" w:hAnsi="Arial"/>
          <w:sz w:val="20"/>
          <w:szCs w:val="20"/>
          <w:color w:val="auto"/>
          <w:vertAlign w:val="superscript"/>
        </w:rPr>
        <w:t>(a)</w:t>
      </w:r>
    </w:p>
    <w:p>
      <w:pPr>
        <w:spacing w:after="0" w:line="70" w:lineRule="exact"/>
        <w:rPr>
          <w:sz w:val="20"/>
          <w:szCs w:val="20"/>
          <w:color w:val="auto"/>
        </w:rPr>
      </w:pPr>
    </w:p>
    <w:p>
      <w:pPr>
        <w:ind w:left="1360"/>
        <w:spacing w:after="0"/>
        <w:rPr>
          <w:sz w:val="20"/>
          <w:szCs w:val="20"/>
          <w:color w:val="auto"/>
        </w:rPr>
      </w:pPr>
      <w:r>
        <w:rPr>
          <w:rFonts w:ascii="Arial" w:cs="Arial" w:eastAsia="Arial" w:hAnsi="Arial"/>
          <w:sz w:val="12"/>
          <w:szCs w:val="12"/>
          <w:color w:val="auto"/>
        </w:rPr>
        <w:t>John Olin</w:t>
      </w:r>
    </w:p>
    <w:p>
      <w:pPr>
        <w:spacing w:after="0" w:line="143" w:lineRule="exact"/>
        <w:rPr>
          <w:sz w:val="20"/>
          <w:szCs w:val="20"/>
          <w:color w:val="auto"/>
        </w:rPr>
      </w:pPr>
    </w:p>
    <w:p>
      <w:pPr>
        <w:ind w:left="1360"/>
        <w:spacing w:after="0"/>
        <w:rPr>
          <w:sz w:val="20"/>
          <w:szCs w:val="20"/>
          <w:color w:val="auto"/>
        </w:rPr>
      </w:pPr>
      <w:r>
        <w:rPr>
          <w:rFonts w:ascii="Arial" w:cs="Arial" w:eastAsia="Arial" w:hAnsi="Arial"/>
          <w:sz w:val="12"/>
          <w:szCs w:val="12"/>
          <w:color w:val="auto"/>
        </w:rPr>
        <w:t>David L. DeNinno</w:t>
      </w:r>
    </w:p>
    <w:p>
      <w:pPr>
        <w:spacing w:after="0" w:line="151" w:lineRule="exact"/>
        <w:rPr>
          <w:sz w:val="20"/>
          <w:szCs w:val="20"/>
          <w:color w:val="auto"/>
        </w:rPr>
      </w:pPr>
    </w:p>
    <w:p>
      <w:pPr>
        <w:ind w:left="1360"/>
        <w:spacing w:after="0"/>
        <w:rPr>
          <w:sz w:val="20"/>
          <w:szCs w:val="20"/>
          <w:color w:val="auto"/>
        </w:rPr>
      </w:pPr>
      <w:r>
        <w:rPr>
          <w:rFonts w:ascii="Arial" w:cs="Arial" w:eastAsia="Arial" w:hAnsi="Arial"/>
          <w:sz w:val="12"/>
          <w:szCs w:val="12"/>
          <w:color w:val="auto"/>
        </w:rPr>
        <w:t>Pascal Schweitzer</w:t>
      </w:r>
      <w:r>
        <w:rPr>
          <w:rFonts w:ascii="Arial" w:cs="Arial" w:eastAsia="Arial" w:hAnsi="Arial"/>
          <w:sz w:val="19"/>
          <w:szCs w:val="19"/>
          <w:color w:val="auto"/>
          <w:vertAlign w:val="superscript"/>
        </w:rPr>
        <w:t>(b)</w:t>
      </w:r>
    </w:p>
    <w:p>
      <w:pPr>
        <w:spacing w:after="0" w:line="82" w:lineRule="exact"/>
        <w:rPr>
          <w:sz w:val="20"/>
          <w:szCs w:val="20"/>
          <w:color w:val="auto"/>
        </w:rPr>
      </w:pPr>
    </w:p>
    <w:p>
      <w:pPr>
        <w:ind w:left="1360"/>
        <w:spacing w:after="0"/>
        <w:rPr>
          <w:sz w:val="20"/>
          <w:szCs w:val="20"/>
          <w:color w:val="auto"/>
        </w:rPr>
      </w:pPr>
      <w:r>
        <w:rPr>
          <w:rFonts w:ascii="Arial" w:cs="Arial" w:eastAsia="Arial" w:hAnsi="Arial"/>
          <w:sz w:val="12"/>
          <w:szCs w:val="12"/>
          <w:color w:val="auto"/>
        </w:rPr>
        <w:t>Eric Gebhardt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5"/>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ind w:left="80"/>
              <w:spacing w:after="0"/>
              <w:rPr>
                <w:sz w:val="20"/>
                <w:szCs w:val="20"/>
                <w:color w:val="auto"/>
              </w:rPr>
            </w:pPr>
            <w:r>
              <w:rPr>
                <w:rFonts w:ascii="Arial" w:cs="Arial" w:eastAsia="Arial" w:hAnsi="Arial"/>
                <w:sz w:val="12"/>
                <w:szCs w:val="12"/>
                <w:color w:val="auto"/>
              </w:rPr>
              <w:t>2023</w:t>
            </w:r>
            <w:r>
              <w:rPr>
                <w:rFonts w:ascii="Times New Roman" w:cs="Times New Roman" w:eastAsia="Times New Roman" w:hAnsi="Times New Roman"/>
                <w:sz w:val="3"/>
                <w:szCs w:val="3"/>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29"/>
              <w:spacing w:after="0"/>
              <w:rPr>
                <w:sz w:val="20"/>
                <w:szCs w:val="20"/>
                <w:color w:val="auto"/>
              </w:rPr>
            </w:pPr>
            <w:r>
              <w:rPr>
                <w:rFonts w:ascii="Arial" w:cs="Arial" w:eastAsia="Arial" w:hAnsi="Arial"/>
                <w:sz w:val="24"/>
                <w:szCs w:val="24"/>
                <w:color w:val="auto"/>
                <w:vertAlign w:val="subscript"/>
              </w:rPr>
              <w:t>0</w:t>
            </w:r>
            <w:r>
              <w:rPr>
                <w:rFonts w:ascii="Times New Roman" w:cs="Times New Roman" w:eastAsia="Times New Roman" w:hAnsi="Times New Roman"/>
                <w:sz w:val="4"/>
                <w:szCs w:val="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9"/>
              <w:spacing w:after="0"/>
              <w:rPr>
                <w:sz w:val="20"/>
                <w:szCs w:val="20"/>
                <w:color w:val="auto"/>
              </w:rPr>
            </w:pPr>
            <w:r>
              <w:rPr>
                <w:rFonts w:ascii="Arial" w:cs="Arial" w:eastAsia="Arial" w:hAnsi="Arial"/>
                <w:sz w:val="24"/>
                <w:szCs w:val="24"/>
                <w:color w:val="auto"/>
                <w:vertAlign w:val="subscript"/>
              </w:rPr>
              <w:t>0</w:t>
            </w:r>
            <w:r>
              <w:rPr>
                <w:rFonts w:ascii="Times New Roman" w:cs="Times New Roman" w:eastAsia="Times New Roman" w:hAnsi="Times New Roman"/>
                <w:sz w:val="4"/>
                <w:szCs w:val="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9"/>
              <w:spacing w:after="0"/>
              <w:rPr>
                <w:sz w:val="20"/>
                <w:szCs w:val="20"/>
                <w:color w:val="auto"/>
              </w:rPr>
            </w:pPr>
            <w:r>
              <w:rPr>
                <w:rFonts w:ascii="Arial" w:cs="Arial" w:eastAsia="Arial" w:hAnsi="Arial"/>
                <w:sz w:val="24"/>
                <w:szCs w:val="24"/>
                <w:color w:val="auto"/>
                <w:vertAlign w:val="subscript"/>
              </w:rPr>
              <w:t>0</w:t>
            </w:r>
            <w:r>
              <w:rPr>
                <w:rFonts w:ascii="Times New Roman" w:cs="Times New Roman" w:eastAsia="Times New Roman" w:hAnsi="Times New Roman"/>
                <w:sz w:val="4"/>
                <w:szCs w:val="4"/>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29"/>
              <w:spacing w:after="0"/>
              <w:rPr>
                <w:sz w:val="20"/>
                <w:szCs w:val="20"/>
                <w:color w:val="auto"/>
              </w:rPr>
            </w:pPr>
            <w:r>
              <w:rPr>
                <w:rFonts w:ascii="Arial" w:cs="Arial" w:eastAsia="Arial" w:hAnsi="Arial"/>
                <w:sz w:val="24"/>
                <w:szCs w:val="24"/>
                <w:color w:val="auto"/>
                <w:vertAlign w:val="subscript"/>
              </w:rPr>
              <w:t>0</w:t>
            </w: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20"/>
              <w:spacing w:after="0"/>
              <w:rPr>
                <w:sz w:val="20"/>
                <w:szCs w:val="20"/>
                <w:color w:val="auto"/>
              </w:rPr>
            </w:pPr>
            <w:r>
              <w:rPr>
                <w:rFonts w:ascii="Arial" w:cs="Arial" w:eastAsia="Arial" w:hAnsi="Arial"/>
                <w:sz w:val="24"/>
                <w:szCs w:val="24"/>
                <w:color w:val="auto"/>
                <w:vertAlign w:val="subscript"/>
              </w:rPr>
              <w:t>0</w:t>
            </w:r>
            <w:r>
              <w:rPr>
                <w:rFonts w:ascii="Times New Roman" w:cs="Times New Roman" w:eastAsia="Times New Roman" w:hAnsi="Times New Roman"/>
                <w:sz w:val="4"/>
                <w:szCs w:val="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gridSpan w:val="2"/>
          </w:tcPr>
          <w:p>
            <w:pPr>
              <w:jc w:val="right"/>
              <w:ind w:right="18"/>
              <w:spacing w:after="0"/>
              <w:rPr>
                <w:sz w:val="20"/>
                <w:szCs w:val="20"/>
                <w:color w:val="auto"/>
              </w:rPr>
            </w:pPr>
            <w:r>
              <w:rPr>
                <w:rFonts w:ascii="Arial" w:cs="Arial" w:eastAsia="Arial" w:hAnsi="Arial"/>
                <w:sz w:val="12"/>
                <w:szCs w:val="12"/>
                <w:color w:val="auto"/>
              </w:rPr>
              <w:t>$19,800</w:t>
            </w:r>
            <w:r>
              <w:rPr>
                <w:rFonts w:ascii="Times New Roman" w:cs="Times New Roman" w:eastAsia="Times New Roman" w:hAnsi="Times New Roman"/>
                <w:sz w:val="3"/>
                <w:szCs w:val="3"/>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2,622</w:t>
            </w:r>
            <w:r>
              <w:rPr>
                <w:rFonts w:ascii="Times New Roman" w:cs="Times New Roman" w:eastAsia="Times New Roman" w:hAnsi="Times New Roman"/>
                <w:sz w:val="3"/>
                <w:szCs w:val="3"/>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$5,455</w:t>
            </w:r>
          </w:p>
        </w:tc>
      </w:tr>
      <w:tr>
        <w:trPr>
          <w:trHeight w:val="54"/>
        </w:trPr>
        <w:tc>
          <w:tcPr>
            <w:tcW w:w="12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gridSpan w:val="2"/>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gridSpan w:val="2"/>
          </w:tcPr>
          <w:p>
            <w:pPr>
              <w:spacing w:after="0"/>
              <w:rPr>
                <w:sz w:val="4"/>
                <w:szCs w:val="4"/>
                <w:color w:val="auto"/>
              </w:rPr>
            </w:pPr>
          </w:p>
        </w:tc>
      </w:tr>
      <w:tr>
        <w:trPr>
          <w:trHeight w:val="207"/>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ind w:left="80"/>
              <w:spacing w:after="0"/>
              <w:rPr>
                <w:sz w:val="20"/>
                <w:szCs w:val="20"/>
                <w:color w:val="auto"/>
              </w:rPr>
            </w:pPr>
            <w:r>
              <w:rPr>
                <w:rFonts w:ascii="Arial" w:cs="Arial" w:eastAsia="Arial" w:hAnsi="Arial"/>
                <w:sz w:val="12"/>
                <w:szCs w:val="12"/>
                <w:color w:val="auto"/>
              </w:rPr>
              <w:t>2023</w:t>
            </w:r>
            <w:r>
              <w:rPr>
                <w:rFonts w:ascii="Times New Roman" w:cs="Times New Roman" w:eastAsia="Times New Roman" w:hAnsi="Times New Roman"/>
                <w:sz w:val="3"/>
                <w:szCs w:val="3"/>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29"/>
              <w:spacing w:after="0"/>
              <w:rPr>
                <w:sz w:val="20"/>
                <w:szCs w:val="20"/>
                <w:color w:val="auto"/>
              </w:rPr>
            </w:pPr>
            <w:r>
              <w:rPr>
                <w:rFonts w:ascii="Arial" w:cs="Arial" w:eastAsia="Arial" w:hAnsi="Arial"/>
                <w:sz w:val="12"/>
                <w:szCs w:val="12"/>
                <w:color w:val="auto"/>
              </w:rPr>
              <w:t>0</w:t>
            </w:r>
            <w:r>
              <w:rPr>
                <w:rFonts w:ascii="Times New Roman" w:cs="Times New Roman" w:eastAsia="Times New Roman" w:hAnsi="Times New Roman"/>
                <w:sz w:val="7"/>
                <w:szCs w:val="7"/>
                <w:color w:val="auto"/>
                <w:vertAlign w:val="superscript"/>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9"/>
              <w:spacing w:after="0"/>
              <w:rPr>
                <w:sz w:val="20"/>
                <w:szCs w:val="20"/>
                <w:color w:val="auto"/>
              </w:rPr>
            </w:pPr>
            <w:r>
              <w:rPr>
                <w:rFonts w:ascii="Arial" w:cs="Arial" w:eastAsia="Arial" w:hAnsi="Arial"/>
                <w:sz w:val="12"/>
                <w:szCs w:val="12"/>
                <w:color w:val="auto"/>
              </w:rPr>
              <w:t>0</w:t>
            </w:r>
            <w:r>
              <w:rPr>
                <w:rFonts w:ascii="Times New Roman" w:cs="Times New Roman" w:eastAsia="Times New Roman" w:hAnsi="Times New Roman"/>
                <w:sz w:val="7"/>
                <w:szCs w:val="7"/>
                <w:color w:val="auto"/>
                <w:vertAlign w:val="superscript"/>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9"/>
              <w:spacing w:after="0"/>
              <w:rPr>
                <w:sz w:val="20"/>
                <w:szCs w:val="20"/>
                <w:color w:val="auto"/>
              </w:rPr>
            </w:pPr>
            <w:r>
              <w:rPr>
                <w:rFonts w:ascii="Arial" w:cs="Arial" w:eastAsia="Arial" w:hAnsi="Arial"/>
                <w:sz w:val="12"/>
                <w:szCs w:val="12"/>
                <w:color w:val="auto"/>
              </w:rPr>
              <w:t>0</w:t>
            </w:r>
            <w:r>
              <w:rPr>
                <w:rFonts w:ascii="Times New Roman" w:cs="Times New Roman" w:eastAsia="Times New Roman" w:hAnsi="Times New Roman"/>
                <w:sz w:val="7"/>
                <w:szCs w:val="7"/>
                <w:color w:val="auto"/>
                <w:vertAlign w:val="superscript"/>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29"/>
              <w:spacing w:after="0"/>
              <w:rPr>
                <w:sz w:val="20"/>
                <w:szCs w:val="20"/>
                <w:color w:val="auto"/>
              </w:rPr>
            </w:pPr>
            <w:r>
              <w:rPr>
                <w:rFonts w:ascii="Arial" w:cs="Arial" w:eastAsia="Arial" w:hAnsi="Arial"/>
                <w:sz w:val="12"/>
                <w:szCs w:val="12"/>
                <w:color w:val="auto"/>
              </w:rPr>
              <w:t>0</w:t>
            </w:r>
            <w:r>
              <w:rPr>
                <w:rFonts w:ascii="Times New Roman" w:cs="Times New Roman" w:eastAsia="Times New Roman" w:hAnsi="Times New Roman"/>
                <w:sz w:val="7"/>
                <w:szCs w:val="7"/>
                <w:color w:val="auto"/>
                <w:vertAlign w:val="superscript"/>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20"/>
              <w:spacing w:after="0"/>
              <w:rPr>
                <w:sz w:val="20"/>
                <w:szCs w:val="20"/>
                <w:color w:val="auto"/>
              </w:rPr>
            </w:pPr>
            <w:r>
              <w:rPr>
                <w:rFonts w:ascii="Arial" w:cs="Arial" w:eastAsia="Arial" w:hAnsi="Arial"/>
                <w:sz w:val="12"/>
                <w:szCs w:val="12"/>
                <w:color w:val="auto"/>
              </w:rPr>
              <w:t>0</w:t>
            </w:r>
            <w:r>
              <w:rPr>
                <w:rFonts w:ascii="Times New Roman" w:cs="Times New Roman" w:eastAsia="Times New Roman" w:hAnsi="Times New Roman"/>
                <w:sz w:val="7"/>
                <w:szCs w:val="7"/>
                <w:color w:val="auto"/>
                <w:vertAlign w:val="superscript"/>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gridSpan w:val="2"/>
          </w:tcPr>
          <w:p>
            <w:pPr>
              <w:jc w:val="right"/>
              <w:ind w:right="18"/>
              <w:spacing w:after="0"/>
              <w:rPr>
                <w:sz w:val="20"/>
                <w:szCs w:val="20"/>
                <w:color w:val="auto"/>
              </w:rPr>
            </w:pPr>
            <w:r>
              <w:rPr>
                <w:rFonts w:ascii="Arial" w:cs="Arial" w:eastAsia="Arial" w:hAnsi="Arial"/>
                <w:sz w:val="12"/>
                <w:szCs w:val="12"/>
                <w:color w:val="auto"/>
              </w:rPr>
              <w:t>$19,800</w:t>
            </w:r>
            <w:r>
              <w:rPr>
                <w:rFonts w:ascii="Times New Roman" w:cs="Times New Roman" w:eastAsia="Times New Roman" w:hAnsi="Times New Roman"/>
                <w:sz w:val="3"/>
                <w:szCs w:val="3"/>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4,524</w:t>
            </w:r>
            <w:r>
              <w:rPr>
                <w:rFonts w:ascii="Times New Roman" w:cs="Times New Roman" w:eastAsia="Times New Roman" w:hAnsi="Times New Roman"/>
                <w:sz w:val="3"/>
                <w:szCs w:val="3"/>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$6,273</w:t>
            </w:r>
          </w:p>
        </w:tc>
      </w:tr>
      <w:tr>
        <w:trPr>
          <w:trHeight w:val="54"/>
        </w:trPr>
        <w:tc>
          <w:tcPr>
            <w:tcW w:w="12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gridSpan w:val="2"/>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gridSpan w:val="2"/>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gridSpan w:val="2"/>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gridSpan w:val="2"/>
          </w:tcPr>
          <w:p>
            <w:pPr>
              <w:spacing w:after="0"/>
              <w:rPr>
                <w:sz w:val="4"/>
                <w:szCs w:val="4"/>
                <w:color w:val="auto"/>
              </w:rPr>
            </w:pPr>
          </w:p>
        </w:tc>
      </w:tr>
      <w:tr>
        <w:trPr>
          <w:trHeight w:val="207"/>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ind w:left="80"/>
              <w:spacing w:after="0"/>
              <w:rPr>
                <w:sz w:val="20"/>
                <w:szCs w:val="20"/>
                <w:color w:val="auto"/>
              </w:rPr>
            </w:pPr>
            <w:r>
              <w:rPr>
                <w:rFonts w:ascii="Arial" w:cs="Arial" w:eastAsia="Arial" w:hAnsi="Arial"/>
                <w:sz w:val="12"/>
                <w:szCs w:val="12"/>
                <w:color w:val="auto"/>
              </w:rPr>
              <w:t>2023</w:t>
            </w:r>
            <w:r>
              <w:rPr>
                <w:rFonts w:ascii="Times New Roman" w:cs="Times New Roman" w:eastAsia="Times New Roman" w:hAnsi="Times New Roman"/>
                <w:sz w:val="3"/>
                <w:szCs w:val="3"/>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29"/>
              <w:spacing w:after="0"/>
              <w:rPr>
                <w:sz w:val="20"/>
                <w:szCs w:val="20"/>
                <w:color w:val="auto"/>
              </w:rPr>
            </w:pPr>
            <w:r>
              <w:rPr>
                <w:rFonts w:ascii="Arial" w:cs="Arial" w:eastAsia="Arial" w:hAnsi="Arial"/>
                <w:sz w:val="12"/>
                <w:szCs w:val="12"/>
                <w:color w:val="auto"/>
              </w:rPr>
              <w:t>0</w:t>
            </w:r>
            <w:r>
              <w:rPr>
                <w:rFonts w:ascii="Times New Roman" w:cs="Times New Roman" w:eastAsia="Times New Roman" w:hAnsi="Times New Roman"/>
                <w:sz w:val="3"/>
                <w:szCs w:val="3"/>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9"/>
              <w:spacing w:after="0"/>
              <w:rPr>
                <w:sz w:val="20"/>
                <w:szCs w:val="20"/>
                <w:color w:val="auto"/>
              </w:rPr>
            </w:pPr>
            <w:r>
              <w:rPr>
                <w:rFonts w:ascii="Arial" w:cs="Arial" w:eastAsia="Arial" w:hAnsi="Arial"/>
                <w:sz w:val="12"/>
                <w:szCs w:val="12"/>
                <w:color w:val="auto"/>
              </w:rPr>
              <w:t>0</w:t>
            </w:r>
            <w:r>
              <w:rPr>
                <w:rFonts w:ascii="Times New Roman" w:cs="Times New Roman" w:eastAsia="Times New Roman" w:hAnsi="Times New Roman"/>
                <w:sz w:val="3"/>
                <w:szCs w:val="3"/>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9"/>
              <w:spacing w:after="0"/>
              <w:rPr>
                <w:sz w:val="20"/>
                <w:szCs w:val="20"/>
                <w:color w:val="auto"/>
              </w:rPr>
            </w:pPr>
            <w:r>
              <w:rPr>
                <w:rFonts w:ascii="Arial" w:cs="Arial" w:eastAsia="Arial" w:hAnsi="Arial"/>
                <w:sz w:val="12"/>
                <w:szCs w:val="12"/>
                <w:color w:val="auto"/>
              </w:rPr>
              <w:t>0</w:t>
            </w:r>
            <w:r>
              <w:rPr>
                <w:rFonts w:ascii="Times New Roman" w:cs="Times New Roman" w:eastAsia="Times New Roman" w:hAnsi="Times New Roman"/>
                <w:sz w:val="3"/>
                <w:szCs w:val="3"/>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29"/>
              <w:spacing w:after="0"/>
              <w:rPr>
                <w:sz w:val="20"/>
                <w:szCs w:val="20"/>
                <w:color w:val="auto"/>
              </w:rPr>
            </w:pPr>
            <w:r>
              <w:rPr>
                <w:rFonts w:ascii="Arial" w:cs="Arial" w:eastAsia="Arial" w:hAnsi="Arial"/>
                <w:sz w:val="12"/>
                <w:szCs w:val="12"/>
                <w:color w:val="auto"/>
              </w:rPr>
              <w:t>0</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2"/>
                <w:szCs w:val="12"/>
                <w:color w:val="auto"/>
              </w:rPr>
              <w:t>$17,520</w:t>
            </w:r>
            <w:r>
              <w:rPr>
                <w:rFonts w:ascii="Times New Roman" w:cs="Times New Roman" w:eastAsia="Times New Roman" w:hAnsi="Times New Roman"/>
                <w:sz w:val="3"/>
                <w:szCs w:val="3"/>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gridSpan w:val="2"/>
          </w:tcPr>
          <w:p>
            <w:pPr>
              <w:jc w:val="right"/>
              <w:ind w:right="18"/>
              <w:spacing w:after="0"/>
              <w:rPr>
                <w:sz w:val="20"/>
                <w:szCs w:val="20"/>
                <w:color w:val="auto"/>
              </w:rPr>
            </w:pPr>
            <w:r>
              <w:rPr>
                <w:rFonts w:ascii="Arial" w:cs="Arial" w:eastAsia="Arial" w:hAnsi="Arial"/>
                <w:sz w:val="12"/>
                <w:szCs w:val="12"/>
                <w:color w:val="auto"/>
              </w:rPr>
              <w:t>$19,800</w:t>
            </w:r>
            <w:r>
              <w:rPr>
                <w:rFonts w:ascii="Times New Roman" w:cs="Times New Roman" w:eastAsia="Times New Roman" w:hAnsi="Times New Roman"/>
                <w:sz w:val="3"/>
                <w:szCs w:val="3"/>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$14,071</w:t>
            </w:r>
            <w:r>
              <w:rPr>
                <w:rFonts w:ascii="Times New Roman" w:cs="Times New Roman" w:eastAsia="Times New Roman" w:hAnsi="Times New Roman"/>
                <w:sz w:val="3"/>
                <w:szCs w:val="3"/>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$5,455</w:t>
            </w:r>
          </w:p>
        </w:tc>
      </w:tr>
      <w:tr>
        <w:trPr>
          <w:trHeight w:val="54"/>
        </w:trPr>
        <w:tc>
          <w:tcPr>
            <w:tcW w:w="12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gridSpan w:val="2"/>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gridSpan w:val="2"/>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gridSpan w:val="2"/>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gridSpan w:val="2"/>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gridSpan w:val="2"/>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ind w:left="80"/>
              <w:spacing w:after="0"/>
              <w:rPr>
                <w:sz w:val="20"/>
                <w:szCs w:val="20"/>
                <w:color w:val="auto"/>
              </w:rPr>
            </w:pPr>
            <w:r>
              <w:rPr>
                <w:rFonts w:ascii="Arial" w:cs="Arial" w:eastAsia="Arial" w:hAnsi="Arial"/>
                <w:sz w:val="12"/>
                <w:szCs w:val="12"/>
                <w:color w:val="auto"/>
              </w:rPr>
              <w:t>2023</w:t>
            </w:r>
            <w:r>
              <w:rPr>
                <w:rFonts w:ascii="Times New Roman" w:cs="Times New Roman" w:eastAsia="Times New Roman" w:hAnsi="Times New Roman"/>
                <w:sz w:val="3"/>
                <w:szCs w:val="3"/>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jc w:val="right"/>
              <w:ind w:right="29"/>
              <w:spacing w:after="0"/>
              <w:rPr>
                <w:sz w:val="20"/>
                <w:szCs w:val="20"/>
                <w:color w:val="auto"/>
              </w:rPr>
            </w:pPr>
            <w:r>
              <w:rPr>
                <w:rFonts w:ascii="Arial" w:cs="Arial" w:eastAsia="Arial" w:hAnsi="Arial"/>
                <w:sz w:val="12"/>
                <w:szCs w:val="12"/>
                <w:color w:val="auto"/>
              </w:rPr>
              <w:t>$ 62,121</w:t>
            </w:r>
            <w:r>
              <w:rPr>
                <w:rFonts w:ascii="Times New Roman" w:cs="Times New Roman" w:eastAsia="Times New Roman" w:hAnsi="Times New Roman"/>
                <w:sz w:val="3"/>
                <w:szCs w:val="3"/>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gridSpan w:val="2"/>
          </w:tcPr>
          <w:p>
            <w:pPr>
              <w:jc w:val="right"/>
              <w:ind w:right="9"/>
              <w:spacing w:after="0"/>
              <w:rPr>
                <w:sz w:val="20"/>
                <w:szCs w:val="20"/>
                <w:color w:val="auto"/>
              </w:rPr>
            </w:pPr>
            <w:r>
              <w:rPr>
                <w:rFonts w:ascii="Arial" w:cs="Arial" w:eastAsia="Arial" w:hAnsi="Arial"/>
                <w:sz w:val="12"/>
                <w:szCs w:val="12"/>
                <w:color w:val="auto"/>
              </w:rPr>
              <w:t>$25,061</w:t>
            </w:r>
            <w:r>
              <w:rPr>
                <w:rFonts w:ascii="Times New Roman" w:cs="Times New Roman" w:eastAsia="Times New Roman" w:hAnsi="Times New Roman"/>
                <w:sz w:val="3"/>
                <w:szCs w:val="3"/>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gridSpan w:val="2"/>
          </w:tcPr>
          <w:p>
            <w:pPr>
              <w:jc w:val="right"/>
              <w:ind w:right="9"/>
              <w:spacing w:after="0"/>
              <w:rPr>
                <w:sz w:val="20"/>
                <w:szCs w:val="20"/>
                <w:color w:val="auto"/>
              </w:rPr>
            </w:pPr>
            <w:r>
              <w:rPr>
                <w:rFonts w:ascii="Arial" w:cs="Arial" w:eastAsia="Arial" w:hAnsi="Arial"/>
                <w:sz w:val="12"/>
                <w:szCs w:val="12"/>
                <w:color w:val="auto"/>
              </w:rPr>
              <w:t>$153,312</w:t>
            </w:r>
            <w:r>
              <w:rPr>
                <w:rFonts w:ascii="Times New Roman" w:cs="Times New Roman" w:eastAsia="Times New Roman" w:hAnsi="Times New Roman"/>
                <w:sz w:val="3"/>
                <w:szCs w:val="3"/>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jc w:val="right"/>
              <w:ind w:right="29"/>
              <w:spacing w:after="0"/>
              <w:rPr>
                <w:sz w:val="20"/>
                <w:szCs w:val="20"/>
                <w:color w:val="auto"/>
              </w:rPr>
            </w:pPr>
            <w:r>
              <w:rPr>
                <w:rFonts w:ascii="Arial" w:cs="Arial" w:eastAsia="Arial" w:hAnsi="Arial"/>
                <w:sz w:val="12"/>
                <w:szCs w:val="12"/>
                <w:color w:val="auto"/>
              </w:rPr>
              <w:t>$135,936</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2"/>
                <w:szCs w:val="12"/>
                <w:color w:val="auto"/>
              </w:rPr>
              <w:t>$21,355</w:t>
            </w:r>
            <w:r>
              <w:rPr>
                <w:rFonts w:ascii="Times New Roman" w:cs="Times New Roman" w:eastAsia="Times New Roman" w:hAnsi="Times New Roman"/>
                <w:sz w:val="3"/>
                <w:szCs w:val="3"/>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18"/>
              <w:spacing w:after="0"/>
              <w:rPr>
                <w:sz w:val="20"/>
                <w:szCs w:val="20"/>
                <w:color w:val="auto"/>
              </w:rPr>
            </w:pPr>
            <w:r>
              <w:rPr>
                <w:rFonts w:ascii="Arial" w:cs="Arial" w:eastAsia="Arial" w:hAnsi="Arial"/>
                <w:sz w:val="12"/>
                <w:szCs w:val="12"/>
                <w:color w:val="auto"/>
              </w:rPr>
              <w:t>0</w:t>
            </w:r>
            <w:r>
              <w:rPr>
                <w:rFonts w:ascii="Times New Roman" w:cs="Times New Roman" w:eastAsia="Times New Roman" w:hAnsi="Times New Roman"/>
                <w:sz w:val="3"/>
                <w:szCs w:val="3"/>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374</w:t>
            </w:r>
            <w:r>
              <w:rPr>
                <w:rFonts w:ascii="Times New Roman" w:cs="Times New Roman" w:eastAsia="Times New Roman" w:hAnsi="Times New Roman"/>
                <w:sz w:val="3"/>
                <w:szCs w:val="3"/>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80" w:type="dxa"/>
            <w:vAlign w:val="bottom"/>
          </w:tcPr>
          <w:p>
            <w:pPr>
              <w:jc w:val="right"/>
              <w:spacing w:after="0"/>
              <w:rPr>
                <w:sz w:val="20"/>
                <w:szCs w:val="20"/>
                <w:color w:val="auto"/>
              </w:rPr>
            </w:pPr>
            <w:r>
              <w:rPr>
                <w:rFonts w:ascii="Arial" w:cs="Arial" w:eastAsia="Arial" w:hAnsi="Arial"/>
                <w:sz w:val="12"/>
                <w:szCs w:val="12"/>
                <w:color w:val="auto"/>
              </w:rPr>
              <w:t>0</w:t>
            </w:r>
          </w:p>
        </w:tc>
      </w:tr>
      <w:tr>
        <w:trPr>
          <w:trHeight w:val="54"/>
        </w:trPr>
        <w:tc>
          <w:tcPr>
            <w:tcW w:w="12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gridSpan w:val="2"/>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gridSpan w:val="2"/>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r>
      <w:tr>
        <w:trPr>
          <w:trHeight w:val="207"/>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ind w:left="80"/>
              <w:spacing w:after="0"/>
              <w:rPr>
                <w:sz w:val="20"/>
                <w:szCs w:val="20"/>
                <w:color w:val="auto"/>
              </w:rPr>
            </w:pPr>
            <w:r>
              <w:rPr>
                <w:rFonts w:ascii="Arial" w:cs="Arial" w:eastAsia="Arial" w:hAnsi="Arial"/>
                <w:sz w:val="12"/>
                <w:szCs w:val="12"/>
                <w:color w:val="auto"/>
              </w:rPr>
              <w:t>2023</w:t>
            </w:r>
            <w:r>
              <w:rPr>
                <w:rFonts w:ascii="Times New Roman" w:cs="Times New Roman" w:eastAsia="Times New Roman" w:hAnsi="Times New Roman"/>
                <w:sz w:val="3"/>
                <w:szCs w:val="3"/>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29"/>
              <w:spacing w:after="0"/>
              <w:rPr>
                <w:sz w:val="20"/>
                <w:szCs w:val="20"/>
                <w:color w:val="auto"/>
              </w:rPr>
            </w:pPr>
            <w:r>
              <w:rPr>
                <w:rFonts w:ascii="Arial" w:cs="Arial" w:eastAsia="Arial" w:hAnsi="Arial"/>
                <w:sz w:val="12"/>
                <w:szCs w:val="12"/>
                <w:color w:val="auto"/>
              </w:rPr>
              <w:t>0</w:t>
            </w:r>
            <w:r>
              <w:rPr>
                <w:rFonts w:ascii="Times New Roman" w:cs="Times New Roman" w:eastAsia="Times New Roman" w:hAnsi="Times New Roman"/>
                <w:sz w:val="7"/>
                <w:szCs w:val="7"/>
                <w:color w:val="auto"/>
                <w:vertAlign w:val="superscript"/>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9"/>
              <w:spacing w:after="0"/>
              <w:rPr>
                <w:sz w:val="20"/>
                <w:szCs w:val="20"/>
                <w:color w:val="auto"/>
              </w:rPr>
            </w:pPr>
            <w:r>
              <w:rPr>
                <w:rFonts w:ascii="Arial" w:cs="Arial" w:eastAsia="Arial" w:hAnsi="Arial"/>
                <w:sz w:val="12"/>
                <w:szCs w:val="12"/>
                <w:color w:val="auto"/>
              </w:rPr>
              <w:t>0</w:t>
            </w:r>
            <w:r>
              <w:rPr>
                <w:rFonts w:ascii="Times New Roman" w:cs="Times New Roman" w:eastAsia="Times New Roman" w:hAnsi="Times New Roman"/>
                <w:sz w:val="7"/>
                <w:szCs w:val="7"/>
                <w:color w:val="auto"/>
                <w:vertAlign w:val="superscript"/>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9"/>
              <w:spacing w:after="0"/>
              <w:rPr>
                <w:sz w:val="20"/>
                <w:szCs w:val="20"/>
                <w:color w:val="auto"/>
              </w:rPr>
            </w:pPr>
            <w:r>
              <w:rPr>
                <w:rFonts w:ascii="Arial" w:cs="Arial" w:eastAsia="Arial" w:hAnsi="Arial"/>
                <w:sz w:val="12"/>
                <w:szCs w:val="12"/>
                <w:color w:val="auto"/>
              </w:rPr>
              <w:t>0</w:t>
            </w:r>
            <w:r>
              <w:rPr>
                <w:rFonts w:ascii="Times New Roman" w:cs="Times New Roman" w:eastAsia="Times New Roman" w:hAnsi="Times New Roman"/>
                <w:sz w:val="7"/>
                <w:szCs w:val="7"/>
                <w:color w:val="auto"/>
                <w:vertAlign w:val="superscript"/>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29"/>
              <w:spacing w:after="0"/>
              <w:rPr>
                <w:sz w:val="20"/>
                <w:szCs w:val="20"/>
                <w:color w:val="auto"/>
              </w:rPr>
            </w:pPr>
            <w:r>
              <w:rPr>
                <w:rFonts w:ascii="Arial" w:cs="Arial" w:eastAsia="Arial" w:hAnsi="Arial"/>
                <w:sz w:val="12"/>
                <w:szCs w:val="12"/>
                <w:color w:val="auto"/>
              </w:rPr>
              <w:t>0</w:t>
            </w:r>
            <w:r>
              <w:rPr>
                <w:rFonts w:ascii="Times New Roman" w:cs="Times New Roman" w:eastAsia="Times New Roman" w:hAnsi="Times New Roman"/>
                <w:sz w:val="7"/>
                <w:szCs w:val="7"/>
                <w:color w:val="auto"/>
                <w:vertAlign w:val="superscript"/>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2"/>
                <w:szCs w:val="12"/>
                <w:color w:val="auto"/>
              </w:rPr>
              <w:t>$11,740</w:t>
            </w:r>
            <w:r>
              <w:rPr>
                <w:rFonts w:ascii="Times New Roman" w:cs="Times New Roman" w:eastAsia="Times New Roman" w:hAnsi="Times New Roman"/>
                <w:sz w:val="3"/>
                <w:szCs w:val="3"/>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gridSpan w:val="2"/>
          </w:tcPr>
          <w:p>
            <w:pPr>
              <w:jc w:val="right"/>
              <w:ind w:right="18"/>
              <w:spacing w:after="0"/>
              <w:rPr>
                <w:sz w:val="20"/>
                <w:szCs w:val="20"/>
                <w:color w:val="auto"/>
              </w:rPr>
            </w:pPr>
            <w:r>
              <w:rPr>
                <w:rFonts w:ascii="Arial" w:cs="Arial" w:eastAsia="Arial" w:hAnsi="Arial"/>
                <w:sz w:val="12"/>
                <w:szCs w:val="12"/>
                <w:color w:val="auto"/>
              </w:rPr>
              <w:t>$19,800</w:t>
            </w:r>
            <w:r>
              <w:rPr>
                <w:rFonts w:ascii="Times New Roman" w:cs="Times New Roman" w:eastAsia="Times New Roman" w:hAnsi="Times New Roman"/>
                <w:sz w:val="3"/>
                <w:szCs w:val="3"/>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4,570</w:t>
            </w:r>
            <w:r>
              <w:rPr>
                <w:rFonts w:ascii="Times New Roman" w:cs="Times New Roman" w:eastAsia="Times New Roman" w:hAnsi="Times New Roman"/>
                <w:sz w:val="3"/>
                <w:szCs w:val="3"/>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80" w:type="dxa"/>
            <w:vAlign w:val="bottom"/>
          </w:tcPr>
          <w:p>
            <w:pPr>
              <w:jc w:val="right"/>
              <w:spacing w:after="0"/>
              <w:rPr>
                <w:sz w:val="20"/>
                <w:szCs w:val="20"/>
                <w:color w:val="auto"/>
              </w:rPr>
            </w:pPr>
            <w:r>
              <w:rPr>
                <w:rFonts w:ascii="Arial" w:cs="Arial" w:eastAsia="Arial" w:hAnsi="Arial"/>
                <w:sz w:val="12"/>
                <w:szCs w:val="12"/>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34290</wp:posOffset>
            </wp:positionV>
            <wp:extent cx="571373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71373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-925830</wp:posOffset>
            </wp:positionV>
            <wp:extent cx="571373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00" w:space="260"/>
            <w:col w:w="8180"/>
          </w:cols>
          <w:pgMar w:left="480" w:top="116" w:right="479" w:bottom="1440" w:gutter="0" w:footer="0" w:header="0"/>
          <w:type w:val="continuous"/>
        </w:sectPr>
      </w:pP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9140" w:type="dxa"/>
            <w:vAlign w:val="bottom"/>
          </w:tcPr>
          <w:p>
            <w:pPr>
              <w:ind w:left="636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800" w:type="dxa"/>
            <w:vAlign w:val="bottom"/>
          </w:tcPr>
          <w:p>
            <w:pPr>
              <w:jc w:val="right"/>
              <w:ind w:right="909"/>
              <w:spacing w:after="0"/>
              <w:rPr>
                <w:sz w:val="20"/>
                <w:szCs w:val="20"/>
                <w:color w:val="auto"/>
              </w:rPr>
            </w:pPr>
            <w:r>
              <w:rPr>
                <w:rFonts w:ascii="Arial" w:cs="Arial" w:eastAsia="Arial" w:hAnsi="Arial"/>
                <w:sz w:val="14"/>
                <w:szCs w:val="14"/>
                <w:b w:val="1"/>
                <w:bCs w:val="1"/>
                <w:color w:val="auto"/>
              </w:rPr>
              <w:t>61</w:t>
            </w:r>
          </w:p>
        </w:tc>
      </w:tr>
      <w:tr>
        <w:trPr>
          <w:trHeight w:val="342"/>
        </w:trPr>
        <w:tc>
          <w:tcPr>
            <w:tcW w:w="9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-407670</wp:posOffset>
            </wp:positionV>
            <wp:extent cx="501650" cy="1701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Executive Compensation Tables</w:t>
      </w:r>
    </w:p>
    <w:p>
      <w:pPr>
        <w:spacing w:after="0" w:line="98" w:lineRule="exact"/>
        <w:rPr>
          <w:sz w:val="20"/>
          <w:szCs w:val="20"/>
          <w:color w:val="auto"/>
        </w:rPr>
      </w:pPr>
    </w:p>
    <w:p>
      <w:pPr>
        <w:ind w:left="720" w:right="79" w:hanging="358"/>
        <w:spacing w:after="0" w:line="260" w:lineRule="auto"/>
        <w:tabs>
          <w:tab w:leader="none" w:pos="7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Company leases a private jet primarily for business travel. During 2023, Mr. Santana also had one personal flight on the private jet for which he reimbursed the Company the aggregate incremental cost of the flight to the Company, and as a result there is no compensation included above for that personal use.</w:t>
      </w:r>
    </w:p>
    <w:p>
      <w:pPr>
        <w:spacing w:after="0" w:line="12" w:lineRule="exact"/>
        <w:rPr>
          <w:rFonts w:ascii="Arial" w:cs="Arial" w:eastAsia="Arial" w:hAnsi="Arial"/>
          <w:sz w:val="14"/>
          <w:szCs w:val="14"/>
          <w:color w:val="auto"/>
        </w:rPr>
      </w:pPr>
    </w:p>
    <w:p>
      <w:pPr>
        <w:ind w:left="720" w:right="39" w:hanging="358"/>
        <w:spacing w:after="0" w:line="247" w:lineRule="auto"/>
        <w:tabs>
          <w:tab w:leader="none" w:pos="7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Mr. Schweitzer was an expatriate and is therefore provided additional annual benefits tied to his assignment. Those benefits include housing and utilities in the host country and tax preparation. We also provide Mr. Schweitzer with tax equalization payments to eliminate any adverse tax impact due to his overseas assignment. During 2023, Mr. Schweitzer moved back to Switzerland from the United States, The relocation amount detailed includes payments to a third party relocation provider for the movement of household goods and the payment of temporary housing related to the move. Also included is a one-time $20,000 relocation allowance paid to Mr. Schweitzer to cover any incidental expenses incurred as a result of his relocation.</w:t>
      </w:r>
    </w:p>
    <w:p>
      <w:pPr>
        <w:spacing w:after="0" w:line="362" w:lineRule="exact"/>
        <w:rPr>
          <w:sz w:val="20"/>
          <w:szCs w:val="20"/>
          <w:color w:val="auto"/>
        </w:rPr>
      </w:pPr>
    </w:p>
    <w:p>
      <w:pPr>
        <w:spacing w:after="0"/>
        <w:rPr>
          <w:sz w:val="20"/>
          <w:szCs w:val="20"/>
          <w:color w:val="auto"/>
        </w:rPr>
      </w:pPr>
      <w:r>
        <w:rPr>
          <w:rFonts w:ascii="Arial" w:cs="Arial" w:eastAsia="Arial" w:hAnsi="Arial"/>
          <w:sz w:val="29"/>
          <w:szCs w:val="29"/>
          <w:color w:val="636466"/>
        </w:rPr>
        <w:t>2023 Grants of Plan Based Awards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This table shows the plan-based awards granted to the named executive officers in 2023.</w:t>
      </w:r>
    </w:p>
    <w:p>
      <w:pPr>
        <w:sectPr>
          <w:pgSz w:w="11900" w:h="16838" w:orient="portrait"/>
          <w:cols w:equalWidth="0" w:num="1">
            <w:col w:w="9019"/>
          </w:cols>
          <w:pgMar w:left="1440" w:top="116"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both"/>
        <w:ind w:left="1040"/>
        <w:spacing w:after="0"/>
        <w:tabs>
          <w:tab w:leader="none" w:pos="11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left="1040"/>
        <w:spacing w:after="0"/>
        <w:tabs>
          <w:tab w:leader="none" w:pos="11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line="290" w:lineRule="auto"/>
        <w:rPr>
          <w:sz w:val="20"/>
          <w:szCs w:val="20"/>
          <w:color w:val="auto"/>
        </w:rPr>
      </w:pPr>
      <w:r>
        <w:rPr>
          <w:rFonts w:ascii="Arial" w:cs="Arial" w:eastAsia="Arial" w:hAnsi="Arial"/>
          <w:sz w:val="14"/>
          <w:szCs w:val="14"/>
          <w:b w:val="1"/>
          <w:bCs w:val="1"/>
          <w:color w:val="auto"/>
        </w:rPr>
        <w:t>Grant Date</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4"/>
          </w:tcPr>
          <w:p>
            <w:pPr>
              <w:jc w:val="center"/>
              <w:ind w:left="249"/>
              <w:spacing w:after="0"/>
              <w:rPr>
                <w:sz w:val="20"/>
                <w:szCs w:val="20"/>
                <w:color w:val="auto"/>
              </w:rPr>
            </w:pPr>
            <w:r>
              <w:rPr>
                <w:rFonts w:ascii="Arial" w:cs="Arial" w:eastAsia="Arial" w:hAnsi="Arial"/>
                <w:sz w:val="14"/>
                <w:szCs w:val="14"/>
                <w:b w:val="1"/>
                <w:bCs w:val="1"/>
                <w:color w:val="auto"/>
              </w:rPr>
              <w:t>Estimated Possible</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20" w:type="dxa"/>
            <w:vAlign w:val="bottom"/>
            <w:gridSpan w:val="2"/>
          </w:tcPr>
          <w:p>
            <w:pPr>
              <w:jc w:val="center"/>
              <w:ind w:left="409"/>
              <w:spacing w:after="0"/>
              <w:rPr>
                <w:sz w:val="20"/>
                <w:szCs w:val="20"/>
                <w:color w:val="auto"/>
              </w:rPr>
            </w:pPr>
            <w:r>
              <w:rPr>
                <w:rFonts w:ascii="Arial" w:cs="Arial" w:eastAsia="Arial" w:hAnsi="Arial"/>
                <w:sz w:val="14"/>
                <w:szCs w:val="14"/>
                <w:b w:val="1"/>
                <w:bCs w:val="1"/>
                <w:color w:val="auto"/>
              </w:rPr>
              <w:t>Estimated Future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spacing w:after="0"/>
              <w:rPr>
                <w:sz w:val="13"/>
                <w:szCs w:val="13"/>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Payouts Under</w:t>
            </w:r>
          </w:p>
        </w:tc>
        <w:tc>
          <w:tcPr>
            <w:tcW w:w="36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20" w:type="dxa"/>
            <w:vAlign w:val="bottom"/>
            <w:gridSpan w:val="2"/>
          </w:tcPr>
          <w:p>
            <w:pPr>
              <w:jc w:val="center"/>
              <w:ind w:left="409"/>
              <w:spacing w:after="0"/>
              <w:rPr>
                <w:sz w:val="20"/>
                <w:szCs w:val="20"/>
                <w:color w:val="auto"/>
              </w:rPr>
            </w:pPr>
            <w:r>
              <w:rPr>
                <w:rFonts w:ascii="Arial" w:cs="Arial" w:eastAsia="Arial" w:hAnsi="Arial"/>
                <w:sz w:val="14"/>
                <w:szCs w:val="14"/>
                <w:b w:val="1"/>
                <w:bCs w:val="1"/>
                <w:color w:val="auto"/>
              </w:rPr>
              <w:t>Payouts Under</w:t>
            </w:r>
          </w:p>
        </w:tc>
        <w:tc>
          <w:tcPr>
            <w:tcW w:w="5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67"/>
        </w:trPr>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180" w:type="dxa"/>
            <w:vAlign w:val="bottom"/>
            <w:gridSpan w:val="4"/>
            <w:vMerge w:val="restart"/>
          </w:tcPr>
          <w:p>
            <w:pPr>
              <w:jc w:val="center"/>
              <w:ind w:left="249"/>
              <w:spacing w:after="0" w:line="157" w:lineRule="exact"/>
              <w:rPr>
                <w:sz w:val="20"/>
                <w:szCs w:val="20"/>
                <w:color w:val="auto"/>
              </w:rPr>
            </w:pPr>
            <w:r>
              <w:rPr>
                <w:rFonts w:ascii="Arial" w:cs="Arial" w:eastAsia="Arial" w:hAnsi="Arial"/>
                <w:sz w:val="14"/>
                <w:szCs w:val="14"/>
                <w:b w:val="1"/>
                <w:bCs w:val="1"/>
                <w:color w:val="auto"/>
              </w:rPr>
              <w:t>Non-Equity Incentive</w:t>
            </w: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20" w:type="dxa"/>
            <w:vAlign w:val="bottom"/>
            <w:gridSpan w:val="2"/>
            <w:vMerge w:val="restart"/>
          </w:tcPr>
          <w:p>
            <w:pPr>
              <w:jc w:val="center"/>
              <w:ind w:left="409"/>
              <w:spacing w:after="0" w:line="157" w:lineRule="exact"/>
              <w:rPr>
                <w:sz w:val="20"/>
                <w:szCs w:val="20"/>
                <w:color w:val="auto"/>
              </w:rPr>
            </w:pPr>
            <w:r>
              <w:rPr>
                <w:rFonts w:ascii="Arial" w:cs="Arial" w:eastAsia="Arial" w:hAnsi="Arial"/>
                <w:sz w:val="14"/>
                <w:szCs w:val="14"/>
                <w:b w:val="1"/>
                <w:bCs w:val="1"/>
                <w:color w:val="auto"/>
              </w:rPr>
              <w:t>Equity Incentive</w:t>
            </w: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vMerge w:val="restart"/>
          </w:tcPr>
          <w:p>
            <w:pPr>
              <w:jc w:val="right"/>
              <w:ind w:right="209"/>
              <w:spacing w:after="0"/>
              <w:rPr>
                <w:sz w:val="20"/>
                <w:szCs w:val="20"/>
                <w:color w:val="auto"/>
              </w:rPr>
            </w:pPr>
            <w:r>
              <w:rPr>
                <w:rFonts w:ascii="Arial" w:cs="Arial" w:eastAsia="Arial" w:hAnsi="Arial"/>
                <w:sz w:val="14"/>
                <w:szCs w:val="14"/>
                <w:b w:val="1"/>
                <w:bCs w:val="1"/>
                <w:color w:val="auto"/>
              </w:rPr>
              <w:t>All Other</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00" w:type="dxa"/>
            <w:vAlign w:val="bottom"/>
            <w:gridSpan w:val="2"/>
            <w:vMerge w:val="restart"/>
          </w:tcPr>
          <w:p>
            <w:pPr>
              <w:jc w:val="center"/>
              <w:spacing w:after="0" w:line="231" w:lineRule="exact"/>
              <w:rPr>
                <w:sz w:val="20"/>
                <w:szCs w:val="20"/>
                <w:color w:val="auto"/>
              </w:rPr>
            </w:pPr>
            <w:r>
              <w:rPr>
                <w:rFonts w:ascii="Arial" w:cs="Arial" w:eastAsia="Arial" w:hAnsi="Arial"/>
                <w:sz w:val="14"/>
                <w:szCs w:val="14"/>
                <w:b w:val="1"/>
                <w:bCs w:val="1"/>
                <w:color w:val="auto"/>
                <w:w w:val="99"/>
              </w:rPr>
              <w:t xml:space="preserve">Plan Awards </w:t>
            </w:r>
            <w:r>
              <w:rPr>
                <w:rFonts w:ascii="Arial" w:cs="Arial" w:eastAsia="Arial" w:hAnsi="Arial"/>
                <w:sz w:val="23"/>
                <w:szCs w:val="23"/>
                <w:b w:val="1"/>
                <w:bCs w:val="1"/>
                <w:color w:val="auto"/>
                <w:w w:val="99"/>
                <w:vertAlign w:val="superscript"/>
              </w:rPr>
              <w:t>1</w:t>
            </w: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20" w:type="dxa"/>
            <w:vAlign w:val="bottom"/>
            <w:gridSpan w:val="2"/>
            <w:vMerge w:val="restart"/>
          </w:tcPr>
          <w:p>
            <w:pPr>
              <w:jc w:val="center"/>
              <w:ind w:left="449"/>
              <w:spacing w:after="0" w:line="231" w:lineRule="exact"/>
              <w:rPr>
                <w:sz w:val="20"/>
                <w:szCs w:val="20"/>
                <w:color w:val="auto"/>
              </w:rPr>
            </w:pPr>
            <w:r>
              <w:rPr>
                <w:rFonts w:ascii="Arial" w:cs="Arial" w:eastAsia="Arial" w:hAnsi="Arial"/>
                <w:sz w:val="14"/>
                <w:szCs w:val="14"/>
                <w:b w:val="1"/>
                <w:bCs w:val="1"/>
                <w:color w:val="auto"/>
                <w:w w:val="97"/>
              </w:rPr>
              <w:t xml:space="preserve">Plan Awards </w:t>
            </w:r>
            <w:r>
              <w:rPr>
                <w:rFonts w:ascii="Arial" w:cs="Arial" w:eastAsia="Arial" w:hAnsi="Arial"/>
                <w:sz w:val="23"/>
                <w:szCs w:val="23"/>
                <w:b w:val="1"/>
                <w:bCs w:val="1"/>
                <w:color w:val="auto"/>
                <w:w w:val="97"/>
                <w:vertAlign w:val="superscript"/>
              </w:rPr>
              <w:t>2</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jc w:val="right"/>
              <w:ind w:right="49"/>
              <w:spacing w:after="0"/>
              <w:rPr>
                <w:sz w:val="20"/>
                <w:szCs w:val="20"/>
                <w:color w:val="auto"/>
              </w:rPr>
            </w:pPr>
            <w:r>
              <w:rPr>
                <w:rFonts w:ascii="Arial" w:cs="Arial" w:eastAsia="Arial" w:hAnsi="Arial"/>
                <w:sz w:val="14"/>
                <w:szCs w:val="14"/>
                <w:b w:val="1"/>
                <w:bCs w:val="1"/>
                <w:color w:val="auto"/>
              </w:rPr>
              <w:t xml:space="preserve">Stock </w:t>
            </w:r>
            <w:r>
              <w:rPr>
                <w:rFonts w:ascii="Times New Roman" w:cs="Times New Roman" w:eastAsia="Times New Roman" w:hAnsi="Times New Roman"/>
                <w:sz w:val="7"/>
                <w:szCs w:val="7"/>
                <w:color w:val="auto"/>
                <w:vertAlign w:val="subscript"/>
              </w:rPr>
              <w:t>​      ​</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Borders>
              <w:bottom w:val="single" w:sz="8" w:color="0C426A"/>
            </w:tcBorders>
          </w:tcPr>
          <w:p>
            <w:pPr>
              <w:spacing w:after="0"/>
              <w:rPr>
                <w:sz w:val="6"/>
                <w:szCs w:val="6"/>
                <w:color w:val="auto"/>
              </w:rPr>
            </w:pPr>
          </w:p>
        </w:tc>
        <w:tc>
          <w:tcPr>
            <w:tcW w:w="280" w:type="dxa"/>
            <w:vAlign w:val="bottom"/>
            <w:tcBorders>
              <w:bottom w:val="single" w:sz="8" w:color="0C426A"/>
            </w:tcBorders>
          </w:tcPr>
          <w:p>
            <w:pPr>
              <w:spacing w:after="0"/>
              <w:rPr>
                <w:sz w:val="6"/>
                <w:szCs w:val="6"/>
                <w:color w:val="auto"/>
              </w:rPr>
            </w:pPr>
          </w:p>
        </w:tc>
        <w:tc>
          <w:tcPr>
            <w:tcW w:w="820" w:type="dxa"/>
            <w:vAlign w:val="bottom"/>
            <w:tcBorders>
              <w:bottom w:val="single" w:sz="8" w:color="0C426A"/>
            </w:tcBorders>
          </w:tcPr>
          <w:p>
            <w:pPr>
              <w:spacing w:after="0"/>
              <w:rPr>
                <w:sz w:val="6"/>
                <w:szCs w:val="6"/>
                <w:color w:val="auto"/>
              </w:rPr>
            </w:pPr>
          </w:p>
        </w:tc>
        <w:tc>
          <w:tcPr>
            <w:tcW w:w="360" w:type="dxa"/>
            <w:vAlign w:val="bottom"/>
            <w:tcBorders>
              <w:bottom w:val="single" w:sz="8" w:color="0C426A"/>
            </w:tcBorders>
          </w:tcPr>
          <w:p>
            <w:pPr>
              <w:spacing w:after="0"/>
              <w:rPr>
                <w:sz w:val="6"/>
                <w:szCs w:val="6"/>
                <w:color w:val="auto"/>
              </w:rPr>
            </w:pPr>
          </w:p>
        </w:tc>
        <w:tc>
          <w:tcPr>
            <w:tcW w:w="380" w:type="dxa"/>
            <w:vAlign w:val="bottom"/>
            <w:tcBorders>
              <w:bottom w:val="single" w:sz="8" w:color="0C426A"/>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Borders>
              <w:bottom w:val="single" w:sz="8" w:color="0C426A"/>
            </w:tcBorders>
          </w:tcPr>
          <w:p>
            <w:pPr>
              <w:spacing w:after="0"/>
              <w:rPr>
                <w:sz w:val="6"/>
                <w:szCs w:val="6"/>
                <w:color w:val="auto"/>
              </w:rPr>
            </w:pPr>
          </w:p>
        </w:tc>
        <w:tc>
          <w:tcPr>
            <w:tcW w:w="980" w:type="dxa"/>
            <w:vAlign w:val="bottom"/>
            <w:tcBorders>
              <w:bottom w:val="single" w:sz="8" w:color="0C426A"/>
            </w:tcBorders>
          </w:tcPr>
          <w:p>
            <w:pPr>
              <w:spacing w:after="0"/>
              <w:rPr>
                <w:sz w:val="6"/>
                <w:szCs w:val="6"/>
                <w:color w:val="auto"/>
              </w:rPr>
            </w:pPr>
          </w:p>
        </w:tc>
        <w:tc>
          <w:tcPr>
            <w:tcW w:w="840" w:type="dxa"/>
            <w:vAlign w:val="bottom"/>
            <w:tcBorders>
              <w:bottom w:val="single" w:sz="8" w:color="0C426A"/>
            </w:tcBorders>
          </w:tcPr>
          <w:p>
            <w:pPr>
              <w:spacing w:after="0"/>
              <w:rPr>
                <w:sz w:val="6"/>
                <w:szCs w:val="6"/>
                <w:color w:val="auto"/>
              </w:rPr>
            </w:pPr>
          </w:p>
        </w:tc>
        <w:tc>
          <w:tcPr>
            <w:tcW w:w="520" w:type="dxa"/>
            <w:vAlign w:val="bottom"/>
            <w:tcBorders>
              <w:bottom w:val="single" w:sz="8" w:color="0C426A"/>
            </w:tcBorders>
          </w:tcPr>
          <w:p>
            <w:pPr>
              <w:spacing w:after="0"/>
              <w:rPr>
                <w:sz w:val="6"/>
                <w:szCs w:val="6"/>
                <w:color w:val="auto"/>
              </w:rPr>
            </w:pPr>
          </w:p>
        </w:tc>
        <w:tc>
          <w:tcPr>
            <w:tcW w:w="60" w:type="dxa"/>
            <w:vAlign w:val="bottom"/>
            <w:tcBorders>
              <w:bottom w:val="single" w:sz="8" w:color="0C426A"/>
            </w:tcBorders>
          </w:tcPr>
          <w:p>
            <w:pPr>
              <w:spacing w:after="0"/>
              <w:rPr>
                <w:sz w:val="6"/>
                <w:szCs w:val="6"/>
                <w:color w:val="auto"/>
              </w:rPr>
            </w:pPr>
          </w:p>
        </w:tc>
        <w:tc>
          <w:tcPr>
            <w:tcW w:w="60" w:type="dxa"/>
            <w:vAlign w:val="bottom"/>
          </w:tcPr>
          <w:p>
            <w:pPr>
              <w:spacing w:after="0"/>
              <w:rPr>
                <w:sz w:val="6"/>
                <w:szCs w:val="6"/>
                <w:color w:val="auto"/>
              </w:rPr>
            </w:pPr>
          </w:p>
        </w:tc>
        <w:tc>
          <w:tcPr>
            <w:tcW w:w="1040" w:type="dxa"/>
            <w:vAlign w:val="bottom"/>
            <w:vMerge w:val="restart"/>
          </w:tcPr>
          <w:p>
            <w:pPr>
              <w:jc w:val="right"/>
              <w:ind w:right="209"/>
              <w:spacing w:after="0"/>
              <w:rPr>
                <w:sz w:val="20"/>
                <w:szCs w:val="20"/>
                <w:color w:val="auto"/>
              </w:rPr>
            </w:pPr>
            <w:r>
              <w:rPr>
                <w:rFonts w:ascii="Arial" w:cs="Arial" w:eastAsia="Arial" w:hAnsi="Arial"/>
                <w:sz w:val="14"/>
                <w:szCs w:val="14"/>
                <w:b w:val="1"/>
                <w:bCs w:val="1"/>
                <w:color w:val="auto"/>
              </w:rPr>
              <w:t>Awards:</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64"/>
        </w:trPr>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jc w:val="right"/>
              <w:ind w:right="169"/>
              <w:spacing w:after="0"/>
              <w:rPr>
                <w:sz w:val="20"/>
                <w:szCs w:val="20"/>
                <w:color w:val="auto"/>
              </w:rPr>
            </w:pPr>
            <w:r>
              <w:rPr>
                <w:rFonts w:ascii="Arial" w:cs="Arial" w:eastAsia="Arial" w:hAnsi="Arial"/>
                <w:sz w:val="14"/>
                <w:szCs w:val="14"/>
                <w:b w:val="1"/>
                <w:bCs w:val="1"/>
                <w:color w:val="auto"/>
              </w:rPr>
              <w:t>25%</w:t>
            </w:r>
          </w:p>
        </w:tc>
        <w:tc>
          <w:tcPr>
            <w:tcW w:w="84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4"/>
                <w:szCs w:val="14"/>
                <w:b w:val="1"/>
                <w:bCs w:val="1"/>
                <w:color w:val="auto"/>
              </w:rPr>
              <w:t>200%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jc w:val="right"/>
              <w:ind w:right="209"/>
              <w:spacing w:after="0"/>
              <w:rPr>
                <w:sz w:val="20"/>
                <w:szCs w:val="20"/>
                <w:color w:val="auto"/>
              </w:rPr>
            </w:pPr>
            <w:r>
              <w:rPr>
                <w:rFonts w:ascii="Arial" w:cs="Arial" w:eastAsia="Arial" w:hAnsi="Arial"/>
                <w:sz w:val="14"/>
                <w:szCs w:val="14"/>
                <w:b w:val="1"/>
                <w:bCs w:val="1"/>
                <w:color w:val="auto"/>
              </w:rPr>
              <w:t>Number of</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61"/>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auto"/>
              </w:rPr>
              <w:t>Threshold</w:t>
            </w:r>
            <w:r>
              <w:rPr>
                <w:rFonts w:ascii="Times New Roman" w:cs="Times New Roman" w:eastAsia="Times New Roman" w:hAnsi="Times New Roman"/>
                <w:sz w:val="3"/>
                <w:szCs w:val="3"/>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9"/>
              <w:spacing w:after="0"/>
              <w:rPr>
                <w:sz w:val="20"/>
                <w:szCs w:val="20"/>
                <w:color w:val="auto"/>
              </w:rPr>
            </w:pPr>
            <w:r>
              <w:rPr>
                <w:rFonts w:ascii="Arial" w:cs="Arial" w:eastAsia="Arial" w:hAnsi="Arial"/>
                <w:sz w:val="14"/>
                <w:szCs w:val="14"/>
                <w:b w:val="1"/>
                <w:bCs w:val="1"/>
                <w:color w:val="auto"/>
              </w:rPr>
              <w:t>Target</w:t>
            </w:r>
            <w:r>
              <w:rPr>
                <w:rFonts w:ascii="Times New Roman" w:cs="Times New Roman" w:eastAsia="Times New Roman" w:hAnsi="Times New Roman"/>
                <w:sz w:val="3"/>
                <w:szCs w:val="3"/>
                <w:color w:val="auto"/>
              </w:rPr>
              <w:t>​      ​</w:t>
            </w:r>
          </w:p>
        </w:tc>
        <w:tc>
          <w:tcPr>
            <w:tcW w:w="8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Maximum</w:t>
            </w:r>
            <w:r>
              <w:rPr>
                <w:rFonts w:ascii="Times New Roman" w:cs="Times New Roman" w:eastAsia="Times New Roman" w:hAnsi="Times New Roman"/>
                <w:sz w:val="3"/>
                <w:szCs w:val="3"/>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Threshold</w:t>
            </w:r>
            <w:r>
              <w:rPr>
                <w:rFonts w:ascii="Times New Roman" w:cs="Times New Roman" w:eastAsia="Times New Roman" w:hAnsi="Times New Roman"/>
                <w:sz w:val="3"/>
                <w:szCs w:val="3"/>
                <w:color w:val="auto"/>
                <w:w w:val="97"/>
              </w:rPr>
              <w:t>​      ​</w:t>
            </w:r>
            <w:r>
              <w:rPr>
                <w:rFonts w:ascii="Arial" w:cs="Arial" w:eastAsia="Arial" w:hAnsi="Arial"/>
                <w:sz w:val="14"/>
                <w:szCs w:val="14"/>
                <w:b w:val="1"/>
                <w:bCs w:val="1"/>
                <w:color w:val="auto"/>
                <w:w w:val="97"/>
              </w:rPr>
              <w:t xml:space="preserve">       Target</w:t>
            </w:r>
            <w:r>
              <w:rPr>
                <w:rFonts w:ascii="Times New Roman" w:cs="Times New Roman" w:eastAsia="Times New Roman" w:hAnsi="Times New Roman"/>
                <w:sz w:val="3"/>
                <w:szCs w:val="3"/>
                <w:color w:val="auto"/>
                <w:w w:val="97"/>
              </w:rPr>
              <w:t>​      ​</w:t>
            </w:r>
            <w:r>
              <w:rPr>
                <w:rFonts w:ascii="Arial" w:cs="Arial" w:eastAsia="Arial" w:hAnsi="Arial"/>
                <w:sz w:val="14"/>
                <w:szCs w:val="14"/>
                <w:b w:val="1"/>
                <w:bCs w:val="1"/>
                <w:color w:val="auto"/>
                <w:w w:val="97"/>
              </w:rPr>
              <w:t xml:space="preserve">      Maximum</w:t>
            </w:r>
            <w:r>
              <w:rPr>
                <w:rFonts w:ascii="Times New Roman" w:cs="Times New Roman" w:eastAsia="Times New Roman" w:hAnsi="Times New Roman"/>
                <w:sz w:val="3"/>
                <w:szCs w:val="3"/>
                <w:color w:val="auto"/>
                <w:w w:val="97"/>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jc w:val="right"/>
              <w:ind w:right="209"/>
              <w:spacing w:after="0"/>
              <w:rPr>
                <w:sz w:val="20"/>
                <w:szCs w:val="20"/>
                <w:color w:val="auto"/>
              </w:rPr>
            </w:pPr>
            <w:r>
              <w:rPr>
                <w:rFonts w:ascii="Arial" w:cs="Arial" w:eastAsia="Arial" w:hAnsi="Arial"/>
                <w:sz w:val="14"/>
                <w:szCs w:val="14"/>
                <w:b w:val="1"/>
                <w:bCs w:val="1"/>
                <w:color w:val="auto"/>
              </w:rPr>
              <w:t>Units</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325"/>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820" w:type="dxa"/>
            <w:vAlign w:val="bottom"/>
          </w:tcPr>
          <w:p>
            <w:pPr>
              <w:jc w:val="right"/>
              <w:ind w:right="129"/>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jc w:val="right"/>
              <w:ind w:right="16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349"/>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jc w:val="right"/>
              <w:ind w:right="16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3</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-1172845</wp:posOffset>
            </wp:positionH>
            <wp:positionV relativeFrom="paragraph">
              <wp:posOffset>-18415</wp:posOffset>
            </wp:positionV>
            <wp:extent cx="571373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3">
            <w:col w:w="1160" w:space="180"/>
            <w:col w:w="380" w:space="140"/>
            <w:col w:w="7159"/>
          </w:cols>
          <w:pgMar w:left="1440" w:top="116" w:right="1440" w:bottom="1440" w:gutter="0" w:footer="0" w:header="0"/>
          <w:type w:val="continuous"/>
        </w:sectPr>
      </w:pPr>
    </w:p>
    <w:tbl>
      <w:tblPr>
        <w:tblLayout w:type="fixed"/>
        <w:tblInd w:w="40" w:type="dxa"/>
        <w:tblCellMar>
          <w:top w:w="0" w:type="dxa"/>
          <w:left w:w="0" w:type="dxa"/>
          <w:bottom w:w="0" w:type="dxa"/>
          <w:right w:w="0" w:type="dxa"/>
        </w:tblCellMar>
      </w:tblPr>
      <w:tr>
        <w:trPr>
          <w:trHeight w:val="195"/>
        </w:trPr>
        <w:tc>
          <w:tcPr>
            <w:tcW w:w="1060" w:type="dxa"/>
            <w:vAlign w:val="bottom"/>
          </w:tcPr>
          <w:p>
            <w:pPr>
              <w:spacing w:after="0"/>
              <w:rPr>
                <w:sz w:val="20"/>
                <w:szCs w:val="20"/>
                <w:color w:val="auto"/>
              </w:rPr>
            </w:pPr>
            <w:r>
              <w:rPr>
                <w:rFonts w:ascii="Arial" w:cs="Arial" w:eastAsia="Arial" w:hAnsi="Arial"/>
                <w:sz w:val="14"/>
                <w:szCs w:val="14"/>
                <w:b w:val="1"/>
                <w:bCs w:val="1"/>
                <w:color w:val="0C426A"/>
              </w:rPr>
              <w:t>Mr. Santana</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spacing w:after="0"/>
              <w:rPr>
                <w:sz w:val="16"/>
                <w:szCs w:val="16"/>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ind w:right="4"/>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24"/>
              <w:spacing w:after="0"/>
              <w:rPr>
                <w:sz w:val="20"/>
                <w:szCs w:val="20"/>
                <w:color w:val="auto"/>
              </w:rPr>
            </w:pPr>
            <w:r>
              <w:rPr>
                <w:rFonts w:ascii="Arial" w:cs="Arial" w:eastAsia="Arial" w:hAnsi="Arial"/>
                <w:sz w:val="14"/>
                <w:szCs w:val="14"/>
                <w:color w:val="auto"/>
              </w:rPr>
              <w:t>$2,120,000</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24"/>
              <w:spacing w:after="0"/>
              <w:rPr>
                <w:sz w:val="20"/>
                <w:szCs w:val="20"/>
                <w:color w:val="auto"/>
              </w:rPr>
            </w:pPr>
            <w:r>
              <w:rPr>
                <w:rFonts w:ascii="Arial" w:cs="Arial" w:eastAsia="Arial" w:hAnsi="Arial"/>
                <w:sz w:val="14"/>
                <w:szCs w:val="14"/>
                <w:color w:val="auto"/>
              </w:rPr>
              <w:t>$4,770,000</w:t>
            </w:r>
            <w:r>
              <w:rPr>
                <w:rFonts w:ascii="Times New Roman" w:cs="Times New Roman" w:eastAsia="Times New Roman" w:hAnsi="Times New Roman"/>
                <w:sz w:val="3"/>
                <w:szCs w:val="3"/>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Pr>
          <w:p>
            <w:pPr>
              <w:spacing w:after="0"/>
              <w:rPr>
                <w:sz w:val="16"/>
                <w:szCs w:val="16"/>
                <w:color w:val="auto"/>
              </w:rPr>
            </w:pP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6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spacing w:after="0"/>
              <w:rPr>
                <w:sz w:val="16"/>
                <w:szCs w:val="16"/>
                <w:color w:val="auto"/>
              </w:rPr>
            </w:pP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spacing w:after="0"/>
              <w:rPr>
                <w:sz w:val="16"/>
                <w:szCs w:val="16"/>
                <w:color w:val="auto"/>
              </w:rPr>
            </w:pP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spacing w:after="0"/>
              <w:rPr>
                <w:sz w:val="16"/>
                <w:szCs w:val="16"/>
                <w:color w:val="auto"/>
              </w:rPr>
            </w:pPr>
          </w:p>
        </w:tc>
      </w:tr>
      <w:tr>
        <w:trPr>
          <w:trHeight w:val="289"/>
        </w:trPr>
        <w:tc>
          <w:tcPr>
            <w:tcW w:w="1060" w:type="dxa"/>
            <w:vAlign w:val="bottom"/>
          </w:tcPr>
          <w:p>
            <w:pPr>
              <w:ind w:left="100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3/2/2023​</w:t>
            </w: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24"/>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24"/>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15,213​</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6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color w:val="auto"/>
              </w:rPr>
              <w:t>60,852​</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121,704​</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spacing w:after="0"/>
              <w:rPr>
                <w:sz w:val="24"/>
                <w:szCs w:val="24"/>
                <w:color w:val="auto"/>
              </w:rPr>
            </w:pP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$​6,393,111</w:t>
            </w:r>
          </w:p>
        </w:tc>
      </w:tr>
      <w:tr>
        <w:trPr>
          <w:trHeight w:val="295"/>
        </w:trPr>
        <w:tc>
          <w:tcPr>
            <w:tcW w:w="1060" w:type="dxa"/>
            <w:vAlign w:val="bottom"/>
          </w:tcPr>
          <w:p>
            <w:pPr>
              <w:spacing w:after="0"/>
              <w:rPr>
                <w:sz w:val="24"/>
                <w:szCs w:val="24"/>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3/2/2023​</w:t>
            </w: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24"/>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24"/>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Pr>
          <w:p>
            <w:pPr>
              <w:spacing w:after="0"/>
              <w:rPr>
                <w:sz w:val="24"/>
                <w:szCs w:val="24"/>
                <w:color w:val="auto"/>
              </w:rPr>
            </w:pP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6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spacing w:after="0"/>
              <w:rPr>
                <w:sz w:val="24"/>
                <w:szCs w:val="24"/>
                <w:color w:val="auto"/>
              </w:rPr>
            </w:pP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40,568​</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$​4,262,074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30480</wp:posOffset>
            </wp:positionV>
            <wp:extent cx="571373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type w:val="continuous"/>
        </w:sectPr>
      </w:pPr>
    </w:p>
    <w:p>
      <w:pPr>
        <w:spacing w:after="0" w:line="11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0C426A"/>
        </w:rPr>
        <w:t>Mr. Olin</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00" w:type="dxa"/>
            <w:vAlign w:val="bottom"/>
          </w:tcPr>
          <w:p>
            <w:pPr>
              <w:jc w:val="right"/>
              <w:ind w:right="68"/>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spacing w:after="0"/>
              <w:rPr>
                <w:sz w:val="16"/>
                <w:szCs w:val="16"/>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ind w:right="4"/>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765,000​</w:t>
            </w: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24"/>
              <w:spacing w:after="0"/>
              <w:rPr>
                <w:sz w:val="20"/>
                <w:szCs w:val="20"/>
                <w:color w:val="auto"/>
              </w:rPr>
            </w:pPr>
            <w:r>
              <w:rPr>
                <w:rFonts w:ascii="Arial" w:cs="Arial" w:eastAsia="Arial" w:hAnsi="Arial"/>
                <w:sz w:val="14"/>
                <w:szCs w:val="14"/>
                <w:color w:val="auto"/>
              </w:rPr>
              <w:t>$​1,721,250</w:t>
            </w:r>
            <w:r>
              <w:rPr>
                <w:rFonts w:ascii="Times New Roman" w:cs="Times New Roman" w:eastAsia="Times New Roman" w:hAnsi="Times New Roman"/>
                <w:sz w:val="3"/>
                <w:szCs w:val="3"/>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spacing w:after="0"/>
              <w:rPr>
                <w:sz w:val="16"/>
                <w:szCs w:val="16"/>
                <w:color w:val="auto"/>
              </w:rPr>
            </w:pPr>
          </w:p>
        </w:tc>
      </w:tr>
      <w:tr>
        <w:trPr>
          <w:trHeight w:val="295"/>
        </w:trPr>
        <w:tc>
          <w:tcPr>
            <w:tcW w:w="200" w:type="dxa"/>
            <w:vAlign w:val="bottom"/>
          </w:tcPr>
          <w:p>
            <w:pPr>
              <w:jc w:val="right"/>
              <w:ind w:right="68"/>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3/2/2023​</w:t>
            </w: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Pr>
          <w:p>
            <w:pPr>
              <w:spacing w:after="0"/>
              <w:rPr>
                <w:sz w:val="24"/>
                <w:szCs w:val="24"/>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24"/>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jc w:val="right"/>
              <w:ind w:right="4"/>
              <w:spacing w:after="0"/>
              <w:rPr>
                <w:sz w:val="20"/>
                <w:szCs w:val="20"/>
                <w:color w:val="auto"/>
              </w:rPr>
            </w:pPr>
            <w:r>
              <w:rPr>
                <w:rFonts w:ascii="Arial" w:cs="Arial" w:eastAsia="Arial" w:hAnsi="Arial"/>
                <w:sz w:val="14"/>
                <w:szCs w:val="14"/>
                <w:color w:val="auto"/>
              </w:rPr>
              <w:t>​ 3,603</w:t>
            </w:r>
            <w:r>
              <w:rPr>
                <w:rFonts w:ascii="Times New Roman" w:cs="Times New Roman" w:eastAsia="Times New Roman" w:hAnsi="Times New Roman"/>
                <w:sz w:val="3"/>
                <w:szCs w:val="3"/>
                <w:color w:val="auto"/>
              </w:rPr>
              <w:t>​</w:t>
            </w:r>
          </w:p>
        </w:tc>
        <w:tc>
          <w:tcPr>
            <w:tcW w:w="6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color w:val="auto"/>
              </w:rPr>
              <w:t>14,413​</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4"/>
              <w:spacing w:after="0"/>
              <w:rPr>
                <w:sz w:val="20"/>
                <w:szCs w:val="20"/>
                <w:color w:val="auto"/>
              </w:rPr>
            </w:pPr>
            <w:r>
              <w:rPr>
                <w:rFonts w:ascii="Arial" w:cs="Arial" w:eastAsia="Arial" w:hAnsi="Arial"/>
                <w:sz w:val="14"/>
                <w:szCs w:val="14"/>
                <w:color w:val="auto"/>
              </w:rPr>
              <w:t>​ 28,826</w:t>
            </w:r>
            <w:r>
              <w:rPr>
                <w:rFonts w:ascii="Times New Roman" w:cs="Times New Roman" w:eastAsia="Times New Roman" w:hAnsi="Times New Roman"/>
                <w:sz w:val="3"/>
                <w:szCs w:val="3"/>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ind w:left="40"/>
              <w:spacing w:after="0"/>
              <w:rPr>
                <w:sz w:val="20"/>
                <w:szCs w:val="20"/>
                <w:color w:val="auto"/>
              </w:rPr>
            </w:pPr>
            <w:r>
              <w:rPr>
                <w:rFonts w:ascii="Arial" w:cs="Arial" w:eastAsia="Arial" w:hAnsi="Arial"/>
                <w:sz w:val="14"/>
                <w:szCs w:val="14"/>
                <w:color w:val="auto"/>
                <w:w w:val="99"/>
              </w:rPr>
              <w:t>$​1,514,230</w:t>
            </w:r>
          </w:p>
        </w:tc>
      </w:tr>
      <w:tr>
        <w:trPr>
          <w:trHeight w:val="295"/>
        </w:trPr>
        <w:tc>
          <w:tcPr>
            <w:tcW w:w="200" w:type="dxa"/>
            <w:vAlign w:val="bottom"/>
          </w:tcPr>
          <w:p>
            <w:pPr>
              <w:jc w:val="right"/>
              <w:ind w:right="68"/>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3/2/2023​</w:t>
            </w: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Pr>
          <w:p>
            <w:pPr>
              <w:spacing w:after="0"/>
              <w:rPr>
                <w:sz w:val="24"/>
                <w:szCs w:val="24"/>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24"/>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4"/>
              <w:spacing w:after="0"/>
              <w:rPr>
                <w:sz w:val="20"/>
                <w:szCs w:val="20"/>
                <w:color w:val="auto"/>
              </w:rPr>
            </w:pPr>
            <w:r>
              <w:rPr>
                <w:rFonts w:ascii="Arial" w:cs="Arial" w:eastAsia="Arial" w:hAnsi="Arial"/>
                <w:sz w:val="14"/>
                <w:szCs w:val="14"/>
                <w:color w:val="auto"/>
              </w:rPr>
              <w:t>​ 9,609</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ind w:left="40"/>
              <w:spacing w:after="0"/>
              <w:rPr>
                <w:sz w:val="20"/>
                <w:szCs w:val="20"/>
                <w:color w:val="auto"/>
              </w:rPr>
            </w:pPr>
            <w:r>
              <w:rPr>
                <w:rFonts w:ascii="Arial" w:cs="Arial" w:eastAsia="Arial" w:hAnsi="Arial"/>
                <w:sz w:val="14"/>
                <w:szCs w:val="14"/>
                <w:color w:val="auto"/>
                <w:w w:val="99"/>
              </w:rPr>
              <w:t>$1,009,522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30480</wp:posOffset>
            </wp:positionV>
            <wp:extent cx="571373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119" w:lineRule="exact"/>
        <w:rPr>
          <w:sz w:val="20"/>
          <w:szCs w:val="20"/>
          <w:color w:val="auto"/>
        </w:rPr>
      </w:pPr>
    </w:p>
    <w:p>
      <w:pPr>
        <w:sectPr>
          <w:pgSz w:w="11900" w:h="16838" w:orient="portrait"/>
          <w:cols w:equalWidth="0" w:num="2">
            <w:col w:w="560" w:space="480"/>
            <w:col w:w="7979"/>
          </w:cols>
          <w:pgMar w:left="1440" w:top="116" w:right="1440" w:bottom="1440" w:gutter="0" w:footer="0" w:header="0"/>
          <w:type w:val="continuous"/>
        </w:sectPr>
      </w:pPr>
    </w:p>
    <w:tbl>
      <w:tblPr>
        <w:tblLayout w:type="fixed"/>
        <w:tblInd w:w="20" w:type="dxa"/>
        <w:tblCellMar>
          <w:top w:w="0" w:type="dxa"/>
          <w:left w:w="0" w:type="dxa"/>
          <w:bottom w:w="0" w:type="dxa"/>
          <w:right w:w="0" w:type="dxa"/>
        </w:tblCellMar>
      </w:tblPr>
      <w:tr>
        <w:trPr>
          <w:trHeight w:val="195"/>
        </w:trPr>
        <w:tc>
          <w:tcPr>
            <w:tcW w:w="1080" w:type="dxa"/>
            <w:vAlign w:val="bottom"/>
          </w:tcPr>
          <w:p>
            <w:pPr>
              <w:ind w:left="20"/>
              <w:spacing w:after="0"/>
              <w:rPr>
                <w:sz w:val="20"/>
                <w:szCs w:val="20"/>
                <w:color w:val="auto"/>
              </w:rPr>
            </w:pPr>
            <w:r>
              <w:rPr>
                <w:rFonts w:ascii="Arial" w:cs="Arial" w:eastAsia="Arial" w:hAnsi="Arial"/>
                <w:sz w:val="14"/>
                <w:szCs w:val="14"/>
                <w:b w:val="1"/>
                <w:bCs w:val="1"/>
                <w:color w:val="0C426A"/>
              </w:rPr>
              <w:t>Mr. DeNinno</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spacing w:after="0"/>
              <w:rPr>
                <w:sz w:val="16"/>
                <w:szCs w:val="16"/>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ind w:right="4"/>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520,000​</w:t>
            </w: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24"/>
              <w:spacing w:after="0"/>
              <w:rPr>
                <w:sz w:val="20"/>
                <w:szCs w:val="20"/>
                <w:color w:val="auto"/>
              </w:rPr>
            </w:pPr>
            <w:r>
              <w:rPr>
                <w:rFonts w:ascii="Arial" w:cs="Arial" w:eastAsia="Arial" w:hAnsi="Arial"/>
                <w:sz w:val="14"/>
                <w:szCs w:val="14"/>
                <w:color w:val="auto"/>
              </w:rPr>
              <w:t>$1,170,000</w:t>
            </w:r>
            <w:r>
              <w:rPr>
                <w:rFonts w:ascii="Times New Roman" w:cs="Times New Roman" w:eastAsia="Times New Roman" w:hAnsi="Times New Roman"/>
                <w:sz w:val="3"/>
                <w:szCs w:val="3"/>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89"/>
        </w:trPr>
        <w:tc>
          <w:tcPr>
            <w:tcW w:w="1080" w:type="dxa"/>
            <w:vAlign w:val="bottom"/>
          </w:tcPr>
          <w:p>
            <w:pPr>
              <w:ind w:left="10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ind w:left="60"/>
              <w:spacing w:after="0"/>
              <w:rPr>
                <w:sz w:val="20"/>
                <w:szCs w:val="20"/>
                <w:color w:val="auto"/>
              </w:rPr>
            </w:pPr>
            <w:r>
              <w:rPr>
                <w:rFonts w:ascii="Arial" w:cs="Arial" w:eastAsia="Arial" w:hAnsi="Arial"/>
                <w:sz w:val="14"/>
                <w:szCs w:val="14"/>
                <w:color w:val="auto"/>
                <w:w w:val="99"/>
              </w:rPr>
              <w:t>3/2/2023​</w:t>
            </w: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24"/>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jc w:val="right"/>
              <w:ind w:right="4"/>
              <w:spacing w:after="0"/>
              <w:rPr>
                <w:sz w:val="20"/>
                <w:szCs w:val="20"/>
                <w:color w:val="auto"/>
              </w:rPr>
            </w:pPr>
            <w:r>
              <w:rPr>
                <w:rFonts w:ascii="Arial" w:cs="Arial" w:eastAsia="Arial" w:hAnsi="Arial"/>
                <w:sz w:val="14"/>
                <w:szCs w:val="14"/>
                <w:color w:val="auto"/>
              </w:rPr>
              <w:t>​ 1,982</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ind w:right="4"/>
              <w:spacing w:after="0"/>
              <w:rPr>
                <w:sz w:val="20"/>
                <w:szCs w:val="20"/>
                <w:color w:val="auto"/>
              </w:rPr>
            </w:pPr>
            <w:r>
              <w:rPr>
                <w:rFonts w:ascii="Arial" w:cs="Arial" w:eastAsia="Arial" w:hAnsi="Arial"/>
                <w:sz w:val="14"/>
                <w:szCs w:val="14"/>
                <w:color w:val="auto"/>
              </w:rPr>
              <w:t>​ 7,927</w:t>
            </w:r>
            <w:r>
              <w:rPr>
                <w:rFonts w:ascii="Times New Roman" w:cs="Times New Roman" w:eastAsia="Times New Roman" w:hAnsi="Times New Roman"/>
                <w:sz w:val="3"/>
                <w:szCs w:val="3"/>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4"/>
              <w:spacing w:after="0"/>
              <w:rPr>
                <w:sz w:val="20"/>
                <w:szCs w:val="20"/>
                <w:color w:val="auto"/>
              </w:rPr>
            </w:pPr>
            <w:r>
              <w:rPr>
                <w:rFonts w:ascii="Arial" w:cs="Arial" w:eastAsia="Arial" w:hAnsi="Arial"/>
                <w:sz w:val="14"/>
                <w:szCs w:val="14"/>
                <w:color w:val="auto"/>
              </w:rPr>
              <w:t>​ 15,854</w:t>
            </w:r>
            <w:r>
              <w:rPr>
                <w:rFonts w:ascii="Times New Roman" w:cs="Times New Roman" w:eastAsia="Times New Roman" w:hAnsi="Times New Roman"/>
                <w:sz w:val="3"/>
                <w:szCs w:val="3"/>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832,811​</w:t>
            </w:r>
          </w:p>
        </w:tc>
      </w:tr>
      <w:tr>
        <w:trPr>
          <w:trHeight w:val="295"/>
        </w:trPr>
        <w:tc>
          <w:tcPr>
            <w:tcW w:w="1080" w:type="dxa"/>
            <w:vAlign w:val="bottom"/>
          </w:tcPr>
          <w:p>
            <w:pPr>
              <w:spacing w:after="0"/>
              <w:rPr>
                <w:sz w:val="24"/>
                <w:szCs w:val="24"/>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ind w:left="60"/>
              <w:spacing w:after="0"/>
              <w:rPr>
                <w:sz w:val="20"/>
                <w:szCs w:val="20"/>
                <w:color w:val="auto"/>
              </w:rPr>
            </w:pPr>
            <w:r>
              <w:rPr>
                <w:rFonts w:ascii="Arial" w:cs="Arial" w:eastAsia="Arial" w:hAnsi="Arial"/>
                <w:sz w:val="14"/>
                <w:szCs w:val="14"/>
                <w:color w:val="auto"/>
                <w:w w:val="99"/>
              </w:rPr>
              <w:t>3/2/2023​</w:t>
            </w: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24"/>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4"/>
              <w:spacing w:after="0"/>
              <w:rPr>
                <w:sz w:val="20"/>
                <w:szCs w:val="20"/>
                <w:color w:val="auto"/>
              </w:rPr>
            </w:pPr>
            <w:r>
              <w:rPr>
                <w:rFonts w:ascii="Arial" w:cs="Arial" w:eastAsia="Arial" w:hAnsi="Arial"/>
                <w:sz w:val="14"/>
                <w:szCs w:val="14"/>
                <w:color w:val="auto"/>
              </w:rPr>
              <w:t>​ 5,285</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555,242​</w:t>
            </w:r>
          </w:p>
        </w:tc>
      </w:tr>
      <w:tr>
        <w:trPr>
          <w:trHeight w:val="48"/>
        </w:trPr>
        <w:tc>
          <w:tcPr>
            <w:tcW w:w="10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r>
      <w:tr>
        <w:trPr>
          <w:trHeight w:val="246"/>
        </w:trPr>
        <w:tc>
          <w:tcPr>
            <w:tcW w:w="1080" w:type="dxa"/>
            <w:vAlign w:val="bottom"/>
          </w:tcPr>
          <w:p>
            <w:pPr>
              <w:ind w:left="20"/>
              <w:spacing w:after="0"/>
              <w:rPr>
                <w:sz w:val="20"/>
                <w:szCs w:val="20"/>
                <w:color w:val="auto"/>
              </w:rPr>
            </w:pPr>
            <w:r>
              <w:rPr>
                <w:rFonts w:ascii="Arial" w:cs="Arial" w:eastAsia="Arial" w:hAnsi="Arial"/>
                <w:sz w:val="14"/>
                <w:szCs w:val="14"/>
                <w:b w:val="1"/>
                <w:bCs w:val="1"/>
                <w:color w:val="0C426A"/>
              </w:rPr>
              <w:t>Mr. Schweitzer</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spacing w:after="0"/>
              <w:rPr>
                <w:sz w:val="21"/>
                <w:szCs w:val="21"/>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ind w:right="4"/>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623,981​</w:t>
            </w: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24"/>
              <w:spacing w:after="0"/>
              <w:rPr>
                <w:sz w:val="20"/>
                <w:szCs w:val="20"/>
                <w:color w:val="auto"/>
              </w:rPr>
            </w:pPr>
            <w:r>
              <w:rPr>
                <w:rFonts w:ascii="Arial" w:cs="Arial" w:eastAsia="Arial" w:hAnsi="Arial"/>
                <w:sz w:val="14"/>
                <w:szCs w:val="14"/>
                <w:color w:val="auto"/>
              </w:rPr>
              <w:t>$​1,403,958</w:t>
            </w:r>
            <w:r>
              <w:rPr>
                <w:rFonts w:ascii="Times New Roman" w:cs="Times New Roman" w:eastAsia="Times New Roman" w:hAnsi="Times New Roman"/>
                <w:sz w:val="3"/>
                <w:szCs w:val="3"/>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89"/>
        </w:trPr>
        <w:tc>
          <w:tcPr>
            <w:tcW w:w="1080" w:type="dxa"/>
            <w:vAlign w:val="bottom"/>
          </w:tcPr>
          <w:p>
            <w:pPr>
              <w:ind w:left="10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gridSpan w:val="2"/>
          </w:tcPr>
          <w:p>
            <w:pPr>
              <w:jc w:val="right"/>
              <w:ind w:right="42"/>
              <w:spacing w:after="0"/>
              <w:rPr>
                <w:sz w:val="20"/>
                <w:szCs w:val="20"/>
                <w:color w:val="auto"/>
              </w:rPr>
            </w:pPr>
            <w:r>
              <w:rPr>
                <w:rFonts w:ascii="Arial" w:cs="Arial" w:eastAsia="Arial" w:hAnsi="Arial"/>
                <w:sz w:val="14"/>
                <w:szCs w:val="14"/>
                <w:color w:val="auto"/>
              </w:rPr>
              <w:t>3/2/2023</w:t>
            </w:r>
            <w:r>
              <w:rPr>
                <w:rFonts w:ascii="Times New Roman" w:cs="Times New Roman" w:eastAsia="Times New Roman" w:hAnsi="Times New Roman"/>
                <w:sz w:val="3"/>
                <w:szCs w:val="3"/>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24"/>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jc w:val="right"/>
              <w:ind w:right="4"/>
              <w:spacing w:after="0"/>
              <w:rPr>
                <w:sz w:val="20"/>
                <w:szCs w:val="20"/>
                <w:color w:val="auto"/>
              </w:rPr>
            </w:pPr>
            <w:r>
              <w:rPr>
                <w:rFonts w:ascii="Arial" w:cs="Arial" w:eastAsia="Arial" w:hAnsi="Arial"/>
                <w:sz w:val="14"/>
                <w:szCs w:val="14"/>
                <w:color w:val="auto"/>
              </w:rPr>
              <w:t>2,931</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ind w:right="4"/>
              <w:spacing w:after="0"/>
              <w:rPr>
                <w:sz w:val="20"/>
                <w:szCs w:val="20"/>
                <w:color w:val="auto"/>
              </w:rPr>
            </w:pPr>
            <w:r>
              <w:rPr>
                <w:rFonts w:ascii="Arial" w:cs="Arial" w:eastAsia="Arial" w:hAnsi="Arial"/>
                <w:sz w:val="14"/>
                <w:szCs w:val="14"/>
                <w:color w:val="auto"/>
              </w:rPr>
              <w:t>11,723</w:t>
            </w:r>
            <w:r>
              <w:rPr>
                <w:rFonts w:ascii="Times New Roman" w:cs="Times New Roman" w:eastAsia="Times New Roman" w:hAnsi="Times New Roman"/>
                <w:sz w:val="3"/>
                <w:szCs w:val="3"/>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4"/>
              <w:spacing w:after="0"/>
              <w:rPr>
                <w:sz w:val="20"/>
                <w:szCs w:val="20"/>
                <w:color w:val="auto"/>
              </w:rPr>
            </w:pPr>
            <w:r>
              <w:rPr>
                <w:rFonts w:ascii="Arial" w:cs="Arial" w:eastAsia="Arial" w:hAnsi="Arial"/>
                <w:sz w:val="14"/>
                <w:szCs w:val="14"/>
                <w:color w:val="auto"/>
              </w:rPr>
              <w:t>23,446</w:t>
            </w:r>
            <w:r>
              <w:rPr>
                <w:rFonts w:ascii="Times New Roman" w:cs="Times New Roman" w:eastAsia="Times New Roman" w:hAnsi="Times New Roman"/>
                <w:sz w:val="3"/>
                <w:szCs w:val="3"/>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$1,231,618</w:t>
            </w:r>
          </w:p>
        </w:tc>
      </w:tr>
      <w:tr>
        <w:trPr>
          <w:trHeight w:val="295"/>
        </w:trPr>
        <w:tc>
          <w:tcPr>
            <w:tcW w:w="1080" w:type="dxa"/>
            <w:vAlign w:val="bottom"/>
          </w:tcPr>
          <w:p>
            <w:pPr>
              <w:spacing w:after="0"/>
              <w:rPr>
                <w:sz w:val="24"/>
                <w:szCs w:val="24"/>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gridSpan w:val="2"/>
          </w:tcPr>
          <w:p>
            <w:pPr>
              <w:jc w:val="right"/>
              <w:ind w:right="42"/>
              <w:spacing w:after="0"/>
              <w:rPr>
                <w:sz w:val="20"/>
                <w:szCs w:val="20"/>
                <w:color w:val="auto"/>
              </w:rPr>
            </w:pPr>
            <w:r>
              <w:rPr>
                <w:rFonts w:ascii="Arial" w:cs="Arial" w:eastAsia="Arial" w:hAnsi="Arial"/>
                <w:sz w:val="14"/>
                <w:szCs w:val="14"/>
                <w:color w:val="auto"/>
              </w:rPr>
              <w:t>3/2/2023</w:t>
            </w:r>
            <w:r>
              <w:rPr>
                <w:rFonts w:ascii="Times New Roman" w:cs="Times New Roman" w:eastAsia="Times New Roman" w:hAnsi="Times New Roman"/>
                <w:sz w:val="3"/>
                <w:szCs w:val="3"/>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24"/>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4"/>
              <w:spacing w:after="0"/>
              <w:rPr>
                <w:sz w:val="20"/>
                <w:szCs w:val="20"/>
                <w:color w:val="auto"/>
              </w:rPr>
            </w:pPr>
            <w:r>
              <w:rPr>
                <w:rFonts w:ascii="Arial" w:cs="Arial" w:eastAsia="Arial" w:hAnsi="Arial"/>
                <w:sz w:val="14"/>
                <w:szCs w:val="14"/>
                <w:color w:val="auto"/>
              </w:rPr>
              <w:t>4,612</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484,537</w:t>
            </w:r>
          </w:p>
        </w:tc>
      </w:tr>
      <w:tr>
        <w:trPr>
          <w:trHeight w:val="48"/>
        </w:trPr>
        <w:tc>
          <w:tcPr>
            <w:tcW w:w="10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r>
      <w:tr>
        <w:trPr>
          <w:trHeight w:val="246"/>
        </w:trPr>
        <w:tc>
          <w:tcPr>
            <w:tcW w:w="1080" w:type="dxa"/>
            <w:vAlign w:val="bottom"/>
          </w:tcPr>
          <w:p>
            <w:pPr>
              <w:ind w:left="20"/>
              <w:spacing w:after="0"/>
              <w:rPr>
                <w:sz w:val="20"/>
                <w:szCs w:val="20"/>
                <w:color w:val="auto"/>
              </w:rPr>
            </w:pPr>
            <w:r>
              <w:rPr>
                <w:rFonts w:ascii="Arial" w:cs="Arial" w:eastAsia="Arial" w:hAnsi="Arial"/>
                <w:sz w:val="14"/>
                <w:szCs w:val="14"/>
                <w:b w:val="1"/>
                <w:bCs w:val="1"/>
                <w:color w:val="0C426A"/>
              </w:rPr>
              <w:t>Mr. Gebhardt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spacing w:after="0"/>
              <w:rPr>
                <w:sz w:val="21"/>
                <w:szCs w:val="21"/>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ind w:right="4"/>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625,000​</w:t>
            </w: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24"/>
              <w:spacing w:after="0"/>
              <w:rPr>
                <w:sz w:val="20"/>
                <w:szCs w:val="20"/>
                <w:color w:val="auto"/>
              </w:rPr>
            </w:pPr>
            <w:r>
              <w:rPr>
                <w:rFonts w:ascii="Arial" w:cs="Arial" w:eastAsia="Arial" w:hAnsi="Arial"/>
                <w:sz w:val="14"/>
                <w:szCs w:val="14"/>
                <w:color w:val="auto"/>
              </w:rPr>
              <w:t>$​1,406,250</w:t>
            </w:r>
            <w:r>
              <w:rPr>
                <w:rFonts w:ascii="Times New Roman" w:cs="Times New Roman" w:eastAsia="Times New Roman" w:hAnsi="Times New Roman"/>
                <w:sz w:val="3"/>
                <w:szCs w:val="3"/>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89"/>
        </w:trPr>
        <w:tc>
          <w:tcPr>
            <w:tcW w:w="1080" w:type="dxa"/>
            <w:vAlign w:val="bottom"/>
          </w:tcPr>
          <w:p>
            <w:pPr>
              <w:ind w:left="10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ind w:left="60"/>
              <w:spacing w:after="0"/>
              <w:rPr>
                <w:sz w:val="20"/>
                <w:szCs w:val="20"/>
                <w:color w:val="auto"/>
              </w:rPr>
            </w:pPr>
            <w:r>
              <w:rPr>
                <w:rFonts w:ascii="Arial" w:cs="Arial" w:eastAsia="Arial" w:hAnsi="Arial"/>
                <w:sz w:val="14"/>
                <w:szCs w:val="14"/>
                <w:color w:val="auto"/>
                <w:w w:val="99"/>
              </w:rPr>
              <w:t>3/2/2023​</w:t>
            </w: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24"/>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jc w:val="right"/>
              <w:ind w:right="4"/>
              <w:spacing w:after="0"/>
              <w:rPr>
                <w:sz w:val="20"/>
                <w:szCs w:val="20"/>
                <w:color w:val="auto"/>
              </w:rPr>
            </w:pPr>
            <w:r>
              <w:rPr>
                <w:rFonts w:ascii="Arial" w:cs="Arial" w:eastAsia="Arial" w:hAnsi="Arial"/>
                <w:sz w:val="14"/>
                <w:szCs w:val="14"/>
                <w:color w:val="auto"/>
              </w:rPr>
              <w:t>​ 1,225</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ind w:right="4"/>
              <w:spacing w:after="0"/>
              <w:rPr>
                <w:sz w:val="20"/>
                <w:szCs w:val="20"/>
                <w:color w:val="auto"/>
              </w:rPr>
            </w:pPr>
            <w:r>
              <w:rPr>
                <w:rFonts w:ascii="Arial" w:cs="Arial" w:eastAsia="Arial" w:hAnsi="Arial"/>
                <w:sz w:val="14"/>
                <w:szCs w:val="14"/>
                <w:color w:val="auto"/>
              </w:rPr>
              <w:t>​ 4,900</w:t>
            </w:r>
            <w:r>
              <w:rPr>
                <w:rFonts w:ascii="Times New Roman" w:cs="Times New Roman" w:eastAsia="Times New Roman" w:hAnsi="Times New Roman"/>
                <w:sz w:val="3"/>
                <w:szCs w:val="3"/>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4"/>
              <w:spacing w:after="0"/>
              <w:rPr>
                <w:sz w:val="20"/>
                <w:szCs w:val="20"/>
                <w:color w:val="auto"/>
              </w:rPr>
            </w:pPr>
            <w:r>
              <w:rPr>
                <w:rFonts w:ascii="Arial" w:cs="Arial" w:eastAsia="Arial" w:hAnsi="Arial"/>
                <w:sz w:val="14"/>
                <w:szCs w:val="14"/>
                <w:color w:val="auto"/>
              </w:rPr>
              <w:t>​  9,800</w:t>
            </w:r>
            <w:r>
              <w:rPr>
                <w:rFonts w:ascii="Times New Roman" w:cs="Times New Roman" w:eastAsia="Times New Roman" w:hAnsi="Times New Roman"/>
                <w:sz w:val="3"/>
                <w:szCs w:val="3"/>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514,794​</w:t>
            </w:r>
          </w:p>
        </w:tc>
      </w:tr>
      <w:tr>
        <w:trPr>
          <w:trHeight w:val="295"/>
        </w:trPr>
        <w:tc>
          <w:tcPr>
            <w:tcW w:w="1080" w:type="dxa"/>
            <w:vAlign w:val="bottom"/>
          </w:tcPr>
          <w:p>
            <w:pPr>
              <w:spacing w:after="0"/>
              <w:rPr>
                <w:sz w:val="24"/>
                <w:szCs w:val="24"/>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ind w:left="60"/>
              <w:spacing w:after="0"/>
              <w:rPr>
                <w:sz w:val="20"/>
                <w:szCs w:val="20"/>
                <w:color w:val="auto"/>
              </w:rPr>
            </w:pPr>
            <w:r>
              <w:rPr>
                <w:rFonts w:ascii="Arial" w:cs="Arial" w:eastAsia="Arial" w:hAnsi="Arial"/>
                <w:sz w:val="14"/>
                <w:szCs w:val="14"/>
                <w:color w:val="auto"/>
                <w:w w:val="99"/>
              </w:rPr>
              <w:t>3/2/2023​</w:t>
            </w: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24"/>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4"/>
              <w:spacing w:after="0"/>
              <w:rPr>
                <w:sz w:val="20"/>
                <w:szCs w:val="20"/>
                <w:color w:val="auto"/>
              </w:rPr>
            </w:pPr>
            <w:r>
              <w:rPr>
                <w:rFonts w:ascii="Arial" w:cs="Arial" w:eastAsia="Arial" w:hAnsi="Arial"/>
                <w:sz w:val="14"/>
                <w:szCs w:val="14"/>
                <w:color w:val="auto"/>
              </w:rPr>
              <w:t>​ 3,268</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343,336​</w:t>
            </w:r>
          </w:p>
        </w:tc>
      </w:tr>
      <w:tr>
        <w:trPr>
          <w:trHeight w:val="48"/>
        </w:trPr>
        <w:tc>
          <w:tcPr>
            <w:tcW w:w="1080" w:type="dxa"/>
            <w:vAlign w:val="bottom"/>
            <w:tcBorders>
              <w:bottom w:val="single" w:sz="8" w:color="0C426A"/>
            </w:tcBorders>
          </w:tcPr>
          <w:p>
            <w:pPr>
              <w:spacing w:after="0"/>
              <w:rPr>
                <w:sz w:val="4"/>
                <w:szCs w:val="4"/>
                <w:color w:val="auto"/>
              </w:rPr>
            </w:pPr>
          </w:p>
        </w:tc>
        <w:tc>
          <w:tcPr>
            <w:tcW w:w="140" w:type="dxa"/>
            <w:vAlign w:val="bottom"/>
            <w:tcBorders>
              <w:bottom w:val="single" w:sz="8" w:color="0C426A"/>
            </w:tcBorders>
          </w:tcPr>
          <w:p>
            <w:pPr>
              <w:spacing w:after="0"/>
              <w:rPr>
                <w:sz w:val="4"/>
                <w:szCs w:val="4"/>
                <w:color w:val="auto"/>
              </w:rPr>
            </w:pPr>
          </w:p>
        </w:tc>
        <w:tc>
          <w:tcPr>
            <w:tcW w:w="620" w:type="dxa"/>
            <w:vAlign w:val="bottom"/>
            <w:tcBorders>
              <w:bottom w:val="single" w:sz="8" w:color="0C426A"/>
            </w:tcBorders>
          </w:tcPr>
          <w:p>
            <w:pPr>
              <w:spacing w:after="0"/>
              <w:rPr>
                <w:sz w:val="4"/>
                <w:szCs w:val="4"/>
                <w:color w:val="auto"/>
              </w:rPr>
            </w:pPr>
          </w:p>
        </w:tc>
        <w:tc>
          <w:tcPr>
            <w:tcW w:w="60" w:type="dxa"/>
            <w:vAlign w:val="bottom"/>
            <w:tcBorders>
              <w:bottom w:val="single" w:sz="8" w:color="0C426A"/>
            </w:tcBorders>
          </w:tcPr>
          <w:p>
            <w:pPr>
              <w:spacing w:after="0"/>
              <w:rPr>
                <w:sz w:val="4"/>
                <w:szCs w:val="4"/>
                <w:color w:val="auto"/>
              </w:rPr>
            </w:pPr>
          </w:p>
        </w:tc>
        <w:tc>
          <w:tcPr>
            <w:tcW w:w="360" w:type="dxa"/>
            <w:vAlign w:val="bottom"/>
            <w:tcBorders>
              <w:bottom w:val="single" w:sz="8" w:color="0C426A"/>
            </w:tcBorders>
          </w:tcPr>
          <w:p>
            <w:pPr>
              <w:spacing w:after="0"/>
              <w:rPr>
                <w:sz w:val="4"/>
                <w:szCs w:val="4"/>
                <w:color w:val="auto"/>
              </w:rPr>
            </w:pPr>
          </w:p>
        </w:tc>
        <w:tc>
          <w:tcPr>
            <w:tcW w:w="540" w:type="dxa"/>
            <w:vAlign w:val="bottom"/>
            <w:tcBorders>
              <w:bottom w:val="single" w:sz="8" w:color="0C426A"/>
            </w:tcBorders>
          </w:tcPr>
          <w:p>
            <w:pPr>
              <w:spacing w:after="0"/>
              <w:rPr>
                <w:sz w:val="4"/>
                <w:szCs w:val="4"/>
                <w:color w:val="auto"/>
              </w:rPr>
            </w:pPr>
          </w:p>
        </w:tc>
        <w:tc>
          <w:tcPr>
            <w:tcW w:w="120" w:type="dxa"/>
            <w:vAlign w:val="bottom"/>
            <w:tcBorders>
              <w:bottom w:val="single" w:sz="8" w:color="0C426A"/>
            </w:tcBorders>
          </w:tcPr>
          <w:p>
            <w:pPr>
              <w:spacing w:after="0"/>
              <w:rPr>
                <w:sz w:val="4"/>
                <w:szCs w:val="4"/>
                <w:color w:val="auto"/>
              </w:rPr>
            </w:pPr>
          </w:p>
        </w:tc>
        <w:tc>
          <w:tcPr>
            <w:tcW w:w="200" w:type="dxa"/>
            <w:vAlign w:val="bottom"/>
            <w:tcBorders>
              <w:bottom w:val="single" w:sz="8" w:color="0C426A"/>
            </w:tcBorders>
          </w:tcPr>
          <w:p>
            <w:pPr>
              <w:spacing w:after="0"/>
              <w:rPr>
                <w:sz w:val="4"/>
                <w:szCs w:val="4"/>
                <w:color w:val="auto"/>
              </w:rPr>
            </w:pPr>
          </w:p>
        </w:tc>
        <w:tc>
          <w:tcPr>
            <w:tcW w:w="560" w:type="dxa"/>
            <w:vAlign w:val="bottom"/>
            <w:tcBorders>
              <w:bottom w:val="single" w:sz="8" w:color="0C426A"/>
            </w:tcBorders>
          </w:tcPr>
          <w:p>
            <w:pPr>
              <w:spacing w:after="0"/>
              <w:rPr>
                <w:sz w:val="4"/>
                <w:szCs w:val="4"/>
                <w:color w:val="auto"/>
              </w:rPr>
            </w:pPr>
          </w:p>
        </w:tc>
        <w:tc>
          <w:tcPr>
            <w:tcW w:w="60" w:type="dxa"/>
            <w:vAlign w:val="bottom"/>
            <w:tcBorders>
              <w:bottom w:val="single" w:sz="8" w:color="0C426A"/>
            </w:tcBorders>
          </w:tcPr>
          <w:p>
            <w:pPr>
              <w:spacing w:after="0"/>
              <w:rPr>
                <w:sz w:val="4"/>
                <w:szCs w:val="4"/>
                <w:color w:val="auto"/>
              </w:rPr>
            </w:pPr>
          </w:p>
        </w:tc>
        <w:tc>
          <w:tcPr>
            <w:tcW w:w="120" w:type="dxa"/>
            <w:vAlign w:val="bottom"/>
            <w:tcBorders>
              <w:bottom w:val="single" w:sz="8" w:color="0C426A"/>
            </w:tcBorders>
          </w:tcPr>
          <w:p>
            <w:pPr>
              <w:spacing w:after="0"/>
              <w:rPr>
                <w:sz w:val="4"/>
                <w:szCs w:val="4"/>
                <w:color w:val="auto"/>
              </w:rPr>
            </w:pPr>
          </w:p>
        </w:tc>
        <w:tc>
          <w:tcPr>
            <w:tcW w:w="820" w:type="dxa"/>
            <w:vAlign w:val="bottom"/>
            <w:tcBorders>
              <w:bottom w:val="single" w:sz="8" w:color="0C426A"/>
            </w:tcBorders>
          </w:tcPr>
          <w:p>
            <w:pPr>
              <w:spacing w:after="0"/>
              <w:rPr>
                <w:sz w:val="4"/>
                <w:szCs w:val="4"/>
                <w:color w:val="auto"/>
              </w:rPr>
            </w:pPr>
          </w:p>
        </w:tc>
        <w:tc>
          <w:tcPr>
            <w:tcW w:w="240" w:type="dxa"/>
            <w:vAlign w:val="bottom"/>
            <w:tcBorders>
              <w:bottom w:val="single" w:sz="8" w:color="0C426A"/>
            </w:tcBorders>
          </w:tcPr>
          <w:p>
            <w:pPr>
              <w:spacing w:after="0"/>
              <w:rPr>
                <w:sz w:val="4"/>
                <w:szCs w:val="4"/>
                <w:color w:val="auto"/>
              </w:rPr>
            </w:pPr>
          </w:p>
        </w:tc>
        <w:tc>
          <w:tcPr>
            <w:tcW w:w="660" w:type="dxa"/>
            <w:vAlign w:val="bottom"/>
            <w:tcBorders>
              <w:bottom w:val="single" w:sz="8" w:color="0C426A"/>
            </w:tcBorders>
          </w:tcPr>
          <w:p>
            <w:pPr>
              <w:spacing w:after="0"/>
              <w:rPr>
                <w:sz w:val="4"/>
                <w:szCs w:val="4"/>
                <w:color w:val="auto"/>
              </w:rPr>
            </w:pPr>
          </w:p>
        </w:tc>
        <w:tc>
          <w:tcPr>
            <w:tcW w:w="120" w:type="dxa"/>
            <w:vAlign w:val="bottom"/>
            <w:tcBorders>
              <w:bottom w:val="single" w:sz="8" w:color="0C426A"/>
            </w:tcBorders>
          </w:tcPr>
          <w:p>
            <w:pPr>
              <w:spacing w:after="0"/>
              <w:rPr>
                <w:sz w:val="4"/>
                <w:szCs w:val="4"/>
                <w:color w:val="auto"/>
              </w:rPr>
            </w:pPr>
          </w:p>
        </w:tc>
        <w:tc>
          <w:tcPr>
            <w:tcW w:w="540" w:type="dxa"/>
            <w:vAlign w:val="bottom"/>
            <w:tcBorders>
              <w:bottom w:val="single" w:sz="8" w:color="0C426A"/>
            </w:tcBorders>
          </w:tcPr>
          <w:p>
            <w:pPr>
              <w:spacing w:after="0"/>
              <w:rPr>
                <w:sz w:val="4"/>
                <w:szCs w:val="4"/>
                <w:color w:val="auto"/>
              </w:rPr>
            </w:pPr>
          </w:p>
        </w:tc>
        <w:tc>
          <w:tcPr>
            <w:tcW w:w="180" w:type="dxa"/>
            <w:vAlign w:val="bottom"/>
            <w:tcBorders>
              <w:bottom w:val="single" w:sz="8" w:color="0C426A"/>
            </w:tcBorders>
          </w:tcPr>
          <w:p>
            <w:pPr>
              <w:spacing w:after="0"/>
              <w:rPr>
                <w:sz w:val="4"/>
                <w:szCs w:val="4"/>
                <w:color w:val="auto"/>
              </w:rPr>
            </w:pPr>
          </w:p>
        </w:tc>
        <w:tc>
          <w:tcPr>
            <w:tcW w:w="700" w:type="dxa"/>
            <w:vAlign w:val="bottom"/>
            <w:tcBorders>
              <w:bottom w:val="single" w:sz="8" w:color="0C426A"/>
            </w:tcBorders>
          </w:tcPr>
          <w:p>
            <w:pPr>
              <w:spacing w:after="0"/>
              <w:rPr>
                <w:sz w:val="4"/>
                <w:szCs w:val="4"/>
                <w:color w:val="auto"/>
              </w:rPr>
            </w:pPr>
          </w:p>
        </w:tc>
        <w:tc>
          <w:tcPr>
            <w:tcW w:w="280" w:type="dxa"/>
            <w:vAlign w:val="bottom"/>
            <w:tcBorders>
              <w:bottom w:val="single" w:sz="8" w:color="0C426A"/>
            </w:tcBorders>
          </w:tcPr>
          <w:p>
            <w:pPr>
              <w:spacing w:after="0"/>
              <w:rPr>
                <w:sz w:val="4"/>
                <w:szCs w:val="4"/>
                <w:color w:val="auto"/>
              </w:rPr>
            </w:pPr>
          </w:p>
        </w:tc>
        <w:tc>
          <w:tcPr>
            <w:tcW w:w="700" w:type="dxa"/>
            <w:vAlign w:val="bottom"/>
            <w:tcBorders>
              <w:bottom w:val="single" w:sz="8" w:color="0C426A"/>
            </w:tcBorders>
          </w:tcPr>
          <w:p>
            <w:pPr>
              <w:spacing w:after="0"/>
              <w:rPr>
                <w:sz w:val="4"/>
                <w:szCs w:val="4"/>
                <w:color w:val="auto"/>
              </w:rPr>
            </w:pPr>
          </w:p>
        </w:tc>
        <w:tc>
          <w:tcPr>
            <w:tcW w:w="120" w:type="dxa"/>
            <w:vAlign w:val="bottom"/>
            <w:tcBorders>
              <w:bottom w:val="single" w:sz="8" w:color="0C426A"/>
            </w:tcBorders>
          </w:tcPr>
          <w:p>
            <w:pPr>
              <w:spacing w:after="0"/>
              <w:rPr>
                <w:sz w:val="4"/>
                <w:szCs w:val="4"/>
                <w:color w:val="auto"/>
              </w:rPr>
            </w:pPr>
          </w:p>
        </w:tc>
        <w:tc>
          <w:tcPr>
            <w:tcW w:w="200" w:type="dxa"/>
            <w:vAlign w:val="bottom"/>
            <w:tcBorders>
              <w:bottom w:val="single" w:sz="8" w:color="0C426A"/>
            </w:tcBorders>
          </w:tcPr>
          <w:p>
            <w:pPr>
              <w:spacing w:after="0"/>
              <w:rPr>
                <w:sz w:val="4"/>
                <w:szCs w:val="4"/>
                <w:color w:val="auto"/>
              </w:rPr>
            </w:pPr>
          </w:p>
        </w:tc>
        <w:tc>
          <w:tcPr>
            <w:tcW w:w="560" w:type="dxa"/>
            <w:vAlign w:val="bottom"/>
            <w:tcBorders>
              <w:bottom w:val="single" w:sz="8" w:color="0C426A"/>
            </w:tcBorders>
          </w:tcPr>
          <w:p>
            <w:pPr>
              <w:spacing w:after="0"/>
              <w:rPr>
                <w:sz w:val="4"/>
                <w:szCs w:val="4"/>
                <w:color w:val="auto"/>
              </w:rPr>
            </w:pPr>
          </w:p>
        </w:tc>
      </w:tr>
    </w:tbl>
    <w:p>
      <w:pPr>
        <w:spacing w:after="0" w:line="63" w:lineRule="exact"/>
        <w:rPr>
          <w:sz w:val="20"/>
          <w:szCs w:val="20"/>
          <w:color w:val="auto"/>
        </w:rPr>
      </w:pPr>
    </w:p>
    <w:p>
      <w:pPr>
        <w:ind w:left="180" w:hanging="175"/>
        <w:spacing w:after="0"/>
        <w:tabs>
          <w:tab w:leader="none" w:pos="180" w:val="left"/>
        </w:tabs>
        <w:numPr>
          <w:ilvl w:val="0"/>
          <w:numId w:val="49"/>
        </w:numPr>
        <w:rPr>
          <w:rFonts w:ascii="Arial" w:cs="Arial" w:eastAsia="Arial" w:hAnsi="Arial"/>
          <w:sz w:val="21"/>
          <w:szCs w:val="21"/>
          <w:color w:val="auto"/>
          <w:vertAlign w:val="superscript"/>
        </w:rPr>
      </w:pPr>
      <w:r>
        <w:rPr>
          <w:rFonts w:ascii="Arial" w:cs="Arial" w:eastAsia="Arial" w:hAnsi="Arial"/>
          <w:sz w:val="14"/>
          <w:szCs w:val="14"/>
          <w:color w:val="auto"/>
        </w:rPr>
        <w:t>Reflects the possible payments under Wabtec’s annual incentive award plan.</w:t>
      </w:r>
    </w:p>
    <w:p>
      <w:pPr>
        <w:spacing w:after="0" w:line="61" w:lineRule="exact"/>
        <w:rPr>
          <w:sz w:val="20"/>
          <w:szCs w:val="20"/>
          <w:color w:val="auto"/>
        </w:rPr>
      </w:pPr>
    </w:p>
    <w:p>
      <w:pPr>
        <w:ind w:left="180" w:right="99" w:hanging="175"/>
        <w:spacing w:after="0" w:line="210" w:lineRule="auto"/>
        <w:tabs>
          <w:tab w:leader="none" w:pos="180" w:val="left"/>
        </w:tabs>
        <w:numPr>
          <w:ilvl w:val="0"/>
          <w:numId w:val="50"/>
        </w:numPr>
        <w:rPr>
          <w:rFonts w:ascii="Arial" w:cs="Arial" w:eastAsia="Arial" w:hAnsi="Arial"/>
          <w:sz w:val="21"/>
          <w:szCs w:val="21"/>
          <w:color w:val="auto"/>
          <w:vertAlign w:val="superscript"/>
        </w:rPr>
      </w:pPr>
      <w:r>
        <w:rPr>
          <w:rFonts w:ascii="Arial" w:cs="Arial" w:eastAsia="Arial" w:hAnsi="Arial"/>
          <w:sz w:val="14"/>
          <w:szCs w:val="14"/>
          <w:color w:val="auto"/>
        </w:rPr>
        <w:t>Reflects the grant of performance units with the three-year performance period of 2023-2025 approved by the Compensation Committee in February 2023 under Wabtec’s 2011 Stock Incentive Plan. These columns reflect the range of payouts possible for this grant. A performance unit is equal to a share of Wabtec common stock. Payouts for these awards, if any, will be made by March 31, 2026. See the Compensation Discussion and Analysis, “Long-Term Incentive Compensation” for additional details on the performance goals.</w:t>
      </w:r>
    </w:p>
    <w:p>
      <w:pPr>
        <w:spacing w:after="0" w:line="62" w:lineRule="exact"/>
        <w:rPr>
          <w:sz w:val="20"/>
          <w:szCs w:val="20"/>
          <w:color w:val="auto"/>
        </w:rPr>
      </w:pPr>
    </w:p>
    <w:p>
      <w:pPr>
        <w:ind w:left="180" w:right="19" w:hanging="175"/>
        <w:spacing w:after="0" w:line="187" w:lineRule="auto"/>
        <w:tabs>
          <w:tab w:leader="none" w:pos="180" w:val="left"/>
        </w:tabs>
        <w:numPr>
          <w:ilvl w:val="0"/>
          <w:numId w:val="51"/>
        </w:numPr>
        <w:rPr>
          <w:rFonts w:ascii="Arial" w:cs="Arial" w:eastAsia="Arial" w:hAnsi="Arial"/>
          <w:sz w:val="21"/>
          <w:szCs w:val="21"/>
          <w:color w:val="auto"/>
          <w:vertAlign w:val="superscript"/>
        </w:rPr>
      </w:pPr>
      <w:r>
        <w:rPr>
          <w:rFonts w:ascii="Arial" w:cs="Arial" w:eastAsia="Arial" w:hAnsi="Arial"/>
          <w:sz w:val="14"/>
          <w:szCs w:val="14"/>
          <w:color w:val="auto"/>
        </w:rPr>
        <w:t>Reflects the grant of restricted stock to the named executive officers on March 2, 2023 under Wabtec’s 2011 Stock Incentive Plan. One-third of the shares vested on March 1, 2024 and the remaining shares will vest in equal increments on March 1, 2025 and March 1, 2026.</w:t>
      </w:r>
    </w:p>
    <w:p>
      <w:pPr>
        <w:sectPr>
          <w:pgSz w:w="11900" w:h="16838" w:orient="portrait"/>
          <w:cols w:equalWidth="0" w:num="1">
            <w:col w:w="9019"/>
          </w:cols>
          <w:pgMar w:left="1440" w:top="116" w:right="1440" w:bottom="1440" w:gutter="0" w:footer="0" w:header="0"/>
          <w:type w:val="continuous"/>
        </w:sect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62</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both"/>
        <w:ind w:right="339"/>
        <w:spacing w:after="0" w:line="260" w:lineRule="auto"/>
        <w:rPr>
          <w:sz w:val="20"/>
          <w:szCs w:val="20"/>
          <w:color w:val="auto"/>
        </w:rPr>
      </w:pPr>
      <w:r>
        <w:rPr>
          <w:rFonts w:ascii="Arial" w:cs="Arial" w:eastAsia="Arial" w:hAnsi="Arial"/>
          <w:sz w:val="14"/>
          <w:szCs w:val="14"/>
          <w:color w:val="auto"/>
        </w:rPr>
        <w:t>Reflects the grant date fair value computed in accordance with ASC 718 based on the average closing price of $105.06 as noted in the Compensation Discussion and Analysis, the number of shares was determined by dividing the target value of the awards by the 30-day trailing share price of $104.0727.</w:t>
      </w:r>
    </w:p>
    <w:p>
      <w:pPr>
        <w:spacing w:after="0" w:line="153" w:lineRule="exact"/>
        <w:rPr>
          <w:sz w:val="20"/>
          <w:szCs w:val="20"/>
          <w:color w:val="auto"/>
        </w:rPr>
      </w:pPr>
    </w:p>
    <w:p>
      <w:pPr>
        <w:ind w:left="400"/>
        <w:spacing w:after="0"/>
        <w:rPr>
          <w:sz w:val="20"/>
          <w:szCs w:val="20"/>
          <w:color w:val="auto"/>
        </w:rPr>
      </w:pPr>
      <w:r>
        <w:rPr>
          <w:sz w:val="1"/>
          <w:szCs w:val="1"/>
          <w:color w:val="auto"/>
        </w:rPr>
        <w:drawing>
          <wp:inline distT="0" distB="0" distL="0" distR="0">
            <wp:extent cx="501650" cy="17018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01650" cy="170180"/>
                    </a:xfrm>
                    <a:prstGeom prst="rect">
                      <a:avLst/>
                    </a:prstGeom>
                    <a:noFill/>
                    <a:ln>
                      <a:noFill/>
                    </a:ln>
                  </pic:spPr>
                </pic:pic>
              </a:graphicData>
            </a:graphic>
          </wp:inline>
        </w:drawing>
      </w:r>
      <w:r>
        <w:rPr>
          <w:rFonts w:ascii="Arial" w:cs="Arial" w:eastAsia="Arial" w:hAnsi="Arial"/>
          <w:sz w:val="29"/>
          <w:szCs w:val="29"/>
          <w:color w:val="auto"/>
          <w:vertAlign w:val="subscript"/>
        </w:rPr>
        <w:t xml:space="preserve">      </w:t>
      </w:r>
      <w:r>
        <w:rPr>
          <w:rFonts w:ascii="Arial" w:cs="Arial" w:eastAsia="Arial" w:hAnsi="Arial"/>
          <w:sz w:val="24"/>
          <w:szCs w:val="24"/>
          <w:color w:val="636466"/>
        </w:rPr>
        <w:t>/</w:t>
      </w:r>
      <w:r>
        <w:rPr>
          <w:rFonts w:ascii="Arial" w:cs="Arial" w:eastAsia="Arial" w:hAnsi="Arial"/>
          <w:sz w:val="29"/>
          <w:szCs w:val="29"/>
          <w:color w:val="auto"/>
          <w:vertAlign w:val="subscript"/>
        </w:rPr>
        <w:t xml:space="preserve">    </w:t>
      </w:r>
      <w:r>
        <w:rPr>
          <w:rFonts w:ascii="Arial" w:cs="Arial" w:eastAsia="Arial" w:hAnsi="Arial"/>
          <w:sz w:val="29"/>
          <w:szCs w:val="29"/>
          <w:color w:val="auto"/>
        </w:rPr>
        <w:t xml:space="preserve">  </w:t>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240030</wp:posOffset>
            </wp:positionV>
            <wp:extent cx="693801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38010" cy="17145"/>
                    </a:xfrm>
                    <a:prstGeom prst="rect">
                      <a:avLst/>
                    </a:prstGeom>
                    <a:noFill/>
                  </pic:spPr>
                </pic:pic>
              </a:graphicData>
            </a:graphic>
          </wp:anchor>
        </w:drawing>
      </w:r>
    </w:p>
    <w:p>
      <w:pPr>
        <w:sectPr>
          <w:pgSz w:w="11900" w:h="16838" w:orient="portrait"/>
          <w:cols w:equalWidth="0" w:num="2">
            <w:col w:w="160" w:space="20"/>
            <w:col w:w="8839"/>
          </w:cols>
          <w:pgMar w:left="1440" w:top="116" w:right="1440" w:bottom="1440" w:gutter="0" w:footer="0" w:header="0"/>
          <w:type w:val="continuous"/>
        </w:sectPr>
      </w:pPr>
    </w:p>
    <w:bookmarkStart w:id="65" w:name="page66"/>
    <w:bookmarkEnd w:id="65"/>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8180"/>
        <w:spacing w:after="0"/>
        <w:rPr>
          <w:sz w:val="20"/>
          <w:szCs w:val="20"/>
          <w:color w:val="auto"/>
        </w:rPr>
      </w:pPr>
      <w:r>
        <w:rPr>
          <w:rFonts w:ascii="Arial" w:cs="Arial" w:eastAsia="Arial" w:hAnsi="Arial"/>
          <w:sz w:val="12"/>
          <w:szCs w:val="12"/>
          <w:color w:val="auto"/>
        </w:rPr>
        <w:t>Executive Compensation Tables</w:t>
      </w:r>
    </w:p>
    <w:p>
      <w:pPr>
        <w:spacing w:after="0" w:line="169" w:lineRule="exact"/>
        <w:rPr>
          <w:sz w:val="20"/>
          <w:szCs w:val="20"/>
          <w:color w:val="auto"/>
        </w:rPr>
      </w:pPr>
    </w:p>
    <w:p>
      <w:pPr>
        <w:ind w:left="960"/>
        <w:spacing w:after="0"/>
        <w:rPr>
          <w:sz w:val="20"/>
          <w:szCs w:val="20"/>
          <w:color w:val="auto"/>
        </w:rPr>
      </w:pPr>
      <w:r>
        <w:rPr>
          <w:rFonts w:ascii="Arial" w:cs="Arial" w:eastAsia="Arial" w:hAnsi="Arial"/>
          <w:sz w:val="29"/>
          <w:szCs w:val="29"/>
          <w:color w:val="636466"/>
        </w:rPr>
        <w:t>2023 Outstanding Equity Awards at Fiscal Year-End</w:t>
      </w:r>
    </w:p>
    <w:p>
      <w:pPr>
        <w:spacing w:after="0" w:line="180" w:lineRule="exact"/>
        <w:rPr>
          <w:sz w:val="20"/>
          <w:szCs w:val="20"/>
          <w:color w:val="auto"/>
        </w:rPr>
      </w:pPr>
    </w:p>
    <w:p>
      <w:pPr>
        <w:ind w:left="960" w:right="1080"/>
        <w:spacing w:after="0" w:line="282" w:lineRule="auto"/>
        <w:rPr>
          <w:sz w:val="20"/>
          <w:szCs w:val="20"/>
          <w:color w:val="auto"/>
        </w:rPr>
      </w:pPr>
      <w:r>
        <w:rPr>
          <w:rFonts w:ascii="Arial" w:cs="Arial" w:eastAsia="Arial" w:hAnsi="Arial"/>
          <w:sz w:val="16"/>
          <w:szCs w:val="16"/>
          <w:color w:val="auto"/>
        </w:rPr>
        <w:t>This table provides information concerning unexercised options, unvested stock and equity incentive plan awards outstanding as of December 31, 2023 for the named executive officers.</w:t>
      </w:r>
    </w:p>
    <w:p>
      <w:pPr>
        <w:spacing w:after="0" w:line="130"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920" w:type="dxa"/>
            <w:vAlign w:val="bottom"/>
          </w:tcPr>
          <w:p>
            <w:pPr>
              <w:ind w:left="8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Option Awards</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6"/>
          </w:tcPr>
          <w:p>
            <w:pPr>
              <w:jc w:val="right"/>
              <w:ind w:right="529"/>
              <w:spacing w:after="0"/>
              <w:rPr>
                <w:sz w:val="20"/>
                <w:szCs w:val="20"/>
                <w:color w:val="auto"/>
              </w:rPr>
            </w:pPr>
            <w:r>
              <w:rPr>
                <w:rFonts w:ascii="Arial" w:cs="Arial" w:eastAsia="Arial" w:hAnsi="Arial"/>
                <w:sz w:val="14"/>
                <w:szCs w:val="14"/>
                <w:b w:val="1"/>
                <w:bCs w:val="1"/>
                <w:color w:val="auto"/>
              </w:rPr>
              <w:t>Stock Awards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0C426A"/>
            </w:tcBorders>
          </w:tcPr>
          <w:p>
            <w:pPr>
              <w:spacing w:after="0"/>
              <w:rPr>
                <w:sz w:val="15"/>
                <w:szCs w:val="15"/>
                <w:color w:val="auto"/>
              </w:rPr>
            </w:pPr>
          </w:p>
        </w:tc>
        <w:tc>
          <w:tcPr>
            <w:tcW w:w="100" w:type="dxa"/>
            <w:vAlign w:val="bottom"/>
            <w:tcBorders>
              <w:bottom w:val="single" w:sz="8" w:color="0C426A"/>
            </w:tcBorders>
          </w:tcPr>
          <w:p>
            <w:pPr>
              <w:spacing w:after="0"/>
              <w:rPr>
                <w:sz w:val="15"/>
                <w:szCs w:val="15"/>
                <w:color w:val="auto"/>
              </w:rPr>
            </w:pPr>
          </w:p>
        </w:tc>
        <w:tc>
          <w:tcPr>
            <w:tcW w:w="840" w:type="dxa"/>
            <w:vAlign w:val="bottom"/>
            <w:tcBorders>
              <w:bottom w:val="single" w:sz="8" w:color="0C426A"/>
            </w:tcBorders>
          </w:tcPr>
          <w:p>
            <w:pPr>
              <w:spacing w:after="0"/>
              <w:rPr>
                <w:sz w:val="15"/>
                <w:szCs w:val="15"/>
                <w:color w:val="auto"/>
              </w:rPr>
            </w:pPr>
          </w:p>
        </w:tc>
        <w:tc>
          <w:tcPr>
            <w:tcW w:w="240" w:type="dxa"/>
            <w:vAlign w:val="bottom"/>
            <w:tcBorders>
              <w:bottom w:val="single" w:sz="8" w:color="0C426A"/>
            </w:tcBorders>
          </w:tcPr>
          <w:p>
            <w:pPr>
              <w:spacing w:after="0"/>
              <w:rPr>
                <w:sz w:val="15"/>
                <w:szCs w:val="15"/>
                <w:color w:val="auto"/>
              </w:rPr>
            </w:pPr>
          </w:p>
        </w:tc>
        <w:tc>
          <w:tcPr>
            <w:tcW w:w="100" w:type="dxa"/>
            <w:vAlign w:val="bottom"/>
            <w:tcBorders>
              <w:bottom w:val="single" w:sz="8" w:color="0C426A"/>
            </w:tcBorders>
          </w:tcPr>
          <w:p>
            <w:pPr>
              <w:spacing w:after="0"/>
              <w:rPr>
                <w:sz w:val="15"/>
                <w:szCs w:val="15"/>
                <w:color w:val="auto"/>
              </w:rPr>
            </w:pPr>
          </w:p>
        </w:tc>
        <w:tc>
          <w:tcPr>
            <w:tcW w:w="680" w:type="dxa"/>
            <w:vAlign w:val="bottom"/>
            <w:tcBorders>
              <w:bottom w:val="single" w:sz="8" w:color="0C426A"/>
            </w:tcBorders>
          </w:tcPr>
          <w:p>
            <w:pPr>
              <w:spacing w:after="0"/>
              <w:rPr>
                <w:sz w:val="15"/>
                <w:szCs w:val="15"/>
                <w:color w:val="auto"/>
              </w:rPr>
            </w:pPr>
          </w:p>
        </w:tc>
        <w:tc>
          <w:tcPr>
            <w:tcW w:w="80" w:type="dxa"/>
            <w:vAlign w:val="bottom"/>
            <w:tcBorders>
              <w:bottom w:val="single" w:sz="8" w:color="0C426A"/>
            </w:tcBorders>
          </w:tcPr>
          <w:p>
            <w:pPr>
              <w:spacing w:after="0"/>
              <w:rPr>
                <w:sz w:val="15"/>
                <w:szCs w:val="15"/>
                <w:color w:val="auto"/>
              </w:rPr>
            </w:pPr>
          </w:p>
        </w:tc>
        <w:tc>
          <w:tcPr>
            <w:tcW w:w="740" w:type="dxa"/>
            <w:vAlign w:val="bottom"/>
            <w:tcBorders>
              <w:bottom w:val="single" w:sz="8" w:color="0C426A"/>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bottom w:val="single" w:sz="8" w:color="0C426A"/>
            </w:tcBorders>
          </w:tcPr>
          <w:p>
            <w:pPr>
              <w:spacing w:after="0"/>
              <w:rPr>
                <w:sz w:val="15"/>
                <w:szCs w:val="15"/>
                <w:color w:val="auto"/>
              </w:rPr>
            </w:pPr>
          </w:p>
        </w:tc>
        <w:tc>
          <w:tcPr>
            <w:tcW w:w="80" w:type="dxa"/>
            <w:vAlign w:val="bottom"/>
            <w:tcBorders>
              <w:bottom w:val="single" w:sz="8" w:color="0C426A"/>
            </w:tcBorders>
          </w:tcPr>
          <w:p>
            <w:pPr>
              <w:spacing w:after="0"/>
              <w:rPr>
                <w:sz w:val="15"/>
                <w:szCs w:val="15"/>
                <w:color w:val="auto"/>
              </w:rPr>
            </w:pPr>
          </w:p>
        </w:tc>
        <w:tc>
          <w:tcPr>
            <w:tcW w:w="800" w:type="dxa"/>
            <w:vAlign w:val="bottom"/>
            <w:tcBorders>
              <w:bottom w:val="single" w:sz="8" w:color="0C426A"/>
            </w:tcBorders>
          </w:tcPr>
          <w:p>
            <w:pPr>
              <w:spacing w:after="0"/>
              <w:rPr>
                <w:sz w:val="15"/>
                <w:szCs w:val="15"/>
                <w:color w:val="auto"/>
              </w:rPr>
            </w:pPr>
          </w:p>
        </w:tc>
        <w:tc>
          <w:tcPr>
            <w:tcW w:w="80" w:type="dxa"/>
            <w:vAlign w:val="bottom"/>
            <w:tcBorders>
              <w:bottom w:val="single" w:sz="8" w:color="0C426A"/>
            </w:tcBorders>
          </w:tcPr>
          <w:p>
            <w:pPr>
              <w:spacing w:after="0"/>
              <w:rPr>
                <w:sz w:val="15"/>
                <w:szCs w:val="15"/>
                <w:color w:val="auto"/>
              </w:rPr>
            </w:pPr>
          </w:p>
        </w:tc>
        <w:tc>
          <w:tcPr>
            <w:tcW w:w="360" w:type="dxa"/>
            <w:vAlign w:val="bottom"/>
            <w:tcBorders>
              <w:bottom w:val="single" w:sz="8" w:color="0C426A"/>
            </w:tcBorders>
          </w:tcPr>
          <w:p>
            <w:pPr>
              <w:spacing w:after="0"/>
              <w:rPr>
                <w:sz w:val="15"/>
                <w:szCs w:val="15"/>
                <w:color w:val="auto"/>
              </w:rPr>
            </w:pPr>
          </w:p>
        </w:tc>
        <w:tc>
          <w:tcPr>
            <w:tcW w:w="40" w:type="dxa"/>
            <w:vAlign w:val="bottom"/>
            <w:tcBorders>
              <w:bottom w:val="single" w:sz="8" w:color="0C426A"/>
            </w:tcBorders>
          </w:tcPr>
          <w:p>
            <w:pPr>
              <w:spacing w:after="0"/>
              <w:rPr>
                <w:sz w:val="15"/>
                <w:szCs w:val="15"/>
                <w:color w:val="auto"/>
              </w:rPr>
            </w:pPr>
          </w:p>
        </w:tc>
        <w:tc>
          <w:tcPr>
            <w:tcW w:w="80" w:type="dxa"/>
            <w:vAlign w:val="bottom"/>
            <w:tcBorders>
              <w:bottom w:val="single" w:sz="8" w:color="0C426A"/>
            </w:tcBorders>
          </w:tcPr>
          <w:p>
            <w:pPr>
              <w:spacing w:after="0"/>
              <w:rPr>
                <w:sz w:val="15"/>
                <w:szCs w:val="15"/>
                <w:color w:val="auto"/>
              </w:rPr>
            </w:pPr>
          </w:p>
        </w:tc>
        <w:tc>
          <w:tcPr>
            <w:tcW w:w="880" w:type="dxa"/>
            <w:vAlign w:val="bottom"/>
            <w:tcBorders>
              <w:bottom w:val="single" w:sz="8" w:color="0C426A"/>
            </w:tcBorders>
          </w:tcPr>
          <w:p>
            <w:pPr>
              <w:spacing w:after="0"/>
              <w:rPr>
                <w:sz w:val="15"/>
                <w:szCs w:val="15"/>
                <w:color w:val="auto"/>
              </w:rPr>
            </w:pPr>
          </w:p>
        </w:tc>
        <w:tc>
          <w:tcPr>
            <w:tcW w:w="40" w:type="dxa"/>
            <w:vAlign w:val="bottom"/>
            <w:tcBorders>
              <w:bottom w:val="single" w:sz="8" w:color="0C426A"/>
            </w:tcBorders>
          </w:tcPr>
          <w:p>
            <w:pPr>
              <w:spacing w:after="0"/>
              <w:rPr>
                <w:sz w:val="15"/>
                <w:szCs w:val="15"/>
                <w:color w:val="auto"/>
              </w:rPr>
            </w:pPr>
          </w:p>
        </w:tc>
        <w:tc>
          <w:tcPr>
            <w:tcW w:w="80" w:type="dxa"/>
            <w:vAlign w:val="bottom"/>
            <w:tcBorders>
              <w:bottom w:val="single" w:sz="8" w:color="0C426A"/>
            </w:tcBorders>
          </w:tcPr>
          <w:p>
            <w:pPr>
              <w:spacing w:after="0"/>
              <w:rPr>
                <w:sz w:val="15"/>
                <w:szCs w:val="15"/>
                <w:color w:val="auto"/>
              </w:rPr>
            </w:pPr>
          </w:p>
        </w:tc>
        <w:tc>
          <w:tcPr>
            <w:tcW w:w="860" w:type="dxa"/>
            <w:vAlign w:val="bottom"/>
            <w:tcBorders>
              <w:bottom w:val="single" w:sz="8" w:color="0C426A"/>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Incentive</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Equity</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Plan</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Incentive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Plan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Awards: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70"/>
        </w:trPr>
        <w:tc>
          <w:tcPr>
            <w:tcW w:w="920" w:type="dxa"/>
            <w:vAlign w:val="bottom"/>
          </w:tcPr>
          <w:p>
            <w:pPr>
              <w:ind w:left="8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Pr>
          <w:p>
            <w:pPr>
              <w:spacing w:after="0"/>
              <w:rPr>
                <w:sz w:val="14"/>
                <w:szCs w:val="14"/>
                <w:color w:val="auto"/>
              </w:rPr>
            </w:pP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 xml:space="preserve">Market </w:t>
            </w:r>
            <w:r>
              <w:rPr>
                <w:rFonts w:ascii="Times New Roman" w:cs="Times New Roman" w:eastAsia="Times New Roman" w:hAnsi="Times New Roman"/>
                <w:sz w:val="3"/>
                <w:szCs w:val="3"/>
                <w:color w:val="auto"/>
              </w:rPr>
              <w:t>​</w:t>
            </w:r>
          </w:p>
        </w:tc>
        <w:tc>
          <w:tcPr>
            <w:tcW w:w="8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spacing w:after="0"/>
              <w:rPr>
                <w:sz w:val="14"/>
                <w:szCs w:val="14"/>
                <w:color w:val="auto"/>
              </w:rPr>
            </w:pPr>
          </w:p>
        </w:tc>
        <w:tc>
          <w:tcPr>
            <w:tcW w:w="40" w:type="dxa"/>
            <w:vAlign w:val="bottom"/>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rPr>
              <w:t xml:space="preserve">Unearned </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Unearned</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3"/>
                <w:szCs w:val="13"/>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b w:val="1"/>
                <w:bCs w:val="1"/>
                <w:color w:val="auto"/>
              </w:rPr>
              <w:t>Value of</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b w:val="1"/>
                <w:bCs w:val="1"/>
                <w:color w:val="auto"/>
              </w:rPr>
              <w:t>Shares or</w:t>
            </w:r>
          </w:p>
        </w:tc>
        <w:tc>
          <w:tcPr>
            <w:tcW w:w="80" w:type="dxa"/>
            <w:vAlign w:val="bottom"/>
          </w:tcPr>
          <w:p>
            <w:pPr>
              <w:spacing w:after="0"/>
              <w:rPr>
                <w:sz w:val="13"/>
                <w:szCs w:val="13"/>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b w:val="1"/>
                <w:bCs w:val="1"/>
                <w:color w:val="auto"/>
              </w:rPr>
              <w:t>Shares or</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Units or</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Units or</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b w:val="1"/>
                <w:bCs w:val="1"/>
                <w:color w:val="auto"/>
              </w:rPr>
              <w:t>Units of</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Units of</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Underlying</w:t>
            </w:r>
          </w:p>
        </w:tc>
        <w:tc>
          <w:tcPr>
            <w:tcW w:w="10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Underlying</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b w:val="1"/>
                <w:bCs w:val="1"/>
                <w:color w:val="auto"/>
              </w:rPr>
              <w:t>Stock That</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Rights That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Rights That</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Unexercised</w:t>
            </w:r>
          </w:p>
        </w:tc>
        <w:tc>
          <w:tcPr>
            <w:tcW w:w="10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Unexercised</w:t>
            </w:r>
          </w:p>
        </w:tc>
        <w:tc>
          <w:tcPr>
            <w:tcW w:w="100" w:type="dxa"/>
            <w:vAlign w:val="bottom"/>
          </w:tcPr>
          <w:p>
            <w:pPr>
              <w:spacing w:after="0"/>
              <w:rPr>
                <w:sz w:val="13"/>
                <w:szCs w:val="13"/>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b w:val="1"/>
                <w:bCs w:val="1"/>
                <w:color w:val="auto"/>
              </w:rPr>
              <w:t>Option</w:t>
            </w:r>
          </w:p>
        </w:tc>
        <w:tc>
          <w:tcPr>
            <w:tcW w:w="8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3"/>
                <w:szCs w:val="13"/>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b w:val="1"/>
                <w:bCs w:val="1"/>
                <w:color w:val="auto"/>
              </w:rPr>
              <w:t>Have Not</w:t>
            </w:r>
          </w:p>
        </w:tc>
        <w:tc>
          <w:tcPr>
            <w:tcW w:w="80" w:type="dxa"/>
            <w:vAlign w:val="bottom"/>
          </w:tcPr>
          <w:p>
            <w:pPr>
              <w:spacing w:after="0"/>
              <w:rPr>
                <w:sz w:val="13"/>
                <w:szCs w:val="13"/>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b w:val="1"/>
                <w:bCs w:val="1"/>
                <w:color w:val="auto"/>
              </w:rPr>
              <w:t>That</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Have Not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Options (#)</w:t>
            </w:r>
          </w:p>
        </w:tc>
        <w:tc>
          <w:tcPr>
            <w:tcW w:w="10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Options (#)</w:t>
            </w:r>
          </w:p>
        </w:tc>
        <w:tc>
          <w:tcPr>
            <w:tcW w:w="100" w:type="dxa"/>
            <w:vAlign w:val="bottom"/>
          </w:tcPr>
          <w:p>
            <w:pPr>
              <w:spacing w:after="0"/>
              <w:rPr>
                <w:sz w:val="13"/>
                <w:szCs w:val="13"/>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b w:val="1"/>
                <w:bCs w:val="1"/>
                <w:color w:val="auto"/>
              </w:rPr>
              <w:t>Exercise</w:t>
            </w:r>
          </w:p>
        </w:tc>
        <w:tc>
          <w:tcPr>
            <w:tcW w:w="8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Expiration</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Vested</w:t>
            </w:r>
          </w:p>
        </w:tc>
        <w:tc>
          <w:tcPr>
            <w:tcW w:w="80" w:type="dxa"/>
            <w:vAlign w:val="bottom"/>
          </w:tcPr>
          <w:p>
            <w:pPr>
              <w:spacing w:after="0"/>
              <w:rPr>
                <w:sz w:val="13"/>
                <w:szCs w:val="13"/>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b w:val="1"/>
                <w:bCs w:val="1"/>
                <w:color w:val="auto"/>
              </w:rPr>
              <w:t>Have Not</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Vested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295"/>
        </w:trPr>
        <w:tc>
          <w:tcPr>
            <w:tcW w:w="920" w:type="dxa"/>
            <w:vAlign w:val="bottom"/>
            <w:tcBorders>
              <w:bottom w:val="single" w:sz="8" w:color="0C426A"/>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0C426A"/>
            </w:tcBorders>
          </w:tcPr>
          <w:p>
            <w:pPr>
              <w:spacing w:after="0"/>
              <w:rPr>
                <w:sz w:val="24"/>
                <w:szCs w:val="24"/>
                <w:color w:val="auto"/>
              </w:rPr>
            </w:pPr>
          </w:p>
        </w:tc>
        <w:tc>
          <w:tcPr>
            <w:tcW w:w="900" w:type="dxa"/>
            <w:vAlign w:val="bottom"/>
            <w:tcBorders>
              <w:bottom w:val="single" w:sz="8" w:color="0C426A"/>
            </w:tcBorders>
          </w:tcPr>
          <w:p>
            <w:pPr>
              <w:jc w:val="right"/>
              <w:spacing w:after="0"/>
              <w:rPr>
                <w:sz w:val="20"/>
                <w:szCs w:val="20"/>
                <w:color w:val="auto"/>
              </w:rPr>
            </w:pPr>
            <w:r>
              <w:rPr>
                <w:rFonts w:ascii="Arial" w:cs="Arial" w:eastAsia="Arial" w:hAnsi="Arial"/>
                <w:sz w:val="14"/>
                <w:szCs w:val="14"/>
                <w:b w:val="1"/>
                <w:bCs w:val="1"/>
                <w:color w:val="auto"/>
              </w:rPr>
              <w:t>Exercisable</w:t>
            </w:r>
          </w:p>
        </w:tc>
        <w:tc>
          <w:tcPr>
            <w:tcW w:w="100" w:type="dxa"/>
            <w:vAlign w:val="bottom"/>
            <w:tcBorders>
              <w:bottom w:val="single" w:sz="8" w:color="0C426A"/>
            </w:tcBorders>
          </w:tcPr>
          <w:p>
            <w:pPr>
              <w:spacing w:after="0"/>
              <w:rPr>
                <w:sz w:val="24"/>
                <w:szCs w:val="24"/>
                <w:color w:val="auto"/>
              </w:rPr>
            </w:pPr>
          </w:p>
        </w:tc>
        <w:tc>
          <w:tcPr>
            <w:tcW w:w="1080" w:type="dxa"/>
            <w:vAlign w:val="bottom"/>
            <w:tcBorders>
              <w:bottom w:val="single" w:sz="8" w:color="0C426A"/>
            </w:tcBorders>
            <w:gridSpan w:val="2"/>
          </w:tcPr>
          <w:p>
            <w:pPr>
              <w:jc w:val="right"/>
              <w:spacing w:after="0"/>
              <w:rPr>
                <w:sz w:val="20"/>
                <w:szCs w:val="20"/>
                <w:color w:val="auto"/>
              </w:rPr>
            </w:pPr>
            <w:r>
              <w:rPr>
                <w:rFonts w:ascii="Arial" w:cs="Arial" w:eastAsia="Arial" w:hAnsi="Arial"/>
                <w:sz w:val="14"/>
                <w:szCs w:val="14"/>
                <w:b w:val="1"/>
                <w:bCs w:val="1"/>
                <w:color w:val="auto"/>
              </w:rPr>
              <w:t>Unexercisable</w:t>
            </w:r>
            <w:r>
              <w:rPr>
                <w:rFonts w:ascii="Arial" w:cs="Arial" w:eastAsia="Arial" w:hAnsi="Arial"/>
                <w:sz w:val="23"/>
                <w:szCs w:val="23"/>
                <w:b w:val="1"/>
                <w:bCs w:val="1"/>
                <w:color w:val="auto"/>
                <w:vertAlign w:val="superscript"/>
              </w:rPr>
              <w:t>1</w:t>
            </w:r>
          </w:p>
        </w:tc>
        <w:tc>
          <w:tcPr>
            <w:tcW w:w="100" w:type="dxa"/>
            <w:vAlign w:val="bottom"/>
            <w:tcBorders>
              <w:bottom w:val="single" w:sz="8" w:color="0C426A"/>
            </w:tcBorders>
          </w:tcPr>
          <w:p>
            <w:pPr>
              <w:spacing w:after="0"/>
              <w:rPr>
                <w:sz w:val="24"/>
                <w:szCs w:val="24"/>
                <w:color w:val="auto"/>
              </w:rPr>
            </w:pPr>
          </w:p>
        </w:tc>
        <w:tc>
          <w:tcPr>
            <w:tcW w:w="680" w:type="dxa"/>
            <w:vAlign w:val="bottom"/>
            <w:tcBorders>
              <w:bottom w:val="single" w:sz="8" w:color="0C426A"/>
            </w:tcBorders>
          </w:tcPr>
          <w:p>
            <w:pPr>
              <w:jc w:val="right"/>
              <w:ind w:right="10"/>
              <w:spacing w:after="0"/>
              <w:rPr>
                <w:sz w:val="20"/>
                <w:szCs w:val="20"/>
                <w:color w:val="auto"/>
              </w:rPr>
            </w:pPr>
            <w:r>
              <w:rPr>
                <w:rFonts w:ascii="Arial" w:cs="Arial" w:eastAsia="Arial" w:hAnsi="Arial"/>
                <w:sz w:val="14"/>
                <w:szCs w:val="14"/>
                <w:b w:val="1"/>
                <w:bCs w:val="1"/>
                <w:color w:val="auto"/>
              </w:rPr>
              <w:t>Price ($)</w:t>
            </w:r>
          </w:p>
        </w:tc>
        <w:tc>
          <w:tcPr>
            <w:tcW w:w="80" w:type="dxa"/>
            <w:vAlign w:val="bottom"/>
            <w:tcBorders>
              <w:bottom w:val="single" w:sz="8" w:color="0C426A"/>
            </w:tcBorders>
          </w:tcPr>
          <w:p>
            <w:pPr>
              <w:spacing w:after="0"/>
              <w:rPr>
                <w:sz w:val="24"/>
                <w:szCs w:val="24"/>
                <w:color w:val="auto"/>
              </w:rPr>
            </w:pPr>
          </w:p>
        </w:tc>
        <w:tc>
          <w:tcPr>
            <w:tcW w:w="780" w:type="dxa"/>
            <w:vAlign w:val="bottom"/>
            <w:tcBorders>
              <w:bottom w:val="single" w:sz="8" w:color="0C426A"/>
            </w:tcBorders>
            <w:gridSpan w:val="2"/>
          </w:tcPr>
          <w:p>
            <w:pPr>
              <w:jc w:val="right"/>
              <w:ind w:right="40"/>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0C426A"/>
            </w:tcBorders>
          </w:tcPr>
          <w:p>
            <w:pPr>
              <w:spacing w:after="0"/>
              <w:rPr>
                <w:sz w:val="24"/>
                <w:szCs w:val="24"/>
                <w:color w:val="auto"/>
              </w:rPr>
            </w:pPr>
          </w:p>
        </w:tc>
        <w:tc>
          <w:tcPr>
            <w:tcW w:w="820" w:type="dxa"/>
            <w:vAlign w:val="bottom"/>
            <w:tcBorders>
              <w:bottom w:val="single" w:sz="8" w:color="0C426A"/>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0C426A"/>
            </w:tcBorders>
          </w:tcPr>
          <w:p>
            <w:pPr>
              <w:spacing w:after="0"/>
              <w:rPr>
                <w:sz w:val="24"/>
                <w:szCs w:val="24"/>
                <w:color w:val="auto"/>
              </w:rPr>
            </w:pPr>
          </w:p>
        </w:tc>
        <w:tc>
          <w:tcPr>
            <w:tcW w:w="800" w:type="dxa"/>
            <w:vAlign w:val="bottom"/>
            <w:tcBorders>
              <w:bottom w:val="single" w:sz="8" w:color="0C426A"/>
            </w:tcBorders>
          </w:tcPr>
          <w:p>
            <w:pPr>
              <w:jc w:val="right"/>
              <w:spacing w:after="0"/>
              <w:rPr>
                <w:sz w:val="20"/>
                <w:szCs w:val="20"/>
                <w:color w:val="auto"/>
              </w:rPr>
            </w:pPr>
            <w:r>
              <w:rPr>
                <w:rFonts w:ascii="Arial" w:cs="Arial" w:eastAsia="Arial" w:hAnsi="Arial"/>
                <w:sz w:val="14"/>
                <w:szCs w:val="14"/>
                <w:b w:val="1"/>
                <w:bCs w:val="1"/>
                <w:color w:val="auto"/>
              </w:rPr>
              <w:t>Vested ($)</w:t>
            </w:r>
          </w:p>
        </w:tc>
        <w:tc>
          <w:tcPr>
            <w:tcW w:w="80" w:type="dxa"/>
            <w:vAlign w:val="bottom"/>
            <w:tcBorders>
              <w:bottom w:val="single" w:sz="8" w:color="0C426A"/>
            </w:tcBorders>
          </w:tcPr>
          <w:p>
            <w:pPr>
              <w:spacing w:after="0"/>
              <w:rPr>
                <w:sz w:val="24"/>
                <w:szCs w:val="24"/>
                <w:color w:val="auto"/>
              </w:rPr>
            </w:pPr>
          </w:p>
        </w:tc>
        <w:tc>
          <w:tcPr>
            <w:tcW w:w="360" w:type="dxa"/>
            <w:vAlign w:val="bottom"/>
            <w:tcBorders>
              <w:bottom w:val="single" w:sz="8" w:color="0C426A"/>
            </w:tcBorders>
          </w:tcPr>
          <w:p>
            <w:pPr>
              <w:spacing w:after="0"/>
              <w:rPr>
                <w:sz w:val="24"/>
                <w:szCs w:val="24"/>
                <w:color w:val="auto"/>
              </w:rPr>
            </w:pPr>
          </w:p>
        </w:tc>
        <w:tc>
          <w:tcPr>
            <w:tcW w:w="40" w:type="dxa"/>
            <w:vAlign w:val="bottom"/>
            <w:tcBorders>
              <w:bottom w:val="single" w:sz="8" w:color="0C426A"/>
            </w:tcBorders>
          </w:tcPr>
          <w:p>
            <w:pPr>
              <w:spacing w:after="0"/>
              <w:rPr>
                <w:sz w:val="24"/>
                <w:szCs w:val="24"/>
                <w:color w:val="auto"/>
              </w:rPr>
            </w:pPr>
          </w:p>
        </w:tc>
        <w:tc>
          <w:tcPr>
            <w:tcW w:w="80" w:type="dxa"/>
            <w:vAlign w:val="bottom"/>
            <w:tcBorders>
              <w:bottom w:val="single" w:sz="8" w:color="0C426A"/>
            </w:tcBorders>
          </w:tcPr>
          <w:p>
            <w:pPr>
              <w:spacing w:after="0"/>
              <w:rPr>
                <w:sz w:val="24"/>
                <w:szCs w:val="24"/>
                <w:color w:val="auto"/>
              </w:rPr>
            </w:pPr>
          </w:p>
        </w:tc>
        <w:tc>
          <w:tcPr>
            <w:tcW w:w="880" w:type="dxa"/>
            <w:vAlign w:val="bottom"/>
            <w:tcBorders>
              <w:bottom w:val="single" w:sz="8" w:color="0C426A"/>
            </w:tcBorders>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2</w:t>
            </w:r>
          </w:p>
        </w:tc>
        <w:tc>
          <w:tcPr>
            <w:tcW w:w="40" w:type="dxa"/>
            <w:vAlign w:val="bottom"/>
            <w:tcBorders>
              <w:bottom w:val="single" w:sz="8" w:color="0C426A"/>
            </w:tcBorders>
          </w:tcPr>
          <w:p>
            <w:pPr>
              <w:spacing w:after="0"/>
              <w:rPr>
                <w:sz w:val="24"/>
                <w:szCs w:val="24"/>
                <w:color w:val="auto"/>
              </w:rPr>
            </w:pPr>
          </w:p>
        </w:tc>
        <w:tc>
          <w:tcPr>
            <w:tcW w:w="80" w:type="dxa"/>
            <w:vAlign w:val="bottom"/>
            <w:tcBorders>
              <w:bottom w:val="single" w:sz="8" w:color="0C426A"/>
            </w:tcBorders>
          </w:tcPr>
          <w:p>
            <w:pPr>
              <w:spacing w:after="0"/>
              <w:rPr>
                <w:sz w:val="24"/>
                <w:szCs w:val="24"/>
                <w:color w:val="auto"/>
              </w:rPr>
            </w:pPr>
          </w:p>
        </w:tc>
        <w:tc>
          <w:tcPr>
            <w:tcW w:w="860" w:type="dxa"/>
            <w:vAlign w:val="bottom"/>
            <w:tcBorders>
              <w:bottom w:val="single" w:sz="8" w:color="0C426A"/>
            </w:tcBorders>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920" w:type="dxa"/>
            <w:vAlign w:val="bottom"/>
          </w:tcPr>
          <w:p>
            <w:pPr>
              <w:ind w:left="20"/>
              <w:spacing w:after="0"/>
              <w:rPr>
                <w:sz w:val="20"/>
                <w:szCs w:val="20"/>
                <w:color w:val="auto"/>
              </w:rPr>
            </w:pPr>
            <w:r>
              <w:rPr>
                <w:rFonts w:ascii="Arial" w:cs="Arial" w:eastAsia="Arial" w:hAnsi="Arial"/>
                <w:sz w:val="14"/>
                <w:szCs w:val="14"/>
                <w:b w:val="1"/>
                <w:bCs w:val="1"/>
                <w:color w:val="0C426A"/>
              </w:rPr>
              <w:t>Rafael</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gridSpan w:val="2"/>
          </w:tcPr>
          <w:p>
            <w:pPr>
              <w:jc w:val="right"/>
              <w:ind w:right="22"/>
              <w:spacing w:after="0"/>
              <w:rPr>
                <w:sz w:val="20"/>
                <w:szCs w:val="20"/>
                <w:color w:val="auto"/>
              </w:rPr>
            </w:pPr>
            <w:r>
              <w:rPr>
                <w:rFonts w:ascii="Arial" w:cs="Arial" w:eastAsia="Arial" w:hAnsi="Arial"/>
                <w:sz w:val="14"/>
                <w:szCs w:val="14"/>
                <w:color w:val="auto"/>
              </w:rPr>
              <w:t>9,800</w:t>
            </w:r>
            <w:r>
              <w:rPr>
                <w:rFonts w:ascii="Times New Roman" w:cs="Times New Roman" w:eastAsia="Times New Roman" w:hAnsi="Times New Roman"/>
                <w:sz w:val="3"/>
                <w:szCs w:val="3"/>
                <w:color w:val="auto"/>
              </w:rPr>
              <w:t>​   ​</w:t>
            </w:r>
          </w:p>
        </w:tc>
        <w:tc>
          <w:tcPr>
            <w:tcW w:w="840" w:type="dxa"/>
            <w:vAlign w:val="bottom"/>
          </w:tcPr>
          <w:p>
            <w:pPr>
              <w:spacing w:after="0"/>
              <w:rPr>
                <w:sz w:val="22"/>
                <w:szCs w:val="22"/>
                <w:color w:val="auto"/>
              </w:rPr>
            </w:pPr>
          </w:p>
        </w:tc>
        <w:tc>
          <w:tcPr>
            <w:tcW w:w="340" w:type="dxa"/>
            <w:vAlign w:val="bottom"/>
            <w:gridSpan w:val="2"/>
          </w:tcPr>
          <w:p>
            <w:pPr>
              <w:jc w:val="right"/>
              <w:ind w:right="22"/>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   ​</w:t>
            </w:r>
          </w:p>
        </w:tc>
        <w:tc>
          <w:tcPr>
            <w:tcW w:w="680" w:type="dxa"/>
            <w:vAlign w:val="bottom"/>
          </w:tcPr>
          <w:p>
            <w:pPr>
              <w:jc w:val="right"/>
              <w:spacing w:after="0"/>
              <w:rPr>
                <w:sz w:val="20"/>
                <w:szCs w:val="20"/>
                <w:color w:val="auto"/>
              </w:rPr>
            </w:pPr>
            <w:r>
              <w:rPr>
                <w:rFonts w:ascii="Arial" w:cs="Arial" w:eastAsia="Arial" w:hAnsi="Arial"/>
                <w:sz w:val="14"/>
                <w:szCs w:val="14"/>
                <w:color w:val="auto"/>
              </w:rPr>
              <w:t>$70.635</w:t>
            </w:r>
            <w:r>
              <w:rPr>
                <w:rFonts w:ascii="Times New Roman" w:cs="Times New Roman" w:eastAsia="Times New Roman" w:hAnsi="Times New Roman"/>
                <w:sz w:val="3"/>
                <w:szCs w:val="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3/6/2029</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line="262" w:lineRule="exact"/>
              <w:rPr>
                <w:sz w:val="20"/>
                <w:szCs w:val="20"/>
                <w:color w:val="auto"/>
              </w:rPr>
            </w:pPr>
            <w:r>
              <w:rPr>
                <w:rFonts w:ascii="Arial" w:cs="Arial" w:eastAsia="Arial" w:hAnsi="Arial"/>
                <w:sz w:val="14"/>
                <w:szCs w:val="14"/>
                <w:color w:val="auto"/>
              </w:rPr>
              <w:t>10,480</w:t>
            </w:r>
            <w:r>
              <w:rPr>
                <w:rFonts w:ascii="Arial" w:cs="Arial" w:eastAsia="Arial" w:hAnsi="Arial"/>
                <w:sz w:val="23"/>
                <w:szCs w:val="23"/>
                <w:color w:val="auto"/>
                <w:vertAlign w:val="superscript"/>
              </w:rPr>
              <w:t>4</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​$1,329,912</w:t>
            </w:r>
            <w:r>
              <w:rPr>
                <w:rFonts w:ascii="Times New Roman" w:cs="Times New Roman" w:eastAsia="Times New Roman" w:hAnsi="Times New Roman"/>
                <w:sz w:val="3"/>
                <w:szCs w:val="3"/>
                <w:color w:val="auto"/>
              </w:rPr>
              <w:t>​</w:t>
            </w:r>
          </w:p>
        </w:tc>
        <w:tc>
          <w:tcPr>
            <w:tcW w:w="8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gridSpan w:val="2"/>
          </w:tcPr>
          <w:p>
            <w:pPr>
              <w:jc w:val="right"/>
              <w:ind w:right="11"/>
              <w:spacing w:after="0"/>
              <w:rPr>
                <w:sz w:val="20"/>
                <w:szCs w:val="20"/>
                <w:color w:val="auto"/>
              </w:rPr>
            </w:pPr>
            <w:r>
              <w:rPr>
                <w:rFonts w:ascii="Arial" w:cs="Arial" w:eastAsia="Arial" w:hAnsi="Arial"/>
                <w:sz w:val="14"/>
                <w:szCs w:val="14"/>
                <w:color w:val="auto"/>
              </w:rPr>
              <w:t>​2021</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182,959​</w:t>
            </w: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$23,217,435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920" w:type="dxa"/>
            <w:vAlign w:val="bottom"/>
          </w:tcPr>
          <w:p>
            <w:pPr>
              <w:ind w:left="20"/>
              <w:spacing w:after="0"/>
              <w:rPr>
                <w:sz w:val="20"/>
                <w:szCs w:val="20"/>
                <w:color w:val="auto"/>
              </w:rPr>
            </w:pPr>
            <w:r>
              <w:rPr>
                <w:rFonts w:ascii="Arial" w:cs="Arial" w:eastAsia="Arial" w:hAnsi="Arial"/>
                <w:sz w:val="14"/>
                <w:szCs w:val="14"/>
                <w:b w:val="1"/>
                <w:bCs w:val="1"/>
                <w:color w:val="0C426A"/>
              </w:rPr>
              <w:t>Santana</w:t>
            </w:r>
          </w:p>
        </w:tc>
        <w:tc>
          <w:tcPr>
            <w:tcW w:w="1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27,591​</w:t>
            </w:r>
          </w:p>
        </w:tc>
        <w:tc>
          <w:tcPr>
            <w:tcW w:w="100" w:type="dxa"/>
            <w:vAlign w:val="bottom"/>
          </w:tcPr>
          <w:p>
            <w:pPr>
              <w:spacing w:after="0"/>
              <w:rPr>
                <w:sz w:val="16"/>
                <w:szCs w:val="16"/>
                <w:color w:val="auto"/>
              </w:rPr>
            </w:pPr>
          </w:p>
        </w:tc>
        <w:tc>
          <w:tcPr>
            <w:tcW w:w="84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340" w:type="dxa"/>
            <w:vAlign w:val="bottom"/>
            <w:gridSpan w:val="2"/>
            <w:vMerge w:val="restart"/>
          </w:tcPr>
          <w:p>
            <w:pPr>
              <w:jc w:val="right"/>
              <w:ind w:right="22"/>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$78.33</w:t>
            </w:r>
            <w:r>
              <w:rPr>
                <w:rFonts w:ascii="Times New Roman" w:cs="Times New Roman" w:eastAsia="Times New Roman" w:hAnsi="Times New Roman"/>
                <w:sz w:val="3"/>
                <w:szCs w:val="3"/>
                <w:color w:val="auto"/>
              </w:rPr>
              <w:t>​</w:t>
            </w:r>
          </w:p>
        </w:tc>
        <w:tc>
          <w:tcPr>
            <w:tcW w:w="80" w:type="dxa"/>
            <w:vAlign w:val="bottom"/>
          </w:tcPr>
          <w:p>
            <w:pPr>
              <w:spacing w:after="0"/>
              <w:rPr>
                <w:sz w:val="16"/>
                <w:szCs w:val="16"/>
                <w:color w:val="auto"/>
              </w:rPr>
            </w:pP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2/7/2030</w:t>
            </w:r>
            <w:r>
              <w:rPr>
                <w:rFonts w:ascii="Times New Roman" w:cs="Times New Roman" w:eastAsia="Times New Roman" w:hAnsi="Times New Roman"/>
                <w:sz w:val="3"/>
                <w:szCs w:val="3"/>
                <w:color w:val="auto"/>
              </w:rPr>
              <w:t>​</w:t>
            </w:r>
          </w:p>
        </w:tc>
        <w:tc>
          <w:tcPr>
            <w:tcW w:w="12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23,560</w:t>
            </w:r>
            <w:r>
              <w:rPr>
                <w:rFonts w:ascii="Arial" w:cs="Arial" w:eastAsia="Arial" w:hAnsi="Arial"/>
                <w:sz w:val="23"/>
                <w:szCs w:val="23"/>
                <w:color w:val="auto"/>
                <w:vertAlign w:val="superscript"/>
              </w:rPr>
              <w:t>6</w:t>
            </w:r>
            <w:r>
              <w:rPr>
                <w:rFonts w:ascii="Times New Roman" w:cs="Times New Roman" w:eastAsia="Times New Roman" w:hAnsi="Times New Roman"/>
                <w:sz w:val="3"/>
                <w:szCs w:val="3"/>
                <w:color w:val="auto"/>
              </w:rPr>
              <w:t>​</w:t>
            </w:r>
          </w:p>
        </w:tc>
        <w:tc>
          <w:tcPr>
            <w:tcW w:w="80" w:type="dxa"/>
            <w:vAlign w:val="bottom"/>
          </w:tcPr>
          <w:p>
            <w:pPr>
              <w:spacing w:after="0"/>
              <w:rPr>
                <w:sz w:val="16"/>
                <w:szCs w:val="16"/>
                <w:color w:val="auto"/>
              </w:rPr>
            </w:pPr>
          </w:p>
        </w:tc>
        <w:tc>
          <w:tcPr>
            <w:tcW w:w="880" w:type="dxa"/>
            <w:vAlign w:val="bottom"/>
            <w:gridSpan w:val="2"/>
            <w:vMerge w:val="restart"/>
          </w:tcPr>
          <w:p>
            <w:pPr>
              <w:jc w:val="right"/>
              <w:ind w:right="22"/>
              <w:spacing w:after="0"/>
              <w:rPr>
                <w:sz w:val="20"/>
                <w:szCs w:val="20"/>
                <w:color w:val="auto"/>
              </w:rPr>
            </w:pPr>
            <w:r>
              <w:rPr>
                <w:rFonts w:ascii="Arial" w:cs="Arial" w:eastAsia="Arial" w:hAnsi="Arial"/>
                <w:sz w:val="14"/>
                <w:szCs w:val="14"/>
                <w:color w:val="auto"/>
              </w:rPr>
              <w:t>$​2,989,764</w:t>
            </w:r>
            <w:r>
              <w:rPr>
                <w:rFonts w:ascii="Times New Roman" w:cs="Times New Roman" w:eastAsia="Times New Roman" w:hAnsi="Times New Roman"/>
                <w:sz w:val="3"/>
                <w:szCs w:val="3"/>
                <w:color w:val="auto"/>
              </w:rPr>
              <w:t>​    ​</w:t>
            </w:r>
          </w:p>
        </w:tc>
        <w:tc>
          <w:tcPr>
            <w:tcW w:w="360" w:type="dxa"/>
            <w:vAlign w:val="bottom"/>
            <w:vMerge w:val="restart"/>
          </w:tcPr>
          <w:p>
            <w:pPr>
              <w:ind w:left="40"/>
              <w:spacing w:after="0"/>
              <w:rPr>
                <w:sz w:val="20"/>
                <w:szCs w:val="20"/>
                <w:color w:val="auto"/>
              </w:rPr>
            </w:pPr>
            <w:r>
              <w:rPr>
                <w:rFonts w:ascii="Arial" w:cs="Arial" w:eastAsia="Arial" w:hAnsi="Arial"/>
                <w:sz w:val="14"/>
                <w:szCs w:val="14"/>
                <w:color w:val="auto"/>
                <w:w w:val="96"/>
              </w:rPr>
              <w:t>2022​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920" w:type="dxa"/>
            <w:vAlign w:val="bottom"/>
          </w:tcPr>
          <w:p>
            <w:pPr>
              <w:ind w:left="8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vMerge w:val="continue"/>
          </w:tcPr>
          <w:p>
            <w:pPr>
              <w:spacing w:after="0"/>
              <w:rPr>
                <w:sz w:val="23"/>
                <w:szCs w:val="23"/>
                <w:color w:val="auto"/>
              </w:rPr>
            </w:pP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840" w:type="dxa"/>
            <w:vAlign w:val="bottom"/>
            <w:vMerge w:val="continue"/>
          </w:tcPr>
          <w:p>
            <w:pPr>
              <w:spacing w:after="0"/>
              <w:rPr>
                <w:sz w:val="23"/>
                <w:szCs w:val="23"/>
                <w:color w:val="auto"/>
              </w:rPr>
            </w:pPr>
          </w:p>
        </w:tc>
        <w:tc>
          <w:tcPr>
            <w:tcW w:w="340" w:type="dxa"/>
            <w:vAlign w:val="bottom"/>
            <w:gridSpan w:val="2"/>
            <w:vMerge w:val="continue"/>
          </w:tcPr>
          <w:p>
            <w:pPr>
              <w:spacing w:after="0"/>
              <w:rPr>
                <w:sz w:val="23"/>
                <w:szCs w:val="23"/>
                <w:color w:val="auto"/>
              </w:rPr>
            </w:pPr>
          </w:p>
        </w:tc>
        <w:tc>
          <w:tcPr>
            <w:tcW w:w="680" w:type="dxa"/>
            <w:vAlign w:val="bottom"/>
            <w:vMerge w:val="continue"/>
          </w:tcPr>
          <w:p>
            <w:pPr>
              <w:spacing w:after="0"/>
              <w:rPr>
                <w:sz w:val="23"/>
                <w:szCs w:val="23"/>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gridSpan w:val="2"/>
            <w:vMerge w:val="continue"/>
          </w:tcPr>
          <w:p>
            <w:pPr>
              <w:spacing w:after="0"/>
              <w:rPr>
                <w:sz w:val="23"/>
                <w:szCs w:val="23"/>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vMerge w:val="continue"/>
          </w:tcPr>
          <w:p>
            <w:pPr>
              <w:spacing w:after="0"/>
              <w:rPr>
                <w:sz w:val="23"/>
                <w:szCs w:val="23"/>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2"/>
            <w:vMerge w:val="continue"/>
          </w:tcPr>
          <w:p>
            <w:pPr>
              <w:spacing w:after="0"/>
              <w:rPr>
                <w:sz w:val="23"/>
                <w:szCs w:val="23"/>
                <w:color w:val="auto"/>
              </w:rPr>
            </w:pPr>
          </w:p>
        </w:tc>
        <w:tc>
          <w:tcPr>
            <w:tcW w:w="360" w:type="dxa"/>
            <w:vAlign w:val="bottom"/>
            <w:vMerge w:val="continue"/>
          </w:tcPr>
          <w:p>
            <w:pPr>
              <w:spacing w:after="0"/>
              <w:rPr>
                <w:sz w:val="23"/>
                <w:szCs w:val="23"/>
                <w:color w:val="auto"/>
              </w:rPr>
            </w:pPr>
          </w:p>
        </w:tc>
        <w:tc>
          <w:tcPr>
            <w:tcW w:w="40" w:type="dxa"/>
            <w:vAlign w:val="bottom"/>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spacing w:after="0"/>
              <w:rPr>
                <w:sz w:val="23"/>
                <w:szCs w:val="23"/>
                <w:color w:val="auto"/>
              </w:rPr>
            </w:pP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920" w:type="dxa"/>
            <w:vAlign w:val="bottom"/>
            <w:tcBorders>
              <w:bottom w:val="single" w:sz="8" w:color="808080"/>
            </w:tcBorders>
          </w:tcPr>
          <w:p>
            <w:pPr>
              <w:spacing w:after="0"/>
              <w:rPr>
                <w:sz w:val="23"/>
                <w:szCs w:val="23"/>
                <w:color w:val="auto"/>
              </w:rPr>
            </w:pPr>
          </w:p>
        </w:tc>
        <w:tc>
          <w:tcPr>
            <w:tcW w:w="10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20,962​</w:t>
            </w:r>
          </w:p>
        </w:tc>
        <w:tc>
          <w:tcPr>
            <w:tcW w:w="100" w:type="dxa"/>
            <w:vAlign w:val="bottom"/>
            <w:tcBorders>
              <w:bottom w:val="single" w:sz="8" w:color="808080"/>
            </w:tcBorders>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080" w:type="dxa"/>
            <w:vAlign w:val="bottom"/>
            <w:tcBorders>
              <w:bottom w:val="single" w:sz="8" w:color="808080"/>
            </w:tcBorders>
            <w:gridSpan w:val="2"/>
          </w:tcPr>
          <w:p>
            <w:pPr>
              <w:jc w:val="right"/>
              <w:spacing w:after="0"/>
              <w:rPr>
                <w:sz w:val="20"/>
                <w:szCs w:val="20"/>
                <w:color w:val="auto"/>
              </w:rPr>
            </w:pPr>
            <w:r>
              <w:rPr>
                <w:rFonts w:ascii="Arial" w:cs="Arial" w:eastAsia="Arial" w:hAnsi="Arial"/>
                <w:sz w:val="14"/>
                <w:szCs w:val="14"/>
                <w:color w:val="auto"/>
              </w:rPr>
              <w:t>10,480​</w:t>
            </w:r>
          </w:p>
        </w:tc>
        <w:tc>
          <w:tcPr>
            <w:tcW w:w="100" w:type="dxa"/>
            <w:vAlign w:val="bottom"/>
            <w:tcBorders>
              <w:bottom w:val="single" w:sz="8" w:color="808080"/>
            </w:tcBorders>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$81.21</w:t>
            </w:r>
            <w:r>
              <w:rPr>
                <w:rFonts w:ascii="Times New Roman" w:cs="Times New Roman" w:eastAsia="Times New Roman" w:hAnsi="Times New Roman"/>
                <w:sz w:val="3"/>
                <w:szCs w:val="3"/>
                <w:color w:val="auto"/>
              </w:rPr>
              <w:t>​</w:t>
            </w:r>
          </w:p>
        </w:tc>
        <w:tc>
          <w:tcPr>
            <w:tcW w:w="8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Borders>
              <w:bottom w:val="single" w:sz="8" w:color="808080"/>
            </w:tcBorders>
            <w:gridSpan w:val="2"/>
          </w:tcPr>
          <w:p>
            <w:pPr>
              <w:jc w:val="right"/>
              <w:ind w:right="40"/>
              <w:spacing w:after="0"/>
              <w:rPr>
                <w:sz w:val="20"/>
                <w:szCs w:val="20"/>
                <w:color w:val="auto"/>
              </w:rPr>
            </w:pPr>
            <w:r>
              <w:rPr>
                <w:rFonts w:ascii="Arial" w:cs="Arial" w:eastAsia="Arial" w:hAnsi="Arial"/>
                <w:sz w:val="14"/>
                <w:szCs w:val="14"/>
                <w:color w:val="auto"/>
              </w:rPr>
              <w:t>2/11/2031</w:t>
            </w:r>
            <w:r>
              <w:rPr>
                <w:rFonts w:ascii="Times New Roman" w:cs="Times New Roman" w:eastAsia="Times New Roman" w:hAnsi="Times New Roman"/>
                <w:sz w:val="3"/>
                <w:szCs w:val="3"/>
                <w:color w:val="auto"/>
              </w:rPr>
              <w:t>​</w:t>
            </w:r>
          </w:p>
        </w:tc>
        <w:tc>
          <w:tcPr>
            <w:tcW w:w="12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40,568</w:t>
            </w:r>
            <w:r>
              <w:rPr>
                <w:rFonts w:ascii="Arial" w:cs="Arial" w:eastAsia="Arial" w:hAnsi="Arial"/>
                <w:sz w:val="23"/>
                <w:szCs w:val="23"/>
                <w:color w:val="auto"/>
                <w:vertAlign w:val="superscript"/>
              </w:rPr>
              <w:t>7</w:t>
            </w:r>
            <w:r>
              <w:rPr>
                <w:rFonts w:ascii="Times New Roman" w:cs="Times New Roman" w:eastAsia="Times New Roman" w:hAnsi="Times New Roman"/>
                <w:sz w:val="3"/>
                <w:szCs w:val="3"/>
                <w:color w:val="auto"/>
              </w:rPr>
              <w:t>​</w:t>
            </w:r>
          </w:p>
        </w:tc>
        <w:tc>
          <w:tcPr>
            <w:tcW w:w="8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808080"/>
            </w:tcBorders>
            <w:gridSpan w:val="2"/>
          </w:tcPr>
          <w:p>
            <w:pPr>
              <w:jc w:val="right"/>
              <w:ind w:right="22"/>
              <w:spacing w:after="0"/>
              <w:rPr>
                <w:sz w:val="20"/>
                <w:szCs w:val="20"/>
                <w:color w:val="auto"/>
              </w:rPr>
            </w:pPr>
            <w:r>
              <w:rPr>
                <w:rFonts w:ascii="Arial" w:cs="Arial" w:eastAsia="Arial" w:hAnsi="Arial"/>
                <w:sz w:val="14"/>
                <w:szCs w:val="14"/>
                <w:color w:val="auto"/>
              </w:rPr>
              <w:t>$​5,148,079</w:t>
            </w:r>
            <w:r>
              <w:rPr>
                <w:rFonts w:ascii="Times New Roman" w:cs="Times New Roman" w:eastAsia="Times New Roman" w:hAnsi="Times New Roman"/>
                <w:sz w:val="3"/>
                <w:szCs w:val="3"/>
                <w:color w:val="auto"/>
              </w:rPr>
              <w:t>​    ​</w:t>
            </w:r>
          </w:p>
        </w:tc>
        <w:tc>
          <w:tcPr>
            <w:tcW w:w="360" w:type="dxa"/>
            <w:vAlign w:val="bottom"/>
            <w:tcBorders>
              <w:bottom w:val="single" w:sz="8" w:color="808080"/>
            </w:tcBorders>
          </w:tcPr>
          <w:p>
            <w:pPr>
              <w:ind w:left="40"/>
              <w:spacing w:after="0"/>
              <w:rPr>
                <w:sz w:val="20"/>
                <w:szCs w:val="20"/>
                <w:color w:val="auto"/>
              </w:rPr>
            </w:pPr>
            <w:r>
              <w:rPr>
                <w:rFonts w:ascii="Arial" w:cs="Arial" w:eastAsia="Arial" w:hAnsi="Arial"/>
                <w:sz w:val="14"/>
                <w:szCs w:val="14"/>
                <w:color w:val="auto"/>
                <w:w w:val="96"/>
              </w:rPr>
              <w:t>2023​</w:t>
            </w:r>
          </w:p>
        </w:tc>
        <w:tc>
          <w:tcPr>
            <w:tcW w:w="40" w:type="dxa"/>
            <w:vAlign w:val="bottom"/>
            <w:tcBorders>
              <w:bottom w:val="single" w:sz="8" w:color="808080"/>
            </w:tcBorders>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808080"/>
            </w:tcBorders>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9"/>
        </w:trPr>
        <w:tc>
          <w:tcPr>
            <w:tcW w:w="920" w:type="dxa"/>
            <w:vAlign w:val="bottom"/>
          </w:tcPr>
          <w:p>
            <w:pPr>
              <w:ind w:left="20"/>
              <w:spacing w:after="0"/>
              <w:rPr>
                <w:sz w:val="20"/>
                <w:szCs w:val="20"/>
                <w:color w:val="auto"/>
              </w:rPr>
            </w:pPr>
            <w:r>
              <w:rPr>
                <w:rFonts w:ascii="Arial" w:cs="Arial" w:eastAsia="Arial" w:hAnsi="Arial"/>
                <w:sz w:val="14"/>
                <w:szCs w:val="14"/>
                <w:b w:val="1"/>
                <w:bCs w:val="1"/>
                <w:color w:val="0C426A"/>
              </w:rPr>
              <w:t>John Olin</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Pr>
          <w:p>
            <w:pPr>
              <w:spacing w:after="0"/>
              <w:rPr>
                <w:sz w:val="24"/>
                <w:szCs w:val="24"/>
                <w:color w:val="auto"/>
              </w:rPr>
            </w:pP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11,109</w:t>
            </w:r>
            <w:r>
              <w:rPr>
                <w:rFonts w:ascii="Arial" w:cs="Arial" w:eastAsia="Arial" w:hAnsi="Arial"/>
                <w:sz w:val="23"/>
                <w:szCs w:val="23"/>
                <w:color w:val="auto"/>
                <w:vertAlign w:val="superscript"/>
              </w:rPr>
              <w:t>5</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$​1,409,732</w:t>
            </w:r>
            <w:r>
              <w:rPr>
                <w:rFonts w:ascii="Times New Roman" w:cs="Times New Roman" w:eastAsia="Times New Roman" w:hAnsi="Times New Roman"/>
                <w:sz w:val="3"/>
                <w:szCs w:val="3"/>
                <w:color w:val="auto"/>
              </w:rPr>
              <w:t>​</w:t>
            </w:r>
          </w:p>
        </w:tc>
        <w:tc>
          <w:tcPr>
            <w:tcW w:w="8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40"/>
              <w:spacing w:after="0"/>
              <w:rPr>
                <w:sz w:val="20"/>
                <w:szCs w:val="20"/>
                <w:color w:val="auto"/>
              </w:rPr>
            </w:pPr>
            <w:r>
              <w:rPr>
                <w:rFonts w:ascii="Arial" w:cs="Arial" w:eastAsia="Arial" w:hAnsi="Arial"/>
                <w:sz w:val="14"/>
                <w:szCs w:val="14"/>
                <w:color w:val="auto"/>
                <w:w w:val="96"/>
              </w:rPr>
              <w:t>2021​</w:t>
            </w:r>
          </w:p>
        </w:tc>
        <w:tc>
          <w:tcPr>
            <w:tcW w:w="40" w:type="dxa"/>
            <w:vAlign w:val="bottom"/>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22"/>
              <w:spacing w:after="0"/>
              <w:rPr>
                <w:sz w:val="20"/>
                <w:szCs w:val="20"/>
                <w:color w:val="auto"/>
              </w:rPr>
            </w:pPr>
            <w:r>
              <w:rPr>
                <w:rFonts w:ascii="Arial" w:cs="Arial" w:eastAsia="Arial" w:hAnsi="Arial"/>
                <w:sz w:val="14"/>
                <w:szCs w:val="14"/>
                <w:color w:val="auto"/>
              </w:rPr>
              <w:t>​ 27,343</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$ 3,469,827​</w:t>
            </w:r>
          </w:p>
        </w:tc>
        <w:tc>
          <w:tcPr>
            <w:tcW w:w="0" w:type="dxa"/>
            <w:vAlign w:val="bottom"/>
          </w:tcPr>
          <w:p>
            <w:pPr>
              <w:spacing w:after="0"/>
              <w:rPr>
                <w:sz w:val="1"/>
                <w:szCs w:val="1"/>
                <w:color w:val="auto"/>
              </w:rPr>
            </w:pPr>
          </w:p>
        </w:tc>
      </w:tr>
      <w:tr>
        <w:trPr>
          <w:trHeight w:val="46"/>
        </w:trPr>
        <w:tc>
          <w:tcPr>
            <w:tcW w:w="920" w:type="dxa"/>
            <w:vAlign w:val="bottom"/>
          </w:tcPr>
          <w:p>
            <w:pPr>
              <w:ind w:left="8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3"/>
        </w:trPr>
        <w:tc>
          <w:tcPr>
            <w:tcW w:w="92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Pr>
          <w:p>
            <w:pPr>
              <w:spacing w:after="0"/>
              <w:rPr>
                <w:sz w:val="24"/>
                <w:szCs w:val="24"/>
                <w:color w:val="auto"/>
              </w:rPr>
            </w:pP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 5,746</w:t>
            </w:r>
            <w:r>
              <w:rPr>
                <w:rFonts w:ascii="Arial" w:cs="Arial" w:eastAsia="Arial" w:hAnsi="Arial"/>
                <w:sz w:val="23"/>
                <w:szCs w:val="23"/>
                <w:color w:val="auto"/>
                <w:vertAlign w:val="superscript"/>
              </w:rPr>
              <w:t>6</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  729,167</w:t>
            </w:r>
            <w:r>
              <w:rPr>
                <w:rFonts w:ascii="Times New Roman" w:cs="Times New Roman" w:eastAsia="Times New Roman" w:hAnsi="Times New Roman"/>
                <w:sz w:val="3"/>
                <w:szCs w:val="3"/>
                <w:color w:val="auto"/>
              </w:rPr>
              <w:t>​</w:t>
            </w:r>
          </w:p>
        </w:tc>
        <w:tc>
          <w:tcPr>
            <w:tcW w:w="8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gridSpan w:val="2"/>
          </w:tcPr>
          <w:p>
            <w:pPr>
              <w:jc w:val="right"/>
              <w:ind w:right="11"/>
              <w:spacing w:after="0"/>
              <w:rPr>
                <w:sz w:val="20"/>
                <w:szCs w:val="20"/>
                <w:color w:val="auto"/>
              </w:rPr>
            </w:pPr>
            <w:r>
              <w:rPr>
                <w:rFonts w:ascii="Arial" w:cs="Arial" w:eastAsia="Arial" w:hAnsi="Arial"/>
                <w:sz w:val="14"/>
                <w:szCs w:val="14"/>
                <w:color w:val="auto"/>
              </w:rPr>
              <w:t>2022</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spacing w:after="0"/>
              <w:rPr>
                <w:sz w:val="24"/>
                <w:szCs w:val="24"/>
                <w:color w:val="auto"/>
              </w:rPr>
            </w:pP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920" w:type="dxa"/>
            <w:vAlign w:val="bottom"/>
          </w:tcPr>
          <w:p>
            <w:pPr>
              <w:ind w:left="8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Pr>
          <w:p>
            <w:pPr>
              <w:spacing w:after="0"/>
              <w:rPr>
                <w:sz w:val="24"/>
                <w:szCs w:val="24"/>
                <w:color w:val="auto"/>
              </w:rPr>
            </w:pP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9,609</w:t>
            </w:r>
            <w:r>
              <w:rPr>
                <w:rFonts w:ascii="Arial" w:cs="Arial" w:eastAsia="Arial" w:hAnsi="Arial"/>
                <w:sz w:val="23"/>
                <w:szCs w:val="23"/>
                <w:color w:val="auto"/>
                <w:vertAlign w:val="superscript"/>
              </w:rPr>
              <w:t>7</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$1,219,382</w:t>
            </w:r>
            <w:r>
              <w:rPr>
                <w:rFonts w:ascii="Times New Roman" w:cs="Times New Roman" w:eastAsia="Times New Roman" w:hAnsi="Times New Roman"/>
                <w:sz w:val="3"/>
                <w:szCs w:val="3"/>
                <w:color w:val="auto"/>
              </w:rPr>
              <w:t>​</w:t>
            </w:r>
          </w:p>
        </w:tc>
        <w:tc>
          <w:tcPr>
            <w:tcW w:w="8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gridSpan w:val="2"/>
          </w:tcPr>
          <w:p>
            <w:pPr>
              <w:jc w:val="right"/>
              <w:ind w:right="11"/>
              <w:spacing w:after="0"/>
              <w:rPr>
                <w:sz w:val="20"/>
                <w:szCs w:val="20"/>
                <w:color w:val="auto"/>
              </w:rPr>
            </w:pPr>
            <w:r>
              <w:rPr>
                <w:rFonts w:ascii="Arial" w:cs="Arial" w:eastAsia="Arial" w:hAnsi="Arial"/>
                <w:sz w:val="14"/>
                <w:szCs w:val="14"/>
                <w:color w:val="auto"/>
              </w:rPr>
              <w:t>2023</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spacing w:after="0"/>
              <w:rPr>
                <w:sz w:val="24"/>
                <w:szCs w:val="24"/>
                <w:color w:val="auto"/>
              </w:rPr>
            </w:pP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-32385</wp:posOffset>
            </wp:positionV>
            <wp:extent cx="571373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sectPr>
      </w:pPr>
    </w:p>
    <w:p>
      <w:pPr>
        <w:spacing w:after="0" w:line="1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0C426A"/>
        </w:rPr>
        <w:t>David L.</w:t>
      </w:r>
    </w:p>
    <w:p>
      <w:pPr>
        <w:spacing w:after="0" w:line="1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0C426A"/>
        </w:rPr>
        <w:t>DeNinno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9"/>
        </w:trPr>
        <w:tc>
          <w:tcPr>
            <w:tcW w:w="3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875</w:t>
            </w:r>
            <w:r>
              <w:rPr>
                <w:rFonts w:ascii="Times New Roman" w:cs="Times New Roman" w:eastAsia="Times New Roman" w:hAnsi="Times New Roman"/>
                <w:sz w:val="3"/>
                <w:szCs w:val="3"/>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$87.03</w:t>
            </w:r>
            <w:r>
              <w:rPr>
                <w:rFonts w:ascii="Times New Roman" w:cs="Times New Roman" w:eastAsia="Times New Roman" w:hAnsi="Times New Roman"/>
                <w:sz w:val="3"/>
                <w:szCs w:val="3"/>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2/10/2025</w:t>
            </w:r>
            <w:r>
              <w:rPr>
                <w:rFonts w:ascii="Times New Roman" w:cs="Times New Roman" w:eastAsia="Times New Roman" w:hAnsi="Times New Roman"/>
                <w:sz w:val="3"/>
                <w:szCs w:val="3"/>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ind w:left="180"/>
              <w:spacing w:after="0"/>
              <w:rPr>
                <w:sz w:val="20"/>
                <w:szCs w:val="20"/>
                <w:color w:val="auto"/>
              </w:rPr>
            </w:pPr>
            <w:r>
              <w:rPr>
                <w:rFonts w:ascii="Arial" w:cs="Arial" w:eastAsia="Arial" w:hAnsi="Arial"/>
                <w:sz w:val="14"/>
                <w:szCs w:val="14"/>
                <w:color w:val="auto"/>
              </w:rPr>
              <w:t>​ 1,783</w:t>
            </w:r>
            <w:r>
              <w:rPr>
                <w:rFonts w:ascii="Arial" w:cs="Arial" w:eastAsia="Arial" w:hAnsi="Arial"/>
                <w:sz w:val="23"/>
                <w:szCs w:val="23"/>
                <w:color w:val="auto"/>
                <w:vertAlign w:val="superscript"/>
              </w:rPr>
              <w:t>4</w:t>
            </w:r>
            <w:r>
              <w:rPr>
                <w:rFonts w:ascii="Times New Roman" w:cs="Times New Roman" w:eastAsia="Times New Roman" w:hAnsi="Times New Roman"/>
                <w:sz w:val="3"/>
                <w:szCs w:val="3"/>
                <w:color w:val="auto"/>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226,263</w:t>
            </w:r>
            <w:r>
              <w:rPr>
                <w:rFonts w:ascii="Times New Roman" w:cs="Times New Roman" w:eastAsia="Times New Roman" w:hAnsi="Times New Roman"/>
                <w:sz w:val="3"/>
                <w:szCs w:val="3"/>
                <w:color w:val="auto"/>
              </w:rPr>
              <w:t>​    ​</w:t>
            </w:r>
            <w:r>
              <w:rPr>
                <w:rFonts w:ascii="Arial" w:cs="Arial" w:eastAsia="Arial" w:hAnsi="Arial"/>
                <w:sz w:val="14"/>
                <w:szCs w:val="14"/>
                <w:color w:val="auto"/>
              </w:rPr>
              <w:t xml:space="preserve">    2021​</w:t>
            </w:r>
          </w:p>
        </w:tc>
        <w:tc>
          <w:tcPr>
            <w:tcW w:w="40" w:type="dxa"/>
            <w:vAlign w:val="bottom"/>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ind w:right="16"/>
              <w:spacing w:after="0"/>
              <w:rPr>
                <w:sz w:val="20"/>
                <w:szCs w:val="20"/>
                <w:color w:val="auto"/>
              </w:rPr>
            </w:pPr>
            <w:r>
              <w:rPr>
                <w:rFonts w:ascii="Arial" w:cs="Arial" w:eastAsia="Arial" w:hAnsi="Arial"/>
                <w:sz w:val="14"/>
                <w:szCs w:val="14"/>
                <w:color w:val="auto"/>
              </w:rPr>
              <w:t>​ 27,763</w:t>
            </w:r>
            <w:r>
              <w:rPr>
                <w:rFonts w:ascii="Times New Roman" w:cs="Times New Roman" w:eastAsia="Times New Roman" w:hAnsi="Times New Roman"/>
                <w:sz w:val="3"/>
                <w:szCs w:val="3"/>
                <w:color w:val="auto"/>
              </w:rPr>
              <w:t>​</w:t>
            </w:r>
          </w:p>
        </w:tc>
        <w:tc>
          <w:tcPr>
            <w:tcW w:w="9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color w:val="auto"/>
              </w:rPr>
              <w:t>$ 3,253,096​</w:t>
            </w:r>
          </w:p>
        </w:tc>
      </w:tr>
      <w:tr>
        <w:trPr>
          <w:trHeight w:val="324"/>
        </w:trPr>
        <w:tc>
          <w:tcPr>
            <w:tcW w:w="3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2,100</w:t>
            </w:r>
            <w:r>
              <w:rPr>
                <w:rFonts w:ascii="Times New Roman" w:cs="Times New Roman" w:eastAsia="Times New Roman" w:hAnsi="Times New Roman"/>
                <w:sz w:val="3"/>
                <w:szCs w:val="3"/>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28"/>
                <w:szCs w:val="28"/>
                <w:color w:val="auto"/>
                <w:vertAlign w:val="subscript"/>
              </w:rPr>
              <w:t>0</w:t>
            </w: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$61.33</w:t>
            </w:r>
            <w:r>
              <w:rPr>
                <w:rFonts w:ascii="Times New Roman" w:cs="Times New Roman" w:eastAsia="Times New Roman" w:hAnsi="Times New Roman"/>
                <w:sz w:val="3"/>
                <w:szCs w:val="3"/>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2/9/2026</w:t>
            </w:r>
            <w:r>
              <w:rPr>
                <w:rFonts w:ascii="Times New Roman" w:cs="Times New Roman" w:eastAsia="Times New Roman" w:hAnsi="Times New Roman"/>
                <w:sz w:val="3"/>
                <w:szCs w:val="3"/>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ind w:left="180"/>
              <w:spacing w:after="0"/>
              <w:rPr>
                <w:sz w:val="20"/>
                <w:szCs w:val="20"/>
                <w:color w:val="auto"/>
              </w:rPr>
            </w:pPr>
            <w:r>
              <w:rPr>
                <w:rFonts w:ascii="Arial" w:cs="Arial" w:eastAsia="Arial" w:hAnsi="Arial"/>
                <w:sz w:val="14"/>
                <w:szCs w:val="14"/>
                <w:color w:val="auto"/>
              </w:rPr>
              <w:t>​ 3,591</w:t>
            </w:r>
            <w:r>
              <w:rPr>
                <w:rFonts w:ascii="Arial" w:cs="Arial" w:eastAsia="Arial" w:hAnsi="Arial"/>
                <w:sz w:val="23"/>
                <w:szCs w:val="23"/>
                <w:color w:val="auto"/>
                <w:vertAlign w:val="superscript"/>
              </w:rPr>
              <w:t>6</w:t>
            </w:r>
            <w:r>
              <w:rPr>
                <w:rFonts w:ascii="Times New Roman" w:cs="Times New Roman" w:eastAsia="Times New Roman" w:hAnsi="Times New Roman"/>
                <w:sz w:val="3"/>
                <w:szCs w:val="3"/>
                <w:color w:val="auto"/>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455,698</w:t>
            </w:r>
            <w:r>
              <w:rPr>
                <w:rFonts w:ascii="Times New Roman" w:cs="Times New Roman" w:eastAsia="Times New Roman" w:hAnsi="Times New Roman"/>
                <w:sz w:val="3"/>
                <w:szCs w:val="3"/>
                <w:color w:val="auto"/>
              </w:rPr>
              <w:t>​    ​</w:t>
            </w:r>
            <w:r>
              <w:rPr>
                <w:rFonts w:ascii="Arial" w:cs="Arial" w:eastAsia="Arial" w:hAnsi="Arial"/>
                <w:sz w:val="14"/>
                <w:szCs w:val="14"/>
                <w:color w:val="auto"/>
              </w:rPr>
              <w:t xml:space="preserve">    2022​</w:t>
            </w:r>
          </w:p>
        </w:tc>
        <w:tc>
          <w:tcPr>
            <w:tcW w:w="40" w:type="dxa"/>
            <w:vAlign w:val="bottom"/>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r>
      <w:tr>
        <w:trPr>
          <w:trHeight w:val="319"/>
        </w:trPr>
        <w:tc>
          <w:tcPr>
            <w:tcW w:w="3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2,625</w:t>
            </w:r>
            <w:r>
              <w:rPr>
                <w:rFonts w:ascii="Times New Roman" w:cs="Times New Roman" w:eastAsia="Times New Roman" w:hAnsi="Times New Roman"/>
                <w:sz w:val="3"/>
                <w:szCs w:val="3"/>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7"/>
                <w:szCs w:val="7"/>
                <w:color w:val="auto"/>
                <w:vertAlign w:val="superscript"/>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$87.05</w:t>
            </w:r>
            <w:r>
              <w:rPr>
                <w:rFonts w:ascii="Times New Roman" w:cs="Times New Roman" w:eastAsia="Times New Roman" w:hAnsi="Times New Roman"/>
                <w:sz w:val="3"/>
                <w:szCs w:val="3"/>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2/7/2027</w:t>
            </w:r>
            <w:r>
              <w:rPr>
                <w:rFonts w:ascii="Times New Roman" w:cs="Times New Roman" w:eastAsia="Times New Roman" w:hAnsi="Times New Roman"/>
                <w:sz w:val="3"/>
                <w:szCs w:val="3"/>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ind w:left="180"/>
              <w:spacing w:after="0"/>
              <w:rPr>
                <w:sz w:val="20"/>
                <w:szCs w:val="20"/>
                <w:color w:val="auto"/>
              </w:rPr>
            </w:pPr>
            <w:r>
              <w:rPr>
                <w:rFonts w:ascii="Arial" w:cs="Arial" w:eastAsia="Arial" w:hAnsi="Arial"/>
                <w:sz w:val="14"/>
                <w:szCs w:val="14"/>
                <w:color w:val="auto"/>
              </w:rPr>
              <w:t>​ 5,285</w:t>
            </w:r>
            <w:r>
              <w:rPr>
                <w:rFonts w:ascii="Arial" w:cs="Arial" w:eastAsia="Arial" w:hAnsi="Arial"/>
                <w:sz w:val="23"/>
                <w:szCs w:val="23"/>
                <w:color w:val="auto"/>
                <w:vertAlign w:val="superscript"/>
              </w:rPr>
              <w:t>7</w:t>
            </w:r>
            <w:r>
              <w:rPr>
                <w:rFonts w:ascii="Times New Roman" w:cs="Times New Roman" w:eastAsia="Times New Roman" w:hAnsi="Times New Roman"/>
                <w:sz w:val="3"/>
                <w:szCs w:val="3"/>
                <w:color w:val="auto"/>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670,667</w:t>
            </w:r>
            <w:r>
              <w:rPr>
                <w:rFonts w:ascii="Times New Roman" w:cs="Times New Roman" w:eastAsia="Times New Roman" w:hAnsi="Times New Roman"/>
                <w:sz w:val="3"/>
                <w:szCs w:val="3"/>
                <w:color w:val="auto"/>
              </w:rPr>
              <w:t>​    ​</w:t>
            </w:r>
            <w:r>
              <w:rPr>
                <w:rFonts w:ascii="Arial" w:cs="Arial" w:eastAsia="Arial" w:hAnsi="Arial"/>
                <w:sz w:val="14"/>
                <w:szCs w:val="14"/>
                <w:color w:val="auto"/>
              </w:rPr>
              <w:t xml:space="preserve">    2023​</w:t>
            </w:r>
          </w:p>
        </w:tc>
        <w:tc>
          <w:tcPr>
            <w:tcW w:w="40" w:type="dxa"/>
            <w:vAlign w:val="bottom"/>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r>
      <w:tr>
        <w:trPr>
          <w:trHeight w:val="23"/>
        </w:trPr>
        <w:tc>
          <w:tcPr>
            <w:tcW w:w="340" w:type="dxa"/>
            <w:vAlign w:val="bottom"/>
          </w:tcPr>
          <w:p>
            <w:pPr>
              <w:ind w:left="60"/>
              <w:spacing w:after="0"/>
              <w:rPr>
                <w:sz w:val="20"/>
                <w:szCs w:val="20"/>
                <w:color w:val="auto"/>
              </w:rPr>
            </w:pPr>
            <w:r>
              <w:rPr>
                <w:rFonts w:ascii="Times New Roman" w:cs="Times New Roman" w:eastAsia="Times New Roman" w:hAnsi="Times New Roman"/>
                <w:sz w:val="2"/>
                <w:szCs w:val="2"/>
                <w:color w:val="auto"/>
              </w:rPr>
              <w:t>​</w:t>
            </w:r>
          </w:p>
        </w:tc>
        <w:tc>
          <w:tcPr>
            <w:tcW w:w="740" w:type="dxa"/>
            <w:vAlign w:val="bottom"/>
          </w:tcPr>
          <w:p>
            <w:pPr>
              <w:jc w:val="right"/>
              <w:spacing w:after="0"/>
              <w:rPr>
                <w:sz w:val="20"/>
                <w:szCs w:val="20"/>
                <w:color w:val="auto"/>
              </w:rPr>
            </w:pPr>
            <w:r>
              <w:rPr>
                <w:rFonts w:ascii="Arial" w:cs="Arial" w:eastAsia="Arial" w:hAnsi="Arial"/>
                <w:sz w:val="2"/>
                <w:szCs w:val="2"/>
                <w:color w:val="auto"/>
              </w:rPr>
              <w:t>4,200</w:t>
            </w:r>
            <w:r>
              <w:rPr>
                <w:rFonts w:ascii="Times New Roman" w:cs="Times New Roman" w:eastAsia="Times New Roman" w:hAnsi="Times New Roman"/>
                <w:sz w:val="1"/>
                <w:szCs w:val="1"/>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2"/>
                <w:szCs w:val="2"/>
                <w:color w:val="auto"/>
              </w:rPr>
              <w:t>​</w:t>
            </w:r>
          </w:p>
        </w:tc>
        <w:tc>
          <w:tcPr>
            <w:tcW w:w="540" w:type="dxa"/>
            <w:vAlign w:val="bottom"/>
          </w:tcPr>
          <w:p>
            <w:pPr>
              <w:spacing w:after="0"/>
              <w:rPr>
                <w:sz w:val="2"/>
                <w:szCs w:val="2"/>
                <w:color w:val="auto"/>
              </w:rPr>
            </w:pPr>
          </w:p>
        </w:tc>
        <w:tc>
          <w:tcPr>
            <w:tcW w:w="260" w:type="dxa"/>
            <w:vAlign w:val="bottom"/>
          </w:tcPr>
          <w:p>
            <w:pPr>
              <w:jc w:val="right"/>
              <w:spacing w:after="0"/>
              <w:rPr>
                <w:sz w:val="20"/>
                <w:szCs w:val="20"/>
                <w:color w:val="auto"/>
              </w:rPr>
            </w:pPr>
            <w:r>
              <w:rPr>
                <w:rFonts w:ascii="Arial" w:cs="Arial" w:eastAsia="Arial" w:hAnsi="Arial"/>
                <w:sz w:val="2"/>
                <w:szCs w:val="2"/>
                <w:color w:val="auto"/>
              </w:rPr>
              <w:t>0</w:t>
            </w:r>
            <w:r>
              <w:rPr>
                <w:rFonts w:ascii="Times New Roman" w:cs="Times New Roman" w:eastAsia="Times New Roman" w:hAnsi="Times New Roman"/>
                <w:sz w:val="1"/>
                <w:sz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2"/>
                <w:szCs w:val="2"/>
                <w:color w:val="auto"/>
              </w:rPr>
              <w:t>​</w:t>
            </w:r>
          </w:p>
        </w:tc>
        <w:tc>
          <w:tcPr>
            <w:tcW w:w="640" w:type="dxa"/>
            <w:vAlign w:val="bottom"/>
          </w:tcPr>
          <w:p>
            <w:pPr>
              <w:jc w:val="right"/>
              <w:spacing w:after="0"/>
              <w:rPr>
                <w:sz w:val="20"/>
                <w:szCs w:val="20"/>
                <w:color w:val="auto"/>
              </w:rPr>
            </w:pPr>
            <w:r>
              <w:rPr>
                <w:rFonts w:ascii="Arial" w:cs="Arial" w:eastAsia="Arial" w:hAnsi="Arial"/>
                <w:sz w:val="2"/>
                <w:szCs w:val="2"/>
                <w:color w:val="auto"/>
              </w:rPr>
              <w:t>$71.79</w:t>
            </w:r>
            <w:r>
              <w:rPr>
                <w:rFonts w:ascii="Times New Roman" w:cs="Times New Roman" w:eastAsia="Times New Roman" w:hAnsi="Times New Roman"/>
                <w:sz w:val="1"/>
                <w:sz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2"/>
                <w:szCs w:val="2"/>
                <w:color w:val="auto"/>
              </w:rPr>
              <w:t>​</w:t>
            </w:r>
          </w:p>
        </w:tc>
        <w:tc>
          <w:tcPr>
            <w:tcW w:w="740" w:type="dxa"/>
            <w:vAlign w:val="bottom"/>
          </w:tcPr>
          <w:p>
            <w:pPr>
              <w:jc w:val="right"/>
              <w:spacing w:after="0"/>
              <w:rPr>
                <w:sz w:val="20"/>
                <w:szCs w:val="20"/>
                <w:color w:val="auto"/>
              </w:rPr>
            </w:pPr>
            <w:r>
              <w:rPr>
                <w:rFonts w:ascii="Arial" w:cs="Arial" w:eastAsia="Arial" w:hAnsi="Arial"/>
                <w:sz w:val="2"/>
                <w:szCs w:val="2"/>
                <w:color w:val="auto"/>
              </w:rPr>
              <w:t>2/6/2028</w:t>
            </w:r>
            <w:r>
              <w:rPr>
                <w:rFonts w:ascii="Times New Roman" w:cs="Times New Roman" w:eastAsia="Times New Roman" w:hAnsi="Times New Roman"/>
                <w:sz w:val="1"/>
                <w:szCs w:val="1"/>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2"/>
                <w:szCs w:val="2"/>
                <w:color w:val="auto"/>
              </w:rPr>
              <w:t>​</w:t>
            </w:r>
          </w:p>
        </w:tc>
        <w:tc>
          <w:tcPr>
            <w:tcW w:w="820" w:type="dxa"/>
            <w:vAlign w:val="bottom"/>
            <w:gridSpan w:val="2"/>
          </w:tcPr>
          <w:p>
            <w:pPr>
              <w:jc w:val="right"/>
              <w:ind w:right="42"/>
              <w:spacing w:after="0"/>
              <w:rPr>
                <w:sz w:val="20"/>
                <w:szCs w:val="20"/>
                <w:color w:val="auto"/>
              </w:rPr>
            </w:pPr>
            <w:r>
              <w:rPr>
                <w:rFonts w:ascii="Arial" w:cs="Arial" w:eastAsia="Arial" w:hAnsi="Arial"/>
                <w:sz w:val="2"/>
                <w:szCs w:val="2"/>
                <w:color w:val="auto"/>
              </w:rPr>
              <w:t xml:space="preserve">​ </w:t>
            </w:r>
            <w:r>
              <w:rPr>
                <w:rFonts w:ascii="Times New Roman" w:cs="Times New Roman" w:eastAsia="Times New Roman" w:hAnsi="Times New Roman"/>
                <w:sz w:val="1"/>
                <w:szCs w:val="1"/>
                <w:color w:val="auto"/>
              </w:rPr>
              <w:t>​</w:t>
            </w:r>
          </w:p>
        </w:tc>
        <w:tc>
          <w:tcPr>
            <w:tcW w:w="160" w:type="dxa"/>
            <w:vAlign w:val="bottom"/>
          </w:tcPr>
          <w:p>
            <w:pPr>
              <w:spacing w:after="0"/>
              <w:rPr>
                <w:sz w:val="2"/>
                <w:szCs w:val="2"/>
                <w:color w:val="auto"/>
              </w:rPr>
            </w:pPr>
          </w:p>
        </w:tc>
        <w:tc>
          <w:tcPr>
            <w:tcW w:w="780" w:type="dxa"/>
            <w:vAlign w:val="bottom"/>
          </w:tcPr>
          <w:p>
            <w:pPr>
              <w:ind w:left="580"/>
              <w:spacing w:after="0"/>
              <w:rPr>
                <w:sz w:val="20"/>
                <w:szCs w:val="20"/>
                <w:color w:val="auto"/>
              </w:rPr>
            </w:pPr>
            <w:r>
              <w:rPr>
                <w:rFonts w:ascii="Arial" w:cs="Arial" w:eastAsia="Arial" w:hAnsi="Arial"/>
                <w:sz w:val="2"/>
                <w:szCs w:val="2"/>
                <w:color w:val="auto"/>
              </w:rPr>
              <w:t xml:space="preserve">​ </w:t>
            </w:r>
            <w:r>
              <w:rPr>
                <w:rFonts w:ascii="Times New Roman" w:cs="Times New Roman" w:eastAsia="Times New Roman" w:hAnsi="Times New Roman"/>
                <w:sz w:val="1"/>
                <w:szCs w:val="1"/>
                <w:color w:val="auto"/>
              </w:rPr>
              <w:t>​</w:t>
            </w:r>
          </w:p>
        </w:tc>
        <w:tc>
          <w:tcPr>
            <w:tcW w:w="280" w:type="dxa"/>
            <w:vAlign w:val="bottom"/>
          </w:tcPr>
          <w:p>
            <w:pPr>
              <w:jc w:val="right"/>
              <w:ind w:right="64"/>
              <w:spacing w:after="0"/>
              <w:rPr>
                <w:sz w:val="20"/>
                <w:szCs w:val="20"/>
                <w:color w:val="auto"/>
              </w:rPr>
            </w:pPr>
            <w:r>
              <w:rPr>
                <w:rFonts w:ascii="Arial" w:cs="Arial" w:eastAsia="Arial" w:hAnsi="Arial"/>
                <w:sz w:val="2"/>
                <w:szCs w:val="2"/>
                <w:color w:val="auto"/>
              </w:rPr>
              <w:t>​</w:t>
            </w:r>
          </w:p>
        </w:tc>
        <w:tc>
          <w:tcPr>
            <w:tcW w:w="40" w:type="dxa"/>
            <w:vAlign w:val="bottom"/>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2"/>
                <w:szCs w:val="2"/>
                <w:color w:val="auto"/>
              </w:rPr>
              <w:t>​</w:t>
            </w: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2"/>
                <w:szCs w:val="2"/>
                <w:color w:val="auto"/>
              </w:rPr>
              <w:t>​</w:t>
            </w:r>
          </w:p>
        </w:tc>
        <w:tc>
          <w:tcPr>
            <w:tcW w:w="940" w:type="dxa"/>
            <w:vAlign w:val="bottom"/>
          </w:tcPr>
          <w:p>
            <w:pPr>
              <w:ind w:left="40"/>
              <w:spacing w:after="0"/>
              <w:rPr>
                <w:sz w:val="20"/>
                <w:szCs w:val="20"/>
                <w:color w:val="auto"/>
              </w:rPr>
            </w:pPr>
            <w:r>
              <w:rPr>
                <w:rFonts w:ascii="Times New Roman" w:cs="Times New Roman" w:eastAsia="Times New Roman" w:hAnsi="Times New Roman"/>
                <w:sz w:val="2"/>
                <w:szCs w:val="2"/>
                <w:color w:val="auto"/>
              </w:rPr>
              <w:t>​</w:t>
            </w:r>
          </w:p>
        </w:tc>
      </w:tr>
      <w:tr>
        <w:trPr>
          <w:trHeight w:val="46"/>
        </w:trPr>
        <w:tc>
          <w:tcPr>
            <w:tcW w:w="3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420"/>
        </w:trPr>
        <w:tc>
          <w:tcPr>
            <w:tcW w:w="3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5,600</w:t>
            </w:r>
            <w:r>
              <w:rPr>
                <w:rFonts w:ascii="Times New Roman" w:cs="Times New Roman" w:eastAsia="Times New Roman" w:hAnsi="Times New Roman"/>
                <w:sz w:val="3"/>
                <w:szCs w:val="3"/>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28"/>
                <w:szCs w:val="28"/>
                <w:color w:val="auto"/>
                <w:vertAlign w:val="subscript"/>
              </w:rPr>
              <w:t>0</w:t>
            </w: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$70.635</w:t>
            </w:r>
            <w:r>
              <w:rPr>
                <w:rFonts w:ascii="Times New Roman" w:cs="Times New Roman" w:eastAsia="Times New Roman" w:hAnsi="Times New Roman"/>
                <w:sz w:val="3"/>
                <w:szCs w:val="3"/>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3/6/2029</w:t>
            </w:r>
            <w:r>
              <w:rPr>
                <w:rFonts w:ascii="Times New Roman" w:cs="Times New Roman" w:eastAsia="Times New Roman" w:hAnsi="Times New Roman"/>
                <w:sz w:val="3"/>
                <w:szCs w:val="3"/>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gridSpan w:val="2"/>
          </w:tcPr>
          <w:p>
            <w:pPr>
              <w:jc w:val="right"/>
              <w:ind w:right="42"/>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 xml:space="preserve"> ​</w:t>
            </w:r>
          </w:p>
        </w:tc>
        <w:tc>
          <w:tcPr>
            <w:tcW w:w="160" w:type="dxa"/>
            <w:vAlign w:val="bottom"/>
          </w:tcPr>
          <w:p>
            <w:pPr>
              <w:spacing w:after="0"/>
              <w:rPr>
                <w:sz w:val="24"/>
                <w:szCs w:val="24"/>
                <w:color w:val="auto"/>
              </w:rPr>
            </w:pPr>
          </w:p>
        </w:tc>
        <w:tc>
          <w:tcPr>
            <w:tcW w:w="780" w:type="dxa"/>
            <w:vAlign w:val="bottom"/>
          </w:tcPr>
          <w:p>
            <w:pPr>
              <w:ind w:left="580"/>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 xml:space="preserve"> ​</w:t>
            </w:r>
          </w:p>
        </w:tc>
        <w:tc>
          <w:tcPr>
            <w:tcW w:w="280" w:type="dxa"/>
            <w:vAlign w:val="bottom"/>
          </w:tcPr>
          <w:p>
            <w:pPr>
              <w:jc w:val="right"/>
              <w:ind w:right="64"/>
              <w:spacing w:after="0"/>
              <w:rPr>
                <w:sz w:val="20"/>
                <w:szCs w:val="20"/>
                <w:color w:val="auto"/>
              </w:rPr>
            </w:pPr>
            <w:r>
              <w:rPr>
                <w:rFonts w:ascii="Arial" w:cs="Arial" w:eastAsia="Arial" w:hAnsi="Arial"/>
                <w:sz w:val="14"/>
                <w:szCs w:val="14"/>
                <w:color w:val="auto"/>
              </w:rPr>
              <w:t>​</w:t>
            </w:r>
          </w:p>
        </w:tc>
        <w:tc>
          <w:tcPr>
            <w:tcW w:w="40" w:type="dxa"/>
            <w:vAlign w:val="bottom"/>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r>
      <w:tr>
        <w:trPr>
          <w:trHeight w:val="295"/>
        </w:trPr>
        <w:tc>
          <w:tcPr>
            <w:tcW w:w="3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5,208</w:t>
            </w:r>
            <w:r>
              <w:rPr>
                <w:rFonts w:ascii="Times New Roman" w:cs="Times New Roman" w:eastAsia="Times New Roman" w:hAnsi="Times New Roman"/>
                <w:sz w:val="3"/>
                <w:szCs w:val="3"/>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ind w:left="340"/>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$78.33</w:t>
            </w:r>
            <w:r>
              <w:rPr>
                <w:rFonts w:ascii="Times New Roman" w:cs="Times New Roman" w:eastAsia="Times New Roman" w:hAnsi="Times New Roman"/>
                <w:sz w:val="3"/>
                <w:szCs w:val="3"/>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2/7/2030</w:t>
            </w:r>
            <w:r>
              <w:rPr>
                <w:rFonts w:ascii="Times New Roman" w:cs="Times New Roman" w:eastAsia="Times New Roman" w:hAnsi="Times New Roman"/>
                <w:sz w:val="3"/>
                <w:szCs w:val="3"/>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gridSpan w:val="2"/>
          </w:tcPr>
          <w:p>
            <w:pPr>
              <w:jc w:val="right"/>
              <w:ind w:right="42"/>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160" w:type="dxa"/>
            <w:vAlign w:val="bottom"/>
          </w:tcPr>
          <w:p>
            <w:pPr>
              <w:spacing w:after="0"/>
              <w:rPr>
                <w:sz w:val="24"/>
                <w:szCs w:val="24"/>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280" w:type="dxa"/>
            <w:vAlign w:val="bottom"/>
          </w:tcPr>
          <w:p>
            <w:pPr>
              <w:jc w:val="right"/>
              <w:ind w:right="64"/>
              <w:spacing w:after="0"/>
              <w:rPr>
                <w:sz w:val="20"/>
                <w:szCs w:val="20"/>
                <w:color w:val="auto"/>
              </w:rPr>
            </w:pPr>
            <w:r>
              <w:rPr>
                <w:rFonts w:ascii="Arial" w:cs="Arial" w:eastAsia="Arial" w:hAnsi="Arial"/>
                <w:sz w:val="14"/>
                <w:szCs w:val="14"/>
                <w:color w:val="auto"/>
              </w:rPr>
              <w:t>​</w:t>
            </w:r>
          </w:p>
        </w:tc>
        <w:tc>
          <w:tcPr>
            <w:tcW w:w="40" w:type="dxa"/>
            <w:vAlign w:val="bottom"/>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r>
      <w:tr>
        <w:trPr>
          <w:trHeight w:val="295"/>
        </w:trPr>
        <w:tc>
          <w:tcPr>
            <w:tcW w:w="3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 3,567</w:t>
            </w:r>
            <w:r>
              <w:rPr>
                <w:rFonts w:ascii="Times New Roman" w:cs="Times New Roman" w:eastAsia="Times New Roman" w:hAnsi="Times New Roman"/>
                <w:sz w:val="3"/>
                <w:szCs w:val="3"/>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 1,783</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$81.21</w:t>
            </w:r>
            <w:r>
              <w:rPr>
                <w:rFonts w:ascii="Times New Roman" w:cs="Times New Roman" w:eastAsia="Times New Roman" w:hAnsi="Times New Roman"/>
                <w:sz w:val="3"/>
                <w:szCs w:val="3"/>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2/11/2031</w:t>
            </w:r>
            <w:r>
              <w:rPr>
                <w:rFonts w:ascii="Times New Roman" w:cs="Times New Roman" w:eastAsia="Times New Roman" w:hAnsi="Times New Roman"/>
                <w:sz w:val="3"/>
                <w:szCs w:val="3"/>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gridSpan w:val="2"/>
          </w:tcPr>
          <w:p>
            <w:pPr>
              <w:jc w:val="right"/>
              <w:ind w:right="42"/>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160" w:type="dxa"/>
            <w:vAlign w:val="bottom"/>
          </w:tcPr>
          <w:p>
            <w:pPr>
              <w:spacing w:after="0"/>
              <w:rPr>
                <w:sz w:val="24"/>
                <w:szCs w:val="24"/>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280" w:type="dxa"/>
            <w:vAlign w:val="bottom"/>
          </w:tcPr>
          <w:p>
            <w:pPr>
              <w:jc w:val="right"/>
              <w:ind w:right="64"/>
              <w:spacing w:after="0"/>
              <w:rPr>
                <w:sz w:val="20"/>
                <w:szCs w:val="20"/>
                <w:color w:val="auto"/>
              </w:rPr>
            </w:pPr>
            <w:r>
              <w:rPr>
                <w:rFonts w:ascii="Arial" w:cs="Arial" w:eastAsia="Arial" w:hAnsi="Arial"/>
                <w:sz w:val="14"/>
                <w:szCs w:val="14"/>
                <w:color w:val="auto"/>
              </w:rPr>
              <w:t>​</w:t>
            </w:r>
          </w:p>
        </w:tc>
        <w:tc>
          <w:tcPr>
            <w:tcW w:w="40" w:type="dxa"/>
            <w:vAlign w:val="bottom"/>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30480</wp:posOffset>
            </wp:positionV>
            <wp:extent cx="571373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116" w:lineRule="exact"/>
        <w:rPr>
          <w:sz w:val="20"/>
          <w:szCs w:val="20"/>
          <w:color w:val="auto"/>
        </w:rPr>
      </w:pPr>
    </w:p>
    <w:p>
      <w:pPr>
        <w:sectPr>
          <w:pgSz w:w="11900" w:h="16838" w:orient="portrait"/>
          <w:cols w:equalWidth="0" w:num="2">
            <w:col w:w="1580" w:space="280"/>
            <w:col w:w="9080"/>
          </w:cols>
          <w:pgMar w:left="480" w:top="116" w:right="479" w:bottom="1440" w:gutter="0" w:footer="0" w:header="0"/>
          <w:type w:val="continuous"/>
        </w:sectPr>
      </w:pPr>
    </w:p>
    <w:p>
      <w:pPr>
        <w:spacing w:after="0" w:line="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0C426A"/>
        </w:rPr>
        <w:t>Pascal</w:t>
      </w:r>
    </w:p>
    <w:p>
      <w:pPr>
        <w:spacing w:after="0" w:line="1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0C426A"/>
        </w:rPr>
        <w:t>Schweitzer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9"/>
        </w:trPr>
        <w:tc>
          <w:tcPr>
            <w:tcW w:w="340" w:type="dxa"/>
            <w:vAlign w:val="bottom"/>
          </w:tcPr>
          <w:p>
            <w:pPr>
              <w:jc w:val="right"/>
              <w:ind w:right="242"/>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tcPr>
          <w:p>
            <w:pPr>
              <w:jc w:val="right"/>
              <w:ind w:right="286"/>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3,567</w:t>
            </w:r>
            <w:r>
              <w:rPr>
                <w:rFonts w:ascii="Times New Roman" w:cs="Times New Roman" w:eastAsia="Times New Roman" w:hAnsi="Times New Roman"/>
                <w:sz w:val="3"/>
                <w:szCs w:val="3"/>
                <w:color w:val="auto"/>
              </w:rPr>
              <w:t>​   ​</w:t>
            </w:r>
          </w:p>
        </w:tc>
        <w:tc>
          <w:tcPr>
            <w:tcW w:w="540" w:type="dxa"/>
            <w:vAlign w:val="bottom"/>
          </w:tcPr>
          <w:p>
            <w:pPr>
              <w:ind w:left="34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75"/>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   ​</w:t>
            </w:r>
          </w:p>
        </w:tc>
        <w:tc>
          <w:tcPr>
            <w:tcW w:w="600" w:type="dxa"/>
            <w:vAlign w:val="bottom"/>
          </w:tcPr>
          <w:p>
            <w:pPr>
              <w:jc w:val="right"/>
              <w:spacing w:after="0"/>
              <w:rPr>
                <w:sz w:val="20"/>
                <w:szCs w:val="20"/>
                <w:color w:val="auto"/>
              </w:rPr>
            </w:pPr>
            <w:r>
              <w:rPr>
                <w:rFonts w:ascii="Arial" w:cs="Arial" w:eastAsia="Arial" w:hAnsi="Arial"/>
                <w:sz w:val="14"/>
                <w:szCs w:val="14"/>
                <w:color w:val="auto"/>
              </w:rPr>
              <w:t>$78.33</w:t>
            </w:r>
            <w:r>
              <w:rPr>
                <w:rFonts w:ascii="Times New Roman" w:cs="Times New Roman" w:eastAsia="Times New Roman" w:hAnsi="Times New Roman"/>
                <w:sz w:val="3"/>
                <w:szCs w:val="3"/>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2/7/2030</w:t>
            </w:r>
            <w:r>
              <w:rPr>
                <w:rFonts w:ascii="Times New Roman" w:cs="Times New Roman" w:eastAsia="Times New Roman" w:hAnsi="Times New Roman"/>
                <w:sz w:val="3"/>
                <w:szCs w:val="3"/>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1,383</w:t>
            </w:r>
            <w:r>
              <w:rPr>
                <w:rFonts w:ascii="Arial" w:cs="Arial" w:eastAsia="Arial" w:hAnsi="Arial"/>
                <w:sz w:val="23"/>
                <w:szCs w:val="23"/>
                <w:color w:val="auto"/>
                <w:vertAlign w:val="superscript"/>
              </w:rPr>
              <w:t>4</w:t>
            </w:r>
            <w:r>
              <w:rPr>
                <w:rFonts w:ascii="Times New Roman" w:cs="Times New Roman" w:eastAsia="Times New Roman" w:hAnsi="Times New Roman"/>
                <w:sz w:val="3"/>
                <w:szCs w:val="3"/>
                <w:color w:val="auto"/>
              </w:rPr>
              <w:t>​    ​</w:t>
            </w:r>
            <w:r>
              <w:rPr>
                <w:rFonts w:ascii="Arial" w:cs="Arial" w:eastAsia="Arial" w:hAnsi="Arial"/>
                <w:sz w:val="14"/>
                <w:szCs w:val="14"/>
                <w:color w:val="auto"/>
              </w:rPr>
              <w:t xml:space="preserve">     $</w:t>
            </w:r>
          </w:p>
        </w:tc>
        <w:tc>
          <w:tcPr>
            <w:tcW w:w="1380" w:type="dxa"/>
            <w:vAlign w:val="bottom"/>
            <w:gridSpan w:val="4"/>
          </w:tcPr>
          <w:p>
            <w:pPr>
              <w:jc w:val="right"/>
              <w:ind w:right="202"/>
              <w:spacing w:after="0"/>
              <w:rPr>
                <w:sz w:val="20"/>
                <w:szCs w:val="20"/>
                <w:color w:val="auto"/>
              </w:rPr>
            </w:pPr>
            <w:r>
              <w:rPr>
                <w:rFonts w:ascii="Arial" w:cs="Arial" w:eastAsia="Arial" w:hAnsi="Arial"/>
                <w:sz w:val="14"/>
                <w:szCs w:val="14"/>
                <w:color w:val="auto"/>
              </w:rPr>
              <w:t>175,503</w:t>
            </w:r>
            <w:r>
              <w:rPr>
                <w:rFonts w:ascii="Times New Roman" w:cs="Times New Roman" w:eastAsia="Times New Roman" w:hAnsi="Times New Roman"/>
                <w:sz w:val="3"/>
                <w:szCs w:val="3"/>
                <w:color w:val="auto"/>
              </w:rPr>
              <w:t>​    ​</w:t>
            </w:r>
            <w:r>
              <w:rPr>
                <w:rFonts w:ascii="Arial" w:cs="Arial" w:eastAsia="Arial" w:hAnsi="Arial"/>
                <w:sz w:val="14"/>
                <w:szCs w:val="14"/>
                <w:color w:val="auto"/>
              </w:rPr>
              <w:t xml:space="preserve">    2021</w:t>
            </w:r>
            <w:r>
              <w:rPr>
                <w:rFonts w:ascii="Times New Roman" w:cs="Times New Roman" w:eastAsia="Times New Roman" w:hAnsi="Times New Roman"/>
                <w:sz w:val="3"/>
                <w:szCs w:val="3"/>
                <w:color w:val="auto"/>
              </w:rPr>
              <w:t>​    ​</w:t>
            </w:r>
          </w:p>
        </w:tc>
        <w:tc>
          <w:tcPr>
            <w:tcW w:w="720" w:type="dxa"/>
            <w:vAlign w:val="bottom"/>
          </w:tcPr>
          <w:p>
            <w:pPr>
              <w:jc w:val="right"/>
              <w:ind w:right="4"/>
              <w:spacing w:after="0"/>
              <w:rPr>
                <w:sz w:val="20"/>
                <w:szCs w:val="20"/>
                <w:color w:val="auto"/>
              </w:rPr>
            </w:pPr>
            <w:r>
              <w:rPr>
                <w:rFonts w:ascii="Arial" w:cs="Arial" w:eastAsia="Arial" w:hAnsi="Arial"/>
                <w:sz w:val="14"/>
                <w:szCs w:val="14"/>
                <w:color w:val="auto"/>
              </w:rPr>
              <w:t>27,305</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$ 3,465,005</w:t>
            </w:r>
          </w:p>
        </w:tc>
      </w:tr>
      <w:tr>
        <w:trPr>
          <w:trHeight w:val="195"/>
        </w:trPr>
        <w:tc>
          <w:tcPr>
            <w:tcW w:w="340" w:type="dxa"/>
            <w:vAlign w:val="bottom"/>
          </w:tcPr>
          <w:p>
            <w:pPr>
              <w:jc w:val="right"/>
              <w:ind w:right="242"/>
              <w:spacing w:after="0"/>
              <w:rPr>
                <w:sz w:val="20"/>
                <w:szCs w:val="20"/>
                <w:color w:val="auto"/>
              </w:rPr>
            </w:pPr>
            <w:r>
              <w:rPr>
                <w:rFonts w:ascii="Times New Roman" w:cs="Times New Roman" w:eastAsia="Times New Roman" w:hAnsi="Times New Roman"/>
                <w:sz w:val="4"/>
                <w:szCs w:val="4"/>
                <w:color w:val="auto"/>
              </w:rPr>
              <w:t xml:space="preserve">​   </w:t>
            </w:r>
            <w:r>
              <w:rPr>
                <w:rFonts w:ascii="Times New Roman" w:cs="Times New Roman" w:eastAsia="Times New Roman" w:hAnsi="Times New Roman"/>
                <w:sz w:val="7"/>
                <w:szCs w:val="7"/>
                <w:color w:val="auto"/>
                <w:vertAlign w:val="subscript"/>
              </w:rPr>
              <w:t>​</w:t>
            </w:r>
          </w:p>
        </w:tc>
        <w:tc>
          <w:tcPr>
            <w:tcW w:w="1100" w:type="dxa"/>
            <w:vAlign w:val="bottom"/>
          </w:tcPr>
          <w:p>
            <w:pPr>
              <w:jc w:val="right"/>
              <w:ind w:right="286"/>
              <w:spacing w:after="0"/>
              <w:rPr>
                <w:sz w:val="20"/>
                <w:szCs w:val="20"/>
                <w:color w:val="auto"/>
              </w:rPr>
            </w:pPr>
            <w:r>
              <w:rPr>
                <w:rFonts w:ascii="Arial" w:cs="Arial" w:eastAsia="Arial" w:hAnsi="Arial"/>
                <w:sz w:val="14"/>
                <w:szCs w:val="14"/>
                <w:color w:val="auto"/>
              </w:rPr>
              <w:t>​ 2,766</w:t>
            </w:r>
            <w:r>
              <w:rPr>
                <w:rFonts w:ascii="Times New Roman" w:cs="Times New Roman" w:eastAsia="Times New Roman" w:hAnsi="Times New Roman"/>
                <w:sz w:val="3"/>
                <w:szCs w:val="3"/>
                <w:color w:val="auto"/>
              </w:rPr>
              <w:t>​   ​</w:t>
            </w:r>
          </w:p>
        </w:tc>
        <w:tc>
          <w:tcPr>
            <w:tcW w:w="960" w:type="dxa"/>
            <w:vAlign w:val="bottom"/>
            <w:gridSpan w:val="2"/>
          </w:tcPr>
          <w:p>
            <w:pPr>
              <w:jc w:val="right"/>
              <w:ind w:right="75"/>
              <w:spacing w:after="0"/>
              <w:rPr>
                <w:sz w:val="20"/>
                <w:szCs w:val="20"/>
                <w:color w:val="auto"/>
              </w:rPr>
            </w:pPr>
            <w:r>
              <w:rPr>
                <w:rFonts w:ascii="Arial" w:cs="Arial" w:eastAsia="Arial" w:hAnsi="Arial"/>
                <w:sz w:val="14"/>
                <w:szCs w:val="14"/>
                <w:color w:val="auto"/>
              </w:rPr>
              <w:t>​ 1,383</w:t>
            </w:r>
            <w:r>
              <w:rPr>
                <w:rFonts w:ascii="Times New Roman" w:cs="Times New Roman" w:eastAsia="Times New Roman" w:hAnsi="Times New Roman"/>
                <w:sz w:val="3"/>
                <w:szCs w:val="3"/>
                <w:color w:val="auto"/>
              </w:rPr>
              <w:t>​   ​</w:t>
            </w:r>
          </w:p>
        </w:tc>
        <w:tc>
          <w:tcPr>
            <w:tcW w:w="600" w:type="dxa"/>
            <w:vAlign w:val="bottom"/>
          </w:tcPr>
          <w:p>
            <w:pPr>
              <w:jc w:val="right"/>
              <w:spacing w:after="0"/>
              <w:rPr>
                <w:sz w:val="20"/>
                <w:szCs w:val="20"/>
                <w:color w:val="auto"/>
              </w:rPr>
            </w:pPr>
            <w:r>
              <w:rPr>
                <w:rFonts w:ascii="Arial" w:cs="Arial" w:eastAsia="Arial" w:hAnsi="Arial"/>
                <w:sz w:val="14"/>
                <w:szCs w:val="14"/>
                <w:color w:val="auto"/>
              </w:rPr>
              <w:t>$81.21</w:t>
            </w:r>
            <w:r>
              <w:rPr>
                <w:rFonts w:ascii="Times New Roman" w:cs="Times New Roman" w:eastAsia="Times New Roman" w:hAnsi="Times New Roman"/>
                <w:sz w:val="3"/>
                <w:szCs w:val="3"/>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2/11/2031</w:t>
            </w:r>
            <w:r>
              <w:rPr>
                <w:rFonts w:ascii="Times New Roman" w:cs="Times New Roman" w:eastAsia="Times New Roman" w:hAnsi="Times New Roman"/>
                <w:sz w:val="3"/>
                <w:szCs w:val="3"/>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ind w:left="280"/>
              <w:spacing w:after="0"/>
              <w:rPr>
                <w:sz w:val="20"/>
                <w:szCs w:val="20"/>
                <w:color w:val="auto"/>
              </w:rPr>
            </w:pPr>
            <w:r>
              <w:rPr>
                <w:rFonts w:ascii="Arial" w:cs="Arial" w:eastAsia="Arial" w:hAnsi="Arial"/>
                <w:sz w:val="14"/>
                <w:szCs w:val="14"/>
                <w:color w:val="auto"/>
              </w:rPr>
              <w:t>2,873</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ind w:left="60"/>
              <w:spacing w:after="0"/>
              <w:rPr>
                <w:sz w:val="20"/>
                <w:szCs w:val="20"/>
                <w:color w:val="auto"/>
              </w:rPr>
            </w:pPr>
            <w:r>
              <w:rPr>
                <w:rFonts w:ascii="Arial" w:cs="Arial" w:eastAsia="Arial" w:hAnsi="Arial"/>
                <w:sz w:val="14"/>
                <w:szCs w:val="14"/>
                <w:color w:val="auto"/>
              </w:rPr>
              <w:t>364,584</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ind w:left="40"/>
              <w:spacing w:after="0"/>
              <w:rPr>
                <w:sz w:val="20"/>
                <w:szCs w:val="20"/>
                <w:color w:val="auto"/>
              </w:rPr>
            </w:pPr>
            <w:r>
              <w:rPr>
                <w:rFonts w:ascii="Arial" w:cs="Arial" w:eastAsia="Arial" w:hAnsi="Arial"/>
                <w:sz w:val="14"/>
                <w:szCs w:val="14"/>
                <w:color w:val="auto"/>
              </w:rPr>
              <w:t>2022</w:t>
            </w:r>
            <w:r>
              <w:rPr>
                <w:rFonts w:ascii="Times New Roman" w:cs="Times New Roman" w:eastAsia="Times New Roman" w:hAnsi="Times New Roman"/>
                <w:sz w:val="3"/>
                <w:szCs w:val="3"/>
                <w:color w:val="auto"/>
              </w:rPr>
              <w:t>​</w:t>
            </w:r>
          </w:p>
        </w:tc>
        <w:tc>
          <w:tcPr>
            <w:tcW w:w="280" w:type="dxa"/>
            <w:vAlign w:val="bottom"/>
          </w:tcPr>
          <w:p>
            <w:pPr>
              <w:jc w:val="right"/>
              <w:ind w:right="202"/>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95"/>
        </w:trPr>
        <w:tc>
          <w:tcPr>
            <w:tcW w:w="340" w:type="dxa"/>
            <w:vAlign w:val="bottom"/>
          </w:tcPr>
          <w:p>
            <w:pPr>
              <w:jc w:val="right"/>
              <w:ind w:right="242"/>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tcPr>
          <w:p>
            <w:pPr>
              <w:jc w:val="right"/>
              <w:ind w:right="286"/>
              <w:spacing w:after="0"/>
              <w:rPr>
                <w:sz w:val="20"/>
                <w:szCs w:val="20"/>
                <w:color w:val="auto"/>
              </w:rPr>
            </w:pPr>
            <w:r>
              <w:rPr>
                <w:rFonts w:ascii="Times New Roman" w:cs="Times New Roman" w:eastAsia="Times New Roman" w:hAnsi="Times New Roman"/>
                <w:sz w:val="4"/>
                <w:szCs w:val="4"/>
                <w:color w:val="auto"/>
              </w:rPr>
              <w:t>​   ​</w:t>
            </w:r>
          </w:p>
        </w:tc>
        <w:tc>
          <w:tcPr>
            <w:tcW w:w="540" w:type="dxa"/>
            <w:vAlign w:val="bottom"/>
          </w:tcPr>
          <w:p>
            <w:pPr>
              <w:spacing w:after="0"/>
              <w:rPr>
                <w:sz w:val="24"/>
                <w:szCs w:val="24"/>
                <w:color w:val="auto"/>
              </w:rPr>
            </w:pPr>
          </w:p>
        </w:tc>
        <w:tc>
          <w:tcPr>
            <w:tcW w:w="420" w:type="dxa"/>
            <w:vAlign w:val="bottom"/>
          </w:tcPr>
          <w:p>
            <w:pPr>
              <w:jc w:val="right"/>
              <w:ind w:right="75"/>
              <w:spacing w:after="0"/>
              <w:rPr>
                <w:sz w:val="20"/>
                <w:szCs w:val="20"/>
                <w:color w:val="auto"/>
              </w:rPr>
            </w:pPr>
            <w:r>
              <w:rPr>
                <w:rFonts w:ascii="Times New Roman" w:cs="Times New Roman" w:eastAsia="Times New Roman" w:hAnsi="Times New Roman"/>
                <w:sz w:val="4"/>
                <w:szCs w:val="4"/>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ind w:left="280"/>
              <w:spacing w:after="0"/>
              <w:rPr>
                <w:sz w:val="20"/>
                <w:szCs w:val="20"/>
                <w:color w:val="auto"/>
              </w:rPr>
            </w:pPr>
            <w:r>
              <w:rPr>
                <w:rFonts w:ascii="Arial" w:cs="Arial" w:eastAsia="Arial" w:hAnsi="Arial"/>
                <w:sz w:val="14"/>
                <w:szCs w:val="14"/>
                <w:color w:val="auto"/>
              </w:rPr>
              <w:t>4,612</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ind w:left="60"/>
              <w:spacing w:after="0"/>
              <w:rPr>
                <w:sz w:val="20"/>
                <w:szCs w:val="20"/>
                <w:color w:val="auto"/>
              </w:rPr>
            </w:pPr>
            <w:r>
              <w:rPr>
                <w:rFonts w:ascii="Arial" w:cs="Arial" w:eastAsia="Arial" w:hAnsi="Arial"/>
                <w:sz w:val="14"/>
                <w:szCs w:val="14"/>
                <w:color w:val="auto"/>
              </w:rPr>
              <w:t>585,263</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ind w:left="40"/>
              <w:spacing w:after="0"/>
              <w:rPr>
                <w:sz w:val="20"/>
                <w:szCs w:val="20"/>
                <w:color w:val="auto"/>
              </w:rPr>
            </w:pPr>
            <w:r>
              <w:rPr>
                <w:rFonts w:ascii="Arial" w:cs="Arial" w:eastAsia="Arial" w:hAnsi="Arial"/>
                <w:sz w:val="14"/>
                <w:szCs w:val="14"/>
                <w:color w:val="auto"/>
              </w:rPr>
              <w:t>2023</w:t>
            </w:r>
            <w:r>
              <w:rPr>
                <w:rFonts w:ascii="Times New Roman" w:cs="Times New Roman" w:eastAsia="Times New Roman" w:hAnsi="Times New Roman"/>
                <w:sz w:val="3"/>
                <w:szCs w:val="3"/>
                <w:color w:val="auto"/>
              </w:rPr>
              <w:t>​</w:t>
            </w:r>
          </w:p>
        </w:tc>
        <w:tc>
          <w:tcPr>
            <w:tcW w:w="280" w:type="dxa"/>
            <w:vAlign w:val="bottom"/>
          </w:tcPr>
          <w:p>
            <w:pPr>
              <w:jc w:val="right"/>
              <w:ind w:right="202"/>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30480</wp:posOffset>
            </wp:positionV>
            <wp:extent cx="571373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116" w:lineRule="exact"/>
        <w:rPr>
          <w:sz w:val="20"/>
          <w:szCs w:val="20"/>
          <w:color w:val="auto"/>
        </w:rPr>
      </w:pPr>
    </w:p>
    <w:p>
      <w:pPr>
        <w:sectPr>
          <w:pgSz w:w="11900" w:h="16838" w:orient="portrait"/>
          <w:cols w:equalWidth="0" w:num="2">
            <w:col w:w="1740" w:space="120"/>
            <w:col w:w="9080"/>
          </w:cols>
          <w:pgMar w:left="480" w:top="116" w:right="479" w:bottom="1440" w:gutter="0" w:footer="0" w:header="0"/>
          <w:type w:val="continuous"/>
        </w:sectPr>
      </w:pPr>
    </w:p>
    <w:p>
      <w:pPr>
        <w:spacing w:after="0" w:line="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0C426A"/>
        </w:rPr>
        <w:t>Eric</w:t>
      </w:r>
    </w:p>
    <w:p>
      <w:pPr>
        <w:spacing w:after="0" w:line="1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0C426A"/>
        </w:rPr>
        <w:t>Gebhardt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9"/>
        </w:trPr>
        <w:tc>
          <w:tcPr>
            <w:tcW w:w="3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40" w:type="dxa"/>
            <w:vAlign w:val="bottom"/>
          </w:tcPr>
          <w:p>
            <w:pPr>
              <w:jc w:val="right"/>
              <w:ind w:right="349"/>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2,184</w:t>
            </w:r>
            <w:r>
              <w:rPr>
                <w:rFonts w:ascii="Times New Roman" w:cs="Times New Roman" w:eastAsia="Times New Roman" w:hAnsi="Times New Roman"/>
                <w:sz w:val="3"/>
                <w:szCs w:val="3"/>
                <w:color w:val="auto"/>
              </w:rPr>
              <w:t>​   ​</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1,091</w:t>
            </w:r>
            <w:r>
              <w:rPr>
                <w:rFonts w:ascii="Times New Roman" w:cs="Times New Roman" w:eastAsia="Times New Roman" w:hAnsi="Times New Roman"/>
                <w:sz w:val="3"/>
                <w:szCs w:val="3"/>
                <w:color w:val="auto"/>
              </w:rPr>
              <w:t>​   ​</w:t>
            </w: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$81.21</w:t>
            </w:r>
            <w:r>
              <w:rPr>
                <w:rFonts w:ascii="Times New Roman" w:cs="Times New Roman" w:eastAsia="Times New Roman" w:hAnsi="Times New Roman"/>
                <w:sz w:val="3"/>
                <w:szCs w:val="3"/>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2/11/3031</w:t>
            </w:r>
            <w:r>
              <w:rPr>
                <w:rFonts w:ascii="Times New Roman" w:cs="Times New Roman" w:eastAsia="Times New Roman" w:hAnsi="Times New Roman"/>
                <w:sz w:val="3"/>
                <w:szCs w:val="3"/>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1,091</w:t>
            </w:r>
            <w:r>
              <w:rPr>
                <w:rFonts w:ascii="Arial" w:cs="Arial" w:eastAsia="Arial" w:hAnsi="Arial"/>
                <w:sz w:val="23"/>
                <w:szCs w:val="23"/>
                <w:color w:val="auto"/>
                <w:vertAlign w:val="superscript"/>
              </w:rPr>
              <w:t>4</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138,448</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ind w:left="40"/>
              <w:spacing w:after="0"/>
              <w:rPr>
                <w:sz w:val="20"/>
                <w:szCs w:val="20"/>
                <w:color w:val="auto"/>
              </w:rPr>
            </w:pPr>
            <w:r>
              <w:rPr>
                <w:rFonts w:ascii="Arial" w:cs="Arial" w:eastAsia="Arial" w:hAnsi="Arial"/>
                <w:sz w:val="14"/>
                <w:szCs w:val="14"/>
                <w:color w:val="auto"/>
              </w:rPr>
              <w:t>2021</w:t>
            </w:r>
            <w:r>
              <w:rPr>
                <w:rFonts w:ascii="Times New Roman" w:cs="Times New Roman" w:eastAsia="Times New Roman" w:hAnsi="Times New Roman"/>
                <w:sz w:val="3"/>
                <w:szCs w:val="3"/>
                <w:color w:val="auto"/>
              </w:rPr>
              <w:t>​</w:t>
            </w:r>
          </w:p>
        </w:tc>
        <w:tc>
          <w:tcPr>
            <w:tcW w:w="2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16,948</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ind w:left="60"/>
              <w:spacing w:after="0"/>
              <w:rPr>
                <w:sz w:val="20"/>
                <w:szCs w:val="20"/>
                <w:color w:val="auto"/>
              </w:rPr>
            </w:pPr>
            <w:r>
              <w:rPr>
                <w:rFonts w:ascii="Arial" w:cs="Arial" w:eastAsia="Arial" w:hAnsi="Arial"/>
                <w:sz w:val="14"/>
                <w:szCs w:val="14"/>
                <w:color w:val="auto"/>
              </w:rPr>
              <w:t>$ 2,150,701​</w:t>
            </w:r>
          </w:p>
        </w:tc>
      </w:tr>
      <w:tr>
        <w:trPr>
          <w:trHeight w:val="233"/>
        </w:trPr>
        <w:tc>
          <w:tcPr>
            <w:tcW w:w="3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40" w:type="dxa"/>
            <w:vAlign w:val="bottom"/>
          </w:tcPr>
          <w:p>
            <w:pPr>
              <w:jc w:val="right"/>
              <w:ind w:right="349"/>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Pr>
          <w:p>
            <w:pPr>
              <w:jc w:val="right"/>
              <w:ind w:right="89"/>
              <w:spacing w:after="0"/>
              <w:rPr>
                <w:sz w:val="20"/>
                <w:szCs w:val="20"/>
                <w:color w:val="auto"/>
              </w:rPr>
            </w:pPr>
            <w:r>
              <w:rPr>
                <w:rFonts w:ascii="Times New Roman" w:cs="Times New Roman" w:eastAsia="Times New Roman" w:hAnsi="Times New Roman"/>
                <w:sz w:val="4"/>
                <w:szCs w:val="4"/>
                <w:color w:val="auto"/>
              </w:rPr>
              <w:t>​   ​</w:t>
            </w:r>
          </w:p>
        </w:tc>
        <w:tc>
          <w:tcPr>
            <w:tcW w:w="600" w:type="dxa"/>
            <w:vAlign w:val="bottom"/>
          </w:tcPr>
          <w:p>
            <w:pPr>
              <w:jc w:val="right"/>
              <w:ind w:right="9"/>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spacing w:after="0" w:line="233" w:lineRule="exact"/>
              <w:rPr>
                <w:sz w:val="20"/>
                <w:szCs w:val="20"/>
                <w:color w:val="auto"/>
              </w:rPr>
            </w:pPr>
            <w:r>
              <w:rPr>
                <w:rFonts w:ascii="Arial" w:cs="Arial" w:eastAsia="Arial" w:hAnsi="Arial"/>
                <w:sz w:val="14"/>
                <w:szCs w:val="14"/>
                <w:color w:val="auto"/>
              </w:rPr>
              <w:t>15,000</w:t>
            </w:r>
            <w:r>
              <w:rPr>
                <w:rFonts w:ascii="Arial" w:cs="Arial" w:eastAsia="Arial" w:hAnsi="Arial"/>
                <w:sz w:val="23"/>
                <w:szCs w:val="23"/>
                <w:color w:val="auto"/>
                <w:vertAlign w:val="superscript"/>
              </w:rPr>
              <w:t>3</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$1,903,500</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ind w:left="40"/>
              <w:spacing w:after="0"/>
              <w:rPr>
                <w:sz w:val="20"/>
                <w:szCs w:val="20"/>
                <w:color w:val="auto"/>
              </w:rPr>
            </w:pPr>
            <w:r>
              <w:rPr>
                <w:rFonts w:ascii="Arial" w:cs="Arial" w:eastAsia="Arial" w:hAnsi="Arial"/>
                <w:sz w:val="14"/>
                <w:szCs w:val="14"/>
                <w:color w:val="auto"/>
              </w:rPr>
              <w:t>2020</w:t>
            </w:r>
            <w:r>
              <w:rPr>
                <w:rFonts w:ascii="Times New Roman" w:cs="Times New Roman" w:eastAsia="Times New Roman" w:hAnsi="Times New Roman"/>
                <w:sz w:val="3"/>
                <w:szCs w:val="3"/>
                <w:color w:val="auto"/>
              </w:rPr>
              <w:t>​</w:t>
            </w:r>
          </w:p>
        </w:tc>
        <w:tc>
          <w:tcPr>
            <w:tcW w:w="2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spacing w:after="0"/>
              <w:rPr>
                <w:sz w:val="20"/>
                <w:szCs w:val="20"/>
                <w:color w:val="auto"/>
              </w:rPr>
            </w:pPr>
          </w:p>
        </w:tc>
      </w:tr>
      <w:tr>
        <w:trPr>
          <w:trHeight w:val="46"/>
        </w:trPr>
        <w:tc>
          <w:tcPr>
            <w:tcW w:w="3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363"/>
        </w:trPr>
        <w:tc>
          <w:tcPr>
            <w:tcW w:w="3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40" w:type="dxa"/>
            <w:vAlign w:val="bottom"/>
          </w:tcPr>
          <w:p>
            <w:pPr>
              <w:jc w:val="right"/>
              <w:ind w:right="349"/>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Pr>
          <w:p>
            <w:pPr>
              <w:jc w:val="right"/>
              <w:ind w:right="89"/>
              <w:spacing w:after="0"/>
              <w:rPr>
                <w:sz w:val="20"/>
                <w:szCs w:val="20"/>
                <w:color w:val="auto"/>
              </w:rPr>
            </w:pPr>
            <w:r>
              <w:rPr>
                <w:rFonts w:ascii="Times New Roman" w:cs="Times New Roman" w:eastAsia="Times New Roman" w:hAnsi="Times New Roman"/>
                <w:sz w:val="4"/>
                <w:szCs w:val="4"/>
                <w:color w:val="auto"/>
              </w:rPr>
              <w:t>​   ​</w:t>
            </w:r>
          </w:p>
        </w:tc>
        <w:tc>
          <w:tcPr>
            <w:tcW w:w="600" w:type="dxa"/>
            <w:vAlign w:val="bottom"/>
          </w:tcPr>
          <w:p>
            <w:pPr>
              <w:jc w:val="right"/>
              <w:ind w:right="9"/>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2,154</w:t>
            </w:r>
            <w:r>
              <w:rPr>
                <w:rFonts w:ascii="Arial" w:cs="Arial" w:eastAsia="Arial" w:hAnsi="Arial"/>
                <w:sz w:val="23"/>
                <w:szCs w:val="23"/>
                <w:color w:val="auto"/>
                <w:vertAlign w:val="superscript"/>
              </w:rPr>
              <w:t>6</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273,343</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ind w:left="40"/>
              <w:spacing w:after="0"/>
              <w:rPr>
                <w:sz w:val="20"/>
                <w:szCs w:val="20"/>
                <w:color w:val="auto"/>
              </w:rPr>
            </w:pPr>
            <w:r>
              <w:rPr>
                <w:rFonts w:ascii="Arial" w:cs="Arial" w:eastAsia="Arial" w:hAnsi="Arial"/>
                <w:sz w:val="14"/>
                <w:szCs w:val="14"/>
                <w:color w:val="auto"/>
              </w:rPr>
              <w:t>2022</w:t>
            </w:r>
            <w:r>
              <w:rPr>
                <w:rFonts w:ascii="Times New Roman" w:cs="Times New Roman" w:eastAsia="Times New Roman" w:hAnsi="Times New Roman"/>
                <w:sz w:val="3"/>
                <w:szCs w:val="3"/>
                <w:color w:val="auto"/>
              </w:rPr>
              <w:t>​</w:t>
            </w:r>
          </w:p>
        </w:tc>
        <w:tc>
          <w:tcPr>
            <w:tcW w:w="2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spacing w:after="0"/>
              <w:rPr>
                <w:sz w:val="24"/>
                <w:szCs w:val="24"/>
                <w:color w:val="auto"/>
              </w:rPr>
            </w:pPr>
          </w:p>
        </w:tc>
      </w:tr>
      <w:tr>
        <w:trPr>
          <w:trHeight w:val="321"/>
        </w:trPr>
        <w:tc>
          <w:tcPr>
            <w:tcW w:w="3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40" w:type="dxa"/>
            <w:vAlign w:val="bottom"/>
          </w:tcPr>
          <w:p>
            <w:pPr>
              <w:jc w:val="right"/>
              <w:ind w:right="349"/>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Pr>
          <w:p>
            <w:pPr>
              <w:jc w:val="right"/>
              <w:ind w:right="89"/>
              <w:spacing w:after="0"/>
              <w:rPr>
                <w:sz w:val="20"/>
                <w:szCs w:val="20"/>
                <w:color w:val="auto"/>
              </w:rPr>
            </w:pPr>
            <w:r>
              <w:rPr>
                <w:rFonts w:ascii="Times New Roman" w:cs="Times New Roman" w:eastAsia="Times New Roman" w:hAnsi="Times New Roman"/>
                <w:sz w:val="4"/>
                <w:szCs w:val="4"/>
                <w:color w:val="auto"/>
              </w:rPr>
              <w:t>​   ​</w:t>
            </w:r>
          </w:p>
        </w:tc>
        <w:tc>
          <w:tcPr>
            <w:tcW w:w="600" w:type="dxa"/>
            <w:vAlign w:val="bottom"/>
          </w:tcPr>
          <w:p>
            <w:pPr>
              <w:jc w:val="right"/>
              <w:ind w:right="9"/>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3,268</w:t>
            </w:r>
            <w:r>
              <w:rPr>
                <w:rFonts w:ascii="Arial" w:cs="Arial" w:eastAsia="Arial" w:hAnsi="Arial"/>
                <w:sz w:val="23"/>
                <w:szCs w:val="23"/>
                <w:color w:val="auto"/>
                <w:vertAlign w:val="superscript"/>
              </w:rPr>
              <w:t>7</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414,709</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ind w:left="40"/>
              <w:spacing w:after="0"/>
              <w:rPr>
                <w:sz w:val="20"/>
                <w:szCs w:val="20"/>
                <w:color w:val="auto"/>
              </w:rPr>
            </w:pPr>
            <w:r>
              <w:rPr>
                <w:rFonts w:ascii="Arial" w:cs="Arial" w:eastAsia="Arial" w:hAnsi="Arial"/>
                <w:sz w:val="14"/>
                <w:szCs w:val="14"/>
                <w:color w:val="auto"/>
              </w:rPr>
              <w:t>2023</w:t>
            </w:r>
            <w:r>
              <w:rPr>
                <w:rFonts w:ascii="Times New Roman" w:cs="Times New Roman" w:eastAsia="Times New Roman" w:hAnsi="Times New Roman"/>
                <w:sz w:val="3"/>
                <w:szCs w:val="3"/>
                <w:color w:val="auto"/>
              </w:rPr>
              <w:t>​</w:t>
            </w:r>
          </w:p>
        </w:tc>
        <w:tc>
          <w:tcPr>
            <w:tcW w:w="2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ind w:left="84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-32385</wp:posOffset>
            </wp:positionV>
            <wp:extent cx="571373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1640" w:space="220"/>
            <w:col w:w="9080"/>
          </w:cols>
          <w:pgMar w:left="480" w:top="116" w:right="479" w:bottom="1440" w:gutter="0" w:footer="0" w:header="0"/>
          <w:type w:val="continuous"/>
        </w:sectPr>
      </w:pPr>
    </w:p>
    <w:p>
      <w:pPr>
        <w:ind w:left="1140" w:right="1140" w:hanging="175"/>
        <w:spacing w:after="0" w:line="208" w:lineRule="auto"/>
        <w:tabs>
          <w:tab w:leader="none" w:pos="1140" w:val="left"/>
        </w:tabs>
        <w:numPr>
          <w:ilvl w:val="0"/>
          <w:numId w:val="52"/>
        </w:numPr>
        <w:rPr>
          <w:rFonts w:ascii="Arial" w:cs="Arial" w:eastAsia="Arial" w:hAnsi="Arial"/>
          <w:sz w:val="21"/>
          <w:szCs w:val="21"/>
          <w:color w:val="auto"/>
          <w:vertAlign w:val="superscript"/>
        </w:rPr>
      </w:pPr>
      <w:r>
        <w:rPr>
          <w:rFonts w:ascii="Arial" w:cs="Arial" w:eastAsia="Arial" w:hAnsi="Arial"/>
          <w:sz w:val="14"/>
          <w:szCs w:val="14"/>
          <w:color w:val="auto"/>
        </w:rPr>
        <w:t>Option awards granted to the NEOs prior to March 1, 2019 vest one-fourth per year beginning on March 1 of the year after the grant date. Option awards granted to the NEOs after March 1, 2019 vest one-third per year beginning on March 1 of the year after the grant date.</w:t>
      </w:r>
    </w:p>
    <w:p>
      <w:pPr>
        <w:spacing w:after="0" w:line="26" w:lineRule="exact"/>
        <w:rPr>
          <w:sz w:val="20"/>
          <w:szCs w:val="20"/>
          <w:color w:val="auto"/>
        </w:rPr>
      </w:pPr>
    </w:p>
    <w:p>
      <w:pPr>
        <w:ind w:left="1140" w:right="980" w:hanging="175"/>
        <w:spacing w:after="0" w:line="210" w:lineRule="auto"/>
        <w:tabs>
          <w:tab w:leader="none" w:pos="1140" w:val="left"/>
        </w:tabs>
        <w:numPr>
          <w:ilvl w:val="0"/>
          <w:numId w:val="53"/>
        </w:numPr>
        <w:rPr>
          <w:rFonts w:ascii="Arial" w:cs="Arial" w:eastAsia="Arial" w:hAnsi="Arial"/>
          <w:sz w:val="21"/>
          <w:szCs w:val="21"/>
          <w:color w:val="auto"/>
          <w:vertAlign w:val="superscript"/>
        </w:rPr>
      </w:pPr>
      <w:r>
        <w:rPr>
          <w:rFonts w:ascii="Arial" w:cs="Arial" w:eastAsia="Arial" w:hAnsi="Arial"/>
          <w:sz w:val="14"/>
          <w:szCs w:val="14"/>
          <w:color w:val="auto"/>
        </w:rPr>
        <w:t xml:space="preserve">This represents the aggregate number of </w:t>
      </w:r>
      <w:r>
        <w:rPr>
          <w:rFonts w:ascii="Arial" w:cs="Arial" w:eastAsia="Arial" w:hAnsi="Arial"/>
          <w:sz w:val="14"/>
          <w:szCs w:val="14"/>
          <w:b w:val="1"/>
          <w:bCs w:val="1"/>
          <w:color w:val="auto"/>
        </w:rPr>
        <w:t>actual</w:t>
      </w:r>
      <w:r>
        <w:rPr>
          <w:rFonts w:ascii="Arial" w:cs="Arial" w:eastAsia="Arial" w:hAnsi="Arial"/>
          <w:sz w:val="14"/>
          <w:szCs w:val="14"/>
          <w:color w:val="auto"/>
        </w:rPr>
        <w:t xml:space="preserve"> performance units granted relative to the 2021-2023 long-term incentive plan, the target performance units that would be paid out upon the Company meeting financial goals relative to the 2022-2024 long-term incentive plan and the target performance units that would be paid out upon the Company meeting financial goals relative to the 2023-2025 long-term incentive plan multiplied by the fair market value of Wabtec common stock price as of December 31, 2023.</w:t>
      </w:r>
    </w:p>
    <w:p>
      <w:pPr>
        <w:spacing w:after="0" w:line="62" w:lineRule="exact"/>
        <w:rPr>
          <w:sz w:val="20"/>
          <w:szCs w:val="20"/>
          <w:color w:val="auto"/>
        </w:rPr>
      </w:pPr>
    </w:p>
    <w:p>
      <w:pPr>
        <w:ind w:left="1140" w:right="1200" w:hanging="175"/>
        <w:spacing w:after="0" w:line="187" w:lineRule="auto"/>
        <w:tabs>
          <w:tab w:leader="none" w:pos="1140" w:val="left"/>
        </w:tabs>
        <w:numPr>
          <w:ilvl w:val="0"/>
          <w:numId w:val="54"/>
        </w:numPr>
        <w:rPr>
          <w:rFonts w:ascii="Arial" w:cs="Arial" w:eastAsia="Arial" w:hAnsi="Arial"/>
          <w:sz w:val="21"/>
          <w:szCs w:val="21"/>
          <w:color w:val="auto"/>
          <w:vertAlign w:val="superscript"/>
        </w:rPr>
      </w:pPr>
      <w:r>
        <w:rPr>
          <w:rFonts w:ascii="Arial" w:cs="Arial" w:eastAsia="Arial" w:hAnsi="Arial"/>
          <w:sz w:val="14"/>
          <w:szCs w:val="14"/>
          <w:color w:val="auto"/>
        </w:rPr>
        <w:t>This represents the number of restricted shares of Wabtec stock that were granted to the executive as a special award in 2020 under the 2011 Stock Incentive Plan that remained unvested as of December 31, 2023. This award will vest in full on October 13, 2024.</w:t>
      </w:r>
    </w:p>
    <w:p>
      <w:pPr>
        <w:spacing w:after="0" w:line="61" w:lineRule="exact"/>
        <w:rPr>
          <w:sz w:val="20"/>
          <w:szCs w:val="20"/>
          <w:color w:val="auto"/>
        </w:rPr>
      </w:pPr>
    </w:p>
    <w:p>
      <w:pPr>
        <w:ind w:left="1140" w:right="1060" w:hanging="175"/>
        <w:spacing w:after="0" w:line="202" w:lineRule="auto"/>
        <w:tabs>
          <w:tab w:leader="none" w:pos="1140" w:val="left"/>
        </w:tabs>
        <w:numPr>
          <w:ilvl w:val="0"/>
          <w:numId w:val="55"/>
        </w:numPr>
        <w:rPr>
          <w:rFonts w:ascii="Arial" w:cs="Arial" w:eastAsia="Arial" w:hAnsi="Arial"/>
          <w:sz w:val="21"/>
          <w:szCs w:val="21"/>
          <w:color w:val="auto"/>
          <w:vertAlign w:val="superscript"/>
        </w:rPr>
      </w:pPr>
      <w:r>
        <w:rPr>
          <w:rFonts w:ascii="Arial" w:cs="Arial" w:eastAsia="Arial" w:hAnsi="Arial"/>
          <w:sz w:val="14"/>
          <w:szCs w:val="14"/>
          <w:color w:val="auto"/>
        </w:rPr>
        <w:t>This represents the number of restricted shares of Wabtec stock that were granted in 2021 to the executive under the 2011 Stock Incentive Plan and that remain unvested as of December 31, 2023. One-third of this award vested on March 1, 2022, one-third of this award vested on March 1, 2023 and one-third of this award will vest on March 1, 2024.</w:t>
      </w:r>
    </w:p>
    <w:p>
      <w:pPr>
        <w:spacing w:after="0" w:line="61" w:lineRule="exact"/>
        <w:rPr>
          <w:sz w:val="20"/>
          <w:szCs w:val="20"/>
          <w:color w:val="auto"/>
        </w:rPr>
      </w:pPr>
    </w:p>
    <w:p>
      <w:pPr>
        <w:ind w:left="1140" w:right="1200" w:hanging="175"/>
        <w:spacing w:after="0" w:line="208" w:lineRule="auto"/>
        <w:tabs>
          <w:tab w:leader="none" w:pos="1140" w:val="left"/>
        </w:tabs>
        <w:numPr>
          <w:ilvl w:val="0"/>
          <w:numId w:val="56"/>
        </w:numPr>
        <w:rPr>
          <w:rFonts w:ascii="Arial" w:cs="Arial" w:eastAsia="Arial" w:hAnsi="Arial"/>
          <w:sz w:val="21"/>
          <w:szCs w:val="21"/>
          <w:color w:val="auto"/>
          <w:vertAlign w:val="superscript"/>
        </w:rPr>
      </w:pPr>
      <w:r>
        <w:rPr>
          <w:rFonts w:ascii="Arial" w:cs="Arial" w:eastAsia="Arial" w:hAnsi="Arial"/>
          <w:sz w:val="14"/>
          <w:szCs w:val="14"/>
          <w:color w:val="auto"/>
        </w:rPr>
        <w:t>This represents the number of restricted shares of Wabtec stock that were granted to the executive as a special award in 2020 under the 2011 Stock Incentive Plan that remained unvested as of December 31, 2022. This award will vest in full on August 30,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9140" w:type="dxa"/>
            <w:vAlign w:val="bottom"/>
          </w:tcPr>
          <w:p>
            <w:pPr>
              <w:ind w:left="636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800" w:type="dxa"/>
            <w:vAlign w:val="bottom"/>
          </w:tcPr>
          <w:p>
            <w:pPr>
              <w:jc w:val="right"/>
              <w:ind w:right="909"/>
              <w:spacing w:after="0"/>
              <w:rPr>
                <w:sz w:val="20"/>
                <w:szCs w:val="20"/>
                <w:color w:val="auto"/>
              </w:rPr>
            </w:pPr>
            <w:r>
              <w:rPr>
                <w:rFonts w:ascii="Arial" w:cs="Arial" w:eastAsia="Arial" w:hAnsi="Arial"/>
                <w:sz w:val="14"/>
                <w:szCs w:val="14"/>
                <w:b w:val="1"/>
                <w:bCs w:val="1"/>
                <w:color w:val="auto"/>
              </w:rPr>
              <w:t>63</w:t>
            </w:r>
          </w:p>
        </w:tc>
      </w:tr>
      <w:tr>
        <w:trPr>
          <w:trHeight w:val="355"/>
        </w:trPr>
        <w:tc>
          <w:tcPr>
            <w:tcW w:w="9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-407670</wp:posOffset>
            </wp:positionV>
            <wp:extent cx="501650" cy="1701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Executive Compensation Tables</w:t>
      </w:r>
    </w:p>
    <w:p>
      <w:pPr>
        <w:spacing w:after="0" w:line="98" w:lineRule="exact"/>
        <w:rPr>
          <w:sz w:val="20"/>
          <w:szCs w:val="20"/>
          <w:color w:val="auto"/>
        </w:rPr>
      </w:pPr>
    </w:p>
    <w:p>
      <w:pPr>
        <w:ind w:left="180" w:right="99" w:hanging="175"/>
        <w:spacing w:after="0" w:line="202" w:lineRule="auto"/>
        <w:tabs>
          <w:tab w:leader="none" w:pos="180" w:val="left"/>
        </w:tabs>
        <w:numPr>
          <w:ilvl w:val="0"/>
          <w:numId w:val="57"/>
        </w:numPr>
        <w:rPr>
          <w:rFonts w:ascii="Arial" w:cs="Arial" w:eastAsia="Arial" w:hAnsi="Arial"/>
          <w:sz w:val="21"/>
          <w:szCs w:val="21"/>
          <w:color w:val="auto"/>
          <w:vertAlign w:val="superscript"/>
        </w:rPr>
      </w:pPr>
      <w:r>
        <w:rPr>
          <w:rFonts w:ascii="Arial" w:cs="Arial" w:eastAsia="Arial" w:hAnsi="Arial"/>
          <w:sz w:val="14"/>
          <w:szCs w:val="14"/>
          <w:color w:val="auto"/>
        </w:rPr>
        <w:t>This represents the number of restricted shares of Wabtec stock that were granted in 2022 to the executive under the 2011 Stock Incentive Plan and that remain unvested as of December 31, 2023. One-third of this award vested on March 1, 2023, additional one-thirds of this award will vest on each of March 1, 2024 and March 1, 2025.</w:t>
      </w:r>
    </w:p>
    <w:p>
      <w:pPr>
        <w:spacing w:after="0" w:line="61" w:lineRule="exact"/>
        <w:rPr>
          <w:sz w:val="20"/>
          <w:szCs w:val="20"/>
          <w:color w:val="auto"/>
        </w:rPr>
      </w:pPr>
    </w:p>
    <w:p>
      <w:pPr>
        <w:ind w:left="180" w:right="39" w:hanging="175"/>
        <w:spacing w:after="0" w:line="217" w:lineRule="auto"/>
        <w:tabs>
          <w:tab w:leader="none" w:pos="180" w:val="left"/>
        </w:tabs>
        <w:numPr>
          <w:ilvl w:val="0"/>
          <w:numId w:val="58"/>
        </w:numPr>
        <w:rPr>
          <w:rFonts w:ascii="Arial" w:cs="Arial" w:eastAsia="Arial" w:hAnsi="Arial"/>
          <w:sz w:val="21"/>
          <w:szCs w:val="21"/>
          <w:color w:val="auto"/>
          <w:vertAlign w:val="superscript"/>
        </w:rPr>
      </w:pPr>
      <w:r>
        <w:rPr>
          <w:rFonts w:ascii="Arial" w:cs="Arial" w:eastAsia="Arial" w:hAnsi="Arial"/>
          <w:sz w:val="14"/>
          <w:szCs w:val="14"/>
          <w:color w:val="auto"/>
        </w:rPr>
        <w:t>This represents the number of restricted shares of Wabtec stock that were granted in 2023 to the executive under the 2011 Stock Incentive Plan and that remain unvested as of December 31, 2023. One-third of this award will vest on March 1, 2024, and one-third of this award will vest on each of March 1, 2025 and March 1, 2026.</w:t>
      </w:r>
    </w:p>
    <w:p>
      <w:pPr>
        <w:spacing w:after="0" w:line="365" w:lineRule="exact"/>
        <w:rPr>
          <w:sz w:val="20"/>
          <w:szCs w:val="20"/>
          <w:color w:val="auto"/>
        </w:rPr>
      </w:pPr>
    </w:p>
    <w:p>
      <w:pPr>
        <w:spacing w:after="0"/>
        <w:rPr>
          <w:sz w:val="20"/>
          <w:szCs w:val="20"/>
          <w:color w:val="auto"/>
        </w:rPr>
      </w:pPr>
      <w:r>
        <w:rPr>
          <w:rFonts w:ascii="Arial" w:cs="Arial" w:eastAsia="Arial" w:hAnsi="Arial"/>
          <w:sz w:val="29"/>
          <w:szCs w:val="29"/>
          <w:color w:val="636466"/>
        </w:rPr>
        <w:t>Option Exercises and Stock Vested</w:t>
      </w:r>
    </w:p>
    <w:p>
      <w:pPr>
        <w:spacing w:after="0" w:line="180" w:lineRule="exact"/>
        <w:rPr>
          <w:sz w:val="20"/>
          <w:szCs w:val="20"/>
          <w:color w:val="auto"/>
        </w:rPr>
      </w:pPr>
    </w:p>
    <w:p>
      <w:pPr>
        <w:ind w:right="619"/>
        <w:spacing w:after="0" w:line="282" w:lineRule="auto"/>
        <w:rPr>
          <w:sz w:val="20"/>
          <w:szCs w:val="20"/>
          <w:color w:val="auto"/>
        </w:rPr>
      </w:pPr>
      <w:r>
        <w:rPr>
          <w:rFonts w:ascii="Arial" w:cs="Arial" w:eastAsia="Arial" w:hAnsi="Arial"/>
          <w:sz w:val="16"/>
          <w:szCs w:val="16"/>
          <w:color w:val="auto"/>
        </w:rPr>
        <w:t>This table provides information concerning vesting of stock, including restricted stock, restricted stock units and similar instruments, during 2023 for the named executive officers on an aggregate basis.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1940" w:type="dxa"/>
            <w:vAlign w:val="bottom"/>
          </w:tcPr>
          <w:p>
            <w:pPr>
              <w:spacing w:after="0"/>
              <w:rPr>
                <w:sz w:val="14"/>
                <w:szCs w:val="14"/>
                <w:color w:val="auto"/>
              </w:rPr>
            </w:pPr>
          </w:p>
        </w:tc>
        <w:tc>
          <w:tcPr>
            <w:tcW w:w="740" w:type="dxa"/>
            <w:vAlign w:val="bottom"/>
          </w:tcPr>
          <w:p>
            <w:pPr>
              <w:ind w:left="68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060" w:type="dxa"/>
            <w:vAlign w:val="bottom"/>
            <w:gridSpan w:val="2"/>
          </w:tcPr>
          <w:p>
            <w:pPr>
              <w:jc w:val="center"/>
              <w:ind w:left="829"/>
              <w:spacing w:after="0"/>
              <w:rPr>
                <w:sz w:val="20"/>
                <w:szCs w:val="20"/>
                <w:color w:val="auto"/>
              </w:rPr>
            </w:pPr>
            <w:r>
              <w:rPr>
                <w:rFonts w:ascii="Arial" w:cs="Arial" w:eastAsia="Arial" w:hAnsi="Arial"/>
                <w:sz w:val="14"/>
                <w:szCs w:val="14"/>
                <w:b w:val="1"/>
                <w:bCs w:val="1"/>
                <w:color w:val="auto"/>
              </w:rPr>
              <w:t>Option Awards</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040" w:type="dxa"/>
            <w:vAlign w:val="bottom"/>
            <w:gridSpan w:val="2"/>
          </w:tcPr>
          <w:p>
            <w:pPr>
              <w:jc w:val="center"/>
              <w:ind w:left="869"/>
              <w:spacing w:after="0"/>
              <w:rPr>
                <w:sz w:val="20"/>
                <w:szCs w:val="20"/>
                <w:color w:val="auto"/>
              </w:rPr>
            </w:pPr>
            <w:r>
              <w:rPr>
                <w:rFonts w:ascii="Arial" w:cs="Arial" w:eastAsia="Arial" w:hAnsi="Arial"/>
                <w:sz w:val="14"/>
                <w:szCs w:val="14"/>
                <w:b w:val="1"/>
                <w:bCs w:val="1"/>
                <w:color w:val="auto"/>
              </w:rPr>
              <w:t>Stock Awards</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Borders>
              <w:bottom w:val="single" w:sz="8" w:color="0C426A"/>
            </w:tcBorders>
          </w:tcPr>
          <w:p>
            <w:pPr>
              <w:spacing w:after="0"/>
              <w:rPr>
                <w:sz w:val="15"/>
                <w:szCs w:val="15"/>
                <w:color w:val="auto"/>
              </w:rPr>
            </w:pPr>
          </w:p>
        </w:tc>
        <w:tc>
          <w:tcPr>
            <w:tcW w:w="620" w:type="dxa"/>
            <w:vAlign w:val="bottom"/>
            <w:tcBorders>
              <w:bottom w:val="single" w:sz="8" w:color="0C426A"/>
            </w:tcBorders>
          </w:tcPr>
          <w:p>
            <w:pPr>
              <w:spacing w:after="0"/>
              <w:rPr>
                <w:sz w:val="15"/>
                <w:szCs w:val="15"/>
                <w:color w:val="auto"/>
              </w:rPr>
            </w:pPr>
          </w:p>
        </w:tc>
        <w:tc>
          <w:tcPr>
            <w:tcW w:w="900" w:type="dxa"/>
            <w:vAlign w:val="bottom"/>
            <w:tcBorders>
              <w:bottom w:val="single" w:sz="8" w:color="0C426A"/>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Borders>
              <w:bottom w:val="single" w:sz="8" w:color="0C426A"/>
            </w:tcBorders>
          </w:tcPr>
          <w:p>
            <w:pPr>
              <w:spacing w:after="0"/>
              <w:rPr>
                <w:sz w:val="15"/>
                <w:szCs w:val="15"/>
                <w:color w:val="auto"/>
              </w:rPr>
            </w:pPr>
          </w:p>
        </w:tc>
        <w:tc>
          <w:tcPr>
            <w:tcW w:w="600" w:type="dxa"/>
            <w:vAlign w:val="bottom"/>
            <w:tcBorders>
              <w:bottom w:val="single" w:sz="8" w:color="0C426A"/>
            </w:tcBorders>
          </w:tcPr>
          <w:p>
            <w:pPr>
              <w:spacing w:after="0"/>
              <w:rPr>
                <w:sz w:val="15"/>
                <w:szCs w:val="15"/>
                <w:color w:val="auto"/>
              </w:rPr>
            </w:pPr>
          </w:p>
        </w:tc>
        <w:tc>
          <w:tcPr>
            <w:tcW w:w="960" w:type="dxa"/>
            <w:vAlign w:val="bottom"/>
            <w:tcBorders>
              <w:bottom w:val="single" w:sz="8" w:color="0C426A"/>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19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b w:val="1"/>
                <w:bCs w:val="1"/>
                <w:color w:val="auto"/>
              </w:rPr>
              <w:t>Number of</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9"/>
              <w:spacing w:after="0"/>
              <w:rPr>
                <w:sz w:val="20"/>
                <w:szCs w:val="20"/>
                <w:color w:val="auto"/>
              </w:rPr>
            </w:pPr>
            <w:r>
              <w:rPr>
                <w:rFonts w:ascii="Arial" w:cs="Arial" w:eastAsia="Arial" w:hAnsi="Arial"/>
                <w:sz w:val="14"/>
                <w:szCs w:val="14"/>
                <w:b w:val="1"/>
                <w:bCs w:val="1"/>
                <w:color w:val="auto"/>
              </w:rPr>
              <w:t>Number of</w:t>
            </w:r>
          </w:p>
        </w:tc>
        <w:tc>
          <w:tcPr>
            <w:tcW w:w="600" w:type="dxa"/>
            <w:vAlign w:val="bottom"/>
          </w:tcPr>
          <w:p>
            <w:pPr>
              <w:spacing w:after="0"/>
              <w:rPr>
                <w:sz w:val="21"/>
                <w:szCs w:val="2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740" w:type="dxa"/>
            <w:vAlign w:val="bottom"/>
          </w:tcPr>
          <w:p>
            <w:pPr>
              <w:ind w:left="68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 xml:space="preserve">Shares </w:t>
            </w:r>
            <w:r>
              <w:rPr>
                <w:rFonts w:ascii="Times New Roman" w:cs="Times New Roman" w:eastAsia="Times New Roman" w:hAnsi="Times New Roman"/>
                <w:sz w:val="7"/>
                <w:szCs w:val="7"/>
                <w:color w:val="auto"/>
                <w:vertAlign w:val="subscript"/>
              </w:rPr>
              <w:t>​</w:t>
            </w:r>
          </w:p>
        </w:tc>
        <w:tc>
          <w:tcPr>
            <w:tcW w:w="620" w:type="dxa"/>
            <w:vAlign w:val="bottom"/>
          </w:tcPr>
          <w:p>
            <w:pPr>
              <w:jc w:val="center"/>
              <w:ind w:right="531"/>
              <w:spacing w:after="0"/>
              <w:rPr>
                <w:sz w:val="20"/>
                <w:szCs w:val="20"/>
                <w:color w:val="auto"/>
              </w:rPr>
            </w:pPr>
            <w:r>
              <w:rPr>
                <w:rFonts w:ascii="Times New Roman" w:cs="Times New Roman" w:eastAsia="Times New Roman" w:hAnsi="Times New Roman"/>
                <w:sz w:val="2"/>
                <w:szCs w:val="2"/>
                <w:color w:val="auto"/>
                <w:w w:val="4294942296"/>
              </w:rPr>
              <w:t>​</w:t>
            </w:r>
          </w:p>
        </w:tc>
        <w:tc>
          <w:tcPr>
            <w:tcW w:w="960" w:type="dxa"/>
            <w:vAlign w:val="bottom"/>
            <w:gridSpan w:val="2"/>
          </w:tcPr>
          <w:p>
            <w:pPr>
              <w:jc w:val="right"/>
              <w:ind w:right="40"/>
              <w:spacing w:after="0" w:line="148" w:lineRule="exact"/>
              <w:rPr>
                <w:sz w:val="20"/>
                <w:szCs w:val="20"/>
                <w:color w:val="auto"/>
              </w:rPr>
            </w:pPr>
            <w:r>
              <w:rPr>
                <w:rFonts w:ascii="Arial" w:cs="Arial" w:eastAsia="Arial" w:hAnsi="Arial"/>
                <w:sz w:val="14"/>
                <w:szCs w:val="14"/>
                <w:b w:val="1"/>
                <w:bCs w:val="1"/>
                <w:color w:val="auto"/>
              </w:rPr>
              <w:t xml:space="preserve">Value </w:t>
            </w:r>
            <w:r>
              <w:rPr>
                <w:rFonts w:ascii="Times New Roman" w:cs="Times New Roman" w:eastAsia="Times New Roman" w:hAnsi="Times New Roman"/>
                <w:sz w:val="7"/>
                <w:szCs w:val="7"/>
                <w:color w:val="auto"/>
                <w:vertAlign w:val="subscript"/>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 xml:space="preserve">Shares </w:t>
            </w:r>
            <w:r>
              <w:rPr>
                <w:rFonts w:ascii="Times New Roman" w:cs="Times New Roman" w:eastAsia="Times New Roman" w:hAnsi="Times New Roman"/>
                <w:sz w:val="7"/>
                <w:szCs w:val="7"/>
                <w:color w:val="auto"/>
                <w:vertAlign w:val="subscript"/>
              </w:rPr>
              <w:t>​</w:t>
            </w:r>
          </w:p>
        </w:tc>
        <w:tc>
          <w:tcPr>
            <w:tcW w:w="600" w:type="dxa"/>
            <w:vAlign w:val="bottom"/>
          </w:tcPr>
          <w:p>
            <w:pPr>
              <w:jc w:val="center"/>
              <w:ind w:right="482"/>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jc w:val="right"/>
              <w:ind w:right="29"/>
              <w:spacing w:after="0" w:line="156" w:lineRule="exact"/>
              <w:rPr>
                <w:sz w:val="20"/>
                <w:szCs w:val="20"/>
                <w:color w:val="auto"/>
              </w:rPr>
            </w:pPr>
            <w:r>
              <w:rPr>
                <w:rFonts w:ascii="Arial" w:cs="Arial" w:eastAsia="Arial" w:hAnsi="Arial"/>
                <w:sz w:val="14"/>
                <w:szCs w:val="14"/>
                <w:b w:val="1"/>
                <w:bCs w:val="1"/>
                <w:color w:val="auto"/>
              </w:rPr>
              <w:t>Acquired on</w:t>
            </w:r>
          </w:p>
        </w:tc>
        <w:tc>
          <w:tcPr>
            <w:tcW w:w="620" w:type="dxa"/>
            <w:vAlign w:val="bottom"/>
          </w:tcPr>
          <w:p>
            <w:pPr>
              <w:spacing w:after="0"/>
              <w:rPr>
                <w:sz w:val="13"/>
                <w:szCs w:val="13"/>
                <w:color w:val="auto"/>
              </w:rPr>
            </w:pPr>
          </w:p>
        </w:tc>
        <w:tc>
          <w:tcPr>
            <w:tcW w:w="960" w:type="dxa"/>
            <w:vAlign w:val="bottom"/>
            <w:gridSpan w:val="2"/>
          </w:tcPr>
          <w:p>
            <w:pPr>
              <w:jc w:val="right"/>
              <w:ind w:right="100"/>
              <w:spacing w:after="0" w:line="156" w:lineRule="exact"/>
              <w:rPr>
                <w:sz w:val="20"/>
                <w:szCs w:val="20"/>
                <w:color w:val="auto"/>
              </w:rPr>
            </w:pPr>
            <w:r>
              <w:rPr>
                <w:rFonts w:ascii="Arial" w:cs="Arial" w:eastAsia="Arial" w:hAnsi="Arial"/>
                <w:sz w:val="14"/>
                <w:szCs w:val="14"/>
                <w:b w:val="1"/>
                <w:bCs w:val="1"/>
                <w:color w:val="auto"/>
              </w:rPr>
              <w:t>Realized on</w:t>
            </w:r>
          </w:p>
        </w:tc>
        <w:tc>
          <w:tcPr>
            <w:tcW w:w="140" w:type="dxa"/>
            <w:vAlign w:val="bottom"/>
          </w:tcPr>
          <w:p>
            <w:pPr>
              <w:spacing w:after="0"/>
              <w:rPr>
                <w:sz w:val="13"/>
                <w:szCs w:val="13"/>
                <w:color w:val="auto"/>
              </w:rPr>
            </w:pPr>
          </w:p>
        </w:tc>
        <w:tc>
          <w:tcPr>
            <w:tcW w:w="1440" w:type="dxa"/>
            <w:vAlign w:val="bottom"/>
          </w:tcPr>
          <w:p>
            <w:pPr>
              <w:jc w:val="right"/>
              <w:ind w:right="9"/>
              <w:spacing w:after="0" w:line="156" w:lineRule="exact"/>
              <w:rPr>
                <w:sz w:val="20"/>
                <w:szCs w:val="20"/>
                <w:color w:val="auto"/>
              </w:rPr>
            </w:pPr>
            <w:r>
              <w:rPr>
                <w:rFonts w:ascii="Arial" w:cs="Arial" w:eastAsia="Arial" w:hAnsi="Arial"/>
                <w:sz w:val="14"/>
                <w:szCs w:val="14"/>
                <w:b w:val="1"/>
                <w:bCs w:val="1"/>
                <w:color w:val="auto"/>
              </w:rPr>
              <w:t>Acquired on</w:t>
            </w:r>
          </w:p>
        </w:tc>
        <w:tc>
          <w:tcPr>
            <w:tcW w:w="60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Arial" w:cs="Arial" w:eastAsia="Arial" w:hAnsi="Arial"/>
                <w:sz w:val="14"/>
                <w:szCs w:val="14"/>
                <w:b w:val="1"/>
                <w:bCs w:val="1"/>
                <w:color w:val="auto"/>
              </w:rPr>
              <w:t>Realized on</w:t>
            </w:r>
          </w:p>
        </w:tc>
        <w:tc>
          <w:tcPr>
            <w:tcW w:w="0" w:type="dxa"/>
            <w:vAlign w:val="bottom"/>
          </w:tcPr>
          <w:p>
            <w:pPr>
              <w:spacing w:after="0"/>
              <w:rPr>
                <w:sz w:val="1"/>
                <w:szCs w:val="1"/>
                <w:color w:val="auto"/>
              </w:rPr>
            </w:pPr>
          </w:p>
        </w:tc>
      </w:tr>
      <w:tr>
        <w:trPr>
          <w:trHeight w:val="295"/>
        </w:trPr>
        <w:tc>
          <w:tcPr>
            <w:tcW w:w="1940" w:type="dxa"/>
            <w:vAlign w:val="bottom"/>
            <w:tcBorders>
              <w:bottom w:val="single" w:sz="8" w:color="0C426A"/>
            </w:tcBorders>
          </w:tcPr>
          <w:p>
            <w:pPr>
              <w:ind w:left="20"/>
              <w:spacing w:after="0"/>
              <w:rPr>
                <w:sz w:val="20"/>
                <w:szCs w:val="20"/>
                <w:color w:val="auto"/>
              </w:rPr>
            </w:pPr>
            <w:r>
              <w:rPr>
                <w:rFonts w:ascii="Arial" w:cs="Arial" w:eastAsia="Arial" w:hAnsi="Arial"/>
                <w:sz w:val="14"/>
                <w:szCs w:val="14"/>
                <w:b w:val="1"/>
                <w:bCs w:val="1"/>
                <w:color w:val="auto"/>
              </w:rPr>
              <w:t>Name</w:t>
            </w:r>
          </w:p>
        </w:tc>
        <w:tc>
          <w:tcPr>
            <w:tcW w:w="740" w:type="dxa"/>
            <w:vAlign w:val="bottom"/>
            <w:tcBorders>
              <w:bottom w:val="single" w:sz="8" w:color="0C426A"/>
            </w:tcBorders>
          </w:tcPr>
          <w:p>
            <w:pPr>
              <w:spacing w:after="0"/>
              <w:rPr>
                <w:sz w:val="24"/>
                <w:szCs w:val="24"/>
                <w:color w:val="auto"/>
              </w:rPr>
            </w:pPr>
          </w:p>
        </w:tc>
        <w:tc>
          <w:tcPr>
            <w:tcW w:w="140" w:type="dxa"/>
            <w:vAlign w:val="bottom"/>
            <w:tcBorders>
              <w:bottom w:val="single" w:sz="8" w:color="0C426A"/>
            </w:tcBorders>
          </w:tcPr>
          <w:p>
            <w:pPr>
              <w:spacing w:after="0"/>
              <w:rPr>
                <w:sz w:val="24"/>
                <w:szCs w:val="24"/>
                <w:color w:val="auto"/>
              </w:rPr>
            </w:pPr>
          </w:p>
        </w:tc>
        <w:tc>
          <w:tcPr>
            <w:tcW w:w="1440" w:type="dxa"/>
            <w:vAlign w:val="bottom"/>
            <w:tcBorders>
              <w:bottom w:val="single" w:sz="8" w:color="0C426A"/>
            </w:tcBorders>
          </w:tcPr>
          <w:p>
            <w:pPr>
              <w:jc w:val="right"/>
              <w:spacing w:after="0"/>
              <w:rPr>
                <w:sz w:val="20"/>
                <w:szCs w:val="20"/>
                <w:color w:val="auto"/>
              </w:rPr>
            </w:pPr>
            <w:r>
              <w:rPr>
                <w:rFonts w:ascii="Arial" w:cs="Arial" w:eastAsia="Arial" w:hAnsi="Arial"/>
                <w:sz w:val="14"/>
                <w:szCs w:val="14"/>
                <w:b w:val="1"/>
                <w:bCs w:val="1"/>
                <w:color w:val="auto"/>
              </w:rPr>
              <w:t>Exercise (#)</w:t>
            </w:r>
          </w:p>
        </w:tc>
        <w:tc>
          <w:tcPr>
            <w:tcW w:w="620" w:type="dxa"/>
            <w:vAlign w:val="bottom"/>
            <w:tcBorders>
              <w:bottom w:val="single" w:sz="8" w:color="0C426A"/>
            </w:tcBorders>
          </w:tcPr>
          <w:p>
            <w:pPr>
              <w:spacing w:after="0"/>
              <w:rPr>
                <w:sz w:val="24"/>
                <w:szCs w:val="24"/>
                <w:color w:val="auto"/>
              </w:rPr>
            </w:pPr>
          </w:p>
        </w:tc>
        <w:tc>
          <w:tcPr>
            <w:tcW w:w="960" w:type="dxa"/>
            <w:vAlign w:val="bottom"/>
            <w:tcBorders>
              <w:bottom w:val="single" w:sz="8" w:color="0C426A"/>
            </w:tcBorders>
            <w:gridSpan w:val="2"/>
          </w:tcPr>
          <w:p>
            <w:pPr>
              <w:jc w:val="right"/>
              <w:ind w:right="60"/>
              <w:spacing w:after="0"/>
              <w:rPr>
                <w:sz w:val="20"/>
                <w:szCs w:val="20"/>
                <w:color w:val="auto"/>
              </w:rPr>
            </w:pPr>
            <w:r>
              <w:rPr>
                <w:rFonts w:ascii="Arial" w:cs="Arial" w:eastAsia="Arial" w:hAnsi="Arial"/>
                <w:sz w:val="14"/>
                <w:szCs w:val="14"/>
                <w:b w:val="1"/>
                <w:bCs w:val="1"/>
                <w:color w:val="auto"/>
              </w:rPr>
              <w:t>Exercise ($)</w:t>
            </w:r>
          </w:p>
        </w:tc>
        <w:tc>
          <w:tcPr>
            <w:tcW w:w="140" w:type="dxa"/>
            <w:vAlign w:val="bottom"/>
            <w:tcBorders>
              <w:bottom w:val="single" w:sz="8" w:color="0C426A"/>
            </w:tcBorders>
          </w:tcPr>
          <w:p>
            <w:pPr>
              <w:spacing w:after="0"/>
              <w:rPr>
                <w:sz w:val="24"/>
                <w:szCs w:val="24"/>
                <w:color w:val="auto"/>
              </w:rPr>
            </w:pPr>
          </w:p>
        </w:tc>
        <w:tc>
          <w:tcPr>
            <w:tcW w:w="1440" w:type="dxa"/>
            <w:vAlign w:val="bottom"/>
            <w:tcBorders>
              <w:bottom w:val="single" w:sz="8" w:color="0C426A"/>
            </w:tcBorders>
          </w:tcPr>
          <w:p>
            <w:pPr>
              <w:jc w:val="right"/>
              <w:spacing w:after="0"/>
              <w:rPr>
                <w:sz w:val="20"/>
                <w:szCs w:val="20"/>
                <w:color w:val="auto"/>
              </w:rPr>
            </w:pPr>
            <w:r>
              <w:rPr>
                <w:rFonts w:ascii="Arial" w:cs="Arial" w:eastAsia="Arial" w:hAnsi="Arial"/>
                <w:sz w:val="14"/>
                <w:szCs w:val="14"/>
                <w:b w:val="1"/>
                <w:bCs w:val="1"/>
                <w:color w:val="auto"/>
              </w:rPr>
              <w:t>Vesting (#)</w:t>
            </w:r>
          </w:p>
        </w:tc>
        <w:tc>
          <w:tcPr>
            <w:tcW w:w="600" w:type="dxa"/>
            <w:vAlign w:val="bottom"/>
            <w:tcBorders>
              <w:bottom w:val="single" w:sz="8" w:color="0C426A"/>
            </w:tcBorders>
          </w:tcPr>
          <w:p>
            <w:pPr>
              <w:spacing w:after="0"/>
              <w:rPr>
                <w:sz w:val="24"/>
                <w:szCs w:val="24"/>
                <w:color w:val="auto"/>
              </w:rPr>
            </w:pPr>
          </w:p>
        </w:tc>
        <w:tc>
          <w:tcPr>
            <w:tcW w:w="960" w:type="dxa"/>
            <w:vAlign w:val="bottom"/>
            <w:tcBorders>
              <w:bottom w:val="single" w:sz="8" w:color="0C426A"/>
            </w:tcBorders>
          </w:tcPr>
          <w:p>
            <w:pPr>
              <w:jc w:val="right"/>
              <w:spacing w:after="0"/>
              <w:rPr>
                <w:sz w:val="20"/>
                <w:szCs w:val="20"/>
                <w:color w:val="auto"/>
              </w:rPr>
            </w:pPr>
            <w:r>
              <w:rPr>
                <w:rFonts w:ascii="Arial" w:cs="Arial" w:eastAsia="Arial" w:hAnsi="Arial"/>
                <w:sz w:val="14"/>
                <w:szCs w:val="14"/>
                <w:b w:val="1"/>
                <w:bCs w:val="1"/>
                <w:color w:val="auto"/>
              </w:rPr>
              <w:t>Vesting ($)</w:t>
            </w:r>
            <w:r>
              <w:rPr>
                <w:rFonts w:ascii="Arial" w:cs="Arial" w:eastAsia="Arial" w:hAnsi="Arial"/>
                <w:sz w:val="23"/>
                <w:szCs w:val="23"/>
                <w:b w:val="1"/>
                <w:bCs w:val="1"/>
                <w:color w:val="auto"/>
                <w:vertAlign w:val="superscript"/>
              </w:rPr>
              <w:t>1,2</w:t>
            </w:r>
          </w:p>
        </w:tc>
        <w:tc>
          <w:tcPr>
            <w:tcW w:w="0" w:type="dxa"/>
            <w:vAlign w:val="bottom"/>
          </w:tcPr>
          <w:p>
            <w:pPr>
              <w:spacing w:after="0"/>
              <w:rPr>
                <w:sz w:val="1"/>
                <w:szCs w:val="1"/>
                <w:color w:val="auto"/>
              </w:rPr>
            </w:pPr>
          </w:p>
        </w:tc>
      </w:tr>
      <w:tr>
        <w:trPr>
          <w:trHeight w:val="286"/>
        </w:trPr>
        <w:tc>
          <w:tcPr>
            <w:tcW w:w="1940" w:type="dxa"/>
            <w:vAlign w:val="bottom"/>
          </w:tcPr>
          <w:p>
            <w:pPr>
              <w:ind w:left="20"/>
              <w:spacing w:after="0"/>
              <w:rPr>
                <w:sz w:val="20"/>
                <w:szCs w:val="20"/>
                <w:color w:val="auto"/>
              </w:rPr>
            </w:pPr>
            <w:r>
              <w:rPr>
                <w:rFonts w:ascii="Arial" w:cs="Arial" w:eastAsia="Arial" w:hAnsi="Arial"/>
                <w:sz w:val="14"/>
                <w:szCs w:val="14"/>
                <w:b w:val="1"/>
                <w:bCs w:val="1"/>
                <w:color w:val="0C426A"/>
              </w:rPr>
              <w:t>Rafael Santana</w:t>
            </w:r>
          </w:p>
        </w:tc>
        <w:tc>
          <w:tcPr>
            <w:tcW w:w="740" w:type="dxa"/>
            <w:vAlign w:val="bottom"/>
          </w:tcPr>
          <w:p>
            <w:pPr>
              <w:ind w:left="68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620" w:type="dxa"/>
            <w:vAlign w:val="bottom"/>
          </w:tcPr>
          <w:p>
            <w:pPr>
              <w:jc w:val="center"/>
              <w:ind w:right="531"/>
              <w:spacing w:after="0"/>
              <w:rPr>
                <w:sz w:val="20"/>
                <w:szCs w:val="20"/>
                <w:color w:val="auto"/>
              </w:rPr>
            </w:pPr>
            <w:r>
              <w:rPr>
                <w:rFonts w:ascii="Times New Roman" w:cs="Times New Roman" w:eastAsia="Times New Roman" w:hAnsi="Times New Roman"/>
                <w:sz w:val="2"/>
                <w:szCs w:val="2"/>
                <w:color w:val="auto"/>
                <w:w w:val="4294942296"/>
              </w:rPr>
              <w:t>​</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​90,567</w:t>
            </w:r>
            <w:r>
              <w:rPr>
                <w:rFonts w:ascii="Times New Roman" w:cs="Times New Roman" w:eastAsia="Times New Roman" w:hAnsi="Times New Roman"/>
                <w:sz w:val="3"/>
                <w:szCs w:val="3"/>
                <w:color w:val="auto"/>
              </w:rPr>
              <w:t>​</w:t>
            </w:r>
          </w:p>
        </w:tc>
        <w:tc>
          <w:tcPr>
            <w:tcW w:w="600" w:type="dxa"/>
            <w:vAlign w:val="bottom"/>
          </w:tcPr>
          <w:p>
            <w:pPr>
              <w:jc w:val="center"/>
              <w:ind w:right="482"/>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$9,428,320</w:t>
            </w:r>
          </w:p>
        </w:tc>
        <w:tc>
          <w:tcPr>
            <w:tcW w:w="0" w:type="dxa"/>
            <w:vAlign w:val="bottom"/>
          </w:tcPr>
          <w:p>
            <w:pPr>
              <w:spacing w:after="0"/>
              <w:rPr>
                <w:sz w:val="1"/>
                <w:szCs w:val="1"/>
                <w:color w:val="auto"/>
              </w:rPr>
            </w:pPr>
          </w:p>
        </w:tc>
      </w:tr>
      <w:tr>
        <w:trPr>
          <w:trHeight w:val="42"/>
        </w:trPr>
        <w:tc>
          <w:tcPr>
            <w:tcW w:w="19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1940" w:type="dxa"/>
            <w:vAlign w:val="bottom"/>
          </w:tcPr>
          <w:p>
            <w:pPr>
              <w:ind w:left="20"/>
              <w:spacing w:after="0"/>
              <w:rPr>
                <w:sz w:val="20"/>
                <w:szCs w:val="20"/>
                <w:color w:val="auto"/>
              </w:rPr>
            </w:pPr>
            <w:r>
              <w:rPr>
                <w:rFonts w:ascii="Arial" w:cs="Arial" w:eastAsia="Arial" w:hAnsi="Arial"/>
                <w:sz w:val="14"/>
                <w:szCs w:val="14"/>
                <w:b w:val="1"/>
                <w:bCs w:val="1"/>
                <w:color w:val="0C426A"/>
              </w:rPr>
              <w:t>John Olin</w:t>
            </w:r>
          </w:p>
        </w:tc>
        <w:tc>
          <w:tcPr>
            <w:tcW w:w="740" w:type="dxa"/>
            <w:vAlign w:val="bottom"/>
          </w:tcPr>
          <w:p>
            <w:pPr>
              <w:ind w:left="68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620" w:type="dxa"/>
            <w:vAlign w:val="bottom"/>
          </w:tcPr>
          <w:p>
            <w:pPr>
              <w:jc w:val="center"/>
              <w:ind w:right="531"/>
              <w:spacing w:after="0"/>
              <w:rPr>
                <w:sz w:val="20"/>
                <w:szCs w:val="20"/>
                <w:color w:val="auto"/>
              </w:rPr>
            </w:pPr>
            <w:r>
              <w:rPr>
                <w:rFonts w:ascii="Times New Roman" w:cs="Times New Roman" w:eastAsia="Times New Roman" w:hAnsi="Times New Roman"/>
                <w:sz w:val="2"/>
                <w:szCs w:val="2"/>
                <w:color w:val="auto"/>
                <w:w w:val="4294942296"/>
              </w:rPr>
              <w:t>​</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 2,874</w:t>
            </w:r>
            <w:r>
              <w:rPr>
                <w:rFonts w:ascii="Times New Roman" w:cs="Times New Roman" w:eastAsia="Times New Roman" w:hAnsi="Times New Roman"/>
                <w:sz w:val="3"/>
                <w:szCs w:val="3"/>
                <w:color w:val="auto"/>
              </w:rPr>
              <w:t>​</w:t>
            </w:r>
          </w:p>
        </w:tc>
        <w:tc>
          <w:tcPr>
            <w:tcW w:w="600" w:type="dxa"/>
            <w:vAlign w:val="bottom"/>
          </w:tcPr>
          <w:p>
            <w:pPr>
              <w:jc w:val="center"/>
              <w:ind w:right="482"/>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  301,475​</w:t>
            </w:r>
          </w:p>
        </w:tc>
        <w:tc>
          <w:tcPr>
            <w:tcW w:w="0" w:type="dxa"/>
            <w:vAlign w:val="bottom"/>
          </w:tcPr>
          <w:p>
            <w:pPr>
              <w:spacing w:after="0"/>
              <w:rPr>
                <w:sz w:val="1"/>
                <w:szCs w:val="1"/>
                <w:color w:val="auto"/>
              </w:rPr>
            </w:pPr>
          </w:p>
        </w:tc>
      </w:tr>
      <w:tr>
        <w:trPr>
          <w:trHeight w:val="42"/>
        </w:trPr>
        <w:tc>
          <w:tcPr>
            <w:tcW w:w="19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1940" w:type="dxa"/>
            <w:vAlign w:val="bottom"/>
          </w:tcPr>
          <w:p>
            <w:pPr>
              <w:ind w:left="20"/>
              <w:spacing w:after="0"/>
              <w:rPr>
                <w:sz w:val="20"/>
                <w:szCs w:val="20"/>
                <w:color w:val="auto"/>
              </w:rPr>
            </w:pPr>
            <w:r>
              <w:rPr>
                <w:rFonts w:ascii="Arial" w:cs="Arial" w:eastAsia="Arial" w:hAnsi="Arial"/>
                <w:sz w:val="14"/>
                <w:szCs w:val="14"/>
                <w:b w:val="1"/>
                <w:bCs w:val="1"/>
                <w:color w:val="0C426A"/>
              </w:rPr>
              <w:t>David L. DeNinno</w:t>
            </w:r>
          </w:p>
        </w:tc>
        <w:tc>
          <w:tcPr>
            <w:tcW w:w="740" w:type="dxa"/>
            <w:vAlign w:val="bottom"/>
          </w:tcPr>
          <w:p>
            <w:pPr>
              <w:ind w:left="68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620" w:type="dxa"/>
            <w:vAlign w:val="bottom"/>
          </w:tcPr>
          <w:p>
            <w:pPr>
              <w:jc w:val="center"/>
              <w:ind w:right="531"/>
              <w:spacing w:after="0"/>
              <w:rPr>
                <w:sz w:val="20"/>
                <w:szCs w:val="20"/>
                <w:color w:val="auto"/>
              </w:rPr>
            </w:pPr>
            <w:r>
              <w:rPr>
                <w:rFonts w:ascii="Times New Roman" w:cs="Times New Roman" w:eastAsia="Times New Roman" w:hAnsi="Times New Roman"/>
                <w:sz w:val="2"/>
                <w:szCs w:val="2"/>
                <w:color w:val="auto"/>
                <w:w w:val="4294942296"/>
              </w:rPr>
              <w:t>​</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​15,136</w:t>
            </w:r>
            <w:r>
              <w:rPr>
                <w:rFonts w:ascii="Times New Roman" w:cs="Times New Roman" w:eastAsia="Times New Roman" w:hAnsi="Times New Roman"/>
                <w:sz w:val="3"/>
                <w:szCs w:val="3"/>
                <w:color w:val="auto"/>
              </w:rPr>
              <w:t>​</w:t>
            </w:r>
          </w:p>
        </w:tc>
        <w:tc>
          <w:tcPr>
            <w:tcW w:w="600" w:type="dxa"/>
            <w:vAlign w:val="bottom"/>
          </w:tcPr>
          <w:p>
            <w:pPr>
              <w:jc w:val="center"/>
              <w:ind w:right="482"/>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$1,501,868</w:t>
            </w:r>
          </w:p>
        </w:tc>
        <w:tc>
          <w:tcPr>
            <w:tcW w:w="0" w:type="dxa"/>
            <w:vAlign w:val="bottom"/>
          </w:tcPr>
          <w:p>
            <w:pPr>
              <w:spacing w:after="0"/>
              <w:rPr>
                <w:sz w:val="1"/>
                <w:szCs w:val="1"/>
                <w:color w:val="auto"/>
              </w:rPr>
            </w:pPr>
          </w:p>
        </w:tc>
      </w:tr>
      <w:tr>
        <w:trPr>
          <w:trHeight w:val="42"/>
        </w:trPr>
        <w:tc>
          <w:tcPr>
            <w:tcW w:w="19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1940" w:type="dxa"/>
            <w:vAlign w:val="bottom"/>
          </w:tcPr>
          <w:p>
            <w:pPr>
              <w:ind w:left="20"/>
              <w:spacing w:after="0"/>
              <w:rPr>
                <w:sz w:val="20"/>
                <w:szCs w:val="20"/>
                <w:color w:val="auto"/>
              </w:rPr>
            </w:pPr>
            <w:r>
              <w:rPr>
                <w:rFonts w:ascii="Arial" w:cs="Arial" w:eastAsia="Arial" w:hAnsi="Arial"/>
                <w:sz w:val="14"/>
                <w:szCs w:val="14"/>
                <w:b w:val="1"/>
                <w:bCs w:val="1"/>
                <w:color w:val="0C426A"/>
              </w:rPr>
              <w:t>Pascal Schweitzer</w:t>
            </w:r>
          </w:p>
        </w:tc>
        <w:tc>
          <w:tcPr>
            <w:tcW w:w="740" w:type="dxa"/>
            <w:vAlign w:val="bottom"/>
          </w:tcPr>
          <w:p>
            <w:pPr>
              <w:ind w:left="68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620" w:type="dxa"/>
            <w:vAlign w:val="bottom"/>
          </w:tcPr>
          <w:p>
            <w:pPr>
              <w:jc w:val="center"/>
              <w:ind w:right="531"/>
              <w:spacing w:after="0"/>
              <w:rPr>
                <w:sz w:val="20"/>
                <w:szCs w:val="20"/>
                <w:color w:val="auto"/>
              </w:rPr>
            </w:pPr>
            <w:r>
              <w:rPr>
                <w:rFonts w:ascii="Times New Roman" w:cs="Times New Roman" w:eastAsia="Times New Roman" w:hAnsi="Times New Roman"/>
                <w:sz w:val="2"/>
                <w:szCs w:val="2"/>
                <w:color w:val="auto"/>
                <w:w w:val="4294942296"/>
              </w:rPr>
              <w:t>​</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​10,736</w:t>
            </w:r>
            <w:r>
              <w:rPr>
                <w:rFonts w:ascii="Times New Roman" w:cs="Times New Roman" w:eastAsia="Times New Roman" w:hAnsi="Times New Roman"/>
                <w:sz w:val="3"/>
                <w:szCs w:val="3"/>
                <w:color w:val="auto"/>
              </w:rPr>
              <w:t>​</w:t>
            </w:r>
          </w:p>
        </w:tc>
        <w:tc>
          <w:tcPr>
            <w:tcW w:w="600" w:type="dxa"/>
            <w:vAlign w:val="bottom"/>
          </w:tcPr>
          <w:p>
            <w:pPr>
              <w:jc w:val="center"/>
              <w:ind w:right="482"/>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$1,067,369</w:t>
            </w:r>
          </w:p>
        </w:tc>
        <w:tc>
          <w:tcPr>
            <w:tcW w:w="0" w:type="dxa"/>
            <w:vAlign w:val="bottom"/>
          </w:tcPr>
          <w:p>
            <w:pPr>
              <w:spacing w:after="0"/>
              <w:rPr>
                <w:sz w:val="1"/>
                <w:szCs w:val="1"/>
                <w:color w:val="auto"/>
              </w:rPr>
            </w:pPr>
          </w:p>
        </w:tc>
      </w:tr>
      <w:tr>
        <w:trPr>
          <w:trHeight w:val="42"/>
        </w:trPr>
        <w:tc>
          <w:tcPr>
            <w:tcW w:w="19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1940" w:type="dxa"/>
            <w:vAlign w:val="bottom"/>
          </w:tcPr>
          <w:p>
            <w:pPr>
              <w:ind w:left="20"/>
              <w:spacing w:after="0"/>
              <w:rPr>
                <w:sz w:val="20"/>
                <w:szCs w:val="20"/>
                <w:color w:val="auto"/>
              </w:rPr>
            </w:pPr>
            <w:r>
              <w:rPr>
                <w:rFonts w:ascii="Arial" w:cs="Arial" w:eastAsia="Arial" w:hAnsi="Arial"/>
                <w:sz w:val="14"/>
                <w:szCs w:val="14"/>
                <w:b w:val="1"/>
                <w:bCs w:val="1"/>
                <w:color w:val="0C426A"/>
              </w:rPr>
              <w:t>Eric Gebhardt</w:t>
            </w:r>
          </w:p>
        </w:tc>
        <w:tc>
          <w:tcPr>
            <w:tcW w:w="740" w:type="dxa"/>
            <w:vAlign w:val="bottom"/>
          </w:tcPr>
          <w:p>
            <w:pPr>
              <w:ind w:left="68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620" w:type="dxa"/>
            <w:vAlign w:val="bottom"/>
          </w:tcPr>
          <w:p>
            <w:pPr>
              <w:jc w:val="center"/>
              <w:ind w:right="531"/>
              <w:spacing w:after="0"/>
              <w:rPr>
                <w:sz w:val="20"/>
                <w:szCs w:val="20"/>
                <w:color w:val="auto"/>
              </w:rPr>
            </w:pPr>
            <w:r>
              <w:rPr>
                <w:rFonts w:ascii="Times New Roman" w:cs="Times New Roman" w:eastAsia="Times New Roman" w:hAnsi="Times New Roman"/>
                <w:sz w:val="2"/>
                <w:szCs w:val="2"/>
                <w:color w:val="auto"/>
                <w:w w:val="4294942296"/>
              </w:rPr>
              <w:t>​</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 2,170</w:t>
            </w:r>
            <w:r>
              <w:rPr>
                <w:rFonts w:ascii="Times New Roman" w:cs="Times New Roman" w:eastAsia="Times New Roman" w:hAnsi="Times New Roman"/>
                <w:sz w:val="3"/>
                <w:szCs w:val="3"/>
                <w:color w:val="auto"/>
              </w:rPr>
              <w:t>​</w:t>
            </w:r>
          </w:p>
        </w:tc>
        <w:tc>
          <w:tcPr>
            <w:tcW w:w="600" w:type="dxa"/>
            <w:vAlign w:val="bottom"/>
          </w:tcPr>
          <w:p>
            <w:pPr>
              <w:jc w:val="center"/>
              <w:ind w:right="482"/>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  227,628​</w:t>
            </w:r>
          </w:p>
        </w:tc>
        <w:tc>
          <w:tcPr>
            <w:tcW w:w="0" w:type="dxa"/>
            <w:vAlign w:val="bottom"/>
          </w:tcPr>
          <w:p>
            <w:pPr>
              <w:spacing w:after="0"/>
              <w:rPr>
                <w:sz w:val="1"/>
                <w:szCs w:val="1"/>
                <w:color w:val="auto"/>
              </w:rPr>
            </w:pPr>
          </w:p>
        </w:tc>
      </w:tr>
      <w:tr>
        <w:trPr>
          <w:trHeight w:val="42"/>
        </w:trPr>
        <w:tc>
          <w:tcPr>
            <w:tcW w:w="1940" w:type="dxa"/>
            <w:vAlign w:val="bottom"/>
            <w:tcBorders>
              <w:bottom w:val="single" w:sz="8" w:color="0C426A"/>
            </w:tcBorders>
          </w:tcPr>
          <w:p>
            <w:pPr>
              <w:spacing w:after="0"/>
              <w:rPr>
                <w:sz w:val="3"/>
                <w:szCs w:val="3"/>
                <w:color w:val="auto"/>
              </w:rPr>
            </w:pPr>
          </w:p>
        </w:tc>
        <w:tc>
          <w:tcPr>
            <w:tcW w:w="740" w:type="dxa"/>
            <w:vAlign w:val="bottom"/>
            <w:tcBorders>
              <w:bottom w:val="single" w:sz="8" w:color="0C426A"/>
            </w:tcBorders>
          </w:tcPr>
          <w:p>
            <w:pPr>
              <w:spacing w:after="0"/>
              <w:rPr>
                <w:sz w:val="3"/>
                <w:szCs w:val="3"/>
                <w:color w:val="auto"/>
              </w:rPr>
            </w:pPr>
          </w:p>
        </w:tc>
        <w:tc>
          <w:tcPr>
            <w:tcW w:w="140" w:type="dxa"/>
            <w:vAlign w:val="bottom"/>
            <w:tcBorders>
              <w:bottom w:val="single" w:sz="8" w:color="0C426A"/>
            </w:tcBorders>
          </w:tcPr>
          <w:p>
            <w:pPr>
              <w:spacing w:after="0"/>
              <w:rPr>
                <w:sz w:val="3"/>
                <w:szCs w:val="3"/>
                <w:color w:val="auto"/>
              </w:rPr>
            </w:pPr>
          </w:p>
        </w:tc>
        <w:tc>
          <w:tcPr>
            <w:tcW w:w="1440" w:type="dxa"/>
            <w:vAlign w:val="bottom"/>
            <w:tcBorders>
              <w:bottom w:val="single" w:sz="8" w:color="0C426A"/>
            </w:tcBorders>
          </w:tcPr>
          <w:p>
            <w:pPr>
              <w:spacing w:after="0"/>
              <w:rPr>
                <w:sz w:val="3"/>
                <w:szCs w:val="3"/>
                <w:color w:val="auto"/>
              </w:rPr>
            </w:pPr>
          </w:p>
        </w:tc>
        <w:tc>
          <w:tcPr>
            <w:tcW w:w="620" w:type="dxa"/>
            <w:vAlign w:val="bottom"/>
            <w:tcBorders>
              <w:bottom w:val="single" w:sz="8" w:color="0C426A"/>
            </w:tcBorders>
          </w:tcPr>
          <w:p>
            <w:pPr>
              <w:spacing w:after="0"/>
              <w:rPr>
                <w:sz w:val="3"/>
                <w:szCs w:val="3"/>
                <w:color w:val="auto"/>
              </w:rPr>
            </w:pPr>
          </w:p>
        </w:tc>
        <w:tc>
          <w:tcPr>
            <w:tcW w:w="900" w:type="dxa"/>
            <w:vAlign w:val="bottom"/>
            <w:tcBorders>
              <w:bottom w:val="single" w:sz="8" w:color="0C426A"/>
            </w:tcBorders>
          </w:tcPr>
          <w:p>
            <w:pPr>
              <w:spacing w:after="0"/>
              <w:rPr>
                <w:sz w:val="3"/>
                <w:szCs w:val="3"/>
                <w:color w:val="auto"/>
              </w:rPr>
            </w:pPr>
          </w:p>
        </w:tc>
        <w:tc>
          <w:tcPr>
            <w:tcW w:w="60" w:type="dxa"/>
            <w:vAlign w:val="bottom"/>
            <w:tcBorders>
              <w:bottom w:val="single" w:sz="8" w:color="0C426A"/>
            </w:tcBorders>
          </w:tcPr>
          <w:p>
            <w:pPr>
              <w:spacing w:after="0"/>
              <w:rPr>
                <w:sz w:val="3"/>
                <w:szCs w:val="3"/>
                <w:color w:val="auto"/>
              </w:rPr>
            </w:pPr>
          </w:p>
        </w:tc>
        <w:tc>
          <w:tcPr>
            <w:tcW w:w="140" w:type="dxa"/>
            <w:vAlign w:val="bottom"/>
            <w:tcBorders>
              <w:bottom w:val="single" w:sz="8" w:color="0C426A"/>
            </w:tcBorders>
          </w:tcPr>
          <w:p>
            <w:pPr>
              <w:spacing w:after="0"/>
              <w:rPr>
                <w:sz w:val="3"/>
                <w:szCs w:val="3"/>
                <w:color w:val="auto"/>
              </w:rPr>
            </w:pPr>
          </w:p>
        </w:tc>
        <w:tc>
          <w:tcPr>
            <w:tcW w:w="1440" w:type="dxa"/>
            <w:vAlign w:val="bottom"/>
            <w:tcBorders>
              <w:bottom w:val="single" w:sz="8" w:color="0C426A"/>
            </w:tcBorders>
          </w:tcPr>
          <w:p>
            <w:pPr>
              <w:spacing w:after="0"/>
              <w:rPr>
                <w:sz w:val="3"/>
                <w:szCs w:val="3"/>
                <w:color w:val="auto"/>
              </w:rPr>
            </w:pPr>
          </w:p>
        </w:tc>
        <w:tc>
          <w:tcPr>
            <w:tcW w:w="600" w:type="dxa"/>
            <w:vAlign w:val="bottom"/>
            <w:tcBorders>
              <w:bottom w:val="single" w:sz="8" w:color="0C426A"/>
            </w:tcBorders>
          </w:tcPr>
          <w:p>
            <w:pPr>
              <w:spacing w:after="0"/>
              <w:rPr>
                <w:sz w:val="3"/>
                <w:szCs w:val="3"/>
                <w:color w:val="auto"/>
              </w:rPr>
            </w:pPr>
          </w:p>
        </w:tc>
        <w:tc>
          <w:tcPr>
            <w:tcW w:w="960" w:type="dxa"/>
            <w:vAlign w:val="bottom"/>
            <w:tcBorders>
              <w:bottom w:val="single" w:sz="8" w:color="0C426A"/>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180" w:right="59" w:hanging="175"/>
        <w:spacing w:after="0" w:line="187" w:lineRule="auto"/>
        <w:tabs>
          <w:tab w:leader="none" w:pos="180" w:val="left"/>
        </w:tabs>
        <w:numPr>
          <w:ilvl w:val="0"/>
          <w:numId w:val="59"/>
        </w:numPr>
        <w:rPr>
          <w:rFonts w:ascii="Arial" w:cs="Arial" w:eastAsia="Arial" w:hAnsi="Arial"/>
          <w:sz w:val="21"/>
          <w:szCs w:val="21"/>
          <w:color w:val="auto"/>
          <w:vertAlign w:val="superscript"/>
        </w:rPr>
      </w:pPr>
      <w:r>
        <w:rPr>
          <w:rFonts w:ascii="Arial" w:cs="Arial" w:eastAsia="Arial" w:hAnsi="Arial"/>
          <w:sz w:val="14"/>
          <w:szCs w:val="14"/>
          <w:color w:val="auto"/>
        </w:rPr>
        <w:t>Calculated by multiplying the number of shares of restricted stock that vested by the market price of Wabtec’s common stock on the vesting date.</w:t>
      </w:r>
    </w:p>
    <w:p>
      <w:pPr>
        <w:spacing w:after="0" w:line="9" w:lineRule="exact"/>
        <w:rPr>
          <w:sz w:val="20"/>
          <w:szCs w:val="20"/>
          <w:color w:val="auto"/>
        </w:rPr>
      </w:pPr>
    </w:p>
    <w:p>
      <w:pPr>
        <w:ind w:left="180" w:hanging="175"/>
        <w:spacing w:after="0"/>
        <w:tabs>
          <w:tab w:leader="none" w:pos="180" w:val="left"/>
        </w:tabs>
        <w:numPr>
          <w:ilvl w:val="0"/>
          <w:numId w:val="60"/>
        </w:numPr>
        <w:rPr>
          <w:rFonts w:ascii="Arial" w:cs="Arial" w:eastAsia="Arial" w:hAnsi="Arial"/>
          <w:sz w:val="21"/>
          <w:szCs w:val="21"/>
          <w:color w:val="auto"/>
          <w:vertAlign w:val="superscript"/>
        </w:rPr>
      </w:pPr>
      <w:r>
        <w:rPr>
          <w:rFonts w:ascii="Arial" w:cs="Arial" w:eastAsia="Arial" w:hAnsi="Arial"/>
          <w:sz w:val="14"/>
          <w:szCs w:val="14"/>
          <w:color w:val="auto"/>
        </w:rPr>
        <w:t>This includes a payout of awards with a 2020-2022 performance period granted under the long-term incentive plan.</w:t>
      </w:r>
    </w:p>
    <w:p>
      <w:pPr>
        <w:spacing w:after="0" w:line="364" w:lineRule="exact"/>
        <w:rPr>
          <w:sz w:val="20"/>
          <w:szCs w:val="20"/>
          <w:color w:val="auto"/>
        </w:rPr>
      </w:pPr>
    </w:p>
    <w:p>
      <w:pPr>
        <w:spacing w:after="0"/>
        <w:rPr>
          <w:sz w:val="20"/>
          <w:szCs w:val="20"/>
          <w:color w:val="auto"/>
        </w:rPr>
      </w:pPr>
      <w:r>
        <w:rPr>
          <w:rFonts w:ascii="Arial" w:cs="Arial" w:eastAsia="Arial" w:hAnsi="Arial"/>
          <w:sz w:val="29"/>
          <w:szCs w:val="29"/>
          <w:color w:val="636466"/>
        </w:rPr>
        <w:t>Nonqualified Deferred Compensation</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Aggregate</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3"/>
        </w:trPr>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39"/>
              <w:spacing w:after="0" w:line="143" w:lineRule="exact"/>
              <w:rPr>
                <w:sz w:val="20"/>
                <w:szCs w:val="20"/>
                <w:color w:val="auto"/>
              </w:rPr>
            </w:pPr>
            <w:r>
              <w:rPr>
                <w:rFonts w:ascii="Arial" w:cs="Arial" w:eastAsia="Arial" w:hAnsi="Arial"/>
                <w:sz w:val="14"/>
                <w:szCs w:val="14"/>
                <w:b w:val="1"/>
                <w:bCs w:val="1"/>
                <w:color w:val="auto"/>
              </w:rPr>
              <w:t>Registrant</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ind w:right="59"/>
              <w:spacing w:after="0" w:line="143" w:lineRule="exact"/>
              <w:rPr>
                <w:sz w:val="20"/>
                <w:szCs w:val="20"/>
                <w:color w:val="auto"/>
              </w:rPr>
            </w:pPr>
            <w:r>
              <w:rPr>
                <w:rFonts w:ascii="Arial" w:cs="Arial" w:eastAsia="Arial" w:hAnsi="Arial"/>
                <w:sz w:val="14"/>
                <w:szCs w:val="14"/>
                <w:b w:val="1"/>
                <w:bCs w:val="1"/>
                <w:color w:val="auto"/>
              </w:rPr>
              <w:t>Aggregate</w:t>
            </w:r>
          </w:p>
        </w:tc>
        <w:tc>
          <w:tcPr>
            <w:tcW w:w="280" w:type="dxa"/>
            <w:vAlign w:val="bottom"/>
          </w:tcPr>
          <w:p>
            <w:pPr>
              <w:spacing w:after="0"/>
              <w:rPr>
                <w:sz w:val="12"/>
                <w:szCs w:val="12"/>
                <w:color w:val="auto"/>
              </w:rPr>
            </w:pPr>
          </w:p>
        </w:tc>
        <w:tc>
          <w:tcPr>
            <w:tcW w:w="9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61"/>
        </w:trPr>
        <w:tc>
          <w:tcPr>
            <w:tcW w:w="940" w:type="dxa"/>
            <w:vAlign w:val="bottom"/>
          </w:tcPr>
          <w:p>
            <w:pPr>
              <w:spacing w:after="0"/>
              <w:rPr>
                <w:sz w:val="13"/>
                <w:szCs w:val="13"/>
                <w:color w:val="auto"/>
              </w:rPr>
            </w:pPr>
          </w:p>
        </w:tc>
        <w:tc>
          <w:tcPr>
            <w:tcW w:w="420" w:type="dxa"/>
            <w:vAlign w:val="bottom"/>
          </w:tcPr>
          <w:p>
            <w:pPr>
              <w:ind w:left="32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right"/>
              <w:ind w:right="29"/>
              <w:spacing w:after="0"/>
              <w:rPr>
                <w:sz w:val="20"/>
                <w:szCs w:val="20"/>
                <w:color w:val="auto"/>
              </w:rPr>
            </w:pPr>
            <w:r>
              <w:rPr>
                <w:rFonts w:ascii="Arial" w:cs="Arial" w:eastAsia="Arial" w:hAnsi="Arial"/>
                <w:sz w:val="14"/>
                <w:szCs w:val="14"/>
                <w:b w:val="1"/>
                <w:bCs w:val="1"/>
                <w:color w:val="auto"/>
              </w:rPr>
              <w:t>Executive</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40" w:type="dxa"/>
            <w:vAlign w:val="bottom"/>
          </w:tcPr>
          <w:p>
            <w:pPr>
              <w:jc w:val="right"/>
              <w:ind w:right="39"/>
              <w:spacing w:after="0"/>
              <w:rPr>
                <w:sz w:val="20"/>
                <w:szCs w:val="20"/>
                <w:color w:val="auto"/>
              </w:rPr>
            </w:pPr>
            <w:r>
              <w:rPr>
                <w:rFonts w:ascii="Arial" w:cs="Arial" w:eastAsia="Arial" w:hAnsi="Arial"/>
                <w:sz w:val="14"/>
                <w:szCs w:val="14"/>
                <w:b w:val="1"/>
                <w:bCs w:val="1"/>
                <w:color w:val="auto"/>
              </w:rPr>
              <w:t>Contributions</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ind w:right="31"/>
              <w:spacing w:after="0"/>
              <w:rPr>
                <w:sz w:val="20"/>
                <w:szCs w:val="20"/>
                <w:color w:val="auto"/>
              </w:rPr>
            </w:pPr>
            <w:r>
              <w:rPr>
                <w:rFonts w:ascii="Arial" w:cs="Arial" w:eastAsia="Arial" w:hAnsi="Arial"/>
                <w:sz w:val="14"/>
                <w:szCs w:val="14"/>
                <w:b w:val="1"/>
                <w:bCs w:val="1"/>
                <w:color w:val="auto"/>
              </w:rPr>
              <w:t>Earnings</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tcPr>
          <w:p>
            <w:pPr>
              <w:jc w:val="right"/>
              <w:ind w:right="39"/>
              <w:spacing w:after="0"/>
              <w:rPr>
                <w:sz w:val="20"/>
                <w:szCs w:val="20"/>
                <w:color w:val="auto"/>
              </w:rPr>
            </w:pPr>
            <w:r>
              <w:rPr>
                <w:rFonts w:ascii="Arial" w:cs="Arial" w:eastAsia="Arial" w:hAnsi="Arial"/>
                <w:sz w:val="14"/>
                <w:szCs w:val="14"/>
                <w:b w:val="1"/>
                <w:bCs w:val="1"/>
                <w:color w:val="auto"/>
              </w:rPr>
              <w:t>Withdrawals/</w:t>
            </w:r>
            <w:r>
              <w:rPr>
                <w:rFonts w:ascii="Times New Roman" w:cs="Times New Roman" w:eastAsia="Times New Roman" w:hAnsi="Times New Roman"/>
                <w:sz w:val="3"/>
                <w:szCs w:val="3"/>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61"/>
        </w:trPr>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ind w:right="49"/>
              <w:spacing w:after="0"/>
              <w:rPr>
                <w:sz w:val="20"/>
                <w:szCs w:val="20"/>
                <w:color w:val="auto"/>
              </w:rPr>
            </w:pPr>
            <w:r>
              <w:rPr>
                <w:rFonts w:ascii="Arial" w:cs="Arial" w:eastAsia="Arial" w:hAnsi="Arial"/>
                <w:sz w:val="14"/>
                <w:szCs w:val="14"/>
                <w:b w:val="1"/>
                <w:bCs w:val="1"/>
                <w:color w:val="auto"/>
              </w:rPr>
              <w:t>Contributions</w:t>
            </w:r>
          </w:p>
        </w:tc>
        <w:tc>
          <w:tcPr>
            <w:tcW w:w="220" w:type="dxa"/>
            <w:vAlign w:val="bottom"/>
          </w:tcPr>
          <w:p>
            <w:pPr>
              <w:spacing w:after="0"/>
              <w:rPr>
                <w:sz w:val="13"/>
                <w:szCs w:val="13"/>
                <w:color w:val="auto"/>
              </w:rPr>
            </w:pPr>
          </w:p>
        </w:tc>
        <w:tc>
          <w:tcPr>
            <w:tcW w:w="1140" w:type="dxa"/>
            <w:vAlign w:val="bottom"/>
          </w:tcPr>
          <w:p>
            <w:pPr>
              <w:jc w:val="right"/>
              <w:ind w:right="39"/>
              <w:spacing w:after="0"/>
              <w:rPr>
                <w:sz w:val="20"/>
                <w:szCs w:val="20"/>
                <w:color w:val="auto"/>
              </w:rPr>
            </w:pPr>
            <w:r>
              <w:rPr>
                <w:rFonts w:ascii="Arial" w:cs="Arial" w:eastAsia="Arial" w:hAnsi="Arial"/>
                <w:sz w:val="14"/>
                <w:szCs w:val="14"/>
                <w:b w:val="1"/>
                <w:bCs w:val="1"/>
                <w:color w:val="auto"/>
              </w:rPr>
              <w:t>in Last FY</w:t>
            </w:r>
          </w:p>
        </w:tc>
        <w:tc>
          <w:tcPr>
            <w:tcW w:w="220" w:type="dxa"/>
            <w:vAlign w:val="bottom"/>
          </w:tcPr>
          <w:p>
            <w:pPr>
              <w:spacing w:after="0"/>
              <w:rPr>
                <w:sz w:val="13"/>
                <w:szCs w:val="13"/>
                <w:color w:val="auto"/>
              </w:rPr>
            </w:pPr>
          </w:p>
        </w:tc>
        <w:tc>
          <w:tcPr>
            <w:tcW w:w="920" w:type="dxa"/>
            <w:vAlign w:val="bottom"/>
          </w:tcPr>
          <w:p>
            <w:pPr>
              <w:jc w:val="right"/>
              <w:ind w:right="31"/>
              <w:spacing w:after="0"/>
              <w:rPr>
                <w:sz w:val="20"/>
                <w:szCs w:val="20"/>
                <w:color w:val="auto"/>
              </w:rPr>
            </w:pPr>
            <w:r>
              <w:rPr>
                <w:rFonts w:ascii="Arial" w:cs="Arial" w:eastAsia="Arial" w:hAnsi="Arial"/>
                <w:sz w:val="14"/>
                <w:szCs w:val="14"/>
                <w:b w:val="1"/>
                <w:bCs w:val="1"/>
                <w:color w:val="auto"/>
              </w:rPr>
              <w:t>in Last FY</w:t>
            </w:r>
          </w:p>
        </w:tc>
        <w:tc>
          <w:tcPr>
            <w:tcW w:w="220" w:type="dxa"/>
            <w:vAlign w:val="bottom"/>
          </w:tcPr>
          <w:p>
            <w:pPr>
              <w:spacing w:after="0"/>
              <w:rPr>
                <w:sz w:val="13"/>
                <w:szCs w:val="13"/>
                <w:color w:val="auto"/>
              </w:rPr>
            </w:pPr>
          </w:p>
        </w:tc>
        <w:tc>
          <w:tcPr>
            <w:tcW w:w="1100" w:type="dxa"/>
            <w:vAlign w:val="bottom"/>
          </w:tcPr>
          <w:p>
            <w:pPr>
              <w:jc w:val="right"/>
              <w:ind w:right="59"/>
              <w:spacing w:after="0"/>
              <w:rPr>
                <w:sz w:val="20"/>
                <w:szCs w:val="20"/>
                <w:color w:val="auto"/>
              </w:rPr>
            </w:pPr>
            <w:r>
              <w:rPr>
                <w:rFonts w:ascii="Arial" w:cs="Arial" w:eastAsia="Arial" w:hAnsi="Arial"/>
                <w:sz w:val="14"/>
                <w:szCs w:val="14"/>
                <w:b w:val="1"/>
                <w:bCs w:val="1"/>
                <w:color w:val="auto"/>
              </w:rPr>
              <w:t>Distributions</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295"/>
        </w:trPr>
        <w:tc>
          <w:tcPr>
            <w:tcW w:w="940" w:type="dxa"/>
            <w:vAlign w:val="bottom"/>
            <w:tcBorders>
              <w:bottom w:val="single" w:sz="8" w:color="0C426A"/>
            </w:tcBorders>
          </w:tcPr>
          <w:p>
            <w:pPr>
              <w:ind w:left="20"/>
              <w:spacing w:after="0"/>
              <w:rPr>
                <w:sz w:val="20"/>
                <w:szCs w:val="20"/>
                <w:color w:val="auto"/>
              </w:rPr>
            </w:pPr>
            <w:r>
              <w:rPr>
                <w:rFonts w:ascii="Arial" w:cs="Arial" w:eastAsia="Arial" w:hAnsi="Arial"/>
                <w:sz w:val="14"/>
                <w:szCs w:val="14"/>
                <w:b w:val="1"/>
                <w:bCs w:val="1"/>
                <w:color w:val="auto"/>
              </w:rPr>
              <w:t>Name</w:t>
            </w:r>
          </w:p>
        </w:tc>
        <w:tc>
          <w:tcPr>
            <w:tcW w:w="420" w:type="dxa"/>
            <w:vAlign w:val="bottom"/>
            <w:tcBorders>
              <w:bottom w:val="single" w:sz="8" w:color="0C426A"/>
            </w:tcBorders>
          </w:tcPr>
          <w:p>
            <w:pPr>
              <w:spacing w:after="0"/>
              <w:rPr>
                <w:sz w:val="24"/>
                <w:szCs w:val="24"/>
                <w:color w:val="auto"/>
              </w:rPr>
            </w:pPr>
          </w:p>
        </w:tc>
        <w:tc>
          <w:tcPr>
            <w:tcW w:w="220" w:type="dxa"/>
            <w:vAlign w:val="bottom"/>
            <w:tcBorders>
              <w:bottom w:val="single" w:sz="8" w:color="0C426A"/>
            </w:tcBorders>
          </w:tcPr>
          <w:p>
            <w:pPr>
              <w:spacing w:after="0"/>
              <w:rPr>
                <w:sz w:val="24"/>
                <w:szCs w:val="24"/>
                <w:color w:val="auto"/>
              </w:rPr>
            </w:pPr>
          </w:p>
        </w:tc>
        <w:tc>
          <w:tcPr>
            <w:tcW w:w="1040" w:type="dxa"/>
            <w:vAlign w:val="bottom"/>
            <w:tcBorders>
              <w:bottom w:val="single" w:sz="8" w:color="0C426A"/>
            </w:tcBorders>
          </w:tcPr>
          <w:p>
            <w:pPr>
              <w:jc w:val="right"/>
              <w:ind w:right="66"/>
              <w:spacing w:after="0"/>
              <w:rPr>
                <w:sz w:val="20"/>
                <w:szCs w:val="20"/>
                <w:color w:val="auto"/>
              </w:rPr>
            </w:pPr>
            <w:r>
              <w:rPr>
                <w:rFonts w:ascii="Arial" w:cs="Arial" w:eastAsia="Arial" w:hAnsi="Arial"/>
                <w:sz w:val="14"/>
                <w:szCs w:val="14"/>
                <w:b w:val="1"/>
                <w:bCs w:val="1"/>
                <w:color w:val="auto"/>
              </w:rPr>
              <w:t>Plan Name</w:t>
            </w:r>
          </w:p>
        </w:tc>
        <w:tc>
          <w:tcPr>
            <w:tcW w:w="200" w:type="dxa"/>
            <w:vAlign w:val="bottom"/>
            <w:tcBorders>
              <w:bottom w:val="single" w:sz="8" w:color="0C426A"/>
            </w:tcBorders>
          </w:tcPr>
          <w:p>
            <w:pPr>
              <w:spacing w:after="0"/>
              <w:rPr>
                <w:sz w:val="24"/>
                <w:szCs w:val="24"/>
                <w:color w:val="auto"/>
              </w:rPr>
            </w:pPr>
          </w:p>
        </w:tc>
        <w:tc>
          <w:tcPr>
            <w:tcW w:w="1160" w:type="dxa"/>
            <w:vAlign w:val="bottom"/>
            <w:tcBorders>
              <w:bottom w:val="single" w:sz="8" w:color="0C426A"/>
            </w:tcBorders>
          </w:tcPr>
          <w:p>
            <w:pPr>
              <w:jc w:val="right"/>
              <w:ind w:right="49"/>
              <w:spacing w:after="0"/>
              <w:rPr>
                <w:sz w:val="20"/>
                <w:szCs w:val="20"/>
                <w:color w:val="auto"/>
              </w:rPr>
            </w:pPr>
            <w:r>
              <w:rPr>
                <w:rFonts w:ascii="Arial" w:cs="Arial" w:eastAsia="Arial" w:hAnsi="Arial"/>
                <w:sz w:val="14"/>
                <w:szCs w:val="14"/>
                <w:b w:val="1"/>
                <w:bCs w:val="1"/>
                <w:color w:val="auto"/>
              </w:rPr>
              <w:t>in Last FY</w:t>
            </w:r>
            <w:r>
              <w:rPr>
                <w:rFonts w:ascii="Arial" w:cs="Arial" w:eastAsia="Arial" w:hAnsi="Arial"/>
                <w:sz w:val="23"/>
                <w:szCs w:val="23"/>
                <w:b w:val="1"/>
                <w:bCs w:val="1"/>
                <w:color w:val="auto"/>
                <w:vertAlign w:val="superscript"/>
              </w:rPr>
              <w:t>(1)</w:t>
            </w:r>
          </w:p>
        </w:tc>
        <w:tc>
          <w:tcPr>
            <w:tcW w:w="220" w:type="dxa"/>
            <w:vAlign w:val="bottom"/>
            <w:tcBorders>
              <w:bottom w:val="single" w:sz="8" w:color="0C426A"/>
            </w:tcBorders>
          </w:tcPr>
          <w:p>
            <w:pPr>
              <w:spacing w:after="0"/>
              <w:rPr>
                <w:sz w:val="24"/>
                <w:szCs w:val="24"/>
                <w:color w:val="auto"/>
              </w:rPr>
            </w:pPr>
          </w:p>
        </w:tc>
        <w:tc>
          <w:tcPr>
            <w:tcW w:w="1140" w:type="dxa"/>
            <w:vAlign w:val="bottom"/>
            <w:tcBorders>
              <w:bottom w:val="single" w:sz="8" w:color="0C426A"/>
            </w:tcBorders>
          </w:tcPr>
          <w:p>
            <w:pPr>
              <w:jc w:val="right"/>
              <w:ind w:right="39"/>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0C426A"/>
            </w:tcBorders>
          </w:tcPr>
          <w:p>
            <w:pPr>
              <w:spacing w:after="0"/>
              <w:rPr>
                <w:sz w:val="24"/>
                <w:szCs w:val="24"/>
                <w:color w:val="auto"/>
              </w:rPr>
            </w:pPr>
          </w:p>
        </w:tc>
        <w:tc>
          <w:tcPr>
            <w:tcW w:w="920" w:type="dxa"/>
            <w:vAlign w:val="bottom"/>
            <w:tcBorders>
              <w:bottom w:val="single" w:sz="8" w:color="0C426A"/>
            </w:tcBorders>
          </w:tcPr>
          <w:p>
            <w:pPr>
              <w:jc w:val="right"/>
              <w:ind w:right="31"/>
              <w:spacing w:after="0" w:line="294"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(2)</w:t>
            </w:r>
          </w:p>
        </w:tc>
        <w:tc>
          <w:tcPr>
            <w:tcW w:w="220" w:type="dxa"/>
            <w:vAlign w:val="bottom"/>
            <w:tcBorders>
              <w:bottom w:val="single" w:sz="8" w:color="0C426A"/>
            </w:tcBorders>
          </w:tcPr>
          <w:p>
            <w:pPr>
              <w:spacing w:after="0"/>
              <w:rPr>
                <w:sz w:val="24"/>
                <w:szCs w:val="24"/>
                <w:color w:val="auto"/>
              </w:rPr>
            </w:pPr>
          </w:p>
        </w:tc>
        <w:tc>
          <w:tcPr>
            <w:tcW w:w="1100" w:type="dxa"/>
            <w:vAlign w:val="bottom"/>
            <w:tcBorders>
              <w:bottom w:val="single" w:sz="8" w:color="0C426A"/>
            </w:tcBorders>
          </w:tcPr>
          <w:p>
            <w:pPr>
              <w:jc w:val="right"/>
              <w:ind w:right="59"/>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0C426A"/>
            </w:tcBorders>
          </w:tcPr>
          <w:p>
            <w:pPr>
              <w:spacing w:after="0"/>
              <w:rPr>
                <w:sz w:val="24"/>
                <w:szCs w:val="24"/>
                <w:color w:val="auto"/>
              </w:rPr>
            </w:pPr>
          </w:p>
        </w:tc>
        <w:tc>
          <w:tcPr>
            <w:tcW w:w="900" w:type="dxa"/>
            <w:vAlign w:val="bottom"/>
            <w:tcBorders>
              <w:bottom w:val="single" w:sz="8" w:color="0C426A"/>
            </w:tcBorders>
          </w:tcPr>
          <w:p>
            <w:pPr>
              <w:jc w:val="right"/>
              <w:spacing w:after="0"/>
              <w:rPr>
                <w:sz w:val="20"/>
                <w:szCs w:val="20"/>
                <w:color w:val="auto"/>
              </w:rPr>
            </w:pPr>
            <w:r>
              <w:rPr>
                <w:rFonts w:ascii="Arial" w:cs="Arial" w:eastAsia="Arial" w:hAnsi="Arial"/>
                <w:sz w:val="14"/>
                <w:szCs w:val="14"/>
                <w:b w:val="1"/>
                <w:bCs w:val="1"/>
                <w:color w:val="auto"/>
              </w:rPr>
              <w:t>2023 ($)</w:t>
            </w:r>
          </w:p>
        </w:tc>
        <w:tc>
          <w:tcPr>
            <w:tcW w:w="0" w:type="dxa"/>
            <w:vAlign w:val="bottom"/>
          </w:tcPr>
          <w:p>
            <w:pPr>
              <w:spacing w:after="0"/>
              <w:rPr>
                <w:sz w:val="1"/>
                <w:szCs w:val="1"/>
                <w:color w:val="auto"/>
              </w:rPr>
            </w:pPr>
          </w:p>
        </w:tc>
      </w:tr>
      <w:tr>
        <w:trPr>
          <w:trHeight w:val="280"/>
        </w:trPr>
        <w:tc>
          <w:tcPr>
            <w:tcW w:w="940" w:type="dxa"/>
            <w:vAlign w:val="bottom"/>
          </w:tcPr>
          <w:p>
            <w:pPr>
              <w:ind w:left="20"/>
              <w:spacing w:after="0"/>
              <w:rPr>
                <w:sz w:val="20"/>
                <w:szCs w:val="20"/>
                <w:color w:val="auto"/>
              </w:rPr>
            </w:pPr>
            <w:r>
              <w:rPr>
                <w:rFonts w:ascii="Arial" w:cs="Arial" w:eastAsia="Arial" w:hAnsi="Arial"/>
                <w:sz w:val="14"/>
                <w:szCs w:val="14"/>
                <w:color w:val="auto"/>
              </w:rPr>
              <w:t>John Olin</w:t>
            </w:r>
          </w:p>
        </w:tc>
        <w:tc>
          <w:tcPr>
            <w:tcW w:w="420" w:type="dxa"/>
            <w:vAlign w:val="bottom"/>
          </w:tcPr>
          <w:p>
            <w:pPr>
              <w:ind w:left="32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jc w:val="right"/>
              <w:ind w:right="46"/>
              <w:spacing w:after="0"/>
              <w:rPr>
                <w:sz w:val="20"/>
                <w:szCs w:val="20"/>
                <w:color w:val="auto"/>
              </w:rPr>
            </w:pPr>
            <w:r>
              <w:rPr>
                <w:rFonts w:ascii="Arial" w:cs="Arial" w:eastAsia="Arial" w:hAnsi="Arial"/>
                <w:sz w:val="14"/>
                <w:szCs w:val="14"/>
                <w:color w:val="auto"/>
              </w:rPr>
              <w:t>Wabtec Plan</w:t>
            </w:r>
            <w:r>
              <w:rPr>
                <w:rFonts w:ascii="Times New Roman" w:cs="Times New Roman" w:eastAsia="Times New Roman" w:hAnsi="Times New Roman"/>
                <w:sz w:val="3"/>
                <w:szCs w:val="3"/>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$​114,900</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ind w:right="31"/>
              <w:spacing w:after="0"/>
              <w:rPr>
                <w:sz w:val="20"/>
                <w:szCs w:val="20"/>
                <w:color w:val="auto"/>
              </w:rPr>
            </w:pPr>
            <w:r>
              <w:rPr>
                <w:rFonts w:ascii="Arial" w:cs="Arial" w:eastAsia="Arial" w:hAnsi="Arial"/>
                <w:sz w:val="14"/>
                <w:szCs w:val="14"/>
                <w:color w:val="auto"/>
              </w:rPr>
              <w:t>$4,817</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$119,307</w:t>
            </w:r>
          </w:p>
        </w:tc>
        <w:tc>
          <w:tcPr>
            <w:tcW w:w="0" w:type="dxa"/>
            <w:vAlign w:val="bottom"/>
          </w:tcPr>
          <w:p>
            <w:pPr>
              <w:spacing w:after="0"/>
              <w:rPr>
                <w:sz w:val="1"/>
                <w:szCs w:val="1"/>
                <w:color w:val="auto"/>
              </w:rPr>
            </w:pPr>
          </w:p>
        </w:tc>
      </w:tr>
      <w:tr>
        <w:trPr>
          <w:trHeight w:val="48"/>
        </w:trPr>
        <w:tc>
          <w:tcPr>
            <w:tcW w:w="9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80" w:hanging="175"/>
        <w:spacing w:after="0"/>
        <w:tabs>
          <w:tab w:leader="none" w:pos="180" w:val="left"/>
        </w:tabs>
        <w:numPr>
          <w:ilvl w:val="0"/>
          <w:numId w:val="61"/>
        </w:numPr>
        <w:rPr>
          <w:rFonts w:ascii="Arial" w:cs="Arial" w:eastAsia="Arial" w:hAnsi="Arial"/>
          <w:sz w:val="21"/>
          <w:szCs w:val="21"/>
          <w:color w:val="auto"/>
          <w:vertAlign w:val="superscript"/>
        </w:rPr>
      </w:pPr>
      <w:r>
        <w:rPr>
          <w:rFonts w:ascii="Arial" w:cs="Arial" w:eastAsia="Arial" w:hAnsi="Arial"/>
          <w:sz w:val="14"/>
          <w:szCs w:val="14"/>
          <w:color w:val="auto"/>
        </w:rPr>
        <w:t>This entire amount was included as compensation in the Summary Compensation Table for the last completed fiscal year.</w:t>
      </w:r>
    </w:p>
    <w:p>
      <w:pPr>
        <w:spacing w:after="0" w:line="47" w:lineRule="exact"/>
        <w:rPr>
          <w:sz w:val="20"/>
          <w:szCs w:val="20"/>
          <w:color w:val="auto"/>
        </w:rPr>
      </w:pPr>
    </w:p>
    <w:p>
      <w:pPr>
        <w:ind w:left="180" w:right="99" w:hanging="175"/>
        <w:spacing w:after="0" w:line="217" w:lineRule="auto"/>
        <w:tabs>
          <w:tab w:leader="none" w:pos="180" w:val="left"/>
        </w:tabs>
        <w:numPr>
          <w:ilvl w:val="0"/>
          <w:numId w:val="62"/>
        </w:numPr>
        <w:rPr>
          <w:rFonts w:ascii="Arial" w:cs="Arial" w:eastAsia="Arial" w:hAnsi="Arial"/>
          <w:sz w:val="21"/>
          <w:szCs w:val="21"/>
          <w:color w:val="auto"/>
          <w:vertAlign w:val="superscript"/>
        </w:rPr>
      </w:pPr>
      <w:r>
        <w:rPr>
          <w:rFonts w:ascii="Arial" w:cs="Arial" w:eastAsia="Arial" w:hAnsi="Arial"/>
          <w:sz w:val="14"/>
          <w:szCs w:val="14"/>
          <w:color w:val="auto"/>
        </w:rPr>
        <w:t>Amount disclosed for Mr. Olin represents the total earnings on his 2023 deferrals to the deferred compensation plan, which earned a return for the year based on the prime rate plus 1%, (total of 8.5%). $2,427 of the earnings were from “above market” earnings under SEC rules which amount was included in the Summary Compensation Table for the last completed fiscal year.</w:t>
      </w:r>
    </w:p>
    <w:p>
      <w:pPr>
        <w:spacing w:after="0" w:line="128" w:lineRule="exact"/>
        <w:rPr>
          <w:sz w:val="20"/>
          <w:szCs w:val="20"/>
          <w:color w:val="auto"/>
        </w:rPr>
      </w:pPr>
    </w:p>
    <w:p>
      <w:pPr>
        <w:ind w:right="99"/>
        <w:spacing w:after="0" w:line="247" w:lineRule="auto"/>
        <w:rPr>
          <w:sz w:val="20"/>
          <w:szCs w:val="20"/>
          <w:color w:val="auto"/>
        </w:rPr>
      </w:pPr>
      <w:r>
        <w:rPr>
          <w:rFonts w:ascii="Arial" w:cs="Arial" w:eastAsia="Arial" w:hAnsi="Arial"/>
          <w:sz w:val="16"/>
          <w:szCs w:val="16"/>
          <w:color w:val="auto"/>
        </w:rPr>
        <w:t>Wabtec sponsors a deferred compensation plan (the “DC plan”) for certain executive officers and non-employee directors. Under the DC plan, executive officers may contribute pre-tax up to (i) 75% of their base salary, (ii) up to 100% of their cash bonus, and (iii) up to 100% of their performance units. Each participant must re-enroll and make contribution elections on an annual basis. Under the DC plan, distributions may occur at retirement or at specified times chosen by the plan participant. A plan participant may also apply for distribution of their account balance in the event of unforeseeable emergencies. Upon death, all account balances are paid to the plan participant’s beneficiary in a lump sum. The DC plan allows for payments via lump sum or in installments (from two to ten years). The DC plan was redesigned during 2023. For 2023 deferrals, the only investment option paid the prime rate plus 1%. With the plan redesign, the prime plus 1% was eliminated as an investment option on any new deferrals and all participants were offered investment options that mirror those offered in Wabtec’s 401(k) plan. Any earnings in the DC plan are based on the performance (either positive or negative) of the investments selected by the plan participant. The totality of investment options are chosen by the sole discretion of the Company and are reviewed at least annually. Assets are not formally funded and at all times a plan participant remains an unsecured, general creditor of the Company.</w:t>
      </w:r>
    </w:p>
    <w:p>
      <w:pPr>
        <w:spacing w:after="0" w:line="136" w:lineRule="exact"/>
        <w:rPr>
          <w:sz w:val="20"/>
          <w:szCs w:val="20"/>
          <w:color w:val="auto"/>
        </w:rPr>
      </w:pPr>
    </w:p>
    <w:p>
      <w:pPr>
        <w:ind w:right="639"/>
        <w:spacing w:after="0" w:line="282" w:lineRule="auto"/>
        <w:rPr>
          <w:sz w:val="20"/>
          <w:szCs w:val="20"/>
          <w:color w:val="auto"/>
        </w:rPr>
      </w:pPr>
      <w:r>
        <w:rPr>
          <w:rFonts w:ascii="Arial" w:cs="Arial" w:eastAsia="Arial" w:hAnsi="Arial"/>
          <w:sz w:val="16"/>
          <w:szCs w:val="16"/>
          <w:color w:val="auto"/>
        </w:rPr>
        <w:t>Mr. Olin elected to defer 15% of his base salary during 2023. None of the named executive officers other than Mr. Olin currently have any benefits under this plan.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760" w:type="dxa"/>
            <w:vAlign w:val="bottom"/>
          </w:tcPr>
          <w:p>
            <w:pPr>
              <w:jc w:val="right"/>
              <w:ind w:right="529"/>
              <w:spacing w:after="0"/>
              <w:rPr>
                <w:sz w:val="20"/>
                <w:szCs w:val="20"/>
                <w:color w:val="auto"/>
              </w:rPr>
            </w:pPr>
            <w:r>
              <w:rPr>
                <w:rFonts w:ascii="Arial" w:cs="Arial" w:eastAsia="Arial" w:hAnsi="Arial"/>
                <w:sz w:val="14"/>
                <w:szCs w:val="14"/>
                <w:b w:val="1"/>
                <w:bCs w:val="1"/>
                <w:color w:val="auto"/>
                <w:w w:val="89"/>
              </w:rPr>
              <w:t>64</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179070</wp:posOffset>
            </wp:positionV>
            <wp:extent cx="693801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67" w:name="page68"/>
    <w:bookmarkEnd w:id="67"/>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8180"/>
        <w:spacing w:after="0"/>
        <w:rPr>
          <w:sz w:val="20"/>
          <w:szCs w:val="20"/>
          <w:color w:val="auto"/>
        </w:rPr>
      </w:pPr>
      <w:r>
        <w:rPr>
          <w:rFonts w:ascii="Arial" w:cs="Arial" w:eastAsia="Arial" w:hAnsi="Arial"/>
          <w:sz w:val="12"/>
          <w:szCs w:val="12"/>
          <w:color w:val="auto"/>
        </w:rPr>
        <w:t>Executive Compensation Tables</w:t>
      </w:r>
    </w:p>
    <w:p>
      <w:pPr>
        <w:spacing w:after="0" w:line="169" w:lineRule="exact"/>
        <w:rPr>
          <w:sz w:val="20"/>
          <w:szCs w:val="20"/>
          <w:color w:val="auto"/>
        </w:rPr>
      </w:pPr>
    </w:p>
    <w:p>
      <w:pPr>
        <w:ind w:left="960"/>
        <w:spacing w:after="0"/>
        <w:rPr>
          <w:sz w:val="20"/>
          <w:szCs w:val="20"/>
          <w:color w:val="auto"/>
        </w:rPr>
      </w:pPr>
      <w:r>
        <w:rPr>
          <w:rFonts w:ascii="Arial" w:cs="Arial" w:eastAsia="Arial" w:hAnsi="Arial"/>
          <w:sz w:val="29"/>
          <w:szCs w:val="29"/>
          <w:color w:val="636466"/>
        </w:rPr>
        <w:t>Potential Payments Upon Termination or Change in Control</w:t>
      </w:r>
    </w:p>
    <w:p>
      <w:pPr>
        <w:spacing w:after="0" w:line="180" w:lineRule="exact"/>
        <w:rPr>
          <w:sz w:val="20"/>
          <w:szCs w:val="20"/>
          <w:color w:val="auto"/>
        </w:rPr>
      </w:pPr>
    </w:p>
    <w:p>
      <w:pPr>
        <w:jc w:val="both"/>
        <w:ind w:left="960" w:right="1200"/>
        <w:spacing w:after="0" w:line="263" w:lineRule="auto"/>
        <w:rPr>
          <w:sz w:val="20"/>
          <w:szCs w:val="20"/>
          <w:color w:val="auto"/>
        </w:rPr>
      </w:pPr>
      <w:r>
        <w:rPr>
          <w:rFonts w:ascii="Arial" w:cs="Arial" w:eastAsia="Arial" w:hAnsi="Arial"/>
          <w:sz w:val="16"/>
          <w:szCs w:val="16"/>
          <w:color w:val="auto"/>
        </w:rPr>
        <w:t>Our severance and change-in-control protections are designed to be fair and competitive. These protections are intended to retain executives in the event they need to consider actions that may impact job security or ease an executive’s transition at retirement. These benefits help us compete for talent and are within the range of competitive practice at similar companies.</w:t>
      </w:r>
    </w:p>
    <w:p>
      <w:pPr>
        <w:spacing w:after="0" w:line="342" w:lineRule="exact"/>
        <w:rPr>
          <w:sz w:val="20"/>
          <w:szCs w:val="20"/>
          <w:color w:val="auto"/>
        </w:rPr>
      </w:pPr>
    </w:p>
    <w:p>
      <w:pPr>
        <w:ind w:left="960"/>
        <w:spacing w:after="0"/>
        <w:rPr>
          <w:sz w:val="20"/>
          <w:szCs w:val="20"/>
          <w:color w:val="auto"/>
        </w:rPr>
      </w:pPr>
      <w:r>
        <w:rPr>
          <w:rFonts w:ascii="Arial" w:cs="Arial" w:eastAsia="Arial" w:hAnsi="Arial"/>
          <w:sz w:val="23"/>
          <w:szCs w:val="23"/>
          <w:color w:val="0C426A"/>
        </w:rPr>
        <w:t>Severance and Employment Continuation Agreements</w:t>
      </w:r>
    </w:p>
    <w:p>
      <w:pPr>
        <w:spacing w:after="0" w:line="181" w:lineRule="exact"/>
        <w:rPr>
          <w:sz w:val="20"/>
          <w:szCs w:val="20"/>
          <w:color w:val="auto"/>
        </w:rPr>
      </w:pPr>
    </w:p>
    <w:p>
      <w:pPr>
        <w:ind w:left="960" w:right="1020"/>
        <w:spacing w:after="0" w:line="254" w:lineRule="auto"/>
        <w:rPr>
          <w:sz w:val="20"/>
          <w:szCs w:val="20"/>
          <w:color w:val="auto"/>
        </w:rPr>
      </w:pPr>
      <w:r>
        <w:rPr>
          <w:rFonts w:ascii="Arial" w:cs="Arial" w:eastAsia="Arial" w:hAnsi="Arial"/>
          <w:sz w:val="16"/>
          <w:szCs w:val="16"/>
          <w:color w:val="auto"/>
        </w:rPr>
        <w:t>We have entered into Severance and Employment Continuation Agreements (the “Continuation Agreements”) with each of the named executive officers effective December 5, 2022. The Continuation Agreements supersede and replace in their entirety any prior agreements. The severance payments and benefits under the Continuation Agreements will also be in lieu of any severance payments and benefits under any severance plans of the Company, provided that any more favorable equity vesting provisions included in award agreements will control.</w:t>
      </w:r>
    </w:p>
    <w:p>
      <w:pPr>
        <w:spacing w:after="0" w:line="124" w:lineRule="exact"/>
        <w:rPr>
          <w:sz w:val="20"/>
          <w:szCs w:val="20"/>
          <w:color w:val="auto"/>
        </w:rPr>
      </w:pPr>
    </w:p>
    <w:p>
      <w:pPr>
        <w:ind w:left="960" w:right="1000"/>
        <w:spacing w:after="0" w:line="252" w:lineRule="auto"/>
        <w:rPr>
          <w:sz w:val="20"/>
          <w:szCs w:val="20"/>
          <w:color w:val="auto"/>
        </w:rPr>
      </w:pPr>
      <w:r>
        <w:rPr>
          <w:rFonts w:ascii="Arial" w:cs="Arial" w:eastAsia="Arial" w:hAnsi="Arial"/>
          <w:sz w:val="16"/>
          <w:szCs w:val="16"/>
          <w:color w:val="auto"/>
        </w:rPr>
        <w:t>The Continuation Agreements, which have an indefinite term, provide that each named executive officer will receive severance payments and certain benefits in the event of the executive’s termination by the Company without cause (as defined in the Continuation Agreements) or by the executive for good reason (as defined in the Continuation Agreements). The severance payments and benefits payable to each executive upon such termination of employment will vary based on whether or not the termination of employment occurs during the period from the date of a change in control (as defined in the Continuation Agreements) through the second anniversary of such date (the “Change in Control Period”).</w:t>
      </w:r>
    </w:p>
    <w:p>
      <w:pPr>
        <w:spacing w:after="0" w:line="126" w:lineRule="exact"/>
        <w:rPr>
          <w:sz w:val="20"/>
          <w:szCs w:val="20"/>
          <w:color w:val="auto"/>
        </w:rPr>
      </w:pPr>
    </w:p>
    <w:p>
      <w:pPr>
        <w:ind w:left="960" w:right="1240"/>
        <w:spacing w:after="0" w:line="282" w:lineRule="auto"/>
        <w:rPr>
          <w:sz w:val="20"/>
          <w:szCs w:val="20"/>
          <w:color w:val="auto"/>
        </w:rPr>
      </w:pPr>
      <w:r>
        <w:rPr>
          <w:rFonts w:ascii="Arial" w:cs="Arial" w:eastAsia="Arial" w:hAnsi="Arial"/>
          <w:sz w:val="16"/>
          <w:szCs w:val="16"/>
          <w:color w:val="auto"/>
        </w:rPr>
        <w:t>If such termination of employment does not occur during a Change in Control Period, the severance payments and benefits will be as follows:</w:t>
      </w:r>
    </w:p>
    <w:p>
      <w:pPr>
        <w:spacing w:after="0" w:line="117" w:lineRule="exact"/>
        <w:rPr>
          <w:sz w:val="20"/>
          <w:szCs w:val="20"/>
          <w:color w:val="auto"/>
        </w:rPr>
      </w:pPr>
    </w:p>
    <w:p>
      <w:pPr>
        <w:ind w:left="1140" w:right="1040" w:hanging="175"/>
        <w:spacing w:after="0" w:line="254" w:lineRule="auto"/>
        <w:tabs>
          <w:tab w:leader="none" w:pos="1140" w:val="left"/>
        </w:tabs>
        <w:numPr>
          <w:ilvl w:val="0"/>
          <w:numId w:val="63"/>
        </w:numPr>
        <w:rPr>
          <w:rFonts w:ascii="Arial" w:cs="Arial" w:eastAsia="Arial" w:hAnsi="Arial"/>
          <w:sz w:val="16"/>
          <w:szCs w:val="16"/>
          <w:color w:val="4297CB"/>
        </w:rPr>
      </w:pPr>
      <w:r>
        <w:rPr>
          <w:rFonts w:ascii="Arial" w:cs="Arial" w:eastAsia="Arial" w:hAnsi="Arial"/>
          <w:sz w:val="16"/>
          <w:szCs w:val="16"/>
          <w:color w:val="auto"/>
        </w:rPr>
        <w:t>a lump sum cash severance payment equal to: (A) for Mr. Santana, two times the sum of his base salary and target annual bonus; and (B) for each of the other named executive officers, the sum of (1) the named executive officer’s base salary plus 1/52 of the named executive officer’s base salary for each full year of the named executive officer’s service with the Company and (2) the named executive officer’s target annual bonus; provided that the amount in clause (1) will not exceed one and one-half times the named executive officer’s base salary (the “Cash Severance Payment”);</w:t>
      </w:r>
    </w:p>
    <w:p>
      <w:pPr>
        <w:spacing w:after="0" w:line="30" w:lineRule="exact"/>
        <w:rPr>
          <w:rFonts w:ascii="Arial" w:cs="Arial" w:eastAsia="Arial" w:hAnsi="Arial"/>
          <w:sz w:val="16"/>
          <w:szCs w:val="16"/>
          <w:color w:val="4297CB"/>
        </w:rPr>
      </w:pPr>
    </w:p>
    <w:p>
      <w:pPr>
        <w:ind w:left="1140" w:right="980" w:hanging="175"/>
        <w:spacing w:after="0" w:line="254" w:lineRule="auto"/>
        <w:tabs>
          <w:tab w:leader="none" w:pos="1140" w:val="left"/>
        </w:tabs>
        <w:numPr>
          <w:ilvl w:val="0"/>
          <w:numId w:val="63"/>
        </w:numPr>
        <w:rPr>
          <w:rFonts w:ascii="Arial" w:cs="Arial" w:eastAsia="Arial" w:hAnsi="Arial"/>
          <w:sz w:val="16"/>
          <w:szCs w:val="16"/>
          <w:color w:val="4297CB"/>
        </w:rPr>
      </w:pPr>
      <w:r>
        <w:rPr>
          <w:rFonts w:ascii="Arial" w:cs="Arial" w:eastAsia="Arial" w:hAnsi="Arial"/>
          <w:sz w:val="16"/>
          <w:szCs w:val="16"/>
          <w:color w:val="auto"/>
        </w:rPr>
        <w:t>a lump sum payment equal to: (A) for Mr. Santana, twenty-four times the full monthly premium cost to the Company of group medical, dental, vision, life, and long-term disability coverage for Mr. Santana; and (B) for each of the other named executive officers, the Company’s portion of the monthly premium cost of the named executive officer’s medical, dental and vision coverage multiplied by the number of full months of base salary that is represented by the base salary in the Severance Payment described above (the “Benefits Payment”);</w:t>
      </w:r>
    </w:p>
    <w:p>
      <w:pPr>
        <w:spacing w:after="0" w:line="44" w:lineRule="exact"/>
        <w:rPr>
          <w:rFonts w:ascii="Arial" w:cs="Arial" w:eastAsia="Arial" w:hAnsi="Arial"/>
          <w:sz w:val="16"/>
          <w:szCs w:val="16"/>
          <w:color w:val="4297CB"/>
        </w:rPr>
      </w:pPr>
    </w:p>
    <w:p>
      <w:pPr>
        <w:ind w:left="1140" w:right="1100" w:hanging="175"/>
        <w:spacing w:after="0" w:line="257" w:lineRule="auto"/>
        <w:tabs>
          <w:tab w:leader="none" w:pos="1140" w:val="left"/>
        </w:tabs>
        <w:numPr>
          <w:ilvl w:val="0"/>
          <w:numId w:val="63"/>
        </w:numPr>
        <w:rPr>
          <w:rFonts w:ascii="Arial" w:cs="Arial" w:eastAsia="Arial" w:hAnsi="Arial"/>
          <w:sz w:val="16"/>
          <w:szCs w:val="16"/>
          <w:color w:val="4297CB"/>
        </w:rPr>
      </w:pPr>
      <w:r>
        <w:rPr>
          <w:rFonts w:ascii="Arial" w:cs="Arial" w:eastAsia="Arial" w:hAnsi="Arial"/>
          <w:sz w:val="16"/>
          <w:szCs w:val="16"/>
          <w:color w:val="auto"/>
        </w:rPr>
        <w:t>a pro rata portion of the named executive officer’s annual bonus for the year in which the termination date occurs based on actual performance of the Company and the number of days the named executive officer is employed during such year, payable at the same time and on the same terms as annual bonuses paid to other executives of the Company (the “Pro-Rated Annual Bonus”);</w:t>
      </w:r>
    </w:p>
    <w:p>
      <w:pPr>
        <w:spacing w:after="0" w:line="28" w:lineRule="exact"/>
        <w:rPr>
          <w:rFonts w:ascii="Arial" w:cs="Arial" w:eastAsia="Arial" w:hAnsi="Arial"/>
          <w:sz w:val="16"/>
          <w:szCs w:val="16"/>
          <w:color w:val="4297CB"/>
        </w:rPr>
      </w:pPr>
    </w:p>
    <w:p>
      <w:pPr>
        <w:ind w:left="1140" w:right="1540" w:hanging="175"/>
        <w:spacing w:after="0" w:line="282" w:lineRule="auto"/>
        <w:tabs>
          <w:tab w:leader="none" w:pos="1140" w:val="left"/>
        </w:tabs>
        <w:numPr>
          <w:ilvl w:val="0"/>
          <w:numId w:val="63"/>
        </w:numPr>
        <w:rPr>
          <w:rFonts w:ascii="Arial" w:cs="Arial" w:eastAsia="Arial" w:hAnsi="Arial"/>
          <w:sz w:val="16"/>
          <w:szCs w:val="16"/>
          <w:color w:val="4297CB"/>
        </w:rPr>
      </w:pPr>
      <w:r>
        <w:rPr>
          <w:rFonts w:ascii="Arial" w:cs="Arial" w:eastAsia="Arial" w:hAnsi="Arial"/>
          <w:sz w:val="16"/>
          <w:szCs w:val="16"/>
          <w:color w:val="auto"/>
        </w:rPr>
        <w:t>a lump sum payment equal to: (A) $100,000 for Mr. Santana; and (B) $50,000 for each of the other named executive officers, for transition cost assistance (the “Transition Payment”); and</w:t>
      </w:r>
    </w:p>
    <w:p>
      <w:pPr>
        <w:spacing w:after="0" w:line="9" w:lineRule="exact"/>
        <w:rPr>
          <w:rFonts w:ascii="Arial" w:cs="Arial" w:eastAsia="Arial" w:hAnsi="Arial"/>
          <w:sz w:val="16"/>
          <w:szCs w:val="16"/>
          <w:color w:val="4297CB"/>
        </w:rPr>
      </w:pPr>
    </w:p>
    <w:p>
      <w:pPr>
        <w:ind w:left="1140" w:right="1060" w:hanging="175"/>
        <w:spacing w:after="0" w:line="252" w:lineRule="auto"/>
        <w:tabs>
          <w:tab w:leader="none" w:pos="1140" w:val="left"/>
        </w:tabs>
        <w:numPr>
          <w:ilvl w:val="0"/>
          <w:numId w:val="63"/>
        </w:numPr>
        <w:rPr>
          <w:rFonts w:ascii="Arial" w:cs="Arial" w:eastAsia="Arial" w:hAnsi="Arial"/>
          <w:sz w:val="16"/>
          <w:szCs w:val="16"/>
          <w:color w:val="4297CB"/>
        </w:rPr>
      </w:pPr>
      <w:r>
        <w:rPr>
          <w:rFonts w:ascii="Arial" w:cs="Arial" w:eastAsia="Arial" w:hAnsi="Arial"/>
          <w:sz w:val="16"/>
          <w:szCs w:val="16"/>
          <w:color w:val="auto"/>
        </w:rPr>
        <w:t>certain minimum equity vesting requirements as follows: for Mr. Santana, full vesting, and for each of the other named executive officers, pro rata vesting (based on the portion of the vesting period that has elapsed as of the termination date of all Post-2021 Equity Grants (as defined in the Continuation Agreements), subject to actual performance results for the full performance period for any awards with performance-based vesting conditions, and provided that any such vested grants that are options or stock appreciation rights will remain exercisable for three years or until the end of the applicable term, if earlier.</w:t>
      </w:r>
    </w:p>
    <w:p>
      <w:pPr>
        <w:spacing w:after="0" w:line="126" w:lineRule="exact"/>
        <w:rPr>
          <w:sz w:val="20"/>
          <w:szCs w:val="20"/>
          <w:color w:val="auto"/>
        </w:rPr>
      </w:pPr>
    </w:p>
    <w:p>
      <w:pPr>
        <w:ind w:left="960" w:right="1320"/>
        <w:spacing w:after="0" w:line="282" w:lineRule="auto"/>
        <w:rPr>
          <w:sz w:val="20"/>
          <w:szCs w:val="20"/>
          <w:color w:val="auto"/>
        </w:rPr>
      </w:pPr>
      <w:r>
        <w:rPr>
          <w:rFonts w:ascii="Arial" w:cs="Arial" w:eastAsia="Arial" w:hAnsi="Arial"/>
          <w:sz w:val="16"/>
          <w:szCs w:val="16"/>
          <w:color w:val="auto"/>
        </w:rPr>
        <w:t>If such termination of employment occurs during a Change in Control Period, the severance payments and benefits will be similar to those described above but in some cases in larger amounts, as follows:</w:t>
      </w:r>
    </w:p>
    <w:p>
      <w:pPr>
        <w:spacing w:after="0" w:line="130" w:lineRule="exact"/>
        <w:rPr>
          <w:sz w:val="20"/>
          <w:szCs w:val="20"/>
          <w:color w:val="auto"/>
        </w:rPr>
      </w:pPr>
    </w:p>
    <w:p>
      <w:pPr>
        <w:ind w:left="1140" w:right="1000" w:hanging="175"/>
        <w:spacing w:after="0" w:line="282" w:lineRule="auto"/>
        <w:tabs>
          <w:tab w:leader="none" w:pos="1140" w:val="left"/>
        </w:tabs>
        <w:numPr>
          <w:ilvl w:val="0"/>
          <w:numId w:val="64"/>
        </w:numPr>
        <w:rPr>
          <w:rFonts w:ascii="Arial" w:cs="Arial" w:eastAsia="Arial" w:hAnsi="Arial"/>
          <w:sz w:val="16"/>
          <w:szCs w:val="16"/>
          <w:color w:val="4297CB"/>
        </w:rPr>
      </w:pPr>
      <w:r>
        <w:rPr>
          <w:rFonts w:ascii="Arial" w:cs="Arial" w:eastAsia="Arial" w:hAnsi="Arial"/>
          <w:sz w:val="16"/>
          <w:szCs w:val="16"/>
          <w:color w:val="auto"/>
        </w:rPr>
        <w:t>the Cash Severance Payment will be equal to the sum of the named executive officer’s base salary and target annual bonus multiplied by (A) for Mr. Santana, three; and (B) for each of the other named executive officers, two;</w:t>
      </w:r>
    </w:p>
    <w:p>
      <w:pPr>
        <w:spacing w:after="0" w:line="9" w:lineRule="exact"/>
        <w:rPr>
          <w:rFonts w:ascii="Arial" w:cs="Arial" w:eastAsia="Arial" w:hAnsi="Arial"/>
          <w:sz w:val="16"/>
          <w:szCs w:val="16"/>
          <w:color w:val="4297CB"/>
        </w:rPr>
      </w:pPr>
    </w:p>
    <w:p>
      <w:pPr>
        <w:ind w:left="1140" w:right="1120" w:hanging="175"/>
        <w:spacing w:after="0" w:line="282" w:lineRule="auto"/>
        <w:tabs>
          <w:tab w:leader="none" w:pos="1140" w:val="left"/>
        </w:tabs>
        <w:numPr>
          <w:ilvl w:val="0"/>
          <w:numId w:val="64"/>
        </w:numPr>
        <w:rPr>
          <w:rFonts w:ascii="Arial" w:cs="Arial" w:eastAsia="Arial" w:hAnsi="Arial"/>
          <w:sz w:val="16"/>
          <w:szCs w:val="16"/>
          <w:color w:val="4297CB"/>
        </w:rPr>
      </w:pPr>
      <w:r>
        <w:rPr>
          <w:rFonts w:ascii="Arial" w:cs="Arial" w:eastAsia="Arial" w:hAnsi="Arial"/>
          <w:sz w:val="16"/>
          <w:szCs w:val="16"/>
          <w:color w:val="auto"/>
        </w:rPr>
        <w:t>the Benefits Payment will be equal to the applicable monthly benefits cost described above for the named executive officer multiplied by (A) for Mr. Santana, thirty-six; and (B) for each of the other named executive officers, twenty-four;</w:t>
      </w:r>
    </w:p>
    <w:p>
      <w:pPr>
        <w:spacing w:after="0" w:line="9" w:lineRule="exact"/>
        <w:rPr>
          <w:rFonts w:ascii="Arial" w:cs="Arial" w:eastAsia="Arial" w:hAnsi="Arial"/>
          <w:sz w:val="16"/>
          <w:szCs w:val="16"/>
          <w:color w:val="4297CB"/>
        </w:rPr>
      </w:pPr>
    </w:p>
    <w:p>
      <w:pPr>
        <w:ind w:left="1140" w:hanging="175"/>
        <w:spacing w:after="0"/>
        <w:tabs>
          <w:tab w:leader="none" w:pos="1140" w:val="left"/>
        </w:tabs>
        <w:numPr>
          <w:ilvl w:val="0"/>
          <w:numId w:val="64"/>
        </w:numPr>
        <w:rPr>
          <w:rFonts w:ascii="Arial" w:cs="Arial" w:eastAsia="Arial" w:hAnsi="Arial"/>
          <w:sz w:val="16"/>
          <w:szCs w:val="16"/>
          <w:color w:val="4297CB"/>
        </w:rPr>
      </w:pPr>
      <w:r>
        <w:rPr>
          <w:rFonts w:ascii="Arial" w:cs="Arial" w:eastAsia="Arial" w:hAnsi="Arial"/>
          <w:sz w:val="16"/>
          <w:szCs w:val="16"/>
          <w:color w:val="auto"/>
        </w:rPr>
        <w:t>the Pro-Rated Annual Bonus;</w:t>
      </w:r>
    </w:p>
    <w:p>
      <w:pPr>
        <w:spacing w:after="0" w:line="83" w:lineRule="exact"/>
        <w:rPr>
          <w:rFonts w:ascii="Arial" w:cs="Arial" w:eastAsia="Arial" w:hAnsi="Arial"/>
          <w:sz w:val="16"/>
          <w:szCs w:val="16"/>
          <w:color w:val="4297CB"/>
        </w:rPr>
      </w:pPr>
    </w:p>
    <w:p>
      <w:pPr>
        <w:ind w:left="1140" w:hanging="175"/>
        <w:spacing w:after="0"/>
        <w:tabs>
          <w:tab w:leader="none" w:pos="1140" w:val="left"/>
        </w:tabs>
        <w:numPr>
          <w:ilvl w:val="0"/>
          <w:numId w:val="64"/>
        </w:numPr>
        <w:rPr>
          <w:rFonts w:ascii="Arial" w:cs="Arial" w:eastAsia="Arial" w:hAnsi="Arial"/>
          <w:sz w:val="16"/>
          <w:szCs w:val="16"/>
          <w:color w:val="4297CB"/>
        </w:rPr>
      </w:pPr>
      <w:r>
        <w:rPr>
          <w:rFonts w:ascii="Arial" w:cs="Arial" w:eastAsia="Arial" w:hAnsi="Arial"/>
          <w:sz w:val="16"/>
          <w:szCs w:val="16"/>
          <w:color w:val="auto"/>
        </w:rPr>
        <w:t>the Transition Payment; and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9140" w:type="dxa"/>
            <w:vAlign w:val="bottom"/>
          </w:tcPr>
          <w:p>
            <w:pPr>
              <w:ind w:left="636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800" w:type="dxa"/>
            <w:vAlign w:val="bottom"/>
          </w:tcPr>
          <w:p>
            <w:pPr>
              <w:jc w:val="right"/>
              <w:ind w:right="909"/>
              <w:spacing w:after="0"/>
              <w:rPr>
                <w:sz w:val="20"/>
                <w:szCs w:val="20"/>
                <w:color w:val="auto"/>
              </w:rPr>
            </w:pPr>
            <w:r>
              <w:rPr>
                <w:rFonts w:ascii="Arial" w:cs="Arial" w:eastAsia="Arial" w:hAnsi="Arial"/>
                <w:sz w:val="14"/>
                <w:szCs w:val="14"/>
                <w:b w:val="1"/>
                <w:bCs w:val="1"/>
                <w:color w:val="auto"/>
              </w:rPr>
              <w:t>65</w:t>
            </w:r>
          </w:p>
        </w:tc>
      </w:tr>
      <w:tr>
        <w:trPr>
          <w:trHeight w:val="355"/>
        </w:trPr>
        <w:tc>
          <w:tcPr>
            <w:tcW w:w="9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-407670</wp:posOffset>
            </wp:positionV>
            <wp:extent cx="501650" cy="1701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Executive Compensation Tables</w:t>
      </w:r>
    </w:p>
    <w:p>
      <w:pPr>
        <w:spacing w:after="0" w:line="107" w:lineRule="exact"/>
        <w:rPr>
          <w:sz w:val="20"/>
          <w:szCs w:val="20"/>
          <w:color w:val="auto"/>
        </w:rPr>
      </w:pPr>
    </w:p>
    <w:p>
      <w:pPr>
        <w:ind w:left="180" w:hanging="175"/>
        <w:spacing w:after="0"/>
        <w:tabs>
          <w:tab w:leader="none" w:pos="180" w:val="left"/>
        </w:tabs>
        <w:numPr>
          <w:ilvl w:val="0"/>
          <w:numId w:val="65"/>
        </w:numPr>
        <w:rPr>
          <w:rFonts w:ascii="Arial" w:cs="Arial" w:eastAsia="Arial" w:hAnsi="Arial"/>
          <w:sz w:val="16"/>
          <w:szCs w:val="16"/>
          <w:color w:val="4297CB"/>
        </w:rPr>
      </w:pPr>
      <w:r>
        <w:rPr>
          <w:rFonts w:ascii="Arial" w:cs="Arial" w:eastAsia="Arial" w:hAnsi="Arial"/>
          <w:sz w:val="16"/>
          <w:szCs w:val="16"/>
          <w:color w:val="auto"/>
        </w:rPr>
        <w:t>the minimum equity vesting provisions described above for Post-2021 Equity Grants, except the vesting for both</w:t>
      </w:r>
    </w:p>
    <w:p>
      <w:pPr>
        <w:spacing w:after="0" w:line="19" w:lineRule="exact"/>
        <w:rPr>
          <w:rFonts w:ascii="Arial" w:cs="Arial" w:eastAsia="Arial" w:hAnsi="Arial"/>
          <w:sz w:val="16"/>
          <w:szCs w:val="16"/>
          <w:color w:val="4297CB"/>
        </w:rPr>
      </w:pPr>
    </w:p>
    <w:p>
      <w:pPr>
        <w:ind w:left="180" w:right="79"/>
        <w:spacing w:after="0" w:line="250" w:lineRule="auto"/>
        <w:rPr>
          <w:rFonts w:ascii="Arial" w:cs="Arial" w:eastAsia="Arial" w:hAnsi="Arial"/>
          <w:sz w:val="16"/>
          <w:szCs w:val="16"/>
          <w:color w:val="4297CB"/>
        </w:rPr>
      </w:pPr>
      <w:r>
        <w:rPr>
          <w:rFonts w:ascii="Arial" w:cs="Arial" w:eastAsia="Arial" w:hAnsi="Arial"/>
          <w:sz w:val="16"/>
          <w:szCs w:val="16"/>
          <w:color w:val="auto"/>
        </w:rPr>
        <w:t>Mr. Santana and the other named executive officers will be full, rather than prorated, performance-vesting awards will have performance goals deemed achieved at maximum levels, and the awards in all cases will be subject to the provisions of the 2011 Stock Incentive Plan regarding treatment of awards upon a change in control of the Company (i.e., depending on whether awards are assumed or replaced by the buyer in the transaction).</w:t>
      </w:r>
    </w:p>
    <w:p>
      <w:pPr>
        <w:spacing w:after="0" w:line="128" w:lineRule="exact"/>
        <w:rPr>
          <w:sz w:val="20"/>
          <w:szCs w:val="20"/>
          <w:color w:val="auto"/>
        </w:rPr>
      </w:pPr>
    </w:p>
    <w:p>
      <w:pPr>
        <w:ind w:right="179"/>
        <w:spacing w:after="0" w:line="257" w:lineRule="auto"/>
        <w:rPr>
          <w:sz w:val="20"/>
          <w:szCs w:val="20"/>
          <w:color w:val="auto"/>
        </w:rPr>
      </w:pPr>
      <w:r>
        <w:rPr>
          <w:rFonts w:ascii="Arial" w:cs="Arial" w:eastAsia="Arial" w:hAnsi="Arial"/>
          <w:sz w:val="16"/>
          <w:szCs w:val="16"/>
          <w:color w:val="auto"/>
        </w:rPr>
        <w:t>The severance payments and benefits are conditioned on the named executive officer signing and not revoking a general release of claims. The Continuation Agreements contain restrictive covenants, including non-competition and non-solicitation covenants during the named executive officer’s employment and for the one-year period following the named executive officer’s termination date, and confidentiality and non-disparagement covenants.</w:t>
      </w:r>
    </w:p>
    <w:p>
      <w:pPr>
        <w:spacing w:after="0" w:line="122" w:lineRule="exact"/>
        <w:rPr>
          <w:sz w:val="20"/>
          <w:szCs w:val="20"/>
          <w:color w:val="auto"/>
        </w:rPr>
      </w:pPr>
    </w:p>
    <w:p>
      <w:pPr>
        <w:jc w:val="both"/>
        <w:ind w:right="119"/>
        <w:spacing w:after="0" w:line="257" w:lineRule="auto"/>
        <w:rPr>
          <w:sz w:val="20"/>
          <w:szCs w:val="20"/>
          <w:color w:val="auto"/>
        </w:rPr>
      </w:pPr>
      <w:r>
        <w:rPr>
          <w:rFonts w:ascii="Arial" w:cs="Arial" w:eastAsia="Arial" w:hAnsi="Arial"/>
          <w:sz w:val="16"/>
          <w:szCs w:val="16"/>
          <w:color w:val="auto"/>
        </w:rPr>
        <w:t>Any amounts paid to a named executive officer under a Continuation Agreement will be reduced to the maximum amount that can be paid without being considered an excess parachute payment under Internal Revenue Code Section 280G and subject to the excise tax under Internal Revenue Code Section 4999, but only if the net after-tax benefit of the reduced amount to the Executive is higher than the net after-tax benefit of the unreduced amount.</w:t>
      </w:r>
    </w:p>
    <w:p>
      <w:pPr>
        <w:spacing w:after="0" w:line="333" w:lineRule="exact"/>
        <w:rPr>
          <w:sz w:val="20"/>
          <w:szCs w:val="20"/>
          <w:color w:val="auto"/>
        </w:rPr>
      </w:pPr>
    </w:p>
    <w:p>
      <w:pPr>
        <w:spacing w:after="0"/>
        <w:rPr>
          <w:sz w:val="20"/>
          <w:szCs w:val="20"/>
          <w:color w:val="auto"/>
        </w:rPr>
      </w:pPr>
      <w:r>
        <w:rPr>
          <w:rFonts w:ascii="Arial" w:cs="Arial" w:eastAsia="Arial" w:hAnsi="Arial"/>
          <w:sz w:val="23"/>
          <w:szCs w:val="23"/>
          <w:color w:val="0C426A"/>
        </w:rPr>
        <w:t>Termination Treatment in Equity Award Agreements</w:t>
      </w:r>
    </w:p>
    <w:p>
      <w:pPr>
        <w:spacing w:after="0" w:line="181" w:lineRule="exact"/>
        <w:rPr>
          <w:sz w:val="20"/>
          <w:szCs w:val="20"/>
          <w:color w:val="auto"/>
        </w:rPr>
      </w:pPr>
    </w:p>
    <w:p>
      <w:pPr>
        <w:ind w:right="99"/>
        <w:spacing w:after="0" w:line="252" w:lineRule="auto"/>
        <w:rPr>
          <w:sz w:val="20"/>
          <w:szCs w:val="20"/>
          <w:color w:val="auto"/>
        </w:rPr>
      </w:pPr>
      <w:r>
        <w:rPr>
          <w:rFonts w:ascii="Arial" w:cs="Arial" w:eastAsia="Arial" w:hAnsi="Arial"/>
          <w:sz w:val="16"/>
          <w:szCs w:val="16"/>
          <w:color w:val="auto"/>
        </w:rPr>
        <w:t>The vesting and settlement of equity awards in various termination scenarios is subject to the terms of the underlying 2011 Stock Incentive Plan and the respective grant agreements, as well as the minimum vesting requirements of the Continuation Agreements described above. The 2011 Stock Incentive Plan and grant agreements may provide for more favorable vesting conditions which apply to the named executive officers than required by the Continuation Agreements. The following summarizes treatment of equity awards for the named executive officers upon termination of employment or change in control (referred to as a “Section 11 Event” in the 2011 Stock Incentive Plan):</w:t>
      </w:r>
    </w:p>
    <w:p>
      <w:pPr>
        <w:spacing w:after="0" w:line="153" w:lineRule="exact"/>
        <w:rPr>
          <w:sz w:val="20"/>
          <w:szCs w:val="20"/>
          <w:color w:val="auto"/>
        </w:rPr>
      </w:pPr>
    </w:p>
    <w:p>
      <w:pPr>
        <w:ind w:left="180" w:right="899" w:hanging="175"/>
        <w:spacing w:after="0" w:line="282" w:lineRule="auto"/>
        <w:tabs>
          <w:tab w:leader="none" w:pos="180" w:val="left"/>
        </w:tabs>
        <w:numPr>
          <w:ilvl w:val="0"/>
          <w:numId w:val="66"/>
        </w:numPr>
        <w:rPr>
          <w:rFonts w:ascii="Arial" w:cs="Arial" w:eastAsia="Arial" w:hAnsi="Arial"/>
          <w:sz w:val="16"/>
          <w:szCs w:val="16"/>
          <w:color w:val="4297CB"/>
        </w:rPr>
      </w:pPr>
      <w:r>
        <w:rPr>
          <w:rFonts w:ascii="Arial" w:cs="Arial" w:eastAsia="Arial" w:hAnsi="Arial"/>
          <w:sz w:val="16"/>
          <w:szCs w:val="16"/>
          <w:i w:val="1"/>
          <w:iCs w:val="1"/>
          <w:color w:val="auto"/>
        </w:rPr>
        <w:t>Death/Disability</w:t>
      </w:r>
      <w:r>
        <w:rPr>
          <w:rFonts w:ascii="Arial" w:cs="Arial" w:eastAsia="Arial" w:hAnsi="Arial"/>
          <w:sz w:val="16"/>
          <w:szCs w:val="16"/>
          <w:color w:val="auto"/>
        </w:rPr>
        <w:t>: Awards vest in full, subject to actual performance results for the full performance period for any</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units or other performance-vesting awards.</w:t>
      </w:r>
    </w:p>
    <w:p>
      <w:pPr>
        <w:spacing w:after="0" w:line="9" w:lineRule="exact"/>
        <w:rPr>
          <w:rFonts w:ascii="Arial" w:cs="Arial" w:eastAsia="Arial" w:hAnsi="Arial"/>
          <w:sz w:val="16"/>
          <w:szCs w:val="16"/>
          <w:color w:val="4297CB"/>
        </w:rPr>
      </w:pPr>
    </w:p>
    <w:p>
      <w:pPr>
        <w:ind w:left="180" w:right="39" w:hanging="175"/>
        <w:spacing w:after="0" w:line="254" w:lineRule="auto"/>
        <w:tabs>
          <w:tab w:leader="none" w:pos="180" w:val="left"/>
        </w:tabs>
        <w:numPr>
          <w:ilvl w:val="0"/>
          <w:numId w:val="66"/>
        </w:numPr>
        <w:rPr>
          <w:rFonts w:ascii="Arial" w:cs="Arial" w:eastAsia="Arial" w:hAnsi="Arial"/>
          <w:sz w:val="16"/>
          <w:szCs w:val="16"/>
          <w:color w:val="4297CB"/>
        </w:rPr>
      </w:pPr>
      <w:r>
        <w:rPr>
          <w:rFonts w:ascii="Arial" w:cs="Arial" w:eastAsia="Arial" w:hAnsi="Arial"/>
          <w:sz w:val="16"/>
          <w:szCs w:val="16"/>
          <w:i w:val="1"/>
          <w:iCs w:val="1"/>
          <w:color w:val="auto"/>
        </w:rPr>
        <w:t>Retirement/Severance with Less Than 65 Retirement Points</w:t>
      </w:r>
      <w:r>
        <w:rPr>
          <w:rFonts w:ascii="Arial" w:cs="Arial" w:eastAsia="Arial" w:hAnsi="Arial"/>
          <w:sz w:val="16"/>
          <w:szCs w:val="16"/>
          <w:color w:val="auto"/>
        </w:rPr>
        <w:t>: A prorated portion of outstanding options and restricted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or units will become vested on the executive’s next scheduled vesting date. Also, a pro-rated portion of performance units or other performance-vesting awards will remain outstanding and become vested at the end of the applicable performance period (based on actual performance results). For Mr. Santana, in case of severance, vesting will be treated as described below as if he had 65 or more retirement points (i.e., full, rather than prorated vesting).</w:t>
      </w:r>
    </w:p>
    <w:p>
      <w:pPr>
        <w:spacing w:after="0" w:line="30" w:lineRule="exact"/>
        <w:rPr>
          <w:rFonts w:ascii="Arial" w:cs="Arial" w:eastAsia="Arial" w:hAnsi="Arial"/>
          <w:sz w:val="16"/>
          <w:szCs w:val="16"/>
          <w:color w:val="4297CB"/>
        </w:rPr>
      </w:pPr>
    </w:p>
    <w:p>
      <w:pPr>
        <w:ind w:left="180" w:right="79" w:hanging="175"/>
        <w:spacing w:after="0" w:line="257" w:lineRule="auto"/>
        <w:tabs>
          <w:tab w:leader="none" w:pos="180" w:val="left"/>
        </w:tabs>
        <w:numPr>
          <w:ilvl w:val="0"/>
          <w:numId w:val="66"/>
        </w:numPr>
        <w:rPr>
          <w:rFonts w:ascii="Arial" w:cs="Arial" w:eastAsia="Arial" w:hAnsi="Arial"/>
          <w:sz w:val="16"/>
          <w:szCs w:val="16"/>
          <w:color w:val="4297CB"/>
        </w:rPr>
      </w:pPr>
      <w:r>
        <w:rPr>
          <w:rFonts w:ascii="Arial" w:cs="Arial" w:eastAsia="Arial" w:hAnsi="Arial"/>
          <w:sz w:val="16"/>
          <w:szCs w:val="16"/>
          <w:i w:val="1"/>
          <w:iCs w:val="1"/>
          <w:color w:val="auto"/>
        </w:rPr>
        <w:t>Retirement/Severance with 65 or More Retirement Points</w:t>
      </w:r>
      <w:r>
        <w:rPr>
          <w:rFonts w:ascii="Arial" w:cs="Arial" w:eastAsia="Arial" w:hAnsi="Arial"/>
          <w:sz w:val="16"/>
          <w:szCs w:val="16"/>
          <w:color w:val="auto"/>
        </w:rPr>
        <w:t>: The entire unvested portion of outstanding options and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units will continue to vest per their original vesting schedule, and the full amount of performance units or other performance-vesting awards will remain outstanding and become vested at the end of the applicable performance period (based on actual performance results).</w:t>
      </w:r>
    </w:p>
    <w:p>
      <w:pPr>
        <w:spacing w:after="0" w:line="42" w:lineRule="exact"/>
        <w:rPr>
          <w:rFonts w:ascii="Arial" w:cs="Arial" w:eastAsia="Arial" w:hAnsi="Arial"/>
          <w:sz w:val="16"/>
          <w:szCs w:val="16"/>
          <w:color w:val="4297CB"/>
        </w:rPr>
      </w:pPr>
    </w:p>
    <w:p>
      <w:pPr>
        <w:ind w:left="180" w:right="319" w:hanging="175"/>
        <w:spacing w:after="0" w:line="282" w:lineRule="auto"/>
        <w:tabs>
          <w:tab w:leader="none" w:pos="180" w:val="left"/>
        </w:tabs>
        <w:numPr>
          <w:ilvl w:val="0"/>
          <w:numId w:val="66"/>
        </w:numPr>
        <w:rPr>
          <w:rFonts w:ascii="Arial" w:cs="Arial" w:eastAsia="Arial" w:hAnsi="Arial"/>
          <w:sz w:val="16"/>
          <w:szCs w:val="16"/>
          <w:color w:val="4297CB"/>
        </w:rPr>
      </w:pPr>
      <w:r>
        <w:rPr>
          <w:rFonts w:ascii="Arial" w:cs="Arial" w:eastAsia="Arial" w:hAnsi="Arial"/>
          <w:sz w:val="16"/>
          <w:szCs w:val="16"/>
          <w:i w:val="1"/>
          <w:iCs w:val="1"/>
          <w:color w:val="auto"/>
        </w:rPr>
        <w:t>Change in Control (No Severance)</w:t>
      </w:r>
      <w:r>
        <w:rPr>
          <w:rFonts w:ascii="Arial" w:cs="Arial" w:eastAsia="Arial" w:hAnsi="Arial"/>
          <w:sz w:val="16"/>
          <w:szCs w:val="16"/>
          <w:color w:val="auto"/>
        </w:rPr>
        <w:t>: For awards granted before 2022, the 2011 Stock Incentive Plan provided full vesting</w:t>
      </w:r>
      <w:r>
        <w:rPr>
          <w:rFonts w:ascii="Arial" w:cs="Arial" w:eastAsia="Arial" w:hAnsi="Arial"/>
          <w:sz w:val="16"/>
          <w:szCs w:val="16"/>
          <w:i w:val="1"/>
          <w:iCs w:val="1"/>
          <w:color w:val="auto"/>
        </w:rPr>
        <w:t xml:space="preserve"> </w:t>
      </w:r>
      <w:r>
        <w:rPr>
          <w:rFonts w:ascii="Arial" w:cs="Arial" w:eastAsia="Arial" w:hAnsi="Arial"/>
          <w:sz w:val="16"/>
          <w:szCs w:val="16"/>
          <w:color w:val="auto"/>
        </w:rPr>
        <w:t>upon the change in control event, with performance units or other performance-vesting awards earned at maximum.</w:t>
      </w:r>
    </w:p>
    <w:p>
      <w:pPr>
        <w:spacing w:after="0" w:line="9" w:lineRule="exact"/>
        <w:rPr>
          <w:rFonts w:ascii="Arial" w:cs="Arial" w:eastAsia="Arial" w:hAnsi="Arial"/>
          <w:sz w:val="16"/>
          <w:szCs w:val="16"/>
          <w:color w:val="4297CB"/>
        </w:rPr>
      </w:pPr>
    </w:p>
    <w:p>
      <w:pPr>
        <w:ind w:left="180" w:right="19" w:hanging="175"/>
        <w:spacing w:after="0" w:line="252" w:lineRule="auto"/>
        <w:tabs>
          <w:tab w:leader="none" w:pos="180" w:val="left"/>
        </w:tabs>
        <w:numPr>
          <w:ilvl w:val="0"/>
          <w:numId w:val="66"/>
        </w:numPr>
        <w:rPr>
          <w:rFonts w:ascii="Arial" w:cs="Arial" w:eastAsia="Arial" w:hAnsi="Arial"/>
          <w:sz w:val="16"/>
          <w:szCs w:val="16"/>
          <w:color w:val="4297CB"/>
        </w:rPr>
      </w:pPr>
      <w:r>
        <w:rPr>
          <w:rFonts w:ascii="Arial" w:cs="Arial" w:eastAsia="Arial" w:hAnsi="Arial"/>
          <w:sz w:val="16"/>
          <w:szCs w:val="16"/>
          <w:i w:val="1"/>
          <w:iCs w:val="1"/>
          <w:color w:val="auto"/>
        </w:rPr>
        <w:t>Change in Control with Severance</w:t>
      </w:r>
      <w:r>
        <w:rPr>
          <w:rFonts w:ascii="Arial" w:cs="Arial" w:eastAsia="Arial" w:hAnsi="Arial"/>
          <w:sz w:val="16"/>
          <w:szCs w:val="16"/>
          <w:color w:val="auto"/>
        </w:rPr>
        <w:t>: The 2011 Stock Incentive Plan was amended in 2022 to remove automatic vesting upon</w:t>
      </w:r>
      <w:r>
        <w:rPr>
          <w:rFonts w:ascii="Arial" w:cs="Arial" w:eastAsia="Arial" w:hAnsi="Arial"/>
          <w:sz w:val="16"/>
          <w:szCs w:val="16"/>
          <w:i w:val="1"/>
          <w:iCs w:val="1"/>
          <w:color w:val="auto"/>
        </w:rPr>
        <w:t xml:space="preserve"> </w:t>
      </w:r>
      <w:r>
        <w:rPr>
          <w:rFonts w:ascii="Arial" w:cs="Arial" w:eastAsia="Arial" w:hAnsi="Arial"/>
          <w:sz w:val="16"/>
          <w:szCs w:val="16"/>
          <w:color w:val="auto"/>
        </w:rPr>
        <w:t>a change in control. For awards granted in 2022 and later, if the awards remain outstanding (or are assumed or replaced by the surviving entity) following a change in control and the executive’s employment is terminated without cause or for good reason during the one-year period following such event, the awards will become fully vested, with performance units or other performance-vesting awards earned at maximum. If awards do not remain outstanding (and are not assumed or replaced by the surviving entity) following a change in control, the awards will become fully vested upon the change in control.</w:t>
      </w:r>
    </w:p>
    <w:p>
      <w:pPr>
        <w:spacing w:after="0" w:line="126" w:lineRule="exact"/>
        <w:rPr>
          <w:sz w:val="20"/>
          <w:szCs w:val="20"/>
          <w:color w:val="auto"/>
        </w:rPr>
      </w:pPr>
    </w:p>
    <w:p>
      <w:pPr>
        <w:ind w:right="99"/>
        <w:spacing w:after="0" w:line="252" w:lineRule="auto"/>
        <w:rPr>
          <w:sz w:val="20"/>
          <w:szCs w:val="20"/>
          <w:color w:val="auto"/>
        </w:rPr>
      </w:pPr>
      <w:r>
        <w:rPr>
          <w:rFonts w:ascii="Arial" w:cs="Arial" w:eastAsia="Arial" w:hAnsi="Arial"/>
          <w:sz w:val="16"/>
          <w:szCs w:val="16"/>
          <w:color w:val="auto"/>
        </w:rPr>
        <w:t>“Severance” means a termination without cause or with good reason under the Continuation Agreements. Under the award agreements, “retirement” means a named executive officer’s termination of employment (other than due to death, disability, or cause) if (i) the named executive officer has given the Company at least one year’s advance written notice of the intent to retire, and (ii) at the date of termination of employment the named executive officer is at least age fifty-five (55) and has at least five (5) years of service. “Retirement points” means the sum of a named executive officer’s age and years of service. As of the end of the last fiscal year, with respect to the NEOs, only Mr. DeNinno had 65 retirement points.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760" w:type="dxa"/>
            <w:vAlign w:val="bottom"/>
          </w:tcPr>
          <w:p>
            <w:pPr>
              <w:jc w:val="right"/>
              <w:ind w:right="529"/>
              <w:spacing w:after="0"/>
              <w:rPr>
                <w:sz w:val="20"/>
                <w:szCs w:val="20"/>
                <w:color w:val="auto"/>
              </w:rPr>
            </w:pPr>
            <w:r>
              <w:rPr>
                <w:rFonts w:ascii="Arial" w:cs="Arial" w:eastAsia="Arial" w:hAnsi="Arial"/>
                <w:sz w:val="14"/>
                <w:szCs w:val="14"/>
                <w:b w:val="1"/>
                <w:bCs w:val="1"/>
                <w:color w:val="auto"/>
                <w:w w:val="89"/>
              </w:rPr>
              <w:t>66</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170180</wp:posOffset>
            </wp:positionV>
            <wp:extent cx="693801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7220"/>
        <w:spacing w:after="0"/>
        <w:rPr>
          <w:sz w:val="20"/>
          <w:szCs w:val="20"/>
          <w:color w:val="auto"/>
        </w:rPr>
      </w:pPr>
      <w:r>
        <w:rPr>
          <w:rFonts w:ascii="Arial" w:cs="Arial" w:eastAsia="Arial" w:hAnsi="Arial"/>
          <w:sz w:val="12"/>
          <w:szCs w:val="12"/>
          <w:color w:val="auto"/>
        </w:rPr>
        <w:t>Executive Compensation Tables</w:t>
      </w:r>
    </w:p>
    <w:p>
      <w:pPr>
        <w:spacing w:after="0" w:line="143" w:lineRule="exact"/>
        <w:rPr>
          <w:sz w:val="20"/>
          <w:szCs w:val="20"/>
          <w:color w:val="auto"/>
        </w:rPr>
      </w:pPr>
    </w:p>
    <w:p>
      <w:pPr>
        <w:spacing w:after="0"/>
        <w:rPr>
          <w:sz w:val="20"/>
          <w:szCs w:val="20"/>
          <w:color w:val="auto"/>
        </w:rPr>
      </w:pPr>
      <w:r>
        <w:rPr>
          <w:rFonts w:ascii="Arial" w:cs="Arial" w:eastAsia="Arial" w:hAnsi="Arial"/>
          <w:sz w:val="23"/>
          <w:szCs w:val="23"/>
          <w:color w:val="0C426A"/>
        </w:rPr>
        <w:t>Amounts of Potential Payments Upon Termination or Change in Control</w:t>
      </w:r>
    </w:p>
    <w:p>
      <w:pPr>
        <w:spacing w:after="0" w:line="181" w:lineRule="exact"/>
        <w:rPr>
          <w:sz w:val="20"/>
          <w:szCs w:val="20"/>
          <w:color w:val="auto"/>
        </w:rPr>
      </w:pPr>
    </w:p>
    <w:p>
      <w:pPr>
        <w:jc w:val="both"/>
        <w:ind w:right="99"/>
        <w:spacing w:after="0" w:line="254" w:lineRule="auto"/>
        <w:rPr>
          <w:sz w:val="20"/>
          <w:szCs w:val="20"/>
          <w:color w:val="auto"/>
        </w:rPr>
      </w:pPr>
      <w:r>
        <w:rPr>
          <w:rFonts w:ascii="Arial" w:cs="Arial" w:eastAsia="Arial" w:hAnsi="Arial"/>
          <w:sz w:val="16"/>
          <w:szCs w:val="16"/>
          <w:color w:val="auto"/>
        </w:rPr>
        <w:t>Consistent with SEC requirements, the following table shows the estimated amounts that would have been payable or would have become vested upon the events described above, assuming such event had occurred on December 31, 2023. Amounts for equity awards in the table are based on the average closing price (calculated by averaging the highest and lowest price) of our common stock on December 29, 2023 (the last trading day in 2023) of $126.99 per share, and in case of stock options as reduced by the applicable exercise price. Performance units are included in the table assuming maximum performance.</w:t>
      </w:r>
    </w:p>
    <w:p>
      <w:pPr>
        <w:spacing w:after="0" w:line="347" w:lineRule="exact"/>
        <w:rPr>
          <w:sz w:val="20"/>
          <w:szCs w:val="20"/>
          <w:color w:val="auto"/>
        </w:rPr>
      </w:pPr>
    </w:p>
    <w:p>
      <w:pPr>
        <w:ind w:right="1259"/>
        <w:spacing w:after="0" w:line="260" w:lineRule="auto"/>
        <w:rPr>
          <w:sz w:val="20"/>
          <w:szCs w:val="20"/>
          <w:color w:val="auto"/>
        </w:rPr>
      </w:pPr>
      <w:r>
        <w:rPr>
          <w:rFonts w:ascii="Arial" w:cs="Arial" w:eastAsia="Arial" w:hAnsi="Arial"/>
          <w:sz w:val="29"/>
          <w:szCs w:val="29"/>
          <w:color w:val="636466"/>
        </w:rPr>
        <w:t>Potential Payments Upon Termination and Change-in-Control Provisions</w:t>
      </w:r>
      <w:r>
        <w:rPr>
          <w:rFonts w:ascii="Arial" w:cs="Arial" w:eastAsia="Arial" w:hAnsi="Arial"/>
          <w:sz w:val="47"/>
          <w:szCs w:val="47"/>
          <w:color w:val="636466"/>
          <w:vertAlign w:val="superscript"/>
        </w:rPr>
        <w:t>1</w:t>
      </w:r>
    </w:p>
    <w:p>
      <w:pPr>
        <w:sectPr>
          <w:pgSz w:w="11900" w:h="16838" w:orient="portrait"/>
          <w:cols w:equalWidth="0" w:num="1">
            <w:col w:w="9019"/>
          </w:cols>
          <w:pgMar w:left="1440" w:top="116" w:right="1440" w:bottom="0" w:gutter="0" w:footer="0" w:header="0"/>
        </w:sectPr>
      </w:pPr>
    </w:p>
    <w:tbl>
      <w:tblPr>
        <w:tblLayout w:type="fixed"/>
        <w:tblInd w:w="1040" w:type="dxa"/>
        <w:tblCellMar>
          <w:top w:w="0" w:type="dxa"/>
          <w:left w:w="0" w:type="dxa"/>
          <w:bottom w:w="0" w:type="dxa"/>
          <w:right w:w="0" w:type="dxa"/>
        </w:tblCellMar>
      </w:tblPr>
      <w:tr>
        <w:trPr>
          <w:trHeight w:val="147"/>
        </w:trPr>
        <w:tc>
          <w:tcPr>
            <w:tcW w:w="1660" w:type="dxa"/>
            <w:vAlign w:val="bottom"/>
          </w:tcPr>
          <w:p>
            <w:pPr>
              <w:spacing w:after="0"/>
              <w:rPr>
                <w:sz w:val="12"/>
                <w:szCs w:val="12"/>
                <w:color w:val="auto"/>
              </w:rPr>
            </w:pPr>
          </w:p>
        </w:tc>
        <w:tc>
          <w:tcPr>
            <w:tcW w:w="1280" w:type="dxa"/>
            <w:vAlign w:val="bottom"/>
          </w:tcPr>
          <w:p>
            <w:pPr>
              <w:jc w:val="right"/>
              <w:ind w:right="151"/>
              <w:spacing w:after="0" w:line="147" w:lineRule="exact"/>
              <w:rPr>
                <w:sz w:val="20"/>
                <w:szCs w:val="20"/>
                <w:color w:val="auto"/>
              </w:rPr>
            </w:pPr>
            <w:r>
              <w:rPr>
                <w:rFonts w:ascii="Arial" w:cs="Arial" w:eastAsia="Arial" w:hAnsi="Arial"/>
                <w:sz w:val="14"/>
                <w:szCs w:val="14"/>
                <w:b w:val="1"/>
                <w:bCs w:val="1"/>
                <w:color w:val="auto"/>
              </w:rPr>
              <w:t>Involuntary</w:t>
            </w:r>
          </w:p>
        </w:tc>
        <w:tc>
          <w:tcPr>
            <w:tcW w:w="940" w:type="dxa"/>
            <w:vAlign w:val="bottom"/>
          </w:tcPr>
          <w:p>
            <w:pPr>
              <w:spacing w:after="0"/>
              <w:rPr>
                <w:sz w:val="12"/>
                <w:szCs w:val="12"/>
                <w:color w:val="auto"/>
              </w:rPr>
            </w:pPr>
          </w:p>
        </w:tc>
      </w:tr>
      <w:tr>
        <w:trPr>
          <w:trHeight w:val="161"/>
        </w:trPr>
        <w:tc>
          <w:tcPr>
            <w:tcW w:w="1660" w:type="dxa"/>
            <w:vAlign w:val="bottom"/>
          </w:tcPr>
          <w:p>
            <w:pPr>
              <w:spacing w:after="0"/>
              <w:rPr>
                <w:sz w:val="13"/>
                <w:szCs w:val="13"/>
                <w:color w:val="auto"/>
              </w:rPr>
            </w:pPr>
          </w:p>
        </w:tc>
        <w:tc>
          <w:tcPr>
            <w:tcW w:w="1280" w:type="dxa"/>
            <w:vAlign w:val="bottom"/>
          </w:tcPr>
          <w:p>
            <w:pPr>
              <w:jc w:val="right"/>
              <w:ind w:right="151"/>
              <w:spacing w:after="0"/>
              <w:rPr>
                <w:sz w:val="20"/>
                <w:szCs w:val="20"/>
                <w:color w:val="auto"/>
              </w:rPr>
            </w:pPr>
            <w:r>
              <w:rPr>
                <w:rFonts w:ascii="Arial" w:cs="Arial" w:eastAsia="Arial" w:hAnsi="Arial"/>
                <w:sz w:val="14"/>
                <w:szCs w:val="14"/>
                <w:b w:val="1"/>
                <w:bCs w:val="1"/>
                <w:color w:val="auto"/>
              </w:rPr>
              <w:t>Termination</w:t>
            </w:r>
          </w:p>
        </w:tc>
        <w:tc>
          <w:tcPr>
            <w:tcW w:w="940" w:type="dxa"/>
            <w:vAlign w:val="bottom"/>
          </w:tcPr>
          <w:p>
            <w:pPr>
              <w:spacing w:after="0"/>
              <w:rPr>
                <w:sz w:val="13"/>
                <w:szCs w:val="13"/>
                <w:color w:val="auto"/>
              </w:rPr>
            </w:pPr>
          </w:p>
        </w:tc>
      </w:tr>
      <w:tr>
        <w:trPr>
          <w:trHeight w:val="170"/>
        </w:trPr>
        <w:tc>
          <w:tcPr>
            <w:tcW w:w="1660" w:type="dxa"/>
            <w:vAlign w:val="bottom"/>
          </w:tcPr>
          <w:p>
            <w:pPr>
              <w:spacing w:after="0"/>
              <w:rPr>
                <w:sz w:val="14"/>
                <w:szCs w:val="14"/>
                <w:color w:val="auto"/>
              </w:rPr>
            </w:pPr>
          </w:p>
        </w:tc>
        <w:tc>
          <w:tcPr>
            <w:tcW w:w="1280" w:type="dxa"/>
            <w:vAlign w:val="bottom"/>
          </w:tcPr>
          <w:p>
            <w:pPr>
              <w:jc w:val="right"/>
              <w:ind w:right="151"/>
              <w:spacing w:after="0"/>
              <w:rPr>
                <w:sz w:val="20"/>
                <w:szCs w:val="20"/>
                <w:color w:val="auto"/>
              </w:rPr>
            </w:pPr>
            <w:r>
              <w:rPr>
                <w:rFonts w:ascii="Arial" w:cs="Arial" w:eastAsia="Arial" w:hAnsi="Arial"/>
                <w:sz w:val="14"/>
                <w:szCs w:val="14"/>
                <w:b w:val="1"/>
                <w:bCs w:val="1"/>
                <w:color w:val="auto"/>
              </w:rPr>
              <w:t>w/o Cause or</w:t>
            </w:r>
          </w:p>
        </w:tc>
        <w:tc>
          <w:tcPr>
            <w:tcW w:w="940" w:type="dxa"/>
            <w:vAlign w:val="bottom"/>
          </w:tcPr>
          <w:p>
            <w:pPr>
              <w:jc w:val="right"/>
              <w:ind w:right="29"/>
              <w:spacing w:after="0"/>
              <w:rPr>
                <w:sz w:val="20"/>
                <w:szCs w:val="20"/>
                <w:color w:val="auto"/>
              </w:rPr>
            </w:pPr>
            <w:r>
              <w:rPr>
                <w:rFonts w:ascii="Arial" w:cs="Arial" w:eastAsia="Arial" w:hAnsi="Arial"/>
                <w:sz w:val="14"/>
                <w:szCs w:val="14"/>
                <w:b w:val="1"/>
                <w:bCs w:val="1"/>
                <w:color w:val="auto"/>
              </w:rPr>
              <w:t>Termination</w:t>
            </w:r>
          </w:p>
        </w:tc>
      </w:tr>
      <w:tr>
        <w:trPr>
          <w:trHeight w:val="161"/>
        </w:trPr>
        <w:tc>
          <w:tcPr>
            <w:tcW w:w="1660" w:type="dxa"/>
            <w:vAlign w:val="bottom"/>
          </w:tcPr>
          <w:p>
            <w:pPr>
              <w:jc w:val="right"/>
              <w:ind w:right="1526"/>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auto"/>
              </w:rPr>
              <w:t xml:space="preserve">Resignation </w:t>
            </w:r>
            <w:r>
              <w:rPr>
                <w:rFonts w:ascii="Times New Roman" w:cs="Times New Roman" w:eastAsia="Times New Roman" w:hAnsi="Times New Roman"/>
                <w:sz w:val="3"/>
                <w:szCs w:val="3"/>
                <w:color w:val="auto"/>
              </w:rPr>
              <w:t>​     ​</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 xml:space="preserve">due to </w:t>
            </w:r>
            <w:r>
              <w:rPr>
                <w:rFonts w:ascii="Times New Roman" w:cs="Times New Roman" w:eastAsia="Times New Roman" w:hAnsi="Times New Roman"/>
                <w:sz w:val="3"/>
                <w:szCs w:val="3"/>
                <w:color w:val="auto"/>
              </w:rPr>
              <w:t>​     ​</w:t>
            </w:r>
          </w:p>
        </w:tc>
      </w:tr>
      <w:tr>
        <w:trPr>
          <w:trHeight w:val="161"/>
        </w:trPr>
        <w:tc>
          <w:tcPr>
            <w:tcW w:w="1660" w:type="dxa"/>
            <w:vAlign w:val="bottom"/>
          </w:tcPr>
          <w:p>
            <w:pPr>
              <w:spacing w:after="0"/>
              <w:rPr>
                <w:sz w:val="13"/>
                <w:szCs w:val="13"/>
                <w:color w:val="auto"/>
              </w:rPr>
            </w:pPr>
          </w:p>
        </w:tc>
        <w:tc>
          <w:tcPr>
            <w:tcW w:w="1280" w:type="dxa"/>
            <w:vAlign w:val="bottom"/>
          </w:tcPr>
          <w:p>
            <w:pPr>
              <w:jc w:val="right"/>
              <w:ind w:right="151"/>
              <w:spacing w:after="0"/>
              <w:rPr>
                <w:sz w:val="20"/>
                <w:szCs w:val="20"/>
                <w:color w:val="auto"/>
              </w:rPr>
            </w:pPr>
            <w:r>
              <w:rPr>
                <w:rFonts w:ascii="Arial" w:cs="Arial" w:eastAsia="Arial" w:hAnsi="Arial"/>
                <w:sz w:val="14"/>
                <w:szCs w:val="14"/>
                <w:b w:val="1"/>
                <w:bCs w:val="1"/>
                <w:color w:val="auto"/>
              </w:rPr>
              <w:t>for Good</w:t>
            </w:r>
          </w:p>
        </w:tc>
        <w:tc>
          <w:tcPr>
            <w:tcW w:w="940" w:type="dxa"/>
            <w:vAlign w:val="bottom"/>
          </w:tcPr>
          <w:p>
            <w:pPr>
              <w:jc w:val="right"/>
              <w:ind w:right="69"/>
              <w:spacing w:after="0"/>
              <w:rPr>
                <w:sz w:val="20"/>
                <w:szCs w:val="20"/>
                <w:color w:val="auto"/>
              </w:rPr>
            </w:pPr>
            <w:r>
              <w:rPr>
                <w:rFonts w:ascii="Arial" w:cs="Arial" w:eastAsia="Arial" w:hAnsi="Arial"/>
                <w:sz w:val="14"/>
                <w:szCs w:val="14"/>
                <w:b w:val="1"/>
                <w:bCs w:val="1"/>
                <w:color w:val="auto"/>
              </w:rPr>
              <w:t>Change in</w:t>
            </w:r>
          </w:p>
        </w:tc>
      </w:tr>
      <w:tr>
        <w:trPr>
          <w:trHeight w:val="161"/>
        </w:trPr>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Type of Payment or</w:t>
            </w:r>
          </w:p>
        </w:tc>
        <w:tc>
          <w:tcPr>
            <w:tcW w:w="1280" w:type="dxa"/>
            <w:vAlign w:val="bottom"/>
          </w:tcPr>
          <w:p>
            <w:pPr>
              <w:jc w:val="right"/>
              <w:ind w:right="151"/>
              <w:spacing w:after="0"/>
              <w:rPr>
                <w:sz w:val="20"/>
                <w:szCs w:val="20"/>
                <w:color w:val="auto"/>
              </w:rPr>
            </w:pPr>
            <w:r>
              <w:rPr>
                <w:rFonts w:ascii="Arial" w:cs="Arial" w:eastAsia="Arial" w:hAnsi="Arial"/>
                <w:sz w:val="14"/>
                <w:szCs w:val="14"/>
                <w:b w:val="1"/>
                <w:bCs w:val="1"/>
                <w:color w:val="auto"/>
              </w:rPr>
              <w:t>Reason</w:t>
            </w:r>
          </w:p>
        </w:tc>
        <w:tc>
          <w:tcPr>
            <w:tcW w:w="940" w:type="dxa"/>
            <w:vAlign w:val="bottom"/>
          </w:tcPr>
          <w:p>
            <w:pPr>
              <w:jc w:val="right"/>
              <w:ind w:right="69"/>
              <w:spacing w:after="0"/>
              <w:rPr>
                <w:sz w:val="20"/>
                <w:szCs w:val="20"/>
                <w:color w:val="auto"/>
              </w:rPr>
            </w:pPr>
            <w:r>
              <w:rPr>
                <w:rFonts w:ascii="Arial" w:cs="Arial" w:eastAsia="Arial" w:hAnsi="Arial"/>
                <w:sz w:val="14"/>
                <w:szCs w:val="14"/>
                <w:b w:val="1"/>
                <w:bCs w:val="1"/>
                <w:color w:val="auto"/>
              </w:rPr>
              <w:t>Control</w:t>
            </w:r>
          </w:p>
        </w:tc>
      </w:tr>
      <w:tr>
        <w:trPr>
          <w:trHeight w:val="325"/>
        </w:trPr>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Benefit</w:t>
            </w:r>
          </w:p>
        </w:tc>
        <w:tc>
          <w:tcPr>
            <w:tcW w:w="1280" w:type="dxa"/>
            <w:vAlign w:val="bottom"/>
          </w:tcPr>
          <w:p>
            <w:pPr>
              <w:jc w:val="right"/>
              <w:ind w:right="111"/>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(4)</w:t>
            </w:r>
          </w:p>
        </w:tc>
        <w:tc>
          <w:tcPr>
            <w:tcW w:w="94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-18415</wp:posOffset>
            </wp:positionV>
            <wp:extent cx="571373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 xml:space="preserve">Change in </w:t>
            </w:r>
            <w:r>
              <w:rPr>
                <w:rFonts w:ascii="Times New Roman" w:cs="Times New Roman" w:eastAsia="Times New Roman" w:hAnsi="Times New Roman"/>
                <w:sz w:val="3"/>
                <w:szCs w:val="3"/>
                <w:color w:val="auto"/>
              </w:rPr>
              <w:t>​     ​</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Termination</w:t>
            </w:r>
            <w:r>
              <w:rPr>
                <w:rFonts w:ascii="Times New Roman" w:cs="Times New Roman" w:eastAsia="Times New Roman" w:hAnsi="Times New Roman"/>
                <w:sz w:val="3"/>
                <w:szCs w:val="3"/>
                <w:color w:val="auto"/>
              </w:rPr>
              <w:t>​</w:t>
            </w:r>
          </w:p>
        </w:tc>
        <w:tc>
          <w:tcPr>
            <w:tcW w:w="1060" w:type="dxa"/>
            <w:vAlign w:val="bottom"/>
          </w:tcPr>
          <w:p>
            <w:pPr>
              <w:jc w:val="right"/>
              <w:ind w:right="962"/>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4"/>
                <w:szCs w:val="4"/>
                <w:color w:val="auto"/>
                <w:w w:val="99"/>
              </w:rPr>
              <w:t>​​</w:t>
            </w:r>
            <w:r>
              <w:rPr>
                <w:rFonts w:ascii="Arial" w:cs="Arial" w:eastAsia="Arial" w:hAnsi="Arial"/>
                <w:sz w:val="14"/>
                <w:szCs w:val="14"/>
                <w:b w:val="1"/>
                <w:bCs w:val="1"/>
                <w:color w:val="auto"/>
                <w:w w:val="99"/>
              </w:rPr>
              <w:t>Termination</w:t>
            </w:r>
          </w:p>
        </w:tc>
      </w:tr>
      <w:tr>
        <w:trPr>
          <w:trHeight w:val="161"/>
        </w:trPr>
        <w:tc>
          <w:tcPr>
            <w:tcW w:w="980" w:type="dxa"/>
            <w:vAlign w:val="bottom"/>
          </w:tcPr>
          <w:p>
            <w:pPr>
              <w:jc w:val="right"/>
              <w:ind w:right="129"/>
              <w:spacing w:after="0"/>
              <w:rPr>
                <w:sz w:val="20"/>
                <w:szCs w:val="20"/>
                <w:color w:val="auto"/>
              </w:rPr>
            </w:pPr>
            <w:r>
              <w:rPr>
                <w:rFonts w:ascii="Arial" w:cs="Arial" w:eastAsia="Arial" w:hAnsi="Arial"/>
                <w:sz w:val="14"/>
                <w:szCs w:val="14"/>
                <w:b w:val="1"/>
                <w:bCs w:val="1"/>
                <w:color w:val="auto"/>
              </w:rPr>
              <w:t>Control (no</w:t>
            </w:r>
          </w:p>
        </w:tc>
        <w:tc>
          <w:tcPr>
            <w:tcW w:w="900" w:type="dxa"/>
            <w:vAlign w:val="bottom"/>
          </w:tcPr>
          <w:p>
            <w:pPr>
              <w:jc w:val="right"/>
              <w:ind w:right="29"/>
              <w:spacing w:after="0"/>
              <w:rPr>
                <w:sz w:val="20"/>
                <w:szCs w:val="20"/>
                <w:color w:val="auto"/>
              </w:rPr>
            </w:pPr>
            <w:r>
              <w:rPr>
                <w:rFonts w:ascii="Arial" w:cs="Arial" w:eastAsia="Arial" w:hAnsi="Arial"/>
                <w:sz w:val="14"/>
                <w:szCs w:val="14"/>
                <w:b w:val="1"/>
                <w:bCs w:val="1"/>
                <w:color w:val="auto"/>
              </w:rPr>
              <w:t>Due to</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Termination</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Due to</w:t>
            </w:r>
          </w:p>
        </w:tc>
      </w:tr>
      <w:tr>
        <w:trPr>
          <w:trHeight w:val="161"/>
        </w:trPr>
        <w:tc>
          <w:tcPr>
            <w:tcW w:w="980" w:type="dxa"/>
            <w:vAlign w:val="bottom"/>
          </w:tcPr>
          <w:p>
            <w:pPr>
              <w:jc w:val="right"/>
              <w:ind w:right="89"/>
              <w:spacing w:after="0"/>
              <w:rPr>
                <w:sz w:val="20"/>
                <w:szCs w:val="20"/>
                <w:color w:val="auto"/>
              </w:rPr>
            </w:pPr>
            <w:r>
              <w:rPr>
                <w:rFonts w:ascii="Arial" w:cs="Arial" w:eastAsia="Arial" w:hAnsi="Arial"/>
                <w:sz w:val="14"/>
                <w:szCs w:val="14"/>
                <w:b w:val="1"/>
                <w:bCs w:val="1"/>
                <w:color w:val="auto"/>
                <w:w w:val="98"/>
              </w:rPr>
              <w:t>termination)</w:t>
            </w:r>
          </w:p>
        </w:tc>
        <w:tc>
          <w:tcPr>
            <w:tcW w:w="900" w:type="dxa"/>
            <w:vAlign w:val="bottom"/>
          </w:tcPr>
          <w:p>
            <w:pPr>
              <w:jc w:val="right"/>
              <w:ind w:right="29"/>
              <w:spacing w:after="0"/>
              <w:rPr>
                <w:sz w:val="20"/>
                <w:szCs w:val="20"/>
                <w:color w:val="auto"/>
              </w:rPr>
            </w:pPr>
            <w:r>
              <w:rPr>
                <w:rFonts w:ascii="Arial" w:cs="Arial" w:eastAsia="Arial" w:hAnsi="Arial"/>
                <w:sz w:val="14"/>
                <w:szCs w:val="14"/>
                <w:b w:val="1"/>
                <w:bCs w:val="1"/>
                <w:color w:val="auto"/>
              </w:rPr>
              <w:t>Retirement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Due to Death</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Disability</w:t>
            </w:r>
          </w:p>
        </w:tc>
      </w:tr>
      <w:tr>
        <w:trPr>
          <w:trHeight w:val="325"/>
        </w:trPr>
        <w:tc>
          <w:tcPr>
            <w:tcW w:w="98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5</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bl>
    <w:p>
      <w:pPr>
        <w:spacing w:after="0" w:line="58" w:lineRule="exact"/>
        <w:rPr>
          <w:sz w:val="20"/>
          <w:szCs w:val="20"/>
          <w:color w:val="auto"/>
        </w:rPr>
      </w:pPr>
    </w:p>
    <w:p>
      <w:pPr>
        <w:sectPr>
          <w:pgSz w:w="11900" w:h="16838" w:orient="portrait"/>
          <w:cols w:equalWidth="0" w:num="2">
            <w:col w:w="4920" w:space="100"/>
            <w:col w:w="3999"/>
          </w:cols>
          <w:pgMar w:left="1440" w:top="116" w:right="1440" w:bottom="0" w:gutter="0" w:footer="0" w:header="0"/>
          <w:type w:val="continuous"/>
        </w:sectPr>
      </w:pPr>
    </w:p>
    <w:p>
      <w:pPr>
        <w:ind w:left="40"/>
        <w:spacing w:after="0"/>
        <w:rPr>
          <w:sz w:val="20"/>
          <w:szCs w:val="20"/>
          <w:color w:val="auto"/>
        </w:rPr>
      </w:pPr>
      <w:r>
        <w:rPr>
          <w:rFonts w:ascii="Arial" w:cs="Arial" w:eastAsia="Arial" w:hAnsi="Arial"/>
          <w:sz w:val="14"/>
          <w:szCs w:val="14"/>
          <w:b w:val="1"/>
          <w:bCs w:val="1"/>
          <w:color w:val="0C426A"/>
        </w:rPr>
        <w:t>Mr. Santana</w:t>
      </w:r>
    </w:p>
    <w:p>
      <w:pPr>
        <w:jc w:val="right"/>
        <w:spacing w:after="0" w:line="217" w:lineRule="auto"/>
        <w:rPr>
          <w:sz w:val="20"/>
          <w:szCs w:val="20"/>
          <w:color w:val="auto"/>
        </w:rPr>
      </w:pPr>
      <w:r>
        <w:rPr>
          <w:rFonts w:ascii="Times New Roman" w:cs="Times New Roman" w:eastAsia="Times New Roman" w:hAnsi="Times New Roman"/>
          <w:sz w:val="4"/>
          <w:szCs w:val="4"/>
          <w:color w:val="auto"/>
        </w:rPr>
        <w:t>​</w:t>
      </w:r>
    </w:p>
    <w:p>
      <w:pPr>
        <w:spacing w:after="0" w:line="3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3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4"/>
          <w:szCs w:val="4"/>
          <w:color w:val="auto"/>
        </w:rPr>
        <w:t>​</w:t>
      </w: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1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1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440"/>
        <w:spacing w:after="0" w:line="290" w:lineRule="auto"/>
        <w:rPr>
          <w:sz w:val="20"/>
          <w:szCs w:val="20"/>
          <w:color w:val="auto"/>
        </w:rPr>
      </w:pPr>
      <w:r>
        <w:rPr>
          <w:rFonts w:ascii="Arial" w:cs="Arial" w:eastAsia="Arial" w:hAnsi="Arial"/>
          <w:sz w:val="14"/>
          <w:szCs w:val="14"/>
          <w:b w:val="1"/>
          <w:bCs w:val="1"/>
          <w:color w:val="auto"/>
        </w:rPr>
        <w:t>Continuation Agreement</w:t>
      </w:r>
    </w:p>
    <w:p>
      <w:pPr>
        <w:spacing w:after="0" w:line="13"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color w:val="auto"/>
        </w:rPr>
        <w:t>Cash Severance Payment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Benefits Payment</w:t>
      </w:r>
      <w:r>
        <w:rPr>
          <w:rFonts w:ascii="Arial" w:cs="Arial" w:eastAsia="Arial" w:hAnsi="Arial"/>
          <w:sz w:val="23"/>
          <w:szCs w:val="23"/>
          <w:color w:val="auto"/>
          <w:vertAlign w:val="superscript"/>
        </w:rPr>
        <w:t>(2)</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Prorated Annual</w:t>
      </w:r>
    </w:p>
    <w:p>
      <w:pPr>
        <w:spacing w:after="0"/>
        <w:rPr>
          <w:sz w:val="20"/>
          <w:szCs w:val="20"/>
          <w:color w:val="auto"/>
        </w:rPr>
      </w:pPr>
      <w:r>
        <w:rPr>
          <w:rFonts w:ascii="Arial" w:cs="Arial" w:eastAsia="Arial" w:hAnsi="Arial"/>
          <w:sz w:val="14"/>
          <w:szCs w:val="14"/>
          <w:color w:val="auto"/>
        </w:rPr>
        <w:t>Bonus</w:t>
      </w:r>
      <w:r>
        <w:rPr>
          <w:rFonts w:ascii="Arial" w:cs="Arial" w:eastAsia="Arial" w:hAnsi="Arial"/>
          <w:sz w:val="23"/>
          <w:szCs w:val="23"/>
          <w:color w:val="auto"/>
          <w:vertAlign w:val="superscript"/>
        </w:rPr>
        <w:t>(6)</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Transition Payment</w:t>
      </w:r>
    </w:p>
    <w:p>
      <w:pPr>
        <w:spacing w:after="0" w:line="63" w:lineRule="exact"/>
        <w:rPr>
          <w:sz w:val="20"/>
          <w:szCs w:val="20"/>
          <w:color w:val="auto"/>
        </w:rPr>
      </w:pPr>
    </w:p>
    <w:p>
      <w:pPr>
        <w:spacing w:after="0" w:line="319" w:lineRule="auto"/>
        <w:rPr>
          <w:sz w:val="20"/>
          <w:szCs w:val="20"/>
          <w:color w:val="auto"/>
        </w:rPr>
      </w:pPr>
      <w:r>
        <w:rPr>
          <w:rFonts w:ascii="Arial" w:cs="Arial" w:eastAsia="Arial" w:hAnsi="Arial"/>
          <w:sz w:val="14"/>
          <w:szCs w:val="14"/>
          <w:b w:val="1"/>
          <w:bCs w:val="1"/>
          <w:color w:val="auto"/>
        </w:rPr>
        <w:t>Equity Awards</w:t>
      </w:r>
      <w:r>
        <w:rPr>
          <w:rFonts w:ascii="Arial" w:cs="Arial" w:eastAsia="Arial" w:hAnsi="Arial"/>
          <w:sz w:val="23"/>
          <w:szCs w:val="23"/>
          <w:b w:val="1"/>
          <w:bCs w:val="1"/>
          <w:color w:val="auto"/>
          <w:vertAlign w:val="superscript"/>
        </w:rPr>
        <w:t>(3)</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Shares Restricted Stock Options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6"/>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6,890,000</w:t>
            </w: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10,335,000</w:t>
            </w:r>
          </w:p>
        </w:tc>
        <w:tc>
          <w:tcPr>
            <w:tcW w:w="180" w:type="dxa"/>
            <w:vAlign w:val="bottom"/>
          </w:tcPr>
          <w:p>
            <w:pPr>
              <w:spacing w:after="0"/>
              <w:rPr>
                <w:sz w:val="16"/>
                <w:szCs w:val="16"/>
                <w:color w:val="auto"/>
              </w:rPr>
            </w:pPr>
          </w:p>
        </w:tc>
        <w:tc>
          <w:tcPr>
            <w:tcW w:w="840" w:type="dxa"/>
            <w:vAlign w:val="bottom"/>
          </w:tcPr>
          <w:p>
            <w:pPr>
              <w:jc w:val="right"/>
              <w:ind w:right="13"/>
              <w:spacing w:after="0"/>
              <w:rPr>
                <w:sz w:val="20"/>
                <w:szCs w:val="20"/>
                <w:color w:val="auto"/>
              </w:rPr>
            </w:pPr>
            <w:r>
              <w:rPr>
                <w:rFonts w:ascii="Arial" w:cs="Arial" w:eastAsia="Arial" w:hAnsi="Arial"/>
                <w:sz w:val="14"/>
                <w:szCs w:val="14"/>
                <w:color w:val="auto"/>
              </w:rPr>
              <w:t>0</w:t>
            </w:r>
          </w:p>
        </w:tc>
        <w:tc>
          <w:tcPr>
            <w:tcW w:w="460" w:type="dxa"/>
            <w:vAlign w:val="bottom"/>
          </w:tcPr>
          <w:p>
            <w:pPr>
              <w:spacing w:after="0"/>
              <w:rPr>
                <w:sz w:val="16"/>
                <w:szCs w:val="16"/>
                <w:color w:val="auto"/>
              </w:rPr>
            </w:pPr>
          </w:p>
        </w:tc>
        <w:tc>
          <w:tcPr>
            <w:tcW w:w="540" w:type="dxa"/>
            <w:vAlign w:val="bottom"/>
          </w:tcPr>
          <w:p>
            <w:pPr>
              <w:jc w:val="right"/>
              <w:ind w:right="18"/>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3"/>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42,201</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63,302</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28"/>
                <w:szCs w:val="28"/>
                <w:color w:val="auto"/>
                <w:vertAlign w:val="subscript"/>
              </w:rPr>
              <w:t>0</w:t>
            </w:r>
            <w:r>
              <w:rPr>
                <w:rFonts w:ascii="Times New Roman" w:cs="Times New Roman" w:eastAsia="Times New Roman" w:hAnsi="Times New Roman"/>
                <w:sz w:val="4"/>
                <w:szCs w:val="4"/>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Arial" w:cs="Arial" w:eastAsia="Arial" w:hAnsi="Arial"/>
                <w:sz w:val="28"/>
                <w:szCs w:val="28"/>
                <w:color w:val="auto"/>
                <w:vertAlign w:val="subscript"/>
              </w:rPr>
              <w:t>0</w:t>
            </w:r>
            <w:r>
              <w:rPr>
                <w:rFonts w:ascii="Times New Roman" w:cs="Times New Roman" w:eastAsia="Times New Roman" w:hAnsi="Times New Roman"/>
                <w:sz w:val="4"/>
                <w:szCs w:val="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Pr>
          <w:p>
            <w:pPr>
              <w:jc w:val="right"/>
              <w:spacing w:after="0"/>
              <w:rPr>
                <w:sz w:val="20"/>
                <w:szCs w:val="20"/>
                <w:color w:val="auto"/>
              </w:rPr>
            </w:pPr>
            <w:r>
              <w:rPr>
                <w:rFonts w:ascii="Arial" w:cs="Arial" w:eastAsia="Arial" w:hAnsi="Arial"/>
                <w:sz w:val="28"/>
                <w:szCs w:val="28"/>
                <w:color w:val="auto"/>
                <w:vertAlign w:val="subscript"/>
              </w:rPr>
              <w:t>0</w:t>
            </w: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15"/>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3,485,178</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3,485,178</w:t>
            </w: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3,485,178</w:t>
            </w:r>
          </w:p>
        </w:tc>
        <w:tc>
          <w:tcPr>
            <w:tcW w:w="180" w:type="dxa"/>
            <w:vAlign w:val="bottom"/>
          </w:tcPr>
          <w:p>
            <w:pPr>
              <w:spacing w:after="0"/>
              <w:rPr>
                <w:sz w:val="16"/>
                <w:szCs w:val="16"/>
                <w:color w:val="auto"/>
              </w:rPr>
            </w:pPr>
          </w:p>
        </w:tc>
        <w:tc>
          <w:tcPr>
            <w:tcW w:w="840" w:type="dxa"/>
            <w:vAlign w:val="bottom"/>
          </w:tcPr>
          <w:p>
            <w:pPr>
              <w:jc w:val="right"/>
              <w:ind w:right="13"/>
              <w:spacing w:after="0"/>
              <w:rPr>
                <w:sz w:val="20"/>
                <w:szCs w:val="20"/>
                <w:color w:val="auto"/>
              </w:rPr>
            </w:pPr>
            <w:r>
              <w:rPr>
                <w:rFonts w:ascii="Arial" w:cs="Arial" w:eastAsia="Arial" w:hAnsi="Arial"/>
                <w:sz w:val="14"/>
                <w:szCs w:val="14"/>
                <w:color w:val="auto"/>
              </w:rPr>
              <w:t>0</w:t>
            </w:r>
          </w:p>
        </w:tc>
        <w:tc>
          <w:tcPr>
            <w:tcW w:w="460" w:type="dxa"/>
            <w:vAlign w:val="bottom"/>
          </w:tcPr>
          <w:p>
            <w:pPr>
              <w:spacing w:after="0"/>
              <w:rPr>
                <w:sz w:val="16"/>
                <w:szCs w:val="16"/>
                <w:color w:val="auto"/>
              </w:rPr>
            </w:pPr>
          </w:p>
        </w:tc>
        <w:tc>
          <w:tcPr>
            <w:tcW w:w="540" w:type="dxa"/>
            <w:vAlign w:val="bottom"/>
          </w:tcPr>
          <w:p>
            <w:pPr>
              <w:jc w:val="right"/>
              <w:ind w:right="18"/>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3,485,178</w:t>
            </w: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100,000</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100,000</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37,675,374</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37,675,374</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8,756,195</w:t>
            </w:r>
            <w:r>
              <w:rPr>
                <w:rFonts w:ascii="Times New Roman" w:cs="Times New Roman" w:eastAsia="Times New Roman" w:hAnsi="Times New Roman"/>
                <w:sz w:val="3"/>
                <w:szCs w:val="3"/>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Arial" w:cs="Arial" w:eastAsia="Arial" w:hAnsi="Arial"/>
                <w:sz w:val="28"/>
                <w:szCs w:val="28"/>
                <w:color w:val="auto"/>
                <w:vertAlign w:val="subscript"/>
              </w:rPr>
              <w:t>0</w:t>
            </w:r>
            <w:r>
              <w:rPr>
                <w:rFonts w:ascii="Times New Roman" w:cs="Times New Roman" w:eastAsia="Times New Roman" w:hAnsi="Times New Roman"/>
                <w:sz w:val="4"/>
                <w:szCs w:val="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37,675,374</w:t>
            </w:r>
            <w:r>
              <w:rPr>
                <w:rFonts w:ascii="Times New Roman" w:cs="Times New Roman" w:eastAsia="Times New Roman" w:hAnsi="Times New Roman"/>
                <w:sz w:val="3"/>
                <w:szCs w:val="3"/>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37,675,374</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10,373,305</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10,373,305</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2,229,690</w:t>
            </w:r>
            <w:r>
              <w:rPr>
                <w:rFonts w:ascii="Times New Roman" w:cs="Times New Roman" w:eastAsia="Times New Roman" w:hAnsi="Times New Roman"/>
                <w:sz w:val="3"/>
                <w:szCs w:val="3"/>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10,373,305</w:t>
            </w:r>
            <w:r>
              <w:rPr>
                <w:rFonts w:ascii="Times New Roman" w:cs="Times New Roman" w:eastAsia="Times New Roman" w:hAnsi="Times New Roman"/>
                <w:sz w:val="3"/>
                <w:szCs w:val="3"/>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10,373,305</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479,774</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479,774</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479,774</w:t>
            </w:r>
            <w:r>
              <w:rPr>
                <w:rFonts w:ascii="Times New Roman" w:cs="Times New Roman" w:eastAsia="Times New Roman" w:hAnsi="Times New Roman"/>
                <w:sz w:val="3"/>
                <w:szCs w:val="3"/>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479,774</w:t>
            </w:r>
            <w:r>
              <w:rPr>
                <w:rFonts w:ascii="Times New Roman" w:cs="Times New Roman" w:eastAsia="Times New Roman" w:hAnsi="Times New Roman"/>
                <w:sz w:val="3"/>
                <w:szCs w:val="3"/>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479,774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-1706245</wp:posOffset>
            </wp:positionH>
            <wp:positionV relativeFrom="paragraph">
              <wp:posOffset>13335</wp:posOffset>
            </wp:positionV>
            <wp:extent cx="571373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3">
            <w:col w:w="1120" w:space="60"/>
            <w:col w:w="1320" w:space="200"/>
            <w:col w:w="6319"/>
          </w:cols>
          <w:pgMar w:left="1440" w:top="116" w:right="1440" w:bottom="0" w:gutter="0" w:footer="0" w:header="0"/>
          <w:type w:val="continuous"/>
        </w:sectPr>
      </w:pPr>
    </w:p>
    <w:p>
      <w:pPr>
        <w:ind w:left="40"/>
        <w:spacing w:after="0" w:line="226" w:lineRule="auto"/>
        <w:rPr>
          <w:sz w:val="20"/>
          <w:szCs w:val="20"/>
          <w:color w:val="auto"/>
        </w:rPr>
      </w:pPr>
      <w:r>
        <w:rPr>
          <w:rFonts w:ascii="Arial" w:cs="Arial" w:eastAsia="Arial" w:hAnsi="Arial"/>
          <w:sz w:val="14"/>
          <w:szCs w:val="14"/>
          <w:b w:val="1"/>
          <w:bCs w:val="1"/>
          <w:color w:val="0C426A"/>
        </w:rPr>
        <w:t>Mr. Olin</w:t>
      </w:r>
    </w:p>
    <w:p>
      <w:pPr>
        <w:jc w:val="right"/>
        <w:spacing w:after="0" w:line="220" w:lineRule="auto"/>
        <w:rPr>
          <w:sz w:val="20"/>
          <w:szCs w:val="20"/>
          <w:color w:val="auto"/>
        </w:rPr>
      </w:pPr>
      <w:r>
        <w:rPr>
          <w:rFonts w:ascii="Times New Roman" w:cs="Times New Roman" w:eastAsia="Times New Roman" w:hAnsi="Times New Roman"/>
          <w:sz w:val="4"/>
          <w:szCs w:val="4"/>
          <w:color w:val="auto"/>
        </w:rPr>
        <w:t>​</w:t>
      </w:r>
    </w:p>
    <w:p>
      <w:pPr>
        <w:spacing w:after="0" w:line="3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3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4"/>
          <w:szCs w:val="4"/>
          <w:color w:val="auto"/>
        </w:rPr>
        <w:t>​</w:t>
      </w: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1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1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br w:type="column"/>
      </w:r>
    </w:p>
    <w:p>
      <w:pPr>
        <w:ind w:right="440"/>
        <w:spacing w:after="0" w:line="290" w:lineRule="auto"/>
        <w:rPr>
          <w:sz w:val="20"/>
          <w:szCs w:val="20"/>
          <w:color w:val="auto"/>
        </w:rPr>
      </w:pPr>
      <w:r>
        <w:rPr>
          <w:rFonts w:ascii="Arial" w:cs="Arial" w:eastAsia="Arial" w:hAnsi="Arial"/>
          <w:sz w:val="14"/>
          <w:szCs w:val="14"/>
          <w:b w:val="1"/>
          <w:bCs w:val="1"/>
          <w:color w:val="auto"/>
        </w:rPr>
        <w:t>Continuation Agreement</w:t>
      </w:r>
    </w:p>
    <w:p>
      <w:pPr>
        <w:spacing w:after="0" w:line="13"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color w:val="auto"/>
        </w:rPr>
        <w:t>Cash Severance Payment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Benefits Payment</w:t>
      </w:r>
      <w:r>
        <w:rPr>
          <w:rFonts w:ascii="Arial" w:cs="Arial" w:eastAsia="Arial" w:hAnsi="Arial"/>
          <w:sz w:val="23"/>
          <w:szCs w:val="23"/>
          <w:color w:val="auto"/>
          <w:vertAlign w:val="superscript"/>
        </w:rPr>
        <w:t>(2)</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Prorated Annual</w:t>
      </w:r>
    </w:p>
    <w:p>
      <w:pPr>
        <w:spacing w:after="0"/>
        <w:rPr>
          <w:sz w:val="20"/>
          <w:szCs w:val="20"/>
          <w:color w:val="auto"/>
        </w:rPr>
      </w:pPr>
      <w:r>
        <w:rPr>
          <w:rFonts w:ascii="Arial" w:cs="Arial" w:eastAsia="Arial" w:hAnsi="Arial"/>
          <w:sz w:val="14"/>
          <w:szCs w:val="14"/>
          <w:color w:val="auto"/>
        </w:rPr>
        <w:t>Bonus</w:t>
      </w:r>
      <w:r>
        <w:rPr>
          <w:rFonts w:ascii="Arial" w:cs="Arial" w:eastAsia="Arial" w:hAnsi="Arial"/>
          <w:sz w:val="23"/>
          <w:szCs w:val="23"/>
          <w:color w:val="auto"/>
          <w:vertAlign w:val="superscript"/>
        </w:rPr>
        <w:t>(6)</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Transition Payment</w:t>
      </w:r>
    </w:p>
    <w:p>
      <w:pPr>
        <w:spacing w:after="0" w:line="63" w:lineRule="exact"/>
        <w:rPr>
          <w:sz w:val="20"/>
          <w:szCs w:val="20"/>
          <w:color w:val="auto"/>
        </w:rPr>
      </w:pPr>
    </w:p>
    <w:p>
      <w:pPr>
        <w:spacing w:after="0" w:line="319" w:lineRule="auto"/>
        <w:rPr>
          <w:sz w:val="20"/>
          <w:szCs w:val="20"/>
          <w:color w:val="auto"/>
        </w:rPr>
      </w:pPr>
      <w:r>
        <w:rPr>
          <w:rFonts w:ascii="Arial" w:cs="Arial" w:eastAsia="Arial" w:hAnsi="Arial"/>
          <w:sz w:val="14"/>
          <w:szCs w:val="14"/>
          <w:b w:val="1"/>
          <w:bCs w:val="1"/>
          <w:color w:val="auto"/>
        </w:rPr>
        <w:t>Equity Awards</w:t>
      </w:r>
      <w:r>
        <w:rPr>
          <w:rFonts w:ascii="Arial" w:cs="Arial" w:eastAsia="Arial" w:hAnsi="Arial"/>
          <w:sz w:val="23"/>
          <w:szCs w:val="23"/>
          <w:b w:val="1"/>
          <w:bCs w:val="1"/>
          <w:color w:val="auto"/>
          <w:vertAlign w:val="superscript"/>
        </w:rPr>
        <w:t>(3)</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Shares Restricted Stock Options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6"/>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3"/>
              <w:spacing w:after="0"/>
              <w:rPr>
                <w:sz w:val="20"/>
                <w:szCs w:val="20"/>
                <w:color w:val="auto"/>
              </w:rPr>
            </w:pPr>
            <w:r>
              <w:rPr>
                <w:rFonts w:ascii="Arial" w:cs="Arial" w:eastAsia="Arial" w:hAnsi="Arial"/>
                <w:sz w:val="14"/>
                <w:szCs w:val="14"/>
                <w:color w:val="auto"/>
              </w:rPr>
              <w:t>1,559,423</w:t>
            </w:r>
          </w:p>
        </w:tc>
        <w:tc>
          <w:tcPr>
            <w:tcW w:w="180" w:type="dxa"/>
            <w:vAlign w:val="bottom"/>
          </w:tcPr>
          <w:p>
            <w:pPr>
              <w:spacing w:after="0"/>
              <w:rPr>
                <w:sz w:val="16"/>
                <w:szCs w:val="16"/>
                <w:color w:val="auto"/>
              </w:rPr>
            </w:pP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3,118,846</w:t>
            </w:r>
          </w:p>
        </w:tc>
        <w:tc>
          <w:tcPr>
            <w:tcW w:w="180" w:type="dxa"/>
            <w:vAlign w:val="bottom"/>
          </w:tcPr>
          <w:p>
            <w:pPr>
              <w:spacing w:after="0"/>
              <w:rPr>
                <w:sz w:val="16"/>
                <w:szCs w:val="16"/>
                <w:color w:val="auto"/>
              </w:rPr>
            </w:pPr>
          </w:p>
        </w:tc>
        <w:tc>
          <w:tcPr>
            <w:tcW w:w="840" w:type="dxa"/>
            <w:vAlign w:val="bottom"/>
          </w:tcPr>
          <w:p>
            <w:pPr>
              <w:jc w:val="right"/>
              <w:ind w:right="13"/>
              <w:spacing w:after="0"/>
              <w:rPr>
                <w:sz w:val="20"/>
                <w:szCs w:val="20"/>
                <w:color w:val="auto"/>
              </w:rPr>
            </w:pPr>
            <w:r>
              <w:rPr>
                <w:rFonts w:ascii="Arial" w:cs="Arial" w:eastAsia="Arial" w:hAnsi="Arial"/>
                <w:sz w:val="14"/>
                <w:szCs w:val="14"/>
                <w:color w:val="auto"/>
              </w:rPr>
              <w:t>0</w:t>
            </w:r>
          </w:p>
        </w:tc>
        <w:tc>
          <w:tcPr>
            <w:tcW w:w="460" w:type="dxa"/>
            <w:vAlign w:val="bottom"/>
          </w:tcPr>
          <w:p>
            <w:pPr>
              <w:spacing w:after="0"/>
              <w:rPr>
                <w:sz w:val="16"/>
                <w:szCs w:val="16"/>
                <w:color w:val="auto"/>
              </w:rPr>
            </w:pPr>
          </w:p>
        </w:tc>
        <w:tc>
          <w:tcPr>
            <w:tcW w:w="540" w:type="dxa"/>
            <w:vAlign w:val="bottom"/>
          </w:tcPr>
          <w:p>
            <w:pPr>
              <w:jc w:val="right"/>
              <w:ind w:right="18"/>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18,017</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36,033</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1,257,623</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3"/>
              <w:spacing w:after="0"/>
              <w:rPr>
                <w:sz w:val="20"/>
                <w:szCs w:val="20"/>
                <w:color w:val="auto"/>
              </w:rPr>
            </w:pPr>
            <w:r>
              <w:rPr>
                <w:rFonts w:ascii="Arial" w:cs="Arial" w:eastAsia="Arial" w:hAnsi="Arial"/>
                <w:sz w:val="14"/>
                <w:szCs w:val="14"/>
                <w:color w:val="auto"/>
              </w:rPr>
              <w:t>1,257,623</w:t>
            </w:r>
          </w:p>
        </w:tc>
        <w:tc>
          <w:tcPr>
            <w:tcW w:w="180" w:type="dxa"/>
            <w:vAlign w:val="bottom"/>
          </w:tcPr>
          <w:p>
            <w:pPr>
              <w:spacing w:after="0"/>
              <w:rPr>
                <w:sz w:val="16"/>
                <w:szCs w:val="16"/>
                <w:color w:val="auto"/>
              </w:rPr>
            </w:pP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1,257,623</w:t>
            </w:r>
          </w:p>
        </w:tc>
        <w:tc>
          <w:tcPr>
            <w:tcW w:w="180" w:type="dxa"/>
            <w:vAlign w:val="bottom"/>
          </w:tcPr>
          <w:p>
            <w:pPr>
              <w:spacing w:after="0"/>
              <w:rPr>
                <w:sz w:val="16"/>
                <w:szCs w:val="16"/>
                <w:color w:val="auto"/>
              </w:rPr>
            </w:pPr>
          </w:p>
        </w:tc>
        <w:tc>
          <w:tcPr>
            <w:tcW w:w="840" w:type="dxa"/>
            <w:vAlign w:val="bottom"/>
          </w:tcPr>
          <w:p>
            <w:pPr>
              <w:jc w:val="right"/>
              <w:ind w:right="13"/>
              <w:spacing w:after="0"/>
              <w:rPr>
                <w:sz w:val="20"/>
                <w:szCs w:val="20"/>
                <w:color w:val="auto"/>
              </w:rPr>
            </w:pPr>
            <w:r>
              <w:rPr>
                <w:rFonts w:ascii="Arial" w:cs="Arial" w:eastAsia="Arial" w:hAnsi="Arial"/>
                <w:sz w:val="14"/>
                <w:szCs w:val="14"/>
                <w:color w:val="auto"/>
              </w:rPr>
              <w:t>0</w:t>
            </w:r>
          </w:p>
        </w:tc>
        <w:tc>
          <w:tcPr>
            <w:tcW w:w="460" w:type="dxa"/>
            <w:vAlign w:val="bottom"/>
          </w:tcPr>
          <w:p>
            <w:pPr>
              <w:spacing w:after="0"/>
              <w:rPr>
                <w:sz w:val="16"/>
                <w:szCs w:val="16"/>
                <w:color w:val="auto"/>
              </w:rPr>
            </w:pPr>
          </w:p>
        </w:tc>
        <w:tc>
          <w:tcPr>
            <w:tcW w:w="540" w:type="dxa"/>
            <w:vAlign w:val="bottom"/>
          </w:tcPr>
          <w:p>
            <w:pPr>
              <w:jc w:val="right"/>
              <w:ind w:right="18"/>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1,257,623</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50,000</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50,000</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3,403,170</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6,944,575</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6,944,575</w:t>
            </w:r>
            <w:r>
              <w:rPr>
                <w:rFonts w:ascii="Times New Roman" w:cs="Times New Roman" w:eastAsia="Times New Roman" w:hAnsi="Times New Roman"/>
                <w:sz w:val="3"/>
                <w:szCs w:val="3"/>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6,944,575</w:t>
            </w:r>
          </w:p>
        </w:tc>
        <w:tc>
          <w:tcPr>
            <w:tcW w:w="0" w:type="dxa"/>
            <w:vAlign w:val="bottom"/>
          </w:tcPr>
          <w:p>
            <w:pPr>
              <w:spacing w:after="0"/>
              <w:rPr>
                <w:sz w:val="1"/>
                <w:szCs w:val="1"/>
                <w:color w:val="auto"/>
              </w:rPr>
            </w:pPr>
          </w:p>
        </w:tc>
      </w:tr>
      <w:tr>
        <w:trPr>
          <w:trHeight w:val="293"/>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1,819,637</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3,360,663</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1,410,732</w:t>
            </w:r>
            <w:r>
              <w:rPr>
                <w:rFonts w:ascii="Times New Roman" w:cs="Times New Roman" w:eastAsia="Times New Roman" w:hAnsi="Times New Roman"/>
                <w:sz w:val="3"/>
                <w:szCs w:val="3"/>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line="293" w:lineRule="exact"/>
              <w:rPr>
                <w:sz w:val="20"/>
                <w:szCs w:val="20"/>
                <w:color w:val="auto"/>
              </w:rPr>
            </w:pPr>
            <w:r>
              <w:rPr>
                <w:rFonts w:ascii="Arial" w:cs="Arial" w:eastAsia="Arial" w:hAnsi="Arial"/>
                <w:sz w:val="28"/>
                <w:szCs w:val="28"/>
                <w:color w:val="auto"/>
                <w:vertAlign w:val="subscript"/>
              </w:rPr>
              <w:t>0</w:t>
            </w:r>
            <w:r>
              <w:rPr>
                <w:rFonts w:ascii="Times New Roman" w:cs="Times New Roman" w:eastAsia="Times New Roman" w:hAnsi="Times New Roman"/>
                <w:sz w:val="4"/>
                <w:szCs w:val="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3,360,663</w:t>
            </w:r>
            <w:r>
              <w:rPr>
                <w:rFonts w:ascii="Times New Roman" w:cs="Times New Roman" w:eastAsia="Times New Roman" w:hAnsi="Times New Roman"/>
                <w:sz w:val="3"/>
                <w:szCs w:val="3"/>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3,360,663</w:t>
            </w:r>
          </w:p>
        </w:tc>
        <w:tc>
          <w:tcPr>
            <w:tcW w:w="0" w:type="dxa"/>
            <w:vAlign w:val="bottom"/>
          </w:tcPr>
          <w:p>
            <w:pPr>
              <w:spacing w:after="0"/>
              <w:rPr>
                <w:sz w:val="1"/>
                <w:szCs w:val="1"/>
                <w:color w:val="auto"/>
              </w:rPr>
            </w:pPr>
          </w:p>
        </w:tc>
      </w:tr>
      <w:tr>
        <w:trPr>
          <w:trHeight w:val="268"/>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line="268" w:lineRule="exact"/>
              <w:rPr>
                <w:sz w:val="20"/>
                <w:szCs w:val="20"/>
                <w:color w:val="auto"/>
              </w:rPr>
            </w:pPr>
            <w:r>
              <w:rPr>
                <w:rFonts w:ascii="Arial" w:cs="Arial" w:eastAsia="Arial" w:hAnsi="Arial"/>
                <w:sz w:val="28"/>
                <w:szCs w:val="28"/>
                <w:color w:val="auto"/>
                <w:vertAlign w:val="subscript"/>
              </w:rPr>
              <w:t>0</w:t>
            </w: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line="268" w:lineRule="exact"/>
              <w:rPr>
                <w:sz w:val="20"/>
                <w:szCs w:val="20"/>
                <w:color w:val="auto"/>
              </w:rPr>
            </w:pPr>
            <w:r>
              <w:rPr>
                <w:rFonts w:ascii="Arial" w:cs="Arial" w:eastAsia="Arial" w:hAnsi="Arial"/>
                <w:sz w:val="28"/>
                <w:szCs w:val="28"/>
                <w:color w:val="auto"/>
                <w:vertAlign w:val="subscript"/>
              </w:rPr>
              <w:t>0</w:t>
            </w: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line="268" w:lineRule="exact"/>
              <w:rPr>
                <w:sz w:val="20"/>
                <w:szCs w:val="20"/>
                <w:color w:val="auto"/>
              </w:rPr>
            </w:pPr>
            <w:r>
              <w:rPr>
                <w:rFonts w:ascii="Arial" w:cs="Arial" w:eastAsia="Arial" w:hAnsi="Arial"/>
                <w:sz w:val="28"/>
                <w:szCs w:val="28"/>
                <w:color w:val="auto"/>
                <w:vertAlign w:val="subscript"/>
              </w:rPr>
              <w:t>0</w:t>
            </w:r>
            <w:r>
              <w:rPr>
                <w:rFonts w:ascii="Times New Roman" w:cs="Times New Roman" w:eastAsia="Times New Roman" w:hAnsi="Times New Roman"/>
                <w:sz w:val="4"/>
                <w:szCs w:val="4"/>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line="268" w:lineRule="exact"/>
              <w:rPr>
                <w:sz w:val="20"/>
                <w:szCs w:val="20"/>
                <w:color w:val="auto"/>
              </w:rPr>
            </w:pPr>
            <w:r>
              <w:rPr>
                <w:rFonts w:ascii="Arial" w:cs="Arial" w:eastAsia="Arial" w:hAnsi="Arial"/>
                <w:sz w:val="28"/>
                <w:szCs w:val="28"/>
                <w:color w:val="auto"/>
                <w:vertAlign w:val="subscript"/>
              </w:rPr>
              <w:t>0</w:t>
            </w:r>
            <w:r>
              <w:rPr>
                <w:rFonts w:ascii="Times New Roman" w:cs="Times New Roman" w:eastAsia="Times New Roman" w:hAnsi="Times New Roman"/>
                <w:sz w:val="4"/>
                <w:szCs w:val="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line="268" w:lineRule="exact"/>
              <w:rPr>
                <w:sz w:val="20"/>
                <w:szCs w:val="20"/>
                <w:color w:val="auto"/>
              </w:rPr>
            </w:pPr>
            <w:r>
              <w:rPr>
                <w:rFonts w:ascii="Arial" w:cs="Arial" w:eastAsia="Arial" w:hAnsi="Arial"/>
                <w:sz w:val="28"/>
                <w:szCs w:val="28"/>
                <w:color w:val="auto"/>
                <w:vertAlign w:val="subscript"/>
              </w:rPr>
              <w:t>0</w:t>
            </w: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-1706245</wp:posOffset>
            </wp:positionH>
            <wp:positionV relativeFrom="paragraph">
              <wp:posOffset>-36195</wp:posOffset>
            </wp:positionV>
            <wp:extent cx="571373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3">
            <w:col w:w="1120" w:space="60"/>
            <w:col w:w="1320" w:space="200"/>
            <w:col w:w="6319"/>
          </w:cols>
          <w:pgMar w:left="1440" w:top="116" w:right="1440" w:bottom="0" w:gutter="0" w:footer="0" w:header="0"/>
          <w:type w:val="continuous"/>
        </w:sectPr>
      </w:pPr>
    </w:p>
    <w:p>
      <w:pPr>
        <w:ind w:left="40"/>
        <w:spacing w:after="0" w:line="185" w:lineRule="auto"/>
        <w:rPr>
          <w:sz w:val="20"/>
          <w:szCs w:val="20"/>
          <w:color w:val="auto"/>
        </w:rPr>
      </w:pPr>
      <w:r>
        <w:rPr>
          <w:rFonts w:ascii="Arial" w:cs="Arial" w:eastAsia="Arial" w:hAnsi="Arial"/>
          <w:sz w:val="14"/>
          <w:szCs w:val="14"/>
          <w:b w:val="1"/>
          <w:bCs w:val="1"/>
          <w:color w:val="0C426A"/>
        </w:rPr>
        <w:t>Mr. DeNinno</w:t>
      </w:r>
    </w:p>
    <w:p>
      <w:pPr>
        <w:jc w:val="right"/>
        <w:spacing w:after="0" w:line="218" w:lineRule="auto"/>
        <w:rPr>
          <w:sz w:val="20"/>
          <w:szCs w:val="20"/>
          <w:color w:val="auto"/>
        </w:rPr>
      </w:pPr>
      <w:r>
        <w:rPr>
          <w:rFonts w:ascii="Times New Roman" w:cs="Times New Roman" w:eastAsia="Times New Roman" w:hAnsi="Times New Roman"/>
          <w:sz w:val="4"/>
          <w:szCs w:val="4"/>
          <w:color w:val="auto"/>
        </w:rPr>
        <w:t>​</w:t>
      </w:r>
    </w:p>
    <w:p>
      <w:pPr>
        <w:spacing w:after="0" w:line="3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3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4"/>
          <w:szCs w:val="4"/>
          <w:color w:val="auto"/>
        </w:rPr>
        <w:t>​</w:t>
      </w: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1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1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br w:type="column"/>
      </w:r>
    </w:p>
    <w:p>
      <w:pPr>
        <w:ind w:right="440"/>
        <w:spacing w:after="0" w:line="269" w:lineRule="auto"/>
        <w:rPr>
          <w:sz w:val="20"/>
          <w:szCs w:val="20"/>
          <w:color w:val="auto"/>
        </w:rPr>
      </w:pPr>
      <w:r>
        <w:rPr>
          <w:rFonts w:ascii="Arial" w:cs="Arial" w:eastAsia="Arial" w:hAnsi="Arial"/>
          <w:sz w:val="14"/>
          <w:szCs w:val="14"/>
          <w:b w:val="1"/>
          <w:bCs w:val="1"/>
          <w:color w:val="auto"/>
        </w:rPr>
        <w:t>Continuation Agreement</w:t>
      </w:r>
    </w:p>
    <w:p>
      <w:pPr>
        <w:spacing w:after="0" w:line="27"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color w:val="auto"/>
        </w:rPr>
        <w:t>Cash Severance Payment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Benefits Payment</w:t>
      </w:r>
      <w:r>
        <w:rPr>
          <w:rFonts w:ascii="Arial" w:cs="Arial" w:eastAsia="Arial" w:hAnsi="Arial"/>
          <w:sz w:val="23"/>
          <w:szCs w:val="23"/>
          <w:color w:val="auto"/>
          <w:vertAlign w:val="superscript"/>
        </w:rPr>
        <w:t>(2)</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Prorated Annual</w:t>
      </w:r>
    </w:p>
    <w:p>
      <w:pPr>
        <w:spacing w:after="0"/>
        <w:rPr>
          <w:sz w:val="20"/>
          <w:szCs w:val="20"/>
          <w:color w:val="auto"/>
        </w:rPr>
      </w:pPr>
      <w:r>
        <w:rPr>
          <w:rFonts w:ascii="Arial" w:cs="Arial" w:eastAsia="Arial" w:hAnsi="Arial"/>
          <w:sz w:val="14"/>
          <w:szCs w:val="14"/>
          <w:color w:val="auto"/>
        </w:rPr>
        <w:t>Bonus</w:t>
      </w:r>
      <w:r>
        <w:rPr>
          <w:rFonts w:ascii="Arial" w:cs="Arial" w:eastAsia="Arial" w:hAnsi="Arial"/>
          <w:sz w:val="23"/>
          <w:szCs w:val="23"/>
          <w:color w:val="auto"/>
          <w:vertAlign w:val="superscript"/>
        </w:rPr>
        <w:t>(6)</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Transition Payment</w:t>
      </w:r>
    </w:p>
    <w:p>
      <w:pPr>
        <w:spacing w:after="0" w:line="63" w:lineRule="exact"/>
        <w:rPr>
          <w:sz w:val="20"/>
          <w:szCs w:val="20"/>
          <w:color w:val="auto"/>
        </w:rPr>
      </w:pPr>
    </w:p>
    <w:p>
      <w:pPr>
        <w:spacing w:after="0" w:line="319" w:lineRule="auto"/>
        <w:rPr>
          <w:sz w:val="20"/>
          <w:szCs w:val="20"/>
          <w:color w:val="auto"/>
        </w:rPr>
      </w:pPr>
      <w:r>
        <w:rPr>
          <w:rFonts w:ascii="Arial" w:cs="Arial" w:eastAsia="Arial" w:hAnsi="Arial"/>
          <w:sz w:val="14"/>
          <w:szCs w:val="14"/>
          <w:b w:val="1"/>
          <w:bCs w:val="1"/>
          <w:color w:val="auto"/>
        </w:rPr>
        <w:t>Equity Awards</w:t>
      </w:r>
      <w:r>
        <w:rPr>
          <w:rFonts w:ascii="Arial" w:cs="Arial" w:eastAsia="Arial" w:hAnsi="Arial"/>
          <w:sz w:val="23"/>
          <w:szCs w:val="23"/>
          <w:b w:val="1"/>
          <w:bCs w:val="1"/>
          <w:color w:val="auto"/>
          <w:vertAlign w:val="superscript"/>
        </w:rPr>
        <w:t>(3)</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Shares Restricted Stock Options</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6"/>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1,307,500</w:t>
            </w:r>
          </w:p>
        </w:tc>
        <w:tc>
          <w:tcPr>
            <w:tcW w:w="1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2,615,000</w:t>
            </w:r>
          </w:p>
        </w:tc>
        <w:tc>
          <w:tcPr>
            <w:tcW w:w="180" w:type="dxa"/>
            <w:vAlign w:val="bottom"/>
          </w:tcPr>
          <w:p>
            <w:pPr>
              <w:spacing w:after="0"/>
              <w:rPr>
                <w:sz w:val="16"/>
                <w:szCs w:val="16"/>
                <w:color w:val="auto"/>
              </w:rPr>
            </w:pPr>
          </w:p>
        </w:tc>
        <w:tc>
          <w:tcPr>
            <w:tcW w:w="840" w:type="dxa"/>
            <w:vAlign w:val="bottom"/>
          </w:tcPr>
          <w:p>
            <w:pPr>
              <w:jc w:val="right"/>
              <w:ind w:right="13"/>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6"/>
                <w:szCs w:val="16"/>
                <w:color w:val="auto"/>
              </w:rPr>
            </w:pP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18,017</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36,033</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7"/>
                <w:szCs w:val="7"/>
                <w:color w:val="auto"/>
                <w:vertAlign w:val="superscript"/>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7"/>
                <w:szCs w:val="7"/>
                <w:color w:val="auto"/>
                <w:vertAlign w:val="superscript"/>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7"/>
                <w:szCs w:val="7"/>
                <w:color w:val="auto"/>
                <w:vertAlign w:val="superscript"/>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854,855</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854,855</w:t>
            </w:r>
          </w:p>
        </w:tc>
        <w:tc>
          <w:tcPr>
            <w:tcW w:w="1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854,855</w:t>
            </w:r>
          </w:p>
        </w:tc>
        <w:tc>
          <w:tcPr>
            <w:tcW w:w="180" w:type="dxa"/>
            <w:vAlign w:val="bottom"/>
          </w:tcPr>
          <w:p>
            <w:pPr>
              <w:spacing w:after="0"/>
              <w:rPr>
                <w:sz w:val="16"/>
                <w:szCs w:val="16"/>
                <w:color w:val="auto"/>
              </w:rPr>
            </w:pPr>
          </w:p>
        </w:tc>
        <w:tc>
          <w:tcPr>
            <w:tcW w:w="840" w:type="dxa"/>
            <w:vAlign w:val="bottom"/>
          </w:tcPr>
          <w:p>
            <w:pPr>
              <w:jc w:val="right"/>
              <w:ind w:right="13"/>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6"/>
                <w:szCs w:val="16"/>
                <w:color w:val="auto"/>
              </w:rPr>
            </w:pP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854,855</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854,855</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0"/>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50,000</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50,000</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28"/>
                <w:szCs w:val="28"/>
                <w:color w:val="auto"/>
                <w:vertAlign w:val="subscript"/>
              </w:rPr>
              <w:t>0</w:t>
            </w: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28"/>
                <w:szCs w:val="28"/>
                <w:color w:val="auto"/>
                <w:vertAlign w:val="subscript"/>
              </w:rPr>
              <w:t>0</w:t>
            </w:r>
            <w:r>
              <w:rPr>
                <w:rFonts w:ascii="Times New Roman" w:cs="Times New Roman" w:eastAsia="Times New Roman" w:hAnsi="Times New Roman"/>
                <w:sz w:val="4"/>
                <w:szCs w:val="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28"/>
                <w:szCs w:val="28"/>
                <w:color w:val="auto"/>
                <w:vertAlign w:val="subscript"/>
              </w:rPr>
              <w:t>0</w:t>
            </w: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46"/>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4"/>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5,558,450</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5,558,450</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1,492,738</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5,558,450</w:t>
            </w:r>
            <w:r>
              <w:rPr>
                <w:rFonts w:ascii="Times New Roman" w:cs="Times New Roman" w:eastAsia="Times New Roman" w:hAnsi="Times New Roman"/>
                <w:sz w:val="3"/>
                <w:szCs w:val="3"/>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5,558,450</w:t>
            </w:r>
            <w:r>
              <w:rPr>
                <w:rFonts w:ascii="Times New Roman" w:cs="Times New Roman" w:eastAsia="Times New Roman" w:hAnsi="Times New Roman"/>
                <w:sz w:val="3"/>
                <w:szCs w:val="3"/>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5,558,450</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1,353,586</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1,353,586</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226,423</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1,353,586</w:t>
            </w:r>
            <w:r>
              <w:rPr>
                <w:rFonts w:ascii="Times New Roman" w:cs="Times New Roman" w:eastAsia="Times New Roman" w:hAnsi="Times New Roman"/>
                <w:sz w:val="3"/>
                <w:szCs w:val="3"/>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1,353,586</w:t>
            </w:r>
            <w:r>
              <w:rPr>
                <w:rFonts w:ascii="Times New Roman" w:cs="Times New Roman" w:eastAsia="Times New Roman" w:hAnsi="Times New Roman"/>
                <w:sz w:val="3"/>
                <w:szCs w:val="3"/>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1,353,586</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81,626</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81,626</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81,626</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81,626</w:t>
            </w:r>
            <w:r>
              <w:rPr>
                <w:rFonts w:ascii="Times New Roman" w:cs="Times New Roman" w:eastAsia="Times New Roman" w:hAnsi="Times New Roman"/>
                <w:sz w:val="3"/>
                <w:szCs w:val="3"/>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81,626</w:t>
            </w:r>
            <w:r>
              <w:rPr>
                <w:rFonts w:ascii="Times New Roman" w:cs="Times New Roman" w:eastAsia="Times New Roman" w:hAnsi="Times New Roman"/>
                <w:sz w:val="3"/>
                <w:szCs w:val="3"/>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81,626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-1706245</wp:posOffset>
            </wp:positionH>
            <wp:positionV relativeFrom="paragraph">
              <wp:posOffset>13335</wp:posOffset>
            </wp:positionV>
            <wp:extent cx="571373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3">
            <w:col w:w="1120" w:space="60"/>
            <w:col w:w="1320" w:space="200"/>
            <w:col w:w="6319"/>
          </w:cols>
          <w:pgMar w:left="1440" w:top="116" w:right="1440" w:bottom="0" w:gutter="0" w:footer="0" w:header="0"/>
          <w:type w:val="continuous"/>
        </w:sectPr>
      </w:pPr>
    </w:p>
    <w:p>
      <w:pPr>
        <w:ind w:left="40"/>
        <w:spacing w:after="0" w:line="226" w:lineRule="auto"/>
        <w:rPr>
          <w:sz w:val="20"/>
          <w:szCs w:val="20"/>
          <w:color w:val="auto"/>
        </w:rPr>
      </w:pPr>
      <w:r>
        <w:rPr>
          <w:rFonts w:ascii="Arial" w:cs="Arial" w:eastAsia="Arial" w:hAnsi="Arial"/>
          <w:sz w:val="14"/>
          <w:szCs w:val="14"/>
          <w:b w:val="1"/>
          <w:bCs w:val="1"/>
          <w:color w:val="0C426A"/>
        </w:rPr>
        <w:t>Mr. Schweitzer</w:t>
      </w:r>
    </w:p>
    <w:p>
      <w:pPr>
        <w:jc w:val="right"/>
        <w:spacing w:after="0" w:line="220" w:lineRule="auto"/>
        <w:rPr>
          <w:sz w:val="20"/>
          <w:szCs w:val="20"/>
          <w:color w:val="auto"/>
        </w:rPr>
      </w:pPr>
      <w:r>
        <w:rPr>
          <w:rFonts w:ascii="Times New Roman" w:cs="Times New Roman" w:eastAsia="Times New Roman" w:hAnsi="Times New Roman"/>
          <w:sz w:val="4"/>
          <w:szCs w:val="4"/>
          <w:color w:val="auto"/>
        </w:rPr>
        <w:t>​</w:t>
      </w:r>
    </w:p>
    <w:p>
      <w:pPr>
        <w:spacing w:after="0" w:line="3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4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4"/>
          <w:szCs w:val="4"/>
          <w:color w:val="auto"/>
        </w:rPr>
        <w:t>​</w:t>
      </w:r>
    </w:p>
    <w:p>
      <w:pPr>
        <w:spacing w:after="0" w:line="1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1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1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br w:type="column"/>
      </w:r>
    </w:p>
    <w:p>
      <w:pPr>
        <w:ind w:right="440"/>
        <w:spacing w:after="0" w:line="290" w:lineRule="auto"/>
        <w:rPr>
          <w:sz w:val="20"/>
          <w:szCs w:val="20"/>
          <w:color w:val="auto"/>
        </w:rPr>
      </w:pPr>
      <w:r>
        <w:rPr>
          <w:rFonts w:ascii="Arial" w:cs="Arial" w:eastAsia="Arial" w:hAnsi="Arial"/>
          <w:sz w:val="14"/>
          <w:szCs w:val="14"/>
          <w:b w:val="1"/>
          <w:bCs w:val="1"/>
          <w:color w:val="auto"/>
        </w:rPr>
        <w:t>Continuation Agreement</w:t>
      </w:r>
    </w:p>
    <w:p>
      <w:pPr>
        <w:spacing w:after="0" w:line="13"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color w:val="auto"/>
        </w:rPr>
        <w:t>Cash Severance Payment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Benefits Payment</w:t>
      </w:r>
      <w:r>
        <w:rPr>
          <w:rFonts w:ascii="Arial" w:cs="Arial" w:eastAsia="Arial" w:hAnsi="Arial"/>
          <w:sz w:val="23"/>
          <w:szCs w:val="23"/>
          <w:color w:val="auto"/>
          <w:vertAlign w:val="superscript"/>
        </w:rPr>
        <w:t>(2)</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Prorated Annual</w:t>
      </w:r>
    </w:p>
    <w:p>
      <w:pPr>
        <w:spacing w:after="0"/>
        <w:rPr>
          <w:sz w:val="20"/>
          <w:szCs w:val="20"/>
          <w:color w:val="auto"/>
        </w:rPr>
      </w:pPr>
      <w:r>
        <w:rPr>
          <w:rFonts w:ascii="Arial" w:cs="Arial" w:eastAsia="Arial" w:hAnsi="Arial"/>
          <w:sz w:val="14"/>
          <w:szCs w:val="14"/>
          <w:color w:val="auto"/>
        </w:rPr>
        <w:t>Bonus</w:t>
      </w:r>
      <w:r>
        <w:rPr>
          <w:rFonts w:ascii="Arial" w:cs="Arial" w:eastAsia="Arial" w:hAnsi="Arial"/>
          <w:sz w:val="23"/>
          <w:szCs w:val="23"/>
          <w:color w:val="auto"/>
          <w:vertAlign w:val="superscript"/>
        </w:rPr>
        <w:t>(6)</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Transition Payment</w:t>
      </w:r>
    </w:p>
    <w:p>
      <w:pPr>
        <w:spacing w:after="0" w:line="63" w:lineRule="exact"/>
        <w:rPr>
          <w:sz w:val="20"/>
          <w:szCs w:val="20"/>
          <w:color w:val="auto"/>
        </w:rPr>
      </w:pPr>
    </w:p>
    <w:p>
      <w:pPr>
        <w:spacing w:after="0" w:line="319" w:lineRule="auto"/>
        <w:rPr>
          <w:sz w:val="20"/>
          <w:szCs w:val="20"/>
          <w:color w:val="auto"/>
        </w:rPr>
      </w:pPr>
      <w:r>
        <w:rPr>
          <w:rFonts w:ascii="Arial" w:cs="Arial" w:eastAsia="Arial" w:hAnsi="Arial"/>
          <w:sz w:val="14"/>
          <w:szCs w:val="14"/>
          <w:b w:val="1"/>
          <w:bCs w:val="1"/>
          <w:color w:val="auto"/>
        </w:rPr>
        <w:t>Equity Awards</w:t>
      </w:r>
      <w:r>
        <w:rPr>
          <w:rFonts w:ascii="Arial" w:cs="Arial" w:eastAsia="Arial" w:hAnsi="Arial"/>
          <w:sz w:val="23"/>
          <w:szCs w:val="23"/>
          <w:b w:val="1"/>
          <w:bCs w:val="1"/>
          <w:color w:val="auto"/>
          <w:vertAlign w:val="superscript"/>
        </w:rPr>
        <w:t>(3)</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Shares Restricted Stock Options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6"/>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1,439,957</w:t>
            </w:r>
          </w:p>
        </w:tc>
        <w:tc>
          <w:tcPr>
            <w:tcW w:w="1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2,879,913</w:t>
            </w:r>
          </w:p>
        </w:tc>
        <w:tc>
          <w:tcPr>
            <w:tcW w:w="1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w:t>
            </w:r>
          </w:p>
        </w:tc>
        <w:tc>
          <w:tcPr>
            <w:tcW w:w="46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21,101</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22,753</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1,025,795</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1,025,795</w:t>
            </w:r>
          </w:p>
        </w:tc>
        <w:tc>
          <w:tcPr>
            <w:tcW w:w="1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1,025,795</w:t>
            </w:r>
          </w:p>
        </w:tc>
        <w:tc>
          <w:tcPr>
            <w:tcW w:w="1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w:t>
            </w:r>
          </w:p>
        </w:tc>
        <w:tc>
          <w:tcPr>
            <w:tcW w:w="46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1,025,795</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50,000</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50,000</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2,686,625</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3,235,451</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1,593,471</w:t>
            </w:r>
            <w:r>
              <w:rPr>
                <w:rFonts w:ascii="Times New Roman" w:cs="Times New Roman" w:eastAsia="Times New Roman" w:hAnsi="Times New Roman"/>
                <w:sz w:val="3"/>
                <w:szCs w:val="3"/>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3,235,451</w:t>
            </w:r>
            <w:r>
              <w:rPr>
                <w:rFonts w:ascii="Times New Roman" w:cs="Times New Roman" w:eastAsia="Times New Roman" w:hAnsi="Times New Roman"/>
                <w:sz w:val="3"/>
                <w:szCs w:val="3"/>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3,235,451</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461,567</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1,126,147</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175,627</w:t>
            </w:r>
            <w:r>
              <w:rPr>
                <w:rFonts w:ascii="Times New Roman" w:cs="Times New Roman" w:eastAsia="Times New Roman" w:hAnsi="Times New Roman"/>
                <w:sz w:val="3"/>
                <w:szCs w:val="3"/>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1,126,147</w:t>
            </w:r>
            <w:r>
              <w:rPr>
                <w:rFonts w:ascii="Times New Roman" w:cs="Times New Roman" w:eastAsia="Times New Roman" w:hAnsi="Times New Roman"/>
                <w:sz w:val="3"/>
                <w:szCs w:val="3"/>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1,126,147</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52,761</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63,314</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63,314</w:t>
            </w:r>
            <w:r>
              <w:rPr>
                <w:rFonts w:ascii="Times New Roman" w:cs="Times New Roman" w:eastAsia="Times New Roman" w:hAnsi="Times New Roman"/>
                <w:sz w:val="3"/>
                <w:szCs w:val="3"/>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7"/>
                <w:szCs w:val="7"/>
                <w:color w:val="auto"/>
                <w:vertAlign w:val="superscript"/>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63,314</w:t>
            </w:r>
            <w:r>
              <w:rPr>
                <w:rFonts w:ascii="Times New Roman" w:cs="Times New Roman" w:eastAsia="Times New Roman" w:hAnsi="Times New Roman"/>
                <w:sz w:val="3"/>
                <w:szCs w:val="3"/>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63,314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-1706245</wp:posOffset>
            </wp:positionH>
            <wp:positionV relativeFrom="paragraph">
              <wp:posOffset>30480</wp:posOffset>
            </wp:positionV>
            <wp:extent cx="571373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3">
            <w:col w:w="1120" w:space="60"/>
            <w:col w:w="1320" w:space="200"/>
            <w:col w:w="6319"/>
          </w:cols>
          <w:pgMar w:left="1440" w:top="116" w:right="1440" w:bottom="0" w:gutter="0" w:footer="0" w:header="0"/>
          <w:type w:val="continuous"/>
        </w:sectPr>
      </w:pPr>
    </w:p>
    <w:p>
      <w:pPr>
        <w:spacing w:after="0" w:line="42" w:lineRule="exact"/>
        <w:rPr>
          <w:sz w:val="20"/>
          <w:szCs w:val="20"/>
          <w:color w:val="auto"/>
        </w:rPr>
      </w:pPr>
    </w:p>
    <w:tbl>
      <w:tblPr>
        <w:tblLayout w:type="fixed"/>
        <w:tblInd w:w="5400" w:type="dxa"/>
        <w:tblCellMar>
          <w:top w:w="0" w:type="dxa"/>
          <w:left w:w="0" w:type="dxa"/>
          <w:bottom w:w="0" w:type="dxa"/>
          <w:right w:w="0" w:type="dxa"/>
        </w:tblCellMar>
      </w:tblPr>
      <w:tr>
        <w:trPr>
          <w:trHeight w:val="330"/>
        </w:trPr>
        <w:tc>
          <w:tcPr>
            <w:tcW w:w="2780" w:type="dxa"/>
            <w:vAlign w:val="bottom"/>
          </w:tcPr>
          <w:p>
            <w:pPr>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212725</wp:posOffset>
            </wp:positionV>
            <wp:extent cx="693801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4887595</wp:posOffset>
            </wp:positionH>
            <wp:positionV relativeFrom="paragraph">
              <wp:posOffset>-177800</wp:posOffset>
            </wp:positionV>
            <wp:extent cx="501650" cy="1701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6" w:right="1440" w:bottom="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Executive Compensation Tables</w:t>
      </w:r>
    </w:p>
    <w:p>
      <w:pPr>
        <w:spacing w:after="0" w:line="17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280" w:type="dxa"/>
            <w:vAlign w:val="bottom"/>
          </w:tcPr>
          <w:p>
            <w:pPr>
              <w:jc w:val="right"/>
              <w:ind w:right="152"/>
              <w:spacing w:after="0"/>
              <w:rPr>
                <w:sz w:val="20"/>
                <w:szCs w:val="20"/>
                <w:color w:val="auto"/>
              </w:rPr>
            </w:pPr>
            <w:r>
              <w:rPr>
                <w:rFonts w:ascii="Arial" w:cs="Arial" w:eastAsia="Arial" w:hAnsi="Arial"/>
                <w:sz w:val="14"/>
                <w:szCs w:val="14"/>
                <w:b w:val="1"/>
                <w:bCs w:val="1"/>
                <w:color w:val="auto"/>
              </w:rPr>
              <w:t>Involuntary</w:t>
            </w: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1"/>
        </w:trPr>
        <w:tc>
          <w:tcPr>
            <w:tcW w:w="1780" w:type="dxa"/>
            <w:vAlign w:val="bottom"/>
          </w:tcPr>
          <w:p>
            <w:pPr>
              <w:spacing w:after="0"/>
              <w:rPr>
                <w:sz w:val="13"/>
                <w:szCs w:val="13"/>
                <w:color w:val="auto"/>
              </w:rPr>
            </w:pPr>
          </w:p>
        </w:tc>
        <w:tc>
          <w:tcPr>
            <w:tcW w:w="1280" w:type="dxa"/>
            <w:vAlign w:val="bottom"/>
          </w:tcPr>
          <w:p>
            <w:pPr>
              <w:jc w:val="right"/>
              <w:ind w:right="152"/>
              <w:spacing w:after="0"/>
              <w:rPr>
                <w:sz w:val="20"/>
                <w:szCs w:val="20"/>
                <w:color w:val="auto"/>
              </w:rPr>
            </w:pPr>
            <w:r>
              <w:rPr>
                <w:rFonts w:ascii="Arial" w:cs="Arial" w:eastAsia="Arial" w:hAnsi="Arial"/>
                <w:sz w:val="14"/>
                <w:szCs w:val="14"/>
                <w:b w:val="1"/>
                <w:bCs w:val="1"/>
                <w:color w:val="auto"/>
              </w:rPr>
              <w:t>Termination</w:t>
            </w: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70"/>
        </w:trPr>
        <w:tc>
          <w:tcPr>
            <w:tcW w:w="1780" w:type="dxa"/>
            <w:vAlign w:val="bottom"/>
          </w:tcPr>
          <w:p>
            <w:pPr>
              <w:spacing w:after="0"/>
              <w:rPr>
                <w:sz w:val="14"/>
                <w:szCs w:val="14"/>
                <w:color w:val="auto"/>
              </w:rPr>
            </w:pPr>
          </w:p>
        </w:tc>
        <w:tc>
          <w:tcPr>
            <w:tcW w:w="1280" w:type="dxa"/>
            <w:vAlign w:val="bottom"/>
          </w:tcPr>
          <w:p>
            <w:pPr>
              <w:jc w:val="right"/>
              <w:ind w:right="152"/>
              <w:spacing w:after="0"/>
              <w:rPr>
                <w:sz w:val="20"/>
                <w:szCs w:val="20"/>
                <w:color w:val="auto"/>
              </w:rPr>
            </w:pPr>
            <w:r>
              <w:rPr>
                <w:rFonts w:ascii="Arial" w:cs="Arial" w:eastAsia="Arial" w:hAnsi="Arial"/>
                <w:sz w:val="14"/>
                <w:szCs w:val="14"/>
                <w:b w:val="1"/>
                <w:bCs w:val="1"/>
                <w:color w:val="auto"/>
              </w:rPr>
              <w:t>w/o Cause or</w:t>
            </w:r>
          </w:p>
        </w:tc>
        <w:tc>
          <w:tcPr>
            <w:tcW w:w="1000" w:type="dxa"/>
            <w:vAlign w:val="bottom"/>
          </w:tcPr>
          <w:p>
            <w:pPr>
              <w:jc w:val="right"/>
              <w:ind w:right="89"/>
              <w:spacing w:after="0"/>
              <w:rPr>
                <w:sz w:val="20"/>
                <w:szCs w:val="20"/>
                <w:color w:val="auto"/>
              </w:rPr>
            </w:pPr>
            <w:r>
              <w:rPr>
                <w:rFonts w:ascii="Arial" w:cs="Arial" w:eastAsia="Arial" w:hAnsi="Arial"/>
                <w:sz w:val="14"/>
                <w:szCs w:val="14"/>
                <w:b w:val="1"/>
                <w:bCs w:val="1"/>
                <w:color w:val="auto"/>
              </w:rPr>
              <w:t>Termination</w:t>
            </w: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1"/>
        </w:trPr>
        <w:tc>
          <w:tcPr>
            <w:tcW w:w="1780" w:type="dxa"/>
            <w:vAlign w:val="bottom"/>
          </w:tcPr>
          <w:p>
            <w:pPr>
              <w:jc w:val="right"/>
              <w:ind w:right="1644"/>
              <w:spacing w:after="0"/>
              <w:rPr>
                <w:sz w:val="20"/>
                <w:szCs w:val="20"/>
                <w:color w:val="auto"/>
              </w:rPr>
            </w:pPr>
            <w:r>
              <w:rPr>
                <w:rFonts w:ascii="Times New Roman" w:cs="Times New Roman" w:eastAsia="Times New Roman" w:hAnsi="Times New Roman"/>
                <w:sz w:val="4"/>
                <w:szCs w:val="4"/>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auto"/>
              </w:rPr>
              <w:t xml:space="preserve">Resignation </w:t>
            </w:r>
            <w:r>
              <w:rPr>
                <w:rFonts w:ascii="Times New Roman" w:cs="Times New Roman" w:eastAsia="Times New Roman" w:hAnsi="Times New Roman"/>
                <w:sz w:val="3"/>
                <w:szCs w:val="3"/>
                <w:color w:val="auto"/>
              </w:rPr>
              <w:t>​     ​</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 xml:space="preserve">due to </w:t>
            </w:r>
            <w:r>
              <w:rPr>
                <w:rFonts w:ascii="Times New Roman" w:cs="Times New Roman" w:eastAsia="Times New Roman" w:hAnsi="Times New Roman"/>
                <w:sz w:val="3"/>
                <w:szCs w:val="3"/>
                <w:color w:val="auto"/>
              </w:rPr>
              <w:t>​     ​</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 xml:space="preserve">Change in </w:t>
            </w:r>
            <w:r>
              <w:rPr>
                <w:rFonts w:ascii="Times New Roman" w:cs="Times New Roman" w:eastAsia="Times New Roman" w:hAnsi="Times New Roman"/>
                <w:sz w:val="3"/>
                <w:szCs w:val="3"/>
                <w:color w:val="auto"/>
              </w:rPr>
              <w:t>​     ​</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Termination</w:t>
            </w:r>
            <w:r>
              <w:rPr>
                <w:rFonts w:ascii="Times New Roman" w:cs="Times New Roman" w:eastAsia="Times New Roman" w:hAnsi="Times New Roman"/>
                <w:sz w:val="3"/>
                <w:szCs w:val="3"/>
                <w:color w:val="auto"/>
              </w:rPr>
              <w:t>​</w:t>
            </w:r>
          </w:p>
        </w:tc>
        <w:tc>
          <w:tcPr>
            <w:tcW w:w="1060" w:type="dxa"/>
            <w:vAlign w:val="bottom"/>
          </w:tcPr>
          <w:p>
            <w:pPr>
              <w:jc w:val="right"/>
              <w:ind w:right="962"/>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4"/>
                <w:szCs w:val="4"/>
                <w:color w:val="auto"/>
                <w:w w:val="99"/>
              </w:rPr>
              <w:t>​​</w:t>
            </w:r>
            <w:r>
              <w:rPr>
                <w:rFonts w:ascii="Arial" w:cs="Arial" w:eastAsia="Arial" w:hAnsi="Arial"/>
                <w:sz w:val="14"/>
                <w:szCs w:val="14"/>
                <w:b w:val="1"/>
                <w:bCs w:val="1"/>
                <w:color w:val="auto"/>
                <w:w w:val="99"/>
              </w:rPr>
              <w:t>Termination</w:t>
            </w:r>
          </w:p>
        </w:tc>
      </w:tr>
      <w:tr>
        <w:trPr>
          <w:trHeight w:val="161"/>
        </w:trPr>
        <w:tc>
          <w:tcPr>
            <w:tcW w:w="1780" w:type="dxa"/>
            <w:vAlign w:val="bottom"/>
          </w:tcPr>
          <w:p>
            <w:pPr>
              <w:spacing w:after="0"/>
              <w:rPr>
                <w:sz w:val="13"/>
                <w:szCs w:val="13"/>
                <w:color w:val="auto"/>
              </w:rPr>
            </w:pPr>
          </w:p>
        </w:tc>
        <w:tc>
          <w:tcPr>
            <w:tcW w:w="1280" w:type="dxa"/>
            <w:vAlign w:val="bottom"/>
          </w:tcPr>
          <w:p>
            <w:pPr>
              <w:jc w:val="right"/>
              <w:ind w:right="152"/>
              <w:spacing w:after="0"/>
              <w:rPr>
                <w:sz w:val="20"/>
                <w:szCs w:val="20"/>
                <w:color w:val="auto"/>
              </w:rPr>
            </w:pPr>
            <w:r>
              <w:rPr>
                <w:rFonts w:ascii="Arial" w:cs="Arial" w:eastAsia="Arial" w:hAnsi="Arial"/>
                <w:sz w:val="14"/>
                <w:szCs w:val="14"/>
                <w:b w:val="1"/>
                <w:bCs w:val="1"/>
                <w:color w:val="auto"/>
              </w:rPr>
              <w:t>for Good</w:t>
            </w:r>
          </w:p>
        </w:tc>
        <w:tc>
          <w:tcPr>
            <w:tcW w:w="1000" w:type="dxa"/>
            <w:vAlign w:val="bottom"/>
          </w:tcPr>
          <w:p>
            <w:pPr>
              <w:jc w:val="right"/>
              <w:ind w:right="129"/>
              <w:spacing w:after="0"/>
              <w:rPr>
                <w:sz w:val="20"/>
                <w:szCs w:val="20"/>
                <w:color w:val="auto"/>
              </w:rPr>
            </w:pPr>
            <w:r>
              <w:rPr>
                <w:rFonts w:ascii="Arial" w:cs="Arial" w:eastAsia="Arial" w:hAnsi="Arial"/>
                <w:sz w:val="14"/>
                <w:szCs w:val="14"/>
                <w:b w:val="1"/>
                <w:bCs w:val="1"/>
                <w:color w:val="auto"/>
              </w:rPr>
              <w:t>Change in</w:t>
            </w:r>
          </w:p>
        </w:tc>
        <w:tc>
          <w:tcPr>
            <w:tcW w:w="1020" w:type="dxa"/>
            <w:vAlign w:val="bottom"/>
          </w:tcPr>
          <w:p>
            <w:pPr>
              <w:jc w:val="right"/>
              <w:ind w:right="129"/>
              <w:spacing w:after="0"/>
              <w:rPr>
                <w:sz w:val="20"/>
                <w:szCs w:val="20"/>
                <w:color w:val="auto"/>
              </w:rPr>
            </w:pPr>
            <w:r>
              <w:rPr>
                <w:rFonts w:ascii="Arial" w:cs="Arial" w:eastAsia="Arial" w:hAnsi="Arial"/>
                <w:sz w:val="14"/>
                <w:szCs w:val="14"/>
                <w:b w:val="1"/>
                <w:bCs w:val="1"/>
                <w:color w:val="auto"/>
              </w:rPr>
              <w:t>Control (no</w:t>
            </w:r>
          </w:p>
        </w:tc>
        <w:tc>
          <w:tcPr>
            <w:tcW w:w="900" w:type="dxa"/>
            <w:vAlign w:val="bottom"/>
          </w:tcPr>
          <w:p>
            <w:pPr>
              <w:jc w:val="right"/>
              <w:ind w:right="29"/>
              <w:spacing w:after="0"/>
              <w:rPr>
                <w:sz w:val="20"/>
                <w:szCs w:val="20"/>
                <w:color w:val="auto"/>
              </w:rPr>
            </w:pPr>
            <w:r>
              <w:rPr>
                <w:rFonts w:ascii="Arial" w:cs="Arial" w:eastAsia="Arial" w:hAnsi="Arial"/>
                <w:sz w:val="14"/>
                <w:szCs w:val="14"/>
                <w:b w:val="1"/>
                <w:bCs w:val="1"/>
                <w:color w:val="auto"/>
              </w:rPr>
              <w:t>Due to</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Termination</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Due to</w:t>
            </w:r>
          </w:p>
        </w:tc>
      </w:tr>
      <w:tr>
        <w:trPr>
          <w:trHeight w:val="161"/>
        </w:trPr>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Type of Payment or</w:t>
            </w:r>
          </w:p>
        </w:tc>
        <w:tc>
          <w:tcPr>
            <w:tcW w:w="1280" w:type="dxa"/>
            <w:vAlign w:val="bottom"/>
          </w:tcPr>
          <w:p>
            <w:pPr>
              <w:jc w:val="right"/>
              <w:ind w:right="152"/>
              <w:spacing w:after="0"/>
              <w:rPr>
                <w:sz w:val="20"/>
                <w:szCs w:val="20"/>
                <w:color w:val="auto"/>
              </w:rPr>
            </w:pPr>
            <w:r>
              <w:rPr>
                <w:rFonts w:ascii="Arial" w:cs="Arial" w:eastAsia="Arial" w:hAnsi="Arial"/>
                <w:sz w:val="14"/>
                <w:szCs w:val="14"/>
                <w:b w:val="1"/>
                <w:bCs w:val="1"/>
                <w:color w:val="auto"/>
              </w:rPr>
              <w:t>Reason</w:t>
            </w:r>
          </w:p>
        </w:tc>
        <w:tc>
          <w:tcPr>
            <w:tcW w:w="1000" w:type="dxa"/>
            <w:vAlign w:val="bottom"/>
          </w:tcPr>
          <w:p>
            <w:pPr>
              <w:jc w:val="right"/>
              <w:ind w:right="129"/>
              <w:spacing w:after="0"/>
              <w:rPr>
                <w:sz w:val="20"/>
                <w:szCs w:val="20"/>
                <w:color w:val="auto"/>
              </w:rPr>
            </w:pPr>
            <w:r>
              <w:rPr>
                <w:rFonts w:ascii="Arial" w:cs="Arial" w:eastAsia="Arial" w:hAnsi="Arial"/>
                <w:sz w:val="14"/>
                <w:szCs w:val="14"/>
                <w:b w:val="1"/>
                <w:bCs w:val="1"/>
                <w:color w:val="auto"/>
              </w:rPr>
              <w:t>Control</w:t>
            </w:r>
          </w:p>
        </w:tc>
        <w:tc>
          <w:tcPr>
            <w:tcW w:w="1020" w:type="dxa"/>
            <w:vAlign w:val="bottom"/>
          </w:tcPr>
          <w:p>
            <w:pPr>
              <w:jc w:val="right"/>
              <w:ind w:right="89"/>
              <w:spacing w:after="0"/>
              <w:rPr>
                <w:sz w:val="20"/>
                <w:szCs w:val="20"/>
                <w:color w:val="auto"/>
              </w:rPr>
            </w:pPr>
            <w:r>
              <w:rPr>
                <w:rFonts w:ascii="Arial" w:cs="Arial" w:eastAsia="Arial" w:hAnsi="Arial"/>
                <w:sz w:val="14"/>
                <w:szCs w:val="14"/>
                <w:b w:val="1"/>
                <w:bCs w:val="1"/>
                <w:color w:val="auto"/>
              </w:rPr>
              <w:t>termination)</w:t>
            </w:r>
          </w:p>
        </w:tc>
        <w:tc>
          <w:tcPr>
            <w:tcW w:w="900" w:type="dxa"/>
            <w:vAlign w:val="bottom"/>
          </w:tcPr>
          <w:p>
            <w:pPr>
              <w:jc w:val="right"/>
              <w:ind w:right="29"/>
              <w:spacing w:after="0"/>
              <w:rPr>
                <w:sz w:val="20"/>
                <w:szCs w:val="20"/>
                <w:color w:val="auto"/>
              </w:rPr>
            </w:pPr>
            <w:r>
              <w:rPr>
                <w:rFonts w:ascii="Arial" w:cs="Arial" w:eastAsia="Arial" w:hAnsi="Arial"/>
                <w:sz w:val="14"/>
                <w:szCs w:val="14"/>
                <w:b w:val="1"/>
                <w:bCs w:val="1"/>
                <w:color w:val="auto"/>
              </w:rPr>
              <w:t>Retirement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Due to Death</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Disability</w:t>
            </w:r>
          </w:p>
        </w:tc>
      </w:tr>
      <w:tr>
        <w:trPr>
          <w:trHeight w:val="389"/>
        </w:trPr>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Benefit</w:t>
            </w:r>
          </w:p>
        </w:tc>
        <w:tc>
          <w:tcPr>
            <w:tcW w:w="1280" w:type="dxa"/>
            <w:vAlign w:val="bottom"/>
          </w:tcPr>
          <w:p>
            <w:pPr>
              <w:jc w:val="right"/>
              <w:ind w:right="112"/>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(4)</w:t>
            </w:r>
          </w:p>
        </w:tc>
        <w:tc>
          <w:tcPr>
            <w:tcW w:w="100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5</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-59055</wp:posOffset>
            </wp:positionV>
            <wp:extent cx="571373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p>
      <w:pPr>
        <w:ind w:left="40"/>
        <w:spacing w:after="0" w:line="231" w:lineRule="auto"/>
        <w:rPr>
          <w:sz w:val="20"/>
          <w:szCs w:val="20"/>
          <w:color w:val="auto"/>
        </w:rPr>
      </w:pPr>
      <w:r>
        <w:rPr>
          <w:rFonts w:ascii="Arial" w:cs="Arial" w:eastAsia="Arial" w:hAnsi="Arial"/>
          <w:sz w:val="14"/>
          <w:szCs w:val="14"/>
          <w:b w:val="1"/>
          <w:bCs w:val="1"/>
          <w:color w:val="0C426A"/>
        </w:rPr>
        <w:t>Mr. Gebhardt</w:t>
      </w:r>
    </w:p>
    <w:p>
      <w:pPr>
        <w:jc w:val="right"/>
        <w:spacing w:after="0" w:line="218" w:lineRule="auto"/>
        <w:rPr>
          <w:sz w:val="20"/>
          <w:szCs w:val="20"/>
          <w:color w:val="auto"/>
        </w:rPr>
      </w:pPr>
      <w:r>
        <w:rPr>
          <w:rFonts w:ascii="Times New Roman" w:cs="Times New Roman" w:eastAsia="Times New Roman" w:hAnsi="Times New Roman"/>
          <w:sz w:val="4"/>
          <w:szCs w:val="4"/>
          <w:color w:val="auto"/>
        </w:rPr>
        <w:t>​</w:t>
      </w:r>
    </w:p>
    <w:p>
      <w:pPr>
        <w:spacing w:after="0" w:line="3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4"/>
          <w:szCs w:val="4"/>
          <w:color w:val="auto"/>
        </w:rPr>
        <w:t>​</w:t>
      </w:r>
    </w:p>
    <w:p>
      <w:pPr>
        <w:spacing w:after="0" w:line="1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1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1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br w:type="column"/>
      </w:r>
    </w:p>
    <w:p>
      <w:pPr>
        <w:ind w:right="440"/>
        <w:spacing w:after="0" w:line="290" w:lineRule="auto"/>
        <w:rPr>
          <w:sz w:val="20"/>
          <w:szCs w:val="20"/>
          <w:color w:val="auto"/>
        </w:rPr>
      </w:pPr>
      <w:r>
        <w:rPr>
          <w:rFonts w:ascii="Arial" w:cs="Arial" w:eastAsia="Arial" w:hAnsi="Arial"/>
          <w:sz w:val="14"/>
          <w:szCs w:val="14"/>
          <w:b w:val="1"/>
          <w:bCs w:val="1"/>
          <w:color w:val="auto"/>
        </w:rPr>
        <w:t>Continuation Agreement</w:t>
      </w:r>
    </w:p>
    <w:p>
      <w:pPr>
        <w:spacing w:after="0" w:line="13"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color w:val="auto"/>
        </w:rPr>
        <w:t>Cash Severance Payment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Benefits Payment</w:t>
      </w:r>
      <w:r>
        <w:rPr>
          <w:rFonts w:ascii="Arial" w:cs="Arial" w:eastAsia="Arial" w:hAnsi="Arial"/>
          <w:sz w:val="23"/>
          <w:szCs w:val="23"/>
          <w:color w:val="auto"/>
          <w:vertAlign w:val="superscript"/>
        </w:rPr>
        <w:t>(2)</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Prorated Annual</w:t>
      </w:r>
    </w:p>
    <w:p>
      <w:pPr>
        <w:spacing w:after="0"/>
        <w:rPr>
          <w:sz w:val="20"/>
          <w:szCs w:val="20"/>
          <w:color w:val="auto"/>
        </w:rPr>
      </w:pPr>
      <w:r>
        <w:rPr>
          <w:rFonts w:ascii="Arial" w:cs="Arial" w:eastAsia="Arial" w:hAnsi="Arial"/>
          <w:sz w:val="14"/>
          <w:szCs w:val="14"/>
          <w:color w:val="auto"/>
        </w:rPr>
        <w:t>Bonus</w:t>
      </w:r>
      <w:r>
        <w:rPr>
          <w:rFonts w:ascii="Arial" w:cs="Arial" w:eastAsia="Arial" w:hAnsi="Arial"/>
          <w:sz w:val="23"/>
          <w:szCs w:val="23"/>
          <w:color w:val="auto"/>
          <w:vertAlign w:val="superscript"/>
        </w:rPr>
        <w:t>(6)</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Transition Payment</w:t>
      </w:r>
    </w:p>
    <w:p>
      <w:pPr>
        <w:spacing w:after="0" w:line="63" w:lineRule="exact"/>
        <w:rPr>
          <w:sz w:val="20"/>
          <w:szCs w:val="20"/>
          <w:color w:val="auto"/>
        </w:rPr>
      </w:pPr>
    </w:p>
    <w:p>
      <w:pPr>
        <w:spacing w:after="0" w:line="319" w:lineRule="auto"/>
        <w:rPr>
          <w:sz w:val="20"/>
          <w:szCs w:val="20"/>
          <w:color w:val="auto"/>
        </w:rPr>
      </w:pPr>
      <w:r>
        <w:rPr>
          <w:rFonts w:ascii="Arial" w:cs="Arial" w:eastAsia="Arial" w:hAnsi="Arial"/>
          <w:sz w:val="14"/>
          <w:szCs w:val="14"/>
          <w:b w:val="1"/>
          <w:bCs w:val="1"/>
          <w:color w:val="auto"/>
        </w:rPr>
        <w:t>Equity Awards</w:t>
      </w:r>
      <w:r>
        <w:rPr>
          <w:rFonts w:ascii="Arial" w:cs="Arial" w:eastAsia="Arial" w:hAnsi="Arial"/>
          <w:sz w:val="23"/>
          <w:szCs w:val="23"/>
          <w:b w:val="1"/>
          <w:bCs w:val="1"/>
          <w:color w:val="auto"/>
          <w:vertAlign w:val="superscript"/>
        </w:rPr>
        <w:t>(3)</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Shares Restricted Stock Options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6"/>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1,286,058</w:t>
            </w:r>
          </w:p>
        </w:tc>
        <w:tc>
          <w:tcPr>
            <w:tcW w:w="1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2,572,115</w:t>
            </w:r>
          </w:p>
        </w:tc>
        <w:tc>
          <w:tcPr>
            <w:tcW w:w="1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w:t>
            </w:r>
          </w:p>
        </w:tc>
        <w:tc>
          <w:tcPr>
            <w:tcW w:w="46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21,101</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42,201</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1,027,470</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1,027,470</w:t>
            </w:r>
          </w:p>
        </w:tc>
        <w:tc>
          <w:tcPr>
            <w:tcW w:w="1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1,027,470</w:t>
            </w:r>
          </w:p>
        </w:tc>
        <w:tc>
          <w:tcPr>
            <w:tcW w:w="1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w:t>
            </w:r>
          </w:p>
        </w:tc>
        <w:tc>
          <w:tcPr>
            <w:tcW w:w="46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1,027,470</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50,000</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50,000</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2,147,700</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3,390,146</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914,095</w:t>
            </w:r>
            <w:r>
              <w:rPr>
                <w:rFonts w:ascii="Times New Roman" w:cs="Times New Roman" w:eastAsia="Times New Roman" w:hAnsi="Times New Roman"/>
                <w:sz w:val="3"/>
                <w:szCs w:val="3"/>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3,390,146</w:t>
            </w:r>
            <w:r>
              <w:rPr>
                <w:rFonts w:ascii="Times New Roman" w:cs="Times New Roman" w:eastAsia="Times New Roman" w:hAnsi="Times New Roman"/>
                <w:sz w:val="3"/>
                <w:szCs w:val="3"/>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3,390,146</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1,760,244</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2,316,933</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2,043,396</w:t>
            </w:r>
            <w:r>
              <w:rPr>
                <w:rFonts w:ascii="Times New Roman" w:cs="Times New Roman" w:eastAsia="Times New Roman" w:hAnsi="Times New Roman"/>
                <w:sz w:val="3"/>
                <w:szCs w:val="3"/>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7"/>
                <w:szCs w:val="7"/>
                <w:color w:val="auto"/>
                <w:vertAlign w:val="superscript"/>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2,316,933</w:t>
            </w:r>
            <w:r>
              <w:rPr>
                <w:rFonts w:ascii="Times New Roman" w:cs="Times New Roman" w:eastAsia="Times New Roman" w:hAnsi="Times New Roman"/>
                <w:sz w:val="3"/>
                <w:szCs w:val="3"/>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2,316,933</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41,622</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49,946</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49,946</w:t>
            </w:r>
            <w:r>
              <w:rPr>
                <w:rFonts w:ascii="Times New Roman" w:cs="Times New Roman" w:eastAsia="Times New Roman" w:hAnsi="Times New Roman"/>
                <w:sz w:val="3"/>
                <w:szCs w:val="3"/>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7"/>
                <w:szCs w:val="7"/>
                <w:color w:val="auto"/>
                <w:vertAlign w:val="superscript"/>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49,946</w:t>
            </w:r>
            <w:r>
              <w:rPr>
                <w:rFonts w:ascii="Times New Roman" w:cs="Times New Roman" w:eastAsia="Times New Roman" w:hAnsi="Times New Roman"/>
                <w:sz w:val="3"/>
                <w:szCs w:val="3"/>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49,946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-1706245</wp:posOffset>
            </wp:positionH>
            <wp:positionV relativeFrom="paragraph">
              <wp:posOffset>30480</wp:posOffset>
            </wp:positionV>
            <wp:extent cx="571373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3">
            <w:col w:w="1020" w:space="80"/>
            <w:col w:w="1320" w:space="280"/>
            <w:col w:w="6319"/>
          </w:cols>
          <w:pgMar w:left="1440" w:top="116" w:right="1440" w:bottom="1440" w:gutter="0" w:footer="0" w:header="0"/>
          <w:type w:val="continuous"/>
        </w:sectPr>
      </w:pPr>
    </w:p>
    <w:p>
      <w:pPr>
        <w:ind w:left="180" w:hanging="175"/>
        <w:spacing w:after="0"/>
        <w:tabs>
          <w:tab w:leader="none" w:pos="180" w:val="left"/>
        </w:tabs>
        <w:numPr>
          <w:ilvl w:val="0"/>
          <w:numId w:val="67"/>
        </w:numPr>
        <w:rPr>
          <w:rFonts w:ascii="Arial" w:cs="Arial" w:eastAsia="Arial" w:hAnsi="Arial"/>
          <w:sz w:val="21"/>
          <w:szCs w:val="21"/>
          <w:color w:val="auto"/>
          <w:vertAlign w:val="superscript"/>
        </w:rPr>
      </w:pPr>
      <w:r>
        <w:rPr>
          <w:rFonts w:ascii="Arial" w:cs="Arial" w:eastAsia="Arial" w:hAnsi="Arial"/>
          <w:sz w:val="14"/>
          <w:szCs w:val="14"/>
          <w:color w:val="auto"/>
        </w:rPr>
        <w:t>The table assumes the event (termination, death, disability, CIC) occurs as of December 29, 2023 and a stock price of $126.99.</w:t>
      </w:r>
    </w:p>
    <w:p>
      <w:pPr>
        <w:spacing w:after="0" w:line="39" w:lineRule="exact"/>
        <w:rPr>
          <w:rFonts w:ascii="Arial" w:cs="Arial" w:eastAsia="Arial" w:hAnsi="Arial"/>
          <w:sz w:val="21"/>
          <w:szCs w:val="21"/>
          <w:color w:val="auto"/>
          <w:vertAlign w:val="superscript"/>
        </w:rPr>
      </w:pPr>
    </w:p>
    <w:p>
      <w:pPr>
        <w:ind w:left="180" w:right="339" w:hanging="175"/>
        <w:spacing w:after="0" w:line="200" w:lineRule="auto"/>
        <w:tabs>
          <w:tab w:leader="none" w:pos="180" w:val="left"/>
        </w:tabs>
        <w:numPr>
          <w:ilvl w:val="0"/>
          <w:numId w:val="67"/>
        </w:numPr>
        <w:rPr>
          <w:rFonts w:ascii="Arial" w:cs="Arial" w:eastAsia="Arial" w:hAnsi="Arial"/>
          <w:sz w:val="21"/>
          <w:szCs w:val="21"/>
          <w:color w:val="auto"/>
          <w:vertAlign w:val="superscript"/>
        </w:rPr>
      </w:pPr>
      <w:r>
        <w:rPr>
          <w:rFonts w:ascii="Arial" w:cs="Arial" w:eastAsia="Arial" w:hAnsi="Arial"/>
          <w:sz w:val="14"/>
          <w:szCs w:val="14"/>
          <w:color w:val="auto"/>
        </w:rPr>
        <w:t>The Benefits Payment represents: for Mr. Santana, the full cost of all medical, dental, vision, disability and life insurance benefits; for all other NEO’s, the employer provided cost for medical, dental and vision.</w:t>
      </w:r>
    </w:p>
    <w:p>
      <w:pPr>
        <w:spacing w:after="0" w:line="25" w:lineRule="exact"/>
        <w:rPr>
          <w:rFonts w:ascii="Arial" w:cs="Arial" w:eastAsia="Arial" w:hAnsi="Arial"/>
          <w:sz w:val="21"/>
          <w:szCs w:val="21"/>
          <w:color w:val="auto"/>
          <w:vertAlign w:val="superscript"/>
        </w:rPr>
      </w:pPr>
    </w:p>
    <w:p>
      <w:pPr>
        <w:ind w:left="180" w:right="119" w:hanging="175"/>
        <w:spacing w:after="0" w:line="222" w:lineRule="auto"/>
        <w:tabs>
          <w:tab w:leader="none" w:pos="180" w:val="left"/>
        </w:tabs>
        <w:numPr>
          <w:ilvl w:val="0"/>
          <w:numId w:val="67"/>
        </w:numPr>
        <w:rPr>
          <w:rFonts w:ascii="Arial" w:cs="Arial" w:eastAsia="Arial" w:hAnsi="Arial"/>
          <w:sz w:val="21"/>
          <w:szCs w:val="21"/>
          <w:color w:val="auto"/>
          <w:vertAlign w:val="superscript"/>
        </w:rPr>
      </w:pPr>
      <w:r>
        <w:rPr>
          <w:rFonts w:ascii="Arial" w:cs="Arial" w:eastAsia="Arial" w:hAnsi="Arial"/>
          <w:sz w:val="14"/>
          <w:szCs w:val="14"/>
          <w:color w:val="auto"/>
        </w:rPr>
        <w:t>The Performance Awards reflect unvested awards for the performance period: 2021-2023, 2022-2024, and 2023-2025. The value included for the 2021- 2023 Performance Awards reflect settlement at 145.3% of target. The 2022-2024 and 2023-2025 awards are assumed to settle at maximum payout of 200%. The Restricted Stock and Options reflect unvested awards as summarized in the Outstanding Equity Awards section.</w:t>
      </w:r>
    </w:p>
    <w:p>
      <w:pPr>
        <w:spacing w:after="0" w:line="26" w:lineRule="exact"/>
        <w:rPr>
          <w:rFonts w:ascii="Arial" w:cs="Arial" w:eastAsia="Arial" w:hAnsi="Arial"/>
          <w:sz w:val="21"/>
          <w:szCs w:val="21"/>
          <w:color w:val="auto"/>
          <w:vertAlign w:val="superscript"/>
        </w:rPr>
      </w:pPr>
    </w:p>
    <w:p>
      <w:pPr>
        <w:ind w:left="180" w:right="579" w:hanging="175"/>
        <w:spacing w:after="0" w:line="208" w:lineRule="auto"/>
        <w:tabs>
          <w:tab w:leader="none" w:pos="180" w:val="left"/>
        </w:tabs>
        <w:numPr>
          <w:ilvl w:val="0"/>
          <w:numId w:val="67"/>
        </w:numPr>
        <w:rPr>
          <w:rFonts w:ascii="Arial" w:cs="Arial" w:eastAsia="Arial" w:hAnsi="Arial"/>
          <w:sz w:val="21"/>
          <w:szCs w:val="21"/>
          <w:color w:val="auto"/>
          <w:vertAlign w:val="superscript"/>
        </w:rPr>
      </w:pPr>
      <w:r>
        <w:rPr>
          <w:rFonts w:ascii="Arial" w:cs="Arial" w:eastAsia="Arial" w:hAnsi="Arial"/>
          <w:sz w:val="14"/>
          <w:szCs w:val="14"/>
          <w:color w:val="auto"/>
        </w:rPr>
        <w:t>The value of Equity Awards for termination without cause and resignation for good reason are calculated as of December 31, 2023, however the final settlement is not accelerated and occurs according to the timing in the awards agreements.</w:t>
      </w:r>
    </w:p>
    <w:p>
      <w:pPr>
        <w:spacing w:after="0" w:line="26" w:lineRule="exact"/>
        <w:rPr>
          <w:rFonts w:ascii="Arial" w:cs="Arial" w:eastAsia="Arial" w:hAnsi="Arial"/>
          <w:sz w:val="21"/>
          <w:szCs w:val="21"/>
          <w:color w:val="auto"/>
          <w:vertAlign w:val="superscript"/>
        </w:rPr>
      </w:pPr>
    </w:p>
    <w:p>
      <w:pPr>
        <w:ind w:left="180" w:right="99" w:hanging="175"/>
        <w:spacing w:after="0" w:line="208" w:lineRule="auto"/>
        <w:tabs>
          <w:tab w:leader="none" w:pos="180" w:val="left"/>
        </w:tabs>
        <w:numPr>
          <w:ilvl w:val="0"/>
          <w:numId w:val="67"/>
        </w:numPr>
        <w:rPr>
          <w:rFonts w:ascii="Arial" w:cs="Arial" w:eastAsia="Arial" w:hAnsi="Arial"/>
          <w:sz w:val="21"/>
          <w:szCs w:val="21"/>
          <w:color w:val="auto"/>
          <w:vertAlign w:val="superscript"/>
        </w:rPr>
      </w:pPr>
      <w:r>
        <w:rPr>
          <w:rFonts w:ascii="Arial" w:cs="Arial" w:eastAsia="Arial" w:hAnsi="Arial"/>
          <w:sz w:val="14"/>
          <w:szCs w:val="14"/>
          <w:color w:val="auto"/>
        </w:rPr>
        <w:t>This scenario does not include termination of employment and strictly includes the value of single trigger vesting related to pre-2022 Equity Awards.</w:t>
      </w:r>
    </w:p>
    <w:p>
      <w:pPr>
        <w:spacing w:after="0" w:line="1" w:lineRule="exact"/>
        <w:rPr>
          <w:rFonts w:ascii="Arial" w:cs="Arial" w:eastAsia="Arial" w:hAnsi="Arial"/>
          <w:sz w:val="21"/>
          <w:szCs w:val="21"/>
          <w:color w:val="auto"/>
          <w:vertAlign w:val="superscript"/>
        </w:rPr>
      </w:pPr>
    </w:p>
    <w:p>
      <w:pPr>
        <w:ind w:left="180" w:hanging="175"/>
        <w:spacing w:after="0" w:line="212" w:lineRule="auto"/>
        <w:tabs>
          <w:tab w:leader="none" w:pos="180" w:val="left"/>
        </w:tabs>
        <w:numPr>
          <w:ilvl w:val="0"/>
          <w:numId w:val="67"/>
        </w:numPr>
        <w:rPr>
          <w:rFonts w:ascii="Arial" w:cs="Arial" w:eastAsia="Arial" w:hAnsi="Arial"/>
          <w:sz w:val="21"/>
          <w:szCs w:val="21"/>
          <w:color w:val="auto"/>
          <w:vertAlign w:val="superscript"/>
        </w:rPr>
      </w:pPr>
      <w:r>
        <w:rPr>
          <w:rFonts w:ascii="Arial" w:cs="Arial" w:eastAsia="Arial" w:hAnsi="Arial"/>
          <w:sz w:val="14"/>
          <w:szCs w:val="14"/>
          <w:color w:val="auto"/>
        </w:rPr>
        <w:t>The Prorated Annual Bonus reflects the actual bonus amounts earned for 2023 and paid in March 2024.</w:t>
      </w:r>
    </w:p>
    <w:p>
      <w:pPr>
        <w:spacing w:after="0" w:line="141" w:lineRule="exact"/>
        <w:rPr>
          <w:sz w:val="20"/>
          <w:szCs w:val="20"/>
          <w:color w:val="auto"/>
        </w:rPr>
      </w:pPr>
    </w:p>
    <w:p>
      <w:pPr>
        <w:spacing w:after="0"/>
        <w:rPr>
          <w:sz w:val="20"/>
          <w:szCs w:val="20"/>
          <w:color w:val="auto"/>
        </w:rPr>
      </w:pPr>
      <w:r>
        <w:rPr>
          <w:rFonts w:ascii="Arial" w:cs="Arial" w:eastAsia="Arial" w:hAnsi="Arial"/>
          <w:sz w:val="43"/>
          <w:szCs w:val="43"/>
          <w:color w:val="E02826"/>
        </w:rPr>
        <w:t>CEO Pay Ratio</w:t>
      </w:r>
    </w:p>
    <w:p>
      <w:pPr>
        <w:spacing w:after="0" w:line="243" w:lineRule="exact"/>
        <w:rPr>
          <w:sz w:val="20"/>
          <w:szCs w:val="20"/>
          <w:color w:val="auto"/>
        </w:rPr>
      </w:pPr>
    </w:p>
    <w:p>
      <w:pPr>
        <w:ind w:right="239"/>
        <w:spacing w:after="0" w:line="263" w:lineRule="auto"/>
        <w:rPr>
          <w:sz w:val="20"/>
          <w:szCs w:val="20"/>
          <w:color w:val="auto"/>
        </w:rPr>
      </w:pPr>
      <w:r>
        <w:rPr>
          <w:rFonts w:ascii="Arial" w:cs="Arial" w:eastAsia="Arial" w:hAnsi="Arial"/>
          <w:sz w:val="16"/>
          <w:szCs w:val="16"/>
          <w:color w:val="auto"/>
        </w:rPr>
        <w:t>As required by Section 953(b) of the Dodd-Frank Wall Street Reform and Consumer Protection Act, and Item 402(u) of SEC Regulation S-K, we are providing the following information about the relationship of the annual total compensation of our employees and the annual total compensation of Mr. Santana, our Chief Executive Officer.</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For 2023, our last completed fiscal year:</w:t>
      </w:r>
    </w:p>
    <w:p>
      <w:pPr>
        <w:spacing w:after="0" w:line="191" w:lineRule="exact"/>
        <w:rPr>
          <w:sz w:val="20"/>
          <w:szCs w:val="20"/>
          <w:color w:val="auto"/>
        </w:rPr>
      </w:pPr>
    </w:p>
    <w:p>
      <w:pPr>
        <w:ind w:left="180" w:hanging="175"/>
        <w:spacing w:after="0"/>
        <w:tabs>
          <w:tab w:leader="none" w:pos="180" w:val="left"/>
        </w:tabs>
        <w:numPr>
          <w:ilvl w:val="0"/>
          <w:numId w:val="68"/>
        </w:numPr>
        <w:rPr>
          <w:rFonts w:ascii="Arial" w:cs="Arial" w:eastAsia="Arial" w:hAnsi="Arial"/>
          <w:sz w:val="16"/>
          <w:szCs w:val="16"/>
          <w:color w:val="4297CB"/>
        </w:rPr>
      </w:pPr>
      <w:r>
        <w:rPr>
          <w:rFonts w:ascii="Arial" w:cs="Arial" w:eastAsia="Arial" w:hAnsi="Arial"/>
          <w:sz w:val="16"/>
          <w:szCs w:val="16"/>
          <w:color w:val="auto"/>
        </w:rPr>
        <w:t>the annual total compensation of our median employee of our company (other than our CEO) was $48,924; and</w:t>
      </w:r>
    </w:p>
    <w:p>
      <w:pPr>
        <w:spacing w:after="0" w:line="70" w:lineRule="exact"/>
        <w:rPr>
          <w:rFonts w:ascii="Arial" w:cs="Arial" w:eastAsia="Arial" w:hAnsi="Arial"/>
          <w:sz w:val="16"/>
          <w:szCs w:val="16"/>
          <w:color w:val="4297CB"/>
        </w:rPr>
      </w:pPr>
    </w:p>
    <w:p>
      <w:pPr>
        <w:ind w:left="180" w:right="619" w:hanging="175"/>
        <w:spacing w:after="0" w:line="282" w:lineRule="auto"/>
        <w:tabs>
          <w:tab w:leader="none" w:pos="180" w:val="left"/>
        </w:tabs>
        <w:numPr>
          <w:ilvl w:val="0"/>
          <w:numId w:val="68"/>
        </w:numPr>
        <w:rPr>
          <w:rFonts w:ascii="Arial" w:cs="Arial" w:eastAsia="Arial" w:hAnsi="Arial"/>
          <w:sz w:val="16"/>
          <w:szCs w:val="16"/>
          <w:color w:val="4297CB"/>
        </w:rPr>
      </w:pPr>
      <w:r>
        <w:rPr>
          <w:rFonts w:ascii="Arial" w:cs="Arial" w:eastAsia="Arial" w:hAnsi="Arial"/>
          <w:sz w:val="16"/>
          <w:szCs w:val="16"/>
          <w:color w:val="auto"/>
        </w:rPr>
        <w:t xml:space="preserve">the annual total compensation of our CEO, as reported in the Summary Compensation Table presented on page </w:t>
      </w:r>
      <w:r>
        <w:rPr>
          <w:rFonts w:ascii="Arial" w:cs="Arial" w:eastAsia="Arial" w:hAnsi="Arial"/>
          <w:sz w:val="16"/>
          <w:szCs w:val="16"/>
          <w:u w:val="single" w:color="auto"/>
          <w:color w:val="0000EE"/>
        </w:rPr>
        <w:t>61</w:t>
      </w:r>
      <w:r>
        <w:rPr>
          <w:rFonts w:ascii="Arial" w:cs="Arial" w:eastAsia="Arial" w:hAnsi="Arial"/>
          <w:sz w:val="16"/>
          <w:szCs w:val="16"/>
          <w:color w:val="auto"/>
        </w:rPr>
        <w:t>, was $15,493,240.</w:t>
      </w:r>
    </w:p>
    <w:p>
      <w:pPr>
        <w:spacing w:after="0" w:line="105" w:lineRule="exact"/>
        <w:rPr>
          <w:sz w:val="20"/>
          <w:szCs w:val="20"/>
          <w:color w:val="auto"/>
        </w:rPr>
      </w:pPr>
    </w:p>
    <w:p>
      <w:pPr>
        <w:ind w:right="319"/>
        <w:spacing w:after="0" w:line="290" w:lineRule="auto"/>
        <w:rPr>
          <w:sz w:val="20"/>
          <w:szCs w:val="20"/>
          <w:color w:val="auto"/>
        </w:rPr>
      </w:pPr>
      <w:r>
        <w:rPr>
          <w:rFonts w:ascii="Arial" w:cs="Arial" w:eastAsia="Arial" w:hAnsi="Arial"/>
          <w:sz w:val="16"/>
          <w:szCs w:val="16"/>
          <w:b w:val="1"/>
          <w:bCs w:val="1"/>
          <w:i w:val="1"/>
          <w:iCs w:val="1"/>
          <w:color w:val="auto"/>
        </w:rPr>
        <w:t>Based on this information, for 2023, the ratio of the annual total compensation of Mr. Santana, our Chief Executive Officer, to the median of the annual total compensation of all employees was approximately 317 to 1.</w:t>
      </w:r>
    </w:p>
    <w:p>
      <w:pPr>
        <w:spacing w:after="0" w:line="89" w:lineRule="exact"/>
        <w:rPr>
          <w:sz w:val="20"/>
          <w:szCs w:val="20"/>
          <w:color w:val="auto"/>
        </w:rPr>
      </w:pPr>
    </w:p>
    <w:p>
      <w:pPr>
        <w:jc w:val="both"/>
        <w:ind w:right="259"/>
        <w:spacing w:after="0" w:line="263" w:lineRule="auto"/>
        <w:rPr>
          <w:sz w:val="20"/>
          <w:szCs w:val="20"/>
          <w:color w:val="auto"/>
        </w:rPr>
      </w:pPr>
      <w:r>
        <w:rPr>
          <w:rFonts w:ascii="Arial" w:cs="Arial" w:eastAsia="Arial" w:hAnsi="Arial"/>
          <w:sz w:val="16"/>
          <w:szCs w:val="16"/>
          <w:color w:val="auto"/>
        </w:rPr>
        <w:t>To identify the median employee among of all our employees (excluding the CEO), as well as to determine the annual total compensation of the “median employee” for this purpose, the methodology and the material assumptions, adjustments, and estimates that we used were as follows:</w:t>
      </w:r>
    </w:p>
    <w:p>
      <w:pPr>
        <w:spacing w:after="0" w:line="132" w:lineRule="exact"/>
        <w:rPr>
          <w:sz w:val="20"/>
          <w:szCs w:val="20"/>
          <w:color w:val="auto"/>
        </w:rPr>
      </w:pPr>
    </w:p>
    <w:p>
      <w:pPr>
        <w:ind w:left="180" w:hanging="175"/>
        <w:spacing w:after="0"/>
        <w:tabs>
          <w:tab w:leader="none" w:pos="180" w:val="left"/>
        </w:tabs>
        <w:numPr>
          <w:ilvl w:val="0"/>
          <w:numId w:val="69"/>
        </w:numPr>
        <w:rPr>
          <w:rFonts w:ascii="Arial" w:cs="Arial" w:eastAsia="Arial" w:hAnsi="Arial"/>
          <w:sz w:val="16"/>
          <w:szCs w:val="16"/>
          <w:color w:val="4297CB"/>
        </w:rPr>
      </w:pPr>
      <w:r>
        <w:rPr>
          <w:rFonts w:ascii="Arial" w:cs="Arial" w:eastAsia="Arial" w:hAnsi="Arial"/>
          <w:sz w:val="16"/>
          <w:szCs w:val="16"/>
          <w:color w:val="auto"/>
        </w:rPr>
        <w:t>We selected December 31, 2023 as the date upon which we would identify the median employee.</w:t>
      </w:r>
    </w:p>
    <w:p>
      <w:pPr>
        <w:spacing w:after="0" w:line="83" w:lineRule="exact"/>
        <w:rPr>
          <w:rFonts w:ascii="Arial" w:cs="Arial" w:eastAsia="Arial" w:hAnsi="Arial"/>
          <w:sz w:val="16"/>
          <w:szCs w:val="16"/>
          <w:color w:val="4297CB"/>
        </w:rPr>
      </w:pPr>
    </w:p>
    <w:p>
      <w:pPr>
        <w:jc w:val="both"/>
        <w:ind w:left="180" w:right="379" w:hanging="175"/>
        <w:spacing w:after="0" w:line="263" w:lineRule="auto"/>
        <w:tabs>
          <w:tab w:leader="none" w:pos="180" w:val="left"/>
        </w:tabs>
        <w:numPr>
          <w:ilvl w:val="0"/>
          <w:numId w:val="69"/>
        </w:numPr>
        <w:rPr>
          <w:rFonts w:ascii="Arial" w:cs="Arial" w:eastAsia="Arial" w:hAnsi="Arial"/>
          <w:sz w:val="16"/>
          <w:szCs w:val="16"/>
          <w:color w:val="4297CB"/>
        </w:rPr>
      </w:pPr>
      <w:r>
        <w:rPr>
          <w:rFonts w:ascii="Arial" w:cs="Arial" w:eastAsia="Arial" w:hAnsi="Arial"/>
          <w:sz w:val="16"/>
          <w:szCs w:val="16"/>
          <w:color w:val="auto"/>
        </w:rPr>
        <w:t>We determined that, as of December 31, 2023, our employee population for pay ratio disclosure purposes consisted of approximately 28,020 individuals (excluding contingent workers and 825 individuals who became our employees as the result of the LKZ acquisition that closed in December 2023). We did not use any statistical sampling techniques.</w:t>
      </w:r>
    </w:p>
    <w:p>
      <w:pPr>
        <w:spacing w:after="0" w:line="24" w:lineRule="exact"/>
        <w:rPr>
          <w:rFonts w:ascii="Arial" w:cs="Arial" w:eastAsia="Arial" w:hAnsi="Arial"/>
          <w:sz w:val="16"/>
          <w:szCs w:val="16"/>
          <w:color w:val="4297CB"/>
        </w:rPr>
      </w:pPr>
    </w:p>
    <w:p>
      <w:pPr>
        <w:ind w:left="180" w:right="339" w:hanging="175"/>
        <w:spacing w:after="0" w:line="282" w:lineRule="auto"/>
        <w:tabs>
          <w:tab w:leader="none" w:pos="180" w:val="left"/>
        </w:tabs>
        <w:numPr>
          <w:ilvl w:val="0"/>
          <w:numId w:val="69"/>
        </w:numPr>
        <w:rPr>
          <w:rFonts w:ascii="Arial" w:cs="Arial" w:eastAsia="Arial" w:hAnsi="Arial"/>
          <w:sz w:val="16"/>
          <w:szCs w:val="16"/>
          <w:color w:val="4297CB"/>
        </w:rPr>
      </w:pPr>
      <w:r>
        <w:rPr>
          <w:rFonts w:ascii="Arial" w:cs="Arial" w:eastAsia="Arial" w:hAnsi="Arial"/>
          <w:sz w:val="16"/>
          <w:szCs w:val="16"/>
          <w:color w:val="auto"/>
        </w:rPr>
        <w:t>To identify the median employee from our employee population, we used total target cash compensation reflected in our payroll records for those employees.</w:t>
      </w:r>
    </w:p>
    <w:p>
      <w:pPr>
        <w:spacing w:after="0" w:line="9" w:lineRule="exact"/>
        <w:rPr>
          <w:rFonts w:ascii="Arial" w:cs="Arial" w:eastAsia="Arial" w:hAnsi="Arial"/>
          <w:sz w:val="16"/>
          <w:szCs w:val="16"/>
          <w:color w:val="4297CB"/>
        </w:rPr>
      </w:pPr>
    </w:p>
    <w:p>
      <w:pPr>
        <w:ind w:left="180" w:right="59" w:hanging="175"/>
        <w:spacing w:after="0" w:line="263" w:lineRule="auto"/>
        <w:tabs>
          <w:tab w:leader="none" w:pos="180" w:val="left"/>
        </w:tabs>
        <w:numPr>
          <w:ilvl w:val="0"/>
          <w:numId w:val="69"/>
        </w:numPr>
        <w:rPr>
          <w:rFonts w:ascii="Arial" w:cs="Arial" w:eastAsia="Arial" w:hAnsi="Arial"/>
          <w:sz w:val="16"/>
          <w:szCs w:val="16"/>
          <w:color w:val="4297CB"/>
        </w:rPr>
      </w:pPr>
      <w:r>
        <w:rPr>
          <w:rFonts w:ascii="Arial" w:cs="Arial" w:eastAsia="Arial" w:hAnsi="Arial"/>
          <w:sz w:val="16"/>
          <w:szCs w:val="16"/>
          <w:color w:val="auto"/>
        </w:rPr>
        <w:t>In making these determinations, we annualized the compensation of all permanent employees who were hired in 2023 but did not work for us or our consolidated subsidiaries for the entire fiscal year. We did not make any cost-of-living adjustments in identifying the median employee.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760" w:type="dxa"/>
            <w:vAlign w:val="bottom"/>
          </w:tcPr>
          <w:p>
            <w:pPr>
              <w:jc w:val="right"/>
              <w:ind w:right="529"/>
              <w:spacing w:after="0"/>
              <w:rPr>
                <w:sz w:val="20"/>
                <w:szCs w:val="20"/>
                <w:color w:val="auto"/>
              </w:rPr>
            </w:pPr>
            <w:r>
              <w:rPr>
                <w:rFonts w:ascii="Arial" w:cs="Arial" w:eastAsia="Arial" w:hAnsi="Arial"/>
                <w:sz w:val="14"/>
                <w:szCs w:val="14"/>
                <w:b w:val="1"/>
                <w:bCs w:val="1"/>
                <w:color w:val="auto"/>
                <w:w w:val="89"/>
              </w:rPr>
              <w:t>68</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179070</wp:posOffset>
            </wp:positionV>
            <wp:extent cx="693801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type w:val="continuous"/>
        </w:sectPr>
      </w:pPr>
    </w:p>
    <w:bookmarkStart w:id="71" w:name="page72"/>
    <w:bookmarkEnd w:id="71"/>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right"/>
        <w:ind w:right="980"/>
        <w:spacing w:after="0"/>
        <w:rPr>
          <w:sz w:val="20"/>
          <w:szCs w:val="20"/>
          <w:color w:val="auto"/>
        </w:rPr>
      </w:pPr>
      <w:r>
        <w:rPr>
          <w:rFonts w:ascii="Arial" w:cs="Arial" w:eastAsia="Arial" w:hAnsi="Arial"/>
          <w:sz w:val="12"/>
          <w:szCs w:val="12"/>
          <w:color w:val="auto"/>
        </w:rPr>
        <w:t>Executive Compensation Tables</w:t>
      </w:r>
    </w:p>
    <w:p>
      <w:pPr>
        <w:spacing w:after="0" w:line="107" w:lineRule="exact"/>
        <w:rPr>
          <w:sz w:val="20"/>
          <w:szCs w:val="20"/>
          <w:color w:val="auto"/>
        </w:rPr>
      </w:pPr>
    </w:p>
    <w:p>
      <w:pPr>
        <w:ind w:left="1140" w:right="1040" w:hanging="175"/>
        <w:spacing w:after="0" w:line="263" w:lineRule="auto"/>
        <w:tabs>
          <w:tab w:leader="none" w:pos="1140" w:val="left"/>
        </w:tabs>
        <w:numPr>
          <w:ilvl w:val="0"/>
          <w:numId w:val="70"/>
        </w:numPr>
        <w:rPr>
          <w:rFonts w:ascii="Arial" w:cs="Arial" w:eastAsia="Arial" w:hAnsi="Arial"/>
          <w:sz w:val="16"/>
          <w:szCs w:val="16"/>
          <w:color w:val="4297CB"/>
        </w:rPr>
      </w:pPr>
      <w:r>
        <w:rPr>
          <w:rFonts w:ascii="Arial" w:cs="Arial" w:eastAsia="Arial" w:hAnsi="Arial"/>
          <w:sz w:val="16"/>
          <w:szCs w:val="16"/>
          <w:color w:val="auto"/>
        </w:rPr>
        <w:t>With respect to the annual total compensation of the median employee, we identified and calculated the elements of such employee’s compensation for 2023 in accordance with the requirements of Item 402I(2)(x) of SEC Regulation S-K, resulting in annual total compensation of $48,924.</w:t>
      </w:r>
    </w:p>
    <w:p>
      <w:pPr>
        <w:spacing w:after="0" w:line="24" w:lineRule="exact"/>
        <w:rPr>
          <w:rFonts w:ascii="Arial" w:cs="Arial" w:eastAsia="Arial" w:hAnsi="Arial"/>
          <w:sz w:val="16"/>
          <w:szCs w:val="16"/>
          <w:color w:val="4297CB"/>
        </w:rPr>
      </w:pPr>
    </w:p>
    <w:p>
      <w:pPr>
        <w:ind w:left="1140" w:right="1200" w:hanging="175"/>
        <w:spacing w:after="0" w:line="282" w:lineRule="auto"/>
        <w:tabs>
          <w:tab w:leader="none" w:pos="1140" w:val="left"/>
        </w:tabs>
        <w:numPr>
          <w:ilvl w:val="0"/>
          <w:numId w:val="70"/>
        </w:numPr>
        <w:rPr>
          <w:rFonts w:ascii="Arial" w:cs="Arial" w:eastAsia="Arial" w:hAnsi="Arial"/>
          <w:sz w:val="16"/>
          <w:szCs w:val="16"/>
          <w:color w:val="4297CB"/>
        </w:rPr>
      </w:pPr>
      <w:r>
        <w:rPr>
          <w:rFonts w:ascii="Arial" w:cs="Arial" w:eastAsia="Arial" w:hAnsi="Arial"/>
          <w:sz w:val="16"/>
          <w:szCs w:val="16"/>
          <w:color w:val="auto"/>
        </w:rPr>
        <w:t>We did not otherwise adjust or annualize the median employee’s or the CEO’s compensation for purposes of determining the pay ratio noted above</w:t>
      </w:r>
    </w:p>
    <w:p>
      <w:pPr>
        <w:spacing w:after="0" w:line="103" w:lineRule="exact"/>
        <w:rPr>
          <w:sz w:val="20"/>
          <w:szCs w:val="20"/>
          <w:color w:val="auto"/>
        </w:rPr>
      </w:pPr>
    </w:p>
    <w:p>
      <w:pPr>
        <w:ind w:left="960" w:right="1040"/>
        <w:spacing w:after="0" w:line="254" w:lineRule="auto"/>
        <w:rPr>
          <w:sz w:val="20"/>
          <w:szCs w:val="20"/>
          <w:color w:val="auto"/>
        </w:rPr>
      </w:pPr>
      <w:r>
        <w:rPr>
          <w:rFonts w:ascii="Arial" w:cs="Arial" w:eastAsia="Arial" w:hAnsi="Arial"/>
          <w:sz w:val="16"/>
          <w:szCs w:val="16"/>
          <w:color w:val="auto"/>
        </w:rPr>
        <w:t>The CEO pay ratio reported above is a reasonable estimate calculated in a manner consistent with SEC rules based on the methodologies and assumptions described above. SEC rules for identifying the median employee and determining the CEO pay ratio permit companies to employ a wide range of methodologies, estimates and assumptions. As a result, the CEO pay ratios reported by other companies, which may have employed other permitted methodologies or assumptions and which may have a significantly different work force structure from ours, are likely not comparable to our CEO pay ratio.</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9140" w:type="dxa"/>
            <w:vAlign w:val="bottom"/>
          </w:tcPr>
          <w:p>
            <w:pPr>
              <w:ind w:left="636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800" w:type="dxa"/>
            <w:vAlign w:val="bottom"/>
          </w:tcPr>
          <w:p>
            <w:pPr>
              <w:jc w:val="right"/>
              <w:ind w:right="909"/>
              <w:spacing w:after="0"/>
              <w:rPr>
                <w:sz w:val="20"/>
                <w:szCs w:val="20"/>
                <w:color w:val="auto"/>
              </w:rPr>
            </w:pPr>
            <w:r>
              <w:rPr>
                <w:rFonts w:ascii="Arial" w:cs="Arial" w:eastAsia="Arial" w:hAnsi="Arial"/>
                <w:sz w:val="14"/>
                <w:szCs w:val="14"/>
                <w:b w:val="1"/>
                <w:bCs w:val="1"/>
                <w:color w:val="auto"/>
              </w:rPr>
              <w:t>69</w:t>
            </w:r>
          </w:p>
        </w:tc>
      </w:tr>
      <w:tr>
        <w:trPr>
          <w:trHeight w:val="342"/>
        </w:trPr>
        <w:tc>
          <w:tcPr>
            <w:tcW w:w="9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-407670</wp:posOffset>
            </wp:positionV>
            <wp:extent cx="501650" cy="1701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Arial" w:cs="Arial" w:eastAsia="Arial" w:hAnsi="Arial"/>
          <w:sz w:val="43"/>
          <w:szCs w:val="43"/>
          <w:color w:val="E02826"/>
        </w:rPr>
        <w:t>Pay Versus Performance</w:t>
      </w:r>
    </w:p>
    <w:p>
      <w:pPr>
        <w:spacing w:after="0" w:line="243" w:lineRule="exact"/>
        <w:rPr>
          <w:sz w:val="20"/>
          <w:szCs w:val="20"/>
          <w:color w:val="auto"/>
        </w:rPr>
      </w:pPr>
    </w:p>
    <w:p>
      <w:pPr>
        <w:ind w:right="19"/>
        <w:spacing w:after="0" w:line="254" w:lineRule="auto"/>
        <w:rPr>
          <w:sz w:val="20"/>
          <w:szCs w:val="20"/>
          <w:color w:val="auto"/>
        </w:rPr>
      </w:pPr>
      <w:r>
        <w:rPr>
          <w:rFonts w:ascii="Arial" w:cs="Arial" w:eastAsia="Arial" w:hAnsi="Arial"/>
          <w:sz w:val="16"/>
          <w:szCs w:val="16"/>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For further information about our approach to rewarding our NEOs in a “pay for performance” manner for accomplishment of pre-defined business goals and objectives, refer to the Compensation Discussion and Analysis section of this Proxy Statement.</w:t>
      </w:r>
    </w:p>
    <w:p>
      <w:pPr>
        <w:spacing w:after="0" w:line="388" w:lineRule="exact"/>
        <w:rPr>
          <w:sz w:val="20"/>
          <w:szCs w:val="20"/>
          <w:color w:val="auto"/>
        </w:rPr>
      </w:pPr>
    </w:p>
    <w:p>
      <w:pPr>
        <w:spacing w:after="0"/>
        <w:rPr>
          <w:sz w:val="20"/>
          <w:szCs w:val="20"/>
          <w:color w:val="auto"/>
        </w:rPr>
      </w:pPr>
      <w:r>
        <w:rPr>
          <w:rFonts w:ascii="Arial" w:cs="Arial" w:eastAsia="Arial" w:hAnsi="Arial"/>
          <w:sz w:val="29"/>
          <w:szCs w:val="29"/>
          <w:color w:val="636466"/>
        </w:rPr>
        <w:t>2023 Pay Versus Performance Table</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2"/>
          </w:tcPr>
          <w:p>
            <w:pPr>
              <w:jc w:val="center"/>
              <w:ind w:left="272"/>
              <w:spacing w:after="0"/>
              <w:rPr>
                <w:sz w:val="20"/>
                <w:szCs w:val="20"/>
                <w:color w:val="auto"/>
              </w:rPr>
            </w:pPr>
            <w:r>
              <w:rPr>
                <w:rFonts w:ascii="Arial" w:cs="Arial" w:eastAsia="Arial" w:hAnsi="Arial"/>
                <w:sz w:val="13"/>
                <w:szCs w:val="13"/>
                <w:b w:val="1"/>
                <w:bCs w:val="1"/>
                <w:color w:val="auto"/>
              </w:rPr>
              <w:t>Value of Initial</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restart"/>
          </w:tcPr>
          <w:p>
            <w:pPr>
              <w:jc w:val="right"/>
              <w:ind w:right="71"/>
              <w:spacing w:after="0"/>
              <w:rPr>
                <w:sz w:val="20"/>
                <w:szCs w:val="20"/>
                <w:color w:val="auto"/>
              </w:rPr>
            </w:pPr>
            <w:r>
              <w:rPr>
                <w:rFonts w:ascii="Arial" w:cs="Arial" w:eastAsia="Arial" w:hAnsi="Arial"/>
                <w:sz w:val="13"/>
                <w:szCs w:val="13"/>
                <w:b w:val="1"/>
                <w:bCs w:val="1"/>
                <w:color w:val="auto"/>
              </w:rPr>
              <w:t>Average</w:t>
            </w:r>
          </w:p>
        </w:tc>
        <w:tc>
          <w:tcPr>
            <w:tcW w:w="1280" w:type="dxa"/>
            <w:vAlign w:val="bottom"/>
          </w:tcPr>
          <w:p>
            <w:pPr>
              <w:spacing w:after="0"/>
              <w:rPr>
                <w:sz w:val="9"/>
                <w:szCs w:val="9"/>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gridSpan w:val="2"/>
          </w:tcPr>
          <w:p>
            <w:pPr>
              <w:jc w:val="center"/>
              <w:ind w:left="252"/>
              <w:spacing w:after="0" w:line="95" w:lineRule="exact"/>
              <w:rPr>
                <w:sz w:val="20"/>
                <w:szCs w:val="20"/>
                <w:color w:val="auto"/>
              </w:rPr>
            </w:pPr>
            <w:r>
              <w:rPr>
                <w:rFonts w:ascii="Arial" w:cs="Arial" w:eastAsia="Arial" w:hAnsi="Arial"/>
                <w:sz w:val="11"/>
                <w:szCs w:val="11"/>
                <w:b w:val="1"/>
                <w:bCs w:val="1"/>
                <w:color w:val="auto"/>
              </w:rPr>
              <w:t>Fixed $100 Investment</w:t>
            </w:r>
          </w:p>
        </w:tc>
        <w:tc>
          <w:tcPr>
            <w:tcW w:w="3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gridSpan w:val="2"/>
            <w:vMerge w:val="restart"/>
          </w:tcPr>
          <w:p>
            <w:pPr>
              <w:jc w:val="center"/>
              <w:ind w:left="292"/>
              <w:spacing w:after="0"/>
              <w:rPr>
                <w:sz w:val="20"/>
                <w:szCs w:val="20"/>
                <w:color w:val="auto"/>
              </w:rPr>
            </w:pPr>
            <w:r>
              <w:rPr>
                <w:rFonts w:ascii="Arial" w:cs="Arial" w:eastAsia="Arial" w:hAnsi="Arial"/>
                <w:sz w:val="13"/>
                <w:szCs w:val="13"/>
                <w:b w:val="1"/>
                <w:bCs w:val="1"/>
                <w:color w:val="auto"/>
              </w:rPr>
              <w:t>Based On:</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restart"/>
          </w:tcPr>
          <w:p>
            <w:pPr>
              <w:jc w:val="right"/>
              <w:ind w:right="71"/>
              <w:spacing w:after="0" w:line="148" w:lineRule="exact"/>
              <w:rPr>
                <w:sz w:val="20"/>
                <w:szCs w:val="20"/>
                <w:color w:val="auto"/>
              </w:rPr>
            </w:pPr>
            <w:r>
              <w:rPr>
                <w:rFonts w:ascii="Arial" w:cs="Arial" w:eastAsia="Arial" w:hAnsi="Arial"/>
                <w:sz w:val="13"/>
                <w:szCs w:val="13"/>
                <w:b w:val="1"/>
                <w:bCs w:val="1"/>
                <w:color w:val="auto"/>
              </w:rPr>
              <w:t>Summary</w:t>
            </w: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4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Compensation</w:t>
            </w:r>
          </w:p>
        </w:tc>
        <w:tc>
          <w:tcPr>
            <w:tcW w:w="12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Compensation</w:t>
            </w:r>
            <w:r>
              <w:rPr>
                <w:rFonts w:ascii="Times New Roman" w:cs="Times New Roman" w:eastAsia="Times New Roman" w:hAnsi="Times New Roman"/>
                <w:sz w:val="3"/>
                <w:szCs w:val="3"/>
                <w:color w:val="auto"/>
              </w:rPr>
              <w:t>​   ​</w:t>
            </w:r>
          </w:p>
        </w:tc>
        <w:tc>
          <w:tcPr>
            <w:tcW w:w="128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 xml:space="preserve">Average </w:t>
            </w:r>
            <w:r>
              <w:rPr>
                <w:rFonts w:ascii="Times New Roman" w:cs="Times New Roman" w:eastAsia="Times New Roman" w:hAnsi="Times New Roman"/>
                <w:sz w:val="3"/>
                <w:szCs w:val="3"/>
                <w:color w:val="auto"/>
              </w:rPr>
              <w:t>​</w:t>
            </w:r>
          </w:p>
        </w:tc>
        <w:tc>
          <w:tcPr>
            <w:tcW w:w="80" w:type="dxa"/>
            <w:vAlign w:val="bottom"/>
          </w:tcPr>
          <w:p>
            <w:pPr>
              <w:spacing w:after="0"/>
              <w:rPr>
                <w:sz w:val="12"/>
                <w:szCs w:val="12"/>
                <w:color w:val="auto"/>
              </w:rPr>
            </w:pPr>
          </w:p>
        </w:tc>
        <w:tc>
          <w:tcPr>
            <w:tcW w:w="920" w:type="dxa"/>
            <w:vAlign w:val="bottom"/>
            <w:vMerge w:val="restart"/>
          </w:tcPr>
          <w:p>
            <w:pPr>
              <w:jc w:val="right"/>
              <w:ind w:right="72"/>
              <w:spacing w:after="0"/>
              <w:rPr>
                <w:sz w:val="20"/>
                <w:szCs w:val="20"/>
                <w:color w:val="auto"/>
              </w:rPr>
            </w:pPr>
            <w:r>
              <w:rPr>
                <w:rFonts w:ascii="Arial" w:cs="Arial" w:eastAsia="Arial" w:hAnsi="Arial"/>
                <w:sz w:val="13"/>
                <w:szCs w:val="13"/>
                <w:b w:val="1"/>
                <w:bCs w:val="1"/>
                <w:color w:val="auto"/>
              </w:rPr>
              <w:t>Total</w:t>
            </w:r>
          </w:p>
        </w:tc>
        <w:tc>
          <w:tcPr>
            <w:tcW w:w="1260" w:type="dxa"/>
            <w:vAlign w:val="bottom"/>
            <w:gridSpan w:val="2"/>
            <w:vMerge w:val="restart"/>
          </w:tcPr>
          <w:p>
            <w:pPr>
              <w:jc w:val="right"/>
              <w:ind w:right="18"/>
              <w:spacing w:after="0"/>
              <w:rPr>
                <w:sz w:val="20"/>
                <w:szCs w:val="20"/>
                <w:color w:val="auto"/>
              </w:rPr>
            </w:pPr>
            <w:r>
              <w:rPr>
                <w:rFonts w:ascii="Arial" w:cs="Arial" w:eastAsia="Arial" w:hAnsi="Arial"/>
                <w:sz w:val="13"/>
                <w:szCs w:val="13"/>
                <w:b w:val="1"/>
                <w:bCs w:val="1"/>
                <w:color w:val="auto"/>
              </w:rPr>
              <w:t>Peer Group</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right"/>
              <w:ind w:right="76"/>
              <w:spacing w:after="0" w:line="148" w:lineRule="exact"/>
              <w:rPr>
                <w:sz w:val="20"/>
                <w:szCs w:val="20"/>
                <w:color w:val="auto"/>
              </w:rPr>
            </w:pPr>
            <w:r>
              <w:rPr>
                <w:rFonts w:ascii="Arial" w:cs="Arial" w:eastAsia="Arial" w:hAnsi="Arial"/>
                <w:sz w:val="13"/>
                <w:szCs w:val="13"/>
                <w:b w:val="1"/>
                <w:bCs w:val="1"/>
                <w:color w:val="auto"/>
              </w:rPr>
              <w:t>Summary</w:t>
            </w: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71"/>
              <w:spacing w:after="0" w:line="148" w:lineRule="exact"/>
              <w:rPr>
                <w:sz w:val="20"/>
                <w:szCs w:val="20"/>
                <w:color w:val="auto"/>
              </w:rPr>
            </w:pPr>
            <w:r>
              <w:rPr>
                <w:rFonts w:ascii="Arial" w:cs="Arial" w:eastAsia="Arial" w:hAnsi="Arial"/>
                <w:sz w:val="13"/>
                <w:szCs w:val="13"/>
                <w:b w:val="1"/>
                <w:bCs w:val="1"/>
                <w:color w:val="auto"/>
              </w:rPr>
              <w:t>Table Total</w:t>
            </w:r>
          </w:p>
        </w:tc>
        <w:tc>
          <w:tcPr>
            <w:tcW w:w="128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Compensation</w:t>
            </w: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restart"/>
          </w:tcPr>
          <w:p>
            <w:pPr>
              <w:jc w:val="right"/>
              <w:ind w:right="16"/>
              <w:spacing w:after="0"/>
              <w:rPr>
                <w:sz w:val="20"/>
                <w:szCs w:val="20"/>
                <w:color w:val="auto"/>
              </w:rPr>
            </w:pPr>
            <w:r>
              <w:rPr>
                <w:rFonts w:ascii="Arial" w:cs="Arial" w:eastAsia="Arial" w:hAnsi="Arial"/>
                <w:sz w:val="13"/>
                <w:szCs w:val="13"/>
                <w:b w:val="1"/>
                <w:bCs w:val="1"/>
                <w:color w:val="auto"/>
              </w:rPr>
              <w:t>Net Income</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jc w:val="right"/>
              <w:ind w:right="76"/>
              <w:spacing w:after="0"/>
              <w:rPr>
                <w:sz w:val="20"/>
                <w:szCs w:val="20"/>
                <w:color w:val="auto"/>
              </w:rPr>
            </w:pPr>
            <w:r>
              <w:rPr>
                <w:rFonts w:ascii="Arial" w:cs="Arial" w:eastAsia="Arial" w:hAnsi="Arial"/>
                <w:sz w:val="13"/>
                <w:szCs w:val="13"/>
                <w:b w:val="1"/>
                <w:bCs w:val="1"/>
                <w:color w:val="auto"/>
              </w:rPr>
              <w:t>Compensation</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Actually</w:t>
            </w:r>
          </w:p>
        </w:tc>
        <w:tc>
          <w:tcPr>
            <w:tcW w:w="120" w:type="dxa"/>
            <w:vAlign w:val="bottom"/>
          </w:tcPr>
          <w:p>
            <w:pPr>
              <w:spacing w:after="0"/>
              <w:rPr>
                <w:sz w:val="13"/>
                <w:szCs w:val="13"/>
                <w:color w:val="auto"/>
              </w:rPr>
            </w:pPr>
          </w:p>
        </w:tc>
        <w:tc>
          <w:tcPr>
            <w:tcW w:w="1060" w:type="dxa"/>
            <w:vAlign w:val="bottom"/>
          </w:tcPr>
          <w:p>
            <w:pPr>
              <w:jc w:val="right"/>
              <w:ind w:right="71"/>
              <w:spacing w:after="0"/>
              <w:rPr>
                <w:sz w:val="20"/>
                <w:szCs w:val="20"/>
                <w:color w:val="auto"/>
              </w:rPr>
            </w:pPr>
            <w:r>
              <w:rPr>
                <w:rFonts w:ascii="Arial" w:cs="Arial" w:eastAsia="Arial" w:hAnsi="Arial"/>
                <w:sz w:val="13"/>
                <w:szCs w:val="13"/>
                <w:b w:val="1"/>
                <w:bCs w:val="1"/>
                <w:color w:val="auto"/>
              </w:rPr>
              <w:t>for Non-PEO</w:t>
            </w: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Actually Paid</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Shareholder</w:t>
            </w:r>
            <w:r>
              <w:rPr>
                <w:rFonts w:ascii="Times New Roman" w:cs="Times New Roman" w:eastAsia="Times New Roman" w:hAnsi="Times New Roman"/>
                <w:sz w:val="3"/>
                <w:szCs w:val="3"/>
                <w:color w:val="auto"/>
              </w:rPr>
              <w:t>​   ​</w:t>
            </w:r>
          </w:p>
        </w:tc>
        <w:tc>
          <w:tcPr>
            <w:tcW w:w="1260" w:type="dxa"/>
            <w:vAlign w:val="bottom"/>
            <w:gridSpan w:val="2"/>
          </w:tcPr>
          <w:p>
            <w:pPr>
              <w:jc w:val="right"/>
              <w:spacing w:after="0"/>
              <w:rPr>
                <w:sz w:val="20"/>
                <w:szCs w:val="20"/>
                <w:color w:val="auto"/>
              </w:rPr>
            </w:pPr>
            <w:r>
              <w:rPr>
                <w:rFonts w:ascii="Arial" w:cs="Arial" w:eastAsia="Arial" w:hAnsi="Arial"/>
                <w:sz w:val="13"/>
                <w:szCs w:val="13"/>
                <w:b w:val="1"/>
                <w:bCs w:val="1"/>
                <w:color w:val="auto"/>
              </w:rPr>
              <w:t xml:space="preserve">Total Shareholder </w:t>
            </w:r>
            <w:r>
              <w:rPr>
                <w:rFonts w:ascii="Times New Roman" w:cs="Times New Roman" w:eastAsia="Times New Roman" w:hAnsi="Times New Roman"/>
                <w:sz w:val="3"/>
                <w:szCs w:val="3"/>
                <w:color w:val="auto"/>
              </w:rPr>
              <w:t>​</w:t>
            </w:r>
          </w:p>
        </w:tc>
        <w:tc>
          <w:tcPr>
            <w:tcW w:w="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360" w:type="dxa"/>
            <w:vAlign w:val="bottom"/>
            <w:tcBorders>
              <w:bottom w:val="single" w:sz="8" w:color="0C426A"/>
            </w:tcBorders>
          </w:tcPr>
          <w:p>
            <w:pPr>
              <w:ind w:left="20"/>
              <w:spacing w:after="0"/>
              <w:rPr>
                <w:sz w:val="20"/>
                <w:szCs w:val="20"/>
                <w:color w:val="auto"/>
              </w:rPr>
            </w:pPr>
            <w:r>
              <w:rPr>
                <w:rFonts w:ascii="Arial" w:cs="Arial" w:eastAsia="Arial" w:hAnsi="Arial"/>
                <w:sz w:val="13"/>
                <w:szCs w:val="13"/>
                <w:b w:val="1"/>
                <w:bCs w:val="1"/>
                <w:color w:val="auto"/>
              </w:rPr>
              <w:t>Year</w:t>
            </w:r>
          </w:p>
        </w:tc>
        <w:tc>
          <w:tcPr>
            <w:tcW w:w="120" w:type="dxa"/>
            <w:vAlign w:val="bottom"/>
            <w:tcBorders>
              <w:bottom w:val="single" w:sz="8" w:color="0C426A"/>
            </w:tcBorders>
          </w:tcPr>
          <w:p>
            <w:pPr>
              <w:spacing w:after="0"/>
              <w:rPr>
                <w:sz w:val="24"/>
                <w:szCs w:val="24"/>
                <w:color w:val="auto"/>
              </w:rPr>
            </w:pPr>
          </w:p>
        </w:tc>
        <w:tc>
          <w:tcPr>
            <w:tcW w:w="1420" w:type="dxa"/>
            <w:vAlign w:val="bottom"/>
            <w:tcBorders>
              <w:bottom w:val="single" w:sz="8" w:color="0C426A"/>
            </w:tcBorders>
          </w:tcPr>
          <w:p>
            <w:pPr>
              <w:jc w:val="right"/>
              <w:ind w:right="36"/>
              <w:spacing w:after="0"/>
              <w:rPr>
                <w:sz w:val="20"/>
                <w:szCs w:val="20"/>
                <w:color w:val="auto"/>
              </w:rPr>
            </w:pPr>
            <w:r>
              <w:rPr>
                <w:rFonts w:ascii="Arial" w:cs="Arial" w:eastAsia="Arial" w:hAnsi="Arial"/>
                <w:sz w:val="13"/>
                <w:szCs w:val="13"/>
                <w:b w:val="1"/>
                <w:bCs w:val="1"/>
                <w:color w:val="auto"/>
              </w:rPr>
              <w:t>Table Total for PEO</w:t>
            </w:r>
            <w:r>
              <w:rPr>
                <w:rFonts w:ascii="Arial" w:cs="Arial" w:eastAsia="Arial" w:hAnsi="Arial"/>
                <w:sz w:val="22"/>
                <w:szCs w:val="22"/>
                <w:b w:val="1"/>
                <w:bCs w:val="1"/>
                <w:color w:val="auto"/>
                <w:vertAlign w:val="superscript"/>
              </w:rPr>
              <w:t>1</w:t>
            </w:r>
          </w:p>
        </w:tc>
        <w:tc>
          <w:tcPr>
            <w:tcW w:w="960" w:type="dxa"/>
            <w:vAlign w:val="bottom"/>
            <w:tcBorders>
              <w:bottom w:val="single" w:sz="8" w:color="0C426A"/>
            </w:tcBorders>
          </w:tcPr>
          <w:p>
            <w:pPr>
              <w:jc w:val="right"/>
              <w:spacing w:after="0"/>
              <w:rPr>
                <w:sz w:val="20"/>
                <w:szCs w:val="20"/>
                <w:color w:val="auto"/>
              </w:rPr>
            </w:pPr>
            <w:r>
              <w:rPr>
                <w:rFonts w:ascii="Arial" w:cs="Arial" w:eastAsia="Arial" w:hAnsi="Arial"/>
                <w:sz w:val="13"/>
                <w:szCs w:val="13"/>
                <w:b w:val="1"/>
                <w:bCs w:val="1"/>
                <w:color w:val="auto"/>
              </w:rPr>
              <w:t>Paid to PEO</w:t>
            </w:r>
            <w:r>
              <w:rPr>
                <w:rFonts w:ascii="Arial" w:cs="Arial" w:eastAsia="Arial" w:hAnsi="Arial"/>
                <w:sz w:val="22"/>
                <w:szCs w:val="22"/>
                <w:b w:val="1"/>
                <w:bCs w:val="1"/>
                <w:color w:val="auto"/>
                <w:vertAlign w:val="superscript"/>
              </w:rPr>
              <w:t>2</w:t>
            </w:r>
          </w:p>
        </w:tc>
        <w:tc>
          <w:tcPr>
            <w:tcW w:w="120" w:type="dxa"/>
            <w:vAlign w:val="bottom"/>
            <w:tcBorders>
              <w:bottom w:val="single" w:sz="8" w:color="0C426A"/>
            </w:tcBorders>
          </w:tcPr>
          <w:p>
            <w:pPr>
              <w:spacing w:after="0"/>
              <w:rPr>
                <w:sz w:val="24"/>
                <w:szCs w:val="24"/>
                <w:color w:val="auto"/>
              </w:rPr>
            </w:pPr>
          </w:p>
        </w:tc>
        <w:tc>
          <w:tcPr>
            <w:tcW w:w="1060" w:type="dxa"/>
            <w:vAlign w:val="bottom"/>
            <w:tcBorders>
              <w:bottom w:val="single" w:sz="8" w:color="0C426A"/>
            </w:tcBorders>
          </w:tcPr>
          <w:p>
            <w:pPr>
              <w:jc w:val="right"/>
              <w:ind w:right="31"/>
              <w:spacing w:after="0"/>
              <w:rPr>
                <w:sz w:val="20"/>
                <w:szCs w:val="20"/>
                <w:color w:val="auto"/>
              </w:rPr>
            </w:pPr>
            <w:r>
              <w:rPr>
                <w:rFonts w:ascii="Arial" w:cs="Arial" w:eastAsia="Arial" w:hAnsi="Arial"/>
                <w:sz w:val="13"/>
                <w:szCs w:val="13"/>
                <w:b w:val="1"/>
                <w:bCs w:val="1"/>
                <w:color w:val="auto"/>
              </w:rPr>
              <w:t>NEOs</w:t>
            </w:r>
            <w:r>
              <w:rPr>
                <w:rFonts w:ascii="Arial" w:cs="Arial" w:eastAsia="Arial" w:hAnsi="Arial"/>
                <w:sz w:val="22"/>
                <w:szCs w:val="22"/>
                <w:b w:val="1"/>
                <w:bCs w:val="1"/>
                <w:color w:val="auto"/>
                <w:vertAlign w:val="superscript"/>
              </w:rPr>
              <w:t>3</w:t>
            </w:r>
          </w:p>
        </w:tc>
        <w:tc>
          <w:tcPr>
            <w:tcW w:w="1280" w:type="dxa"/>
            <w:vAlign w:val="bottom"/>
            <w:tcBorders>
              <w:bottom w:val="single" w:sz="8" w:color="0C426A"/>
            </w:tcBorders>
          </w:tcPr>
          <w:p>
            <w:pPr>
              <w:jc w:val="right"/>
              <w:spacing w:after="0"/>
              <w:rPr>
                <w:sz w:val="20"/>
                <w:szCs w:val="20"/>
                <w:color w:val="auto"/>
              </w:rPr>
            </w:pPr>
            <w:r>
              <w:rPr>
                <w:rFonts w:ascii="Arial" w:cs="Arial" w:eastAsia="Arial" w:hAnsi="Arial"/>
                <w:sz w:val="13"/>
                <w:szCs w:val="13"/>
                <w:b w:val="1"/>
                <w:bCs w:val="1"/>
                <w:color w:val="auto"/>
              </w:rPr>
              <w:t>to Non-PEO NEOs</w:t>
            </w:r>
            <w:r>
              <w:rPr>
                <w:rFonts w:ascii="Arial" w:cs="Arial" w:eastAsia="Arial" w:hAnsi="Arial"/>
                <w:sz w:val="22"/>
                <w:szCs w:val="22"/>
                <w:b w:val="1"/>
                <w:bCs w:val="1"/>
                <w:color w:val="auto"/>
                <w:vertAlign w:val="superscript"/>
              </w:rPr>
              <w:t>4</w:t>
            </w:r>
          </w:p>
        </w:tc>
        <w:tc>
          <w:tcPr>
            <w:tcW w:w="80" w:type="dxa"/>
            <w:vAlign w:val="bottom"/>
            <w:tcBorders>
              <w:bottom w:val="single" w:sz="8" w:color="0C426A"/>
            </w:tcBorders>
          </w:tcPr>
          <w:p>
            <w:pPr>
              <w:spacing w:after="0"/>
              <w:rPr>
                <w:sz w:val="24"/>
                <w:szCs w:val="24"/>
                <w:color w:val="auto"/>
              </w:rPr>
            </w:pPr>
          </w:p>
        </w:tc>
        <w:tc>
          <w:tcPr>
            <w:tcW w:w="920" w:type="dxa"/>
            <w:vAlign w:val="bottom"/>
            <w:tcBorders>
              <w:bottom w:val="single" w:sz="8" w:color="0C426A"/>
            </w:tcBorders>
          </w:tcPr>
          <w:p>
            <w:pPr>
              <w:jc w:val="right"/>
              <w:ind w:right="32"/>
              <w:spacing w:after="0"/>
              <w:rPr>
                <w:sz w:val="20"/>
                <w:szCs w:val="20"/>
                <w:color w:val="auto"/>
              </w:rPr>
            </w:pPr>
            <w:r>
              <w:rPr>
                <w:rFonts w:ascii="Arial" w:cs="Arial" w:eastAsia="Arial" w:hAnsi="Arial"/>
                <w:sz w:val="13"/>
                <w:szCs w:val="13"/>
                <w:b w:val="1"/>
                <w:bCs w:val="1"/>
                <w:color w:val="auto"/>
              </w:rPr>
              <w:t>Return</w:t>
            </w:r>
            <w:r>
              <w:rPr>
                <w:rFonts w:ascii="Arial" w:cs="Arial" w:eastAsia="Arial" w:hAnsi="Arial"/>
                <w:sz w:val="22"/>
                <w:szCs w:val="22"/>
                <w:b w:val="1"/>
                <w:bCs w:val="1"/>
                <w:color w:val="auto"/>
                <w:vertAlign w:val="superscript"/>
              </w:rPr>
              <w:t>5</w:t>
            </w:r>
          </w:p>
        </w:tc>
        <w:tc>
          <w:tcPr>
            <w:tcW w:w="1260" w:type="dxa"/>
            <w:vAlign w:val="bottom"/>
            <w:tcBorders>
              <w:bottom w:val="single" w:sz="8" w:color="0C426A"/>
            </w:tcBorders>
            <w:gridSpan w:val="2"/>
          </w:tcPr>
          <w:p>
            <w:pPr>
              <w:jc w:val="right"/>
              <w:spacing w:after="0"/>
              <w:rPr>
                <w:sz w:val="20"/>
                <w:szCs w:val="20"/>
                <w:color w:val="auto"/>
              </w:rPr>
            </w:pPr>
            <w:r>
              <w:rPr>
                <w:rFonts w:ascii="Arial" w:cs="Arial" w:eastAsia="Arial" w:hAnsi="Arial"/>
                <w:sz w:val="13"/>
                <w:szCs w:val="13"/>
                <w:b w:val="1"/>
                <w:bCs w:val="1"/>
                <w:color w:val="auto"/>
              </w:rPr>
              <w:t>Return</w:t>
            </w:r>
            <w:r>
              <w:rPr>
                <w:rFonts w:ascii="Arial" w:cs="Arial" w:eastAsia="Arial" w:hAnsi="Arial"/>
                <w:sz w:val="22"/>
                <w:szCs w:val="22"/>
                <w:b w:val="1"/>
                <w:bCs w:val="1"/>
                <w:color w:val="auto"/>
                <w:vertAlign w:val="superscript"/>
              </w:rPr>
              <w:t>6</w:t>
            </w:r>
          </w:p>
        </w:tc>
        <w:tc>
          <w:tcPr>
            <w:tcW w:w="80" w:type="dxa"/>
            <w:vAlign w:val="bottom"/>
            <w:tcBorders>
              <w:bottom w:val="single" w:sz="8" w:color="0C426A"/>
            </w:tcBorders>
          </w:tcPr>
          <w:p>
            <w:pPr>
              <w:spacing w:after="0"/>
              <w:rPr>
                <w:sz w:val="24"/>
                <w:szCs w:val="24"/>
                <w:color w:val="auto"/>
              </w:rPr>
            </w:pPr>
          </w:p>
        </w:tc>
        <w:tc>
          <w:tcPr>
            <w:tcW w:w="840" w:type="dxa"/>
            <w:vAlign w:val="bottom"/>
            <w:tcBorders>
              <w:bottom w:val="single" w:sz="8" w:color="0C426A"/>
            </w:tcBorders>
          </w:tcPr>
          <w:p>
            <w:pPr>
              <w:jc w:val="right"/>
              <w:spacing w:after="0"/>
              <w:rPr>
                <w:sz w:val="20"/>
                <w:szCs w:val="20"/>
                <w:color w:val="auto"/>
              </w:rPr>
            </w:pPr>
            <w:r>
              <w:rPr>
                <w:rFonts w:ascii="Arial" w:cs="Arial" w:eastAsia="Arial" w:hAnsi="Arial"/>
                <w:sz w:val="13"/>
                <w:szCs w:val="13"/>
                <w:b w:val="1"/>
                <w:bCs w:val="1"/>
                <w:color w:val="auto"/>
              </w:rPr>
              <w:t>(millions)</w:t>
            </w:r>
            <w:r>
              <w:rPr>
                <w:rFonts w:ascii="Arial" w:cs="Arial" w:eastAsia="Arial" w:hAnsi="Arial"/>
                <w:sz w:val="22"/>
                <w:szCs w:val="22"/>
                <w:b w:val="1"/>
                <w:bCs w:val="1"/>
                <w:color w:val="auto"/>
                <w:vertAlign w:val="superscript"/>
              </w:rPr>
              <w:t>7</w:t>
            </w:r>
          </w:p>
        </w:tc>
        <w:tc>
          <w:tcPr>
            <w:tcW w:w="80" w:type="dxa"/>
            <w:vAlign w:val="bottom"/>
            <w:tcBorders>
              <w:bottom w:val="single" w:sz="8" w:color="0C426A"/>
            </w:tcBorders>
          </w:tcPr>
          <w:p>
            <w:pPr>
              <w:spacing w:after="0"/>
              <w:rPr>
                <w:sz w:val="24"/>
                <w:szCs w:val="24"/>
                <w:color w:val="auto"/>
              </w:rPr>
            </w:pPr>
          </w:p>
        </w:tc>
        <w:tc>
          <w:tcPr>
            <w:tcW w:w="400" w:type="dxa"/>
            <w:vAlign w:val="bottom"/>
            <w:tcBorders>
              <w:bottom w:val="single" w:sz="8" w:color="0C426A"/>
            </w:tcBorders>
          </w:tcPr>
          <w:p>
            <w:pPr>
              <w:jc w:val="right"/>
              <w:spacing w:after="0"/>
              <w:rPr>
                <w:sz w:val="20"/>
                <w:szCs w:val="20"/>
                <w:color w:val="auto"/>
              </w:rPr>
            </w:pPr>
            <w:r>
              <w:rPr>
                <w:rFonts w:ascii="Arial" w:cs="Arial" w:eastAsia="Arial" w:hAnsi="Arial"/>
                <w:sz w:val="13"/>
                <w:szCs w:val="13"/>
                <w:b w:val="1"/>
                <w:bCs w:val="1"/>
                <w:color w:val="auto"/>
              </w:rPr>
              <w:t>EPS</w:t>
            </w:r>
            <w:r>
              <w:rPr>
                <w:rFonts w:ascii="Arial" w:cs="Arial" w:eastAsia="Arial" w:hAnsi="Arial"/>
                <w:sz w:val="22"/>
                <w:szCs w:val="22"/>
                <w:b w:val="1"/>
                <w:bCs w:val="1"/>
                <w:color w:val="auto"/>
                <w:vertAlign w:val="superscript"/>
              </w:rPr>
              <w:t>8</w:t>
            </w:r>
          </w:p>
        </w:tc>
        <w:tc>
          <w:tcPr>
            <w:tcW w:w="0" w:type="dxa"/>
            <w:vAlign w:val="bottom"/>
          </w:tcPr>
          <w:p>
            <w:pPr>
              <w:spacing w:after="0"/>
              <w:rPr>
                <w:sz w:val="1"/>
                <w:szCs w:val="1"/>
                <w:color w:val="auto"/>
              </w:rPr>
            </w:pPr>
          </w:p>
        </w:tc>
      </w:tr>
      <w:tr>
        <w:trPr>
          <w:trHeight w:val="280"/>
        </w:trPr>
        <w:tc>
          <w:tcPr>
            <w:tcW w:w="360" w:type="dxa"/>
            <w:vAlign w:val="bottom"/>
          </w:tcPr>
          <w:p>
            <w:pPr>
              <w:ind w:left="20"/>
              <w:spacing w:after="0"/>
              <w:rPr>
                <w:sz w:val="20"/>
                <w:szCs w:val="20"/>
                <w:color w:val="auto"/>
              </w:rPr>
            </w:pPr>
            <w:r>
              <w:rPr>
                <w:rFonts w:ascii="Arial" w:cs="Arial" w:eastAsia="Arial" w:hAnsi="Arial"/>
                <w:sz w:val="14"/>
                <w:szCs w:val="14"/>
                <w:color w:val="auto"/>
              </w:rPr>
              <w:t>(a)</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420" w:type="dxa"/>
            <w:vAlign w:val="bottom"/>
          </w:tcPr>
          <w:p>
            <w:pPr>
              <w:jc w:val="right"/>
              <w:spacing w:after="0"/>
              <w:rPr>
                <w:sz w:val="20"/>
                <w:szCs w:val="20"/>
                <w:color w:val="auto"/>
              </w:rPr>
            </w:pPr>
            <w:r>
              <w:rPr>
                <w:rFonts w:ascii="Arial" w:cs="Arial" w:eastAsia="Arial" w:hAnsi="Arial"/>
                <w:sz w:val="14"/>
                <w:szCs w:val="14"/>
                <w:color w:val="auto"/>
              </w:rPr>
              <w:t>(b)</w:t>
            </w:r>
            <w:r>
              <w:rPr>
                <w:rFonts w:ascii="Times New Roman" w:cs="Times New Roman" w:eastAsia="Times New Roman" w:hAnsi="Times New Roman"/>
                <w:sz w:val="3"/>
                <w:szCs w:val="3"/>
                <w:color w:val="auto"/>
              </w:rPr>
              <w:t>​   ​</w:t>
            </w:r>
          </w:p>
        </w:tc>
        <w:tc>
          <w:tcPr>
            <w:tcW w:w="1080" w:type="dxa"/>
            <w:vAlign w:val="bottom"/>
            <w:gridSpan w:val="2"/>
          </w:tcPr>
          <w:p>
            <w:pPr>
              <w:jc w:val="right"/>
              <w:ind w:right="22"/>
              <w:spacing w:after="0"/>
              <w:rPr>
                <w:sz w:val="20"/>
                <w:szCs w:val="20"/>
                <w:color w:val="auto"/>
              </w:rPr>
            </w:pPr>
            <w:r>
              <w:rPr>
                <w:rFonts w:ascii="Arial" w:cs="Arial" w:eastAsia="Arial" w:hAnsi="Arial"/>
                <w:sz w:val="14"/>
                <w:szCs w:val="14"/>
                <w:color w:val="auto"/>
              </w:rPr>
              <w:t>(c)</w:t>
            </w:r>
            <w:r>
              <w:rPr>
                <w:rFonts w:ascii="Times New Roman" w:cs="Times New Roman" w:eastAsia="Times New Roman" w:hAnsi="Times New Roman"/>
                <w:sz w:val="3"/>
                <w:szCs w:val="3"/>
                <w:color w:val="auto"/>
              </w:rPr>
              <w:t>​   ​</w:t>
            </w:r>
          </w:p>
        </w:tc>
        <w:tc>
          <w:tcPr>
            <w:tcW w:w="1060" w:type="dxa"/>
            <w:vAlign w:val="bottom"/>
          </w:tcPr>
          <w:p>
            <w:pPr>
              <w:jc w:val="right"/>
              <w:spacing w:after="0"/>
              <w:rPr>
                <w:sz w:val="20"/>
                <w:szCs w:val="20"/>
                <w:color w:val="auto"/>
              </w:rPr>
            </w:pPr>
            <w:r>
              <w:rPr>
                <w:rFonts w:ascii="Arial" w:cs="Arial" w:eastAsia="Arial" w:hAnsi="Arial"/>
                <w:sz w:val="14"/>
                <w:szCs w:val="14"/>
                <w:color w:val="auto"/>
              </w:rPr>
              <w:t>(d)</w:t>
            </w:r>
            <w:r>
              <w:rPr>
                <w:rFonts w:ascii="Times New Roman" w:cs="Times New Roman" w:eastAsia="Times New Roman" w:hAnsi="Times New Roman"/>
                <w:sz w:val="3"/>
                <w:szCs w:val="3"/>
                <w:color w:val="auto"/>
              </w:rPr>
              <w:t>​   ​</w:t>
            </w:r>
          </w:p>
        </w:tc>
        <w:tc>
          <w:tcPr>
            <w:tcW w:w="1280" w:type="dxa"/>
            <w:vAlign w:val="bottom"/>
          </w:tcPr>
          <w:p>
            <w:pPr>
              <w:jc w:val="right"/>
              <w:spacing w:after="0"/>
              <w:rPr>
                <w:sz w:val="20"/>
                <w:szCs w:val="20"/>
                <w:color w:val="auto"/>
              </w:rPr>
            </w:pPr>
            <w:r>
              <w:rPr>
                <w:rFonts w:ascii="Arial" w:cs="Arial" w:eastAsia="Arial" w:hAnsi="Arial"/>
                <w:sz w:val="14"/>
                <w:szCs w:val="14"/>
                <w:color w:val="auto"/>
              </w:rPr>
              <w:t>(e)</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(f)</w:t>
            </w:r>
            <w:r>
              <w:rPr>
                <w:rFonts w:ascii="Times New Roman" w:cs="Times New Roman" w:eastAsia="Times New Roman" w:hAnsi="Times New Roman"/>
                <w:sz w:val="3"/>
                <w:szCs w:val="3"/>
                <w:color w:val="auto"/>
              </w:rPr>
              <w:t>​   ​</w:t>
            </w:r>
          </w:p>
        </w:tc>
        <w:tc>
          <w:tcPr>
            <w:tcW w:w="8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(g)</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(h)</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(i)</w:t>
            </w:r>
          </w:p>
        </w:tc>
        <w:tc>
          <w:tcPr>
            <w:tcW w:w="0" w:type="dxa"/>
            <w:vAlign w:val="bottom"/>
          </w:tcPr>
          <w:p>
            <w:pPr>
              <w:spacing w:after="0"/>
              <w:rPr>
                <w:sz w:val="1"/>
                <w:szCs w:val="1"/>
                <w:color w:val="auto"/>
              </w:rPr>
            </w:pPr>
          </w:p>
        </w:tc>
      </w:tr>
      <w:tr>
        <w:trPr>
          <w:trHeight w:val="48"/>
        </w:trPr>
        <w:tc>
          <w:tcPr>
            <w:tcW w:w="3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gridSpan w:val="2"/>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12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360" w:type="dxa"/>
            <w:vAlign w:val="bottom"/>
          </w:tcPr>
          <w:p>
            <w:pPr>
              <w:ind w:left="20"/>
              <w:spacing w:after="0"/>
              <w:rPr>
                <w:sz w:val="20"/>
                <w:szCs w:val="20"/>
                <w:color w:val="auto"/>
              </w:rPr>
            </w:pPr>
            <w:r>
              <w:rPr>
                <w:rFonts w:ascii="Arial" w:cs="Arial" w:eastAsia="Arial" w:hAnsi="Arial"/>
                <w:sz w:val="14"/>
                <w:szCs w:val="14"/>
                <w:color w:val="auto"/>
              </w:rPr>
              <w:t>2023</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420" w:type="dxa"/>
            <w:vAlign w:val="bottom"/>
          </w:tcPr>
          <w:p>
            <w:pPr>
              <w:jc w:val="right"/>
              <w:spacing w:after="0"/>
              <w:rPr>
                <w:sz w:val="20"/>
                <w:szCs w:val="20"/>
                <w:color w:val="auto"/>
              </w:rPr>
            </w:pPr>
            <w:r>
              <w:rPr>
                <w:rFonts w:ascii="Arial" w:cs="Arial" w:eastAsia="Arial" w:hAnsi="Arial"/>
                <w:sz w:val="14"/>
                <w:szCs w:val="14"/>
                <w:color w:val="auto"/>
              </w:rPr>
              <w:t>$15,493,240</w:t>
            </w:r>
            <w:r>
              <w:rPr>
                <w:rFonts w:ascii="Times New Roman" w:cs="Times New Roman" w:eastAsia="Times New Roman" w:hAnsi="Times New Roman"/>
                <w:sz w:val="3"/>
                <w:szCs w:val="3"/>
                <w:color w:val="auto"/>
              </w:rPr>
              <w:t>​   ​</w:t>
            </w:r>
          </w:p>
        </w:tc>
        <w:tc>
          <w:tcPr>
            <w:tcW w:w="1080" w:type="dxa"/>
            <w:vAlign w:val="bottom"/>
            <w:gridSpan w:val="2"/>
          </w:tcPr>
          <w:p>
            <w:pPr>
              <w:jc w:val="right"/>
              <w:ind w:right="22"/>
              <w:spacing w:after="0"/>
              <w:rPr>
                <w:sz w:val="20"/>
                <w:szCs w:val="20"/>
                <w:color w:val="auto"/>
              </w:rPr>
            </w:pPr>
            <w:r>
              <w:rPr>
                <w:rFonts w:ascii="Arial" w:cs="Arial" w:eastAsia="Arial" w:hAnsi="Arial"/>
                <w:sz w:val="14"/>
                <w:szCs w:val="14"/>
                <w:color w:val="auto"/>
              </w:rPr>
              <w:t>$26,664,494</w:t>
            </w:r>
            <w:r>
              <w:rPr>
                <w:rFonts w:ascii="Times New Roman" w:cs="Times New Roman" w:eastAsia="Times New Roman" w:hAnsi="Times New Roman"/>
                <w:sz w:val="3"/>
                <w:szCs w:val="3"/>
                <w:color w:val="auto"/>
              </w:rPr>
              <w:t>​   ​</w:t>
            </w:r>
          </w:p>
        </w:tc>
        <w:tc>
          <w:tcPr>
            <w:tcW w:w="1060" w:type="dxa"/>
            <w:vAlign w:val="bottom"/>
          </w:tcPr>
          <w:p>
            <w:pPr>
              <w:jc w:val="right"/>
              <w:spacing w:after="0"/>
              <w:rPr>
                <w:sz w:val="20"/>
                <w:szCs w:val="20"/>
                <w:color w:val="auto"/>
              </w:rPr>
            </w:pPr>
            <w:r>
              <w:rPr>
                <w:rFonts w:ascii="Arial" w:cs="Arial" w:eastAsia="Arial" w:hAnsi="Arial"/>
                <w:sz w:val="14"/>
                <w:szCs w:val="14"/>
                <w:color w:val="auto"/>
              </w:rPr>
              <w:t>$3,457,624</w:t>
            </w:r>
            <w:r>
              <w:rPr>
                <w:rFonts w:ascii="Times New Roman" w:cs="Times New Roman" w:eastAsia="Times New Roman" w:hAnsi="Times New Roman"/>
                <w:sz w:val="3"/>
                <w:szCs w:val="3"/>
                <w:color w:val="auto"/>
              </w:rPr>
              <w:t>​   ​</w:t>
            </w:r>
          </w:p>
        </w:tc>
        <w:tc>
          <w:tcPr>
            <w:tcW w:w="1280" w:type="dxa"/>
            <w:vAlign w:val="bottom"/>
          </w:tcPr>
          <w:p>
            <w:pPr>
              <w:jc w:val="right"/>
              <w:spacing w:after="0"/>
              <w:rPr>
                <w:sz w:val="20"/>
                <w:szCs w:val="20"/>
                <w:color w:val="auto"/>
              </w:rPr>
            </w:pPr>
            <w:r>
              <w:rPr>
                <w:rFonts w:ascii="Arial" w:cs="Arial" w:eastAsia="Arial" w:hAnsi="Arial"/>
                <w:sz w:val="14"/>
                <w:szCs w:val="14"/>
                <w:color w:val="auto"/>
              </w:rPr>
              <w:t>$5,595,542</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$186</w:t>
            </w:r>
            <w:r>
              <w:rPr>
                <w:rFonts w:ascii="Times New Roman" w:cs="Times New Roman" w:eastAsia="Times New Roman" w:hAnsi="Times New Roman"/>
                <w:sz w:val="3"/>
                <w:szCs w:val="3"/>
                <w:color w:val="auto"/>
              </w:rPr>
              <w:t>​   ​</w:t>
            </w:r>
          </w:p>
        </w:tc>
        <w:tc>
          <w:tcPr>
            <w:tcW w:w="8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$211</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$815</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48"/>
        </w:trPr>
        <w:tc>
          <w:tcPr>
            <w:tcW w:w="3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gridSpan w:val="2"/>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12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360" w:type="dxa"/>
            <w:vAlign w:val="bottom"/>
          </w:tcPr>
          <w:p>
            <w:pPr>
              <w:ind w:left="20"/>
              <w:spacing w:after="0"/>
              <w:rPr>
                <w:sz w:val="20"/>
                <w:szCs w:val="20"/>
                <w:color w:val="auto"/>
              </w:rPr>
            </w:pPr>
            <w:r>
              <w:rPr>
                <w:rFonts w:ascii="Arial" w:cs="Arial" w:eastAsia="Arial" w:hAnsi="Arial"/>
                <w:sz w:val="14"/>
                <w:szCs w:val="14"/>
                <w:color w:val="auto"/>
              </w:rPr>
              <w:t>2022</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420" w:type="dxa"/>
            <w:vAlign w:val="bottom"/>
          </w:tcPr>
          <w:p>
            <w:pPr>
              <w:jc w:val="right"/>
              <w:spacing w:after="0"/>
              <w:rPr>
                <w:sz w:val="20"/>
                <w:szCs w:val="20"/>
                <w:color w:val="auto"/>
              </w:rPr>
            </w:pPr>
            <w:r>
              <w:rPr>
                <w:rFonts w:ascii="Arial" w:cs="Arial" w:eastAsia="Arial" w:hAnsi="Arial"/>
                <w:sz w:val="14"/>
                <w:szCs w:val="14"/>
                <w:color w:val="auto"/>
              </w:rPr>
              <w:t>$11,685,472</w:t>
            </w:r>
            <w:r>
              <w:rPr>
                <w:rFonts w:ascii="Times New Roman" w:cs="Times New Roman" w:eastAsia="Times New Roman" w:hAnsi="Times New Roman"/>
                <w:sz w:val="3"/>
                <w:szCs w:val="3"/>
                <w:color w:val="auto"/>
              </w:rPr>
              <w:t>​   ​</w:t>
            </w:r>
          </w:p>
        </w:tc>
        <w:tc>
          <w:tcPr>
            <w:tcW w:w="1080" w:type="dxa"/>
            <w:vAlign w:val="bottom"/>
            <w:gridSpan w:val="2"/>
          </w:tcPr>
          <w:p>
            <w:pPr>
              <w:jc w:val="right"/>
              <w:ind w:right="22"/>
              <w:spacing w:after="0"/>
              <w:rPr>
                <w:sz w:val="20"/>
                <w:szCs w:val="20"/>
                <w:color w:val="auto"/>
              </w:rPr>
            </w:pPr>
            <w:r>
              <w:rPr>
                <w:rFonts w:ascii="Arial" w:cs="Arial" w:eastAsia="Arial" w:hAnsi="Arial"/>
                <w:sz w:val="14"/>
                <w:szCs w:val="14"/>
                <w:color w:val="auto"/>
              </w:rPr>
              <w:t>$14,962,045</w:t>
            </w:r>
            <w:r>
              <w:rPr>
                <w:rFonts w:ascii="Times New Roman" w:cs="Times New Roman" w:eastAsia="Times New Roman" w:hAnsi="Times New Roman"/>
                <w:sz w:val="3"/>
                <w:szCs w:val="3"/>
                <w:color w:val="auto"/>
              </w:rPr>
              <w:t>​   ​</w:t>
            </w:r>
          </w:p>
        </w:tc>
        <w:tc>
          <w:tcPr>
            <w:tcW w:w="1060" w:type="dxa"/>
            <w:vAlign w:val="bottom"/>
          </w:tcPr>
          <w:p>
            <w:pPr>
              <w:jc w:val="right"/>
              <w:spacing w:after="0"/>
              <w:rPr>
                <w:sz w:val="20"/>
                <w:szCs w:val="20"/>
                <w:color w:val="auto"/>
              </w:rPr>
            </w:pPr>
            <w:r>
              <w:rPr>
                <w:rFonts w:ascii="Arial" w:cs="Arial" w:eastAsia="Arial" w:hAnsi="Arial"/>
                <w:sz w:val="14"/>
                <w:szCs w:val="14"/>
                <w:color w:val="auto"/>
              </w:rPr>
              <w:t>$2,629,586</w:t>
            </w:r>
            <w:r>
              <w:rPr>
                <w:rFonts w:ascii="Times New Roman" w:cs="Times New Roman" w:eastAsia="Times New Roman" w:hAnsi="Times New Roman"/>
                <w:sz w:val="3"/>
                <w:szCs w:val="3"/>
                <w:color w:val="auto"/>
              </w:rPr>
              <w:t>​   ​</w:t>
            </w:r>
          </w:p>
        </w:tc>
        <w:tc>
          <w:tcPr>
            <w:tcW w:w="1280" w:type="dxa"/>
            <w:vAlign w:val="bottom"/>
          </w:tcPr>
          <w:p>
            <w:pPr>
              <w:jc w:val="right"/>
              <w:spacing w:after="0"/>
              <w:rPr>
                <w:sz w:val="20"/>
                <w:szCs w:val="20"/>
                <w:color w:val="auto"/>
              </w:rPr>
            </w:pPr>
            <w:r>
              <w:rPr>
                <w:rFonts w:ascii="Arial" w:cs="Arial" w:eastAsia="Arial" w:hAnsi="Arial"/>
                <w:sz w:val="14"/>
                <w:szCs w:val="14"/>
                <w:color w:val="auto"/>
              </w:rPr>
              <w:t>$3,049,535</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$131</w:t>
            </w:r>
            <w:r>
              <w:rPr>
                <w:rFonts w:ascii="Times New Roman" w:cs="Times New Roman" w:eastAsia="Times New Roman" w:hAnsi="Times New Roman"/>
                <w:sz w:val="3"/>
                <w:szCs w:val="3"/>
                <w:color w:val="auto"/>
              </w:rPr>
              <w:t>​   ​</w:t>
            </w:r>
          </w:p>
        </w:tc>
        <w:tc>
          <w:tcPr>
            <w:tcW w:w="8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$133</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$633</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$4.86</w:t>
            </w:r>
          </w:p>
        </w:tc>
        <w:tc>
          <w:tcPr>
            <w:tcW w:w="0" w:type="dxa"/>
            <w:vAlign w:val="bottom"/>
          </w:tcPr>
          <w:p>
            <w:pPr>
              <w:spacing w:after="0"/>
              <w:rPr>
                <w:sz w:val="1"/>
                <w:szCs w:val="1"/>
                <w:color w:val="auto"/>
              </w:rPr>
            </w:pPr>
          </w:p>
        </w:tc>
      </w:tr>
      <w:tr>
        <w:trPr>
          <w:trHeight w:val="48"/>
        </w:trPr>
        <w:tc>
          <w:tcPr>
            <w:tcW w:w="3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gridSpan w:val="2"/>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12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360" w:type="dxa"/>
            <w:vAlign w:val="bottom"/>
          </w:tcPr>
          <w:p>
            <w:pPr>
              <w:ind w:left="20"/>
              <w:spacing w:after="0"/>
              <w:rPr>
                <w:sz w:val="20"/>
                <w:szCs w:val="20"/>
                <w:color w:val="auto"/>
              </w:rPr>
            </w:pPr>
            <w:r>
              <w:rPr>
                <w:rFonts w:ascii="Arial" w:cs="Arial" w:eastAsia="Arial" w:hAnsi="Arial"/>
                <w:sz w:val="14"/>
                <w:szCs w:val="14"/>
                <w:color w:val="auto"/>
              </w:rPr>
              <w:t>2021</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420" w:type="dxa"/>
            <w:vAlign w:val="bottom"/>
          </w:tcPr>
          <w:p>
            <w:pPr>
              <w:jc w:val="right"/>
              <w:spacing w:after="0"/>
              <w:rPr>
                <w:sz w:val="20"/>
                <w:szCs w:val="20"/>
                <w:color w:val="auto"/>
              </w:rPr>
            </w:pPr>
            <w:r>
              <w:rPr>
                <w:rFonts w:ascii="Arial" w:cs="Arial" w:eastAsia="Arial" w:hAnsi="Arial"/>
                <w:sz w:val="14"/>
                <w:szCs w:val="14"/>
                <w:color w:val="auto"/>
              </w:rPr>
              <w:t>$11,027,238</w:t>
            </w:r>
            <w:r>
              <w:rPr>
                <w:rFonts w:ascii="Times New Roman" w:cs="Times New Roman" w:eastAsia="Times New Roman" w:hAnsi="Times New Roman"/>
                <w:sz w:val="3"/>
                <w:szCs w:val="3"/>
                <w:color w:val="auto"/>
              </w:rPr>
              <w:t>​   ​</w:t>
            </w:r>
          </w:p>
        </w:tc>
        <w:tc>
          <w:tcPr>
            <w:tcW w:w="1080" w:type="dxa"/>
            <w:vAlign w:val="bottom"/>
            <w:gridSpan w:val="2"/>
          </w:tcPr>
          <w:p>
            <w:pPr>
              <w:jc w:val="right"/>
              <w:ind w:right="22"/>
              <w:spacing w:after="0"/>
              <w:rPr>
                <w:sz w:val="20"/>
                <w:szCs w:val="20"/>
                <w:color w:val="auto"/>
              </w:rPr>
            </w:pPr>
            <w:r>
              <w:rPr>
                <w:rFonts w:ascii="Arial" w:cs="Arial" w:eastAsia="Arial" w:hAnsi="Arial"/>
                <w:sz w:val="14"/>
                <w:szCs w:val="14"/>
                <w:color w:val="auto"/>
              </w:rPr>
              <w:t>$​15,961,883</w:t>
            </w:r>
            <w:r>
              <w:rPr>
                <w:rFonts w:ascii="Times New Roman" w:cs="Times New Roman" w:eastAsia="Times New Roman" w:hAnsi="Times New Roman"/>
                <w:sz w:val="3"/>
                <w:szCs w:val="3"/>
                <w:color w:val="auto"/>
              </w:rPr>
              <w:t>​   ​</w:t>
            </w:r>
          </w:p>
        </w:tc>
        <w:tc>
          <w:tcPr>
            <w:tcW w:w="1060" w:type="dxa"/>
            <w:vAlign w:val="bottom"/>
          </w:tcPr>
          <w:p>
            <w:pPr>
              <w:jc w:val="right"/>
              <w:spacing w:after="0"/>
              <w:rPr>
                <w:sz w:val="20"/>
                <w:szCs w:val="20"/>
                <w:color w:val="auto"/>
              </w:rPr>
            </w:pPr>
            <w:r>
              <w:rPr>
                <w:rFonts w:ascii="Arial" w:cs="Arial" w:eastAsia="Arial" w:hAnsi="Arial"/>
                <w:sz w:val="14"/>
                <w:szCs w:val="14"/>
                <w:color w:val="auto"/>
              </w:rPr>
              <w:t>$3,806,454</w:t>
            </w:r>
            <w:r>
              <w:rPr>
                <w:rFonts w:ascii="Times New Roman" w:cs="Times New Roman" w:eastAsia="Times New Roman" w:hAnsi="Times New Roman"/>
                <w:sz w:val="3"/>
                <w:szCs w:val="3"/>
                <w:color w:val="auto"/>
              </w:rPr>
              <w:t>​   ​</w:t>
            </w:r>
          </w:p>
        </w:tc>
        <w:tc>
          <w:tcPr>
            <w:tcW w:w="1280" w:type="dxa"/>
            <w:vAlign w:val="bottom"/>
          </w:tcPr>
          <w:p>
            <w:pPr>
              <w:jc w:val="right"/>
              <w:spacing w:after="0"/>
              <w:rPr>
                <w:sz w:val="20"/>
                <w:szCs w:val="20"/>
                <w:color w:val="auto"/>
              </w:rPr>
            </w:pPr>
            <w:r>
              <w:rPr>
                <w:rFonts w:ascii="Arial" w:cs="Arial" w:eastAsia="Arial" w:hAnsi="Arial"/>
                <w:sz w:val="14"/>
                <w:szCs w:val="14"/>
                <w:color w:val="auto"/>
              </w:rPr>
              <w:t>$3,565,170</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$120</w:t>
            </w:r>
            <w:r>
              <w:rPr>
                <w:rFonts w:ascii="Times New Roman" w:cs="Times New Roman" w:eastAsia="Times New Roman" w:hAnsi="Times New Roman"/>
                <w:sz w:val="3"/>
                <w:szCs w:val="3"/>
                <w:color w:val="auto"/>
              </w:rPr>
              <w:t>​   ​</w:t>
            </w:r>
          </w:p>
        </w:tc>
        <w:tc>
          <w:tcPr>
            <w:tcW w:w="8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$150</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$558</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48"/>
        </w:trPr>
        <w:tc>
          <w:tcPr>
            <w:tcW w:w="3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12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360" w:type="dxa"/>
            <w:vAlign w:val="bottom"/>
          </w:tcPr>
          <w:p>
            <w:pPr>
              <w:ind w:left="20"/>
              <w:spacing w:after="0"/>
              <w:rPr>
                <w:sz w:val="20"/>
                <w:szCs w:val="20"/>
                <w:color w:val="auto"/>
              </w:rPr>
            </w:pPr>
            <w:r>
              <w:rPr>
                <w:rFonts w:ascii="Arial" w:cs="Arial" w:eastAsia="Arial" w:hAnsi="Arial"/>
                <w:sz w:val="14"/>
                <w:szCs w:val="14"/>
                <w:color w:val="auto"/>
              </w:rPr>
              <w:t>2020</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420" w:type="dxa"/>
            <w:vAlign w:val="bottom"/>
          </w:tcPr>
          <w:p>
            <w:pPr>
              <w:jc w:val="right"/>
              <w:spacing w:after="0"/>
              <w:rPr>
                <w:sz w:val="20"/>
                <w:szCs w:val="20"/>
                <w:color w:val="auto"/>
              </w:rPr>
            </w:pPr>
            <w:r>
              <w:rPr>
                <w:rFonts w:ascii="Arial" w:cs="Arial" w:eastAsia="Arial" w:hAnsi="Arial"/>
                <w:sz w:val="14"/>
                <w:szCs w:val="14"/>
                <w:color w:val="auto"/>
              </w:rPr>
              <w:t>$11,044,419</w:t>
            </w:r>
            <w:r>
              <w:rPr>
                <w:rFonts w:ascii="Times New Roman" w:cs="Times New Roman" w:eastAsia="Times New Roman" w:hAnsi="Times New Roman"/>
                <w:sz w:val="3"/>
                <w:szCs w:val="3"/>
                <w:color w:val="auto"/>
              </w:rPr>
              <w:t>​   ​</w:t>
            </w:r>
          </w:p>
        </w:tc>
        <w:tc>
          <w:tcPr>
            <w:tcW w:w="960" w:type="dxa"/>
            <w:vAlign w:val="bottom"/>
          </w:tcPr>
          <w:p>
            <w:pPr>
              <w:jc w:val="right"/>
              <w:spacing w:after="0"/>
              <w:rPr>
                <w:sz w:val="20"/>
                <w:szCs w:val="20"/>
                <w:color w:val="auto"/>
              </w:rPr>
            </w:pPr>
            <w:r>
              <w:rPr>
                <w:rFonts w:ascii="Arial" w:cs="Arial" w:eastAsia="Arial" w:hAnsi="Arial"/>
                <w:sz w:val="14"/>
                <w:szCs w:val="14"/>
                <w:color w:val="auto"/>
              </w:rPr>
              <w:t>$ 9,083,133​</w:t>
            </w:r>
          </w:p>
        </w:tc>
        <w:tc>
          <w:tcPr>
            <w:tcW w:w="12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tcPr>
          <w:p>
            <w:pPr>
              <w:jc w:val="right"/>
              <w:spacing w:after="0"/>
              <w:rPr>
                <w:sz w:val="20"/>
                <w:szCs w:val="20"/>
                <w:color w:val="auto"/>
              </w:rPr>
            </w:pPr>
            <w:r>
              <w:rPr>
                <w:rFonts w:ascii="Arial" w:cs="Arial" w:eastAsia="Arial" w:hAnsi="Arial"/>
                <w:sz w:val="14"/>
                <w:szCs w:val="14"/>
                <w:color w:val="auto"/>
              </w:rPr>
              <w:t>$2,847,857</w:t>
            </w:r>
            <w:r>
              <w:rPr>
                <w:rFonts w:ascii="Times New Roman" w:cs="Times New Roman" w:eastAsia="Times New Roman" w:hAnsi="Times New Roman"/>
                <w:sz w:val="3"/>
                <w:szCs w:val="3"/>
                <w:color w:val="auto"/>
              </w:rPr>
              <w:t>​   ​</w:t>
            </w:r>
          </w:p>
        </w:tc>
        <w:tc>
          <w:tcPr>
            <w:tcW w:w="1280" w:type="dxa"/>
            <w:vAlign w:val="bottom"/>
          </w:tcPr>
          <w:p>
            <w:pPr>
              <w:jc w:val="right"/>
              <w:spacing w:after="0"/>
              <w:rPr>
                <w:sz w:val="20"/>
                <w:szCs w:val="20"/>
                <w:color w:val="auto"/>
              </w:rPr>
            </w:pPr>
            <w:r>
              <w:rPr>
                <w:rFonts w:ascii="Arial" w:cs="Arial" w:eastAsia="Arial" w:hAnsi="Arial"/>
                <w:sz w:val="14"/>
                <w:szCs w:val="14"/>
                <w:color w:val="auto"/>
              </w:rPr>
              <w:t>$1,487,328</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$ 95</w:t>
            </w:r>
            <w:r>
              <w:rPr>
                <w:rFonts w:ascii="Times New Roman" w:cs="Times New Roman" w:eastAsia="Times New Roman" w:hAnsi="Times New Roman"/>
                <w:sz w:val="3"/>
                <w:szCs w:val="3"/>
                <w:color w:val="auto"/>
              </w:rPr>
              <w:t>​   ​</w:t>
            </w:r>
          </w:p>
        </w:tc>
        <w:tc>
          <w:tcPr>
            <w:tcW w:w="8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$120</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$414</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48"/>
        </w:trPr>
        <w:tc>
          <w:tcPr>
            <w:tcW w:w="360" w:type="dxa"/>
            <w:vAlign w:val="bottom"/>
            <w:tcBorders>
              <w:bottom w:val="single" w:sz="8" w:color="0C426A"/>
            </w:tcBorders>
          </w:tcPr>
          <w:p>
            <w:pPr>
              <w:spacing w:after="0"/>
              <w:rPr>
                <w:sz w:val="4"/>
                <w:szCs w:val="4"/>
                <w:color w:val="auto"/>
              </w:rPr>
            </w:pPr>
          </w:p>
        </w:tc>
        <w:tc>
          <w:tcPr>
            <w:tcW w:w="120" w:type="dxa"/>
            <w:vAlign w:val="bottom"/>
            <w:tcBorders>
              <w:bottom w:val="single" w:sz="8" w:color="0C426A"/>
            </w:tcBorders>
          </w:tcPr>
          <w:p>
            <w:pPr>
              <w:spacing w:after="0"/>
              <w:rPr>
                <w:sz w:val="4"/>
                <w:szCs w:val="4"/>
                <w:color w:val="auto"/>
              </w:rPr>
            </w:pPr>
          </w:p>
        </w:tc>
        <w:tc>
          <w:tcPr>
            <w:tcW w:w="1420" w:type="dxa"/>
            <w:vAlign w:val="bottom"/>
            <w:tcBorders>
              <w:bottom w:val="single" w:sz="8" w:color="0C426A"/>
            </w:tcBorders>
          </w:tcPr>
          <w:p>
            <w:pPr>
              <w:spacing w:after="0"/>
              <w:rPr>
                <w:sz w:val="4"/>
                <w:szCs w:val="4"/>
                <w:color w:val="auto"/>
              </w:rPr>
            </w:pPr>
          </w:p>
        </w:tc>
        <w:tc>
          <w:tcPr>
            <w:tcW w:w="960" w:type="dxa"/>
            <w:vAlign w:val="bottom"/>
            <w:tcBorders>
              <w:bottom w:val="single" w:sz="8" w:color="0C426A"/>
            </w:tcBorders>
          </w:tcPr>
          <w:p>
            <w:pPr>
              <w:spacing w:after="0"/>
              <w:rPr>
                <w:sz w:val="4"/>
                <w:szCs w:val="4"/>
                <w:color w:val="auto"/>
              </w:rPr>
            </w:pPr>
          </w:p>
        </w:tc>
        <w:tc>
          <w:tcPr>
            <w:tcW w:w="120" w:type="dxa"/>
            <w:vAlign w:val="bottom"/>
            <w:tcBorders>
              <w:bottom w:val="single" w:sz="8" w:color="0C426A"/>
            </w:tcBorders>
          </w:tcPr>
          <w:p>
            <w:pPr>
              <w:spacing w:after="0"/>
              <w:rPr>
                <w:sz w:val="4"/>
                <w:szCs w:val="4"/>
                <w:color w:val="auto"/>
              </w:rPr>
            </w:pPr>
          </w:p>
        </w:tc>
        <w:tc>
          <w:tcPr>
            <w:tcW w:w="1060" w:type="dxa"/>
            <w:vAlign w:val="bottom"/>
            <w:tcBorders>
              <w:bottom w:val="single" w:sz="8" w:color="0C426A"/>
            </w:tcBorders>
          </w:tcPr>
          <w:p>
            <w:pPr>
              <w:spacing w:after="0"/>
              <w:rPr>
                <w:sz w:val="4"/>
                <w:szCs w:val="4"/>
                <w:color w:val="auto"/>
              </w:rPr>
            </w:pPr>
          </w:p>
        </w:tc>
        <w:tc>
          <w:tcPr>
            <w:tcW w:w="1280" w:type="dxa"/>
            <w:vAlign w:val="bottom"/>
            <w:tcBorders>
              <w:bottom w:val="single" w:sz="8" w:color="0C426A"/>
            </w:tcBorders>
          </w:tcPr>
          <w:p>
            <w:pPr>
              <w:spacing w:after="0"/>
              <w:rPr>
                <w:sz w:val="4"/>
                <w:szCs w:val="4"/>
                <w:color w:val="auto"/>
              </w:rPr>
            </w:pPr>
          </w:p>
        </w:tc>
        <w:tc>
          <w:tcPr>
            <w:tcW w:w="80" w:type="dxa"/>
            <w:vAlign w:val="bottom"/>
            <w:tcBorders>
              <w:bottom w:val="single" w:sz="8" w:color="0C426A"/>
            </w:tcBorders>
          </w:tcPr>
          <w:p>
            <w:pPr>
              <w:spacing w:after="0"/>
              <w:rPr>
                <w:sz w:val="4"/>
                <w:szCs w:val="4"/>
                <w:color w:val="auto"/>
              </w:rPr>
            </w:pPr>
          </w:p>
        </w:tc>
        <w:tc>
          <w:tcPr>
            <w:tcW w:w="920" w:type="dxa"/>
            <w:vAlign w:val="bottom"/>
            <w:tcBorders>
              <w:bottom w:val="single" w:sz="8" w:color="0C426A"/>
            </w:tcBorders>
          </w:tcPr>
          <w:p>
            <w:pPr>
              <w:spacing w:after="0"/>
              <w:rPr>
                <w:sz w:val="4"/>
                <w:szCs w:val="4"/>
                <w:color w:val="auto"/>
              </w:rPr>
            </w:pPr>
          </w:p>
        </w:tc>
        <w:tc>
          <w:tcPr>
            <w:tcW w:w="880" w:type="dxa"/>
            <w:vAlign w:val="bottom"/>
            <w:tcBorders>
              <w:bottom w:val="single" w:sz="8" w:color="0C426A"/>
            </w:tcBorders>
          </w:tcPr>
          <w:p>
            <w:pPr>
              <w:spacing w:after="0"/>
              <w:rPr>
                <w:sz w:val="4"/>
                <w:szCs w:val="4"/>
                <w:color w:val="auto"/>
              </w:rPr>
            </w:pPr>
          </w:p>
        </w:tc>
        <w:tc>
          <w:tcPr>
            <w:tcW w:w="380" w:type="dxa"/>
            <w:vAlign w:val="bottom"/>
            <w:tcBorders>
              <w:bottom w:val="single" w:sz="8" w:color="0C426A"/>
            </w:tcBorders>
          </w:tcPr>
          <w:p>
            <w:pPr>
              <w:spacing w:after="0"/>
              <w:rPr>
                <w:sz w:val="4"/>
                <w:szCs w:val="4"/>
                <w:color w:val="auto"/>
              </w:rPr>
            </w:pPr>
          </w:p>
        </w:tc>
        <w:tc>
          <w:tcPr>
            <w:tcW w:w="80" w:type="dxa"/>
            <w:vAlign w:val="bottom"/>
            <w:tcBorders>
              <w:bottom w:val="single" w:sz="8" w:color="0C426A"/>
            </w:tcBorders>
          </w:tcPr>
          <w:p>
            <w:pPr>
              <w:spacing w:after="0"/>
              <w:rPr>
                <w:sz w:val="4"/>
                <w:szCs w:val="4"/>
                <w:color w:val="auto"/>
              </w:rPr>
            </w:pPr>
          </w:p>
        </w:tc>
        <w:tc>
          <w:tcPr>
            <w:tcW w:w="840" w:type="dxa"/>
            <w:vAlign w:val="bottom"/>
            <w:tcBorders>
              <w:bottom w:val="single" w:sz="8" w:color="0C426A"/>
            </w:tcBorders>
          </w:tcPr>
          <w:p>
            <w:pPr>
              <w:spacing w:after="0"/>
              <w:rPr>
                <w:sz w:val="4"/>
                <w:szCs w:val="4"/>
                <w:color w:val="auto"/>
              </w:rPr>
            </w:pPr>
          </w:p>
        </w:tc>
        <w:tc>
          <w:tcPr>
            <w:tcW w:w="80" w:type="dxa"/>
            <w:vAlign w:val="bottom"/>
            <w:tcBorders>
              <w:bottom w:val="single" w:sz="8" w:color="0C426A"/>
            </w:tcBorders>
          </w:tcPr>
          <w:p>
            <w:pPr>
              <w:spacing w:after="0"/>
              <w:rPr>
                <w:sz w:val="4"/>
                <w:szCs w:val="4"/>
                <w:color w:val="auto"/>
              </w:rPr>
            </w:pPr>
          </w:p>
        </w:tc>
        <w:tc>
          <w:tcPr>
            <w:tcW w:w="400" w:type="dxa"/>
            <w:vAlign w:val="bottom"/>
            <w:tcBorders>
              <w:bottom w:val="single" w:sz="8" w:color="0C426A"/>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-1461770</wp:posOffset>
            </wp:positionV>
            <wp:extent cx="143700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437005" cy="8255"/>
                    </a:xfrm>
                    <a:prstGeom prst="rect">
                      <a:avLst/>
                    </a:prstGeom>
                    <a:noFill/>
                  </pic:spPr>
                </pic:pic>
              </a:graphicData>
            </a:graphic>
          </wp:anchor>
        </w:drawing>
      </w:r>
    </w:p>
    <w:p>
      <w:pPr>
        <w:spacing w:after="0" w:line="131" w:lineRule="exact"/>
        <w:rPr>
          <w:sz w:val="20"/>
          <w:szCs w:val="20"/>
          <w:color w:val="auto"/>
        </w:rPr>
      </w:pPr>
    </w:p>
    <w:p>
      <w:pPr>
        <w:ind w:left="180" w:right="19" w:hanging="175"/>
        <w:spacing w:after="0" w:line="207" w:lineRule="auto"/>
        <w:tabs>
          <w:tab w:leader="none" w:pos="180" w:val="left"/>
        </w:tabs>
        <w:numPr>
          <w:ilvl w:val="0"/>
          <w:numId w:val="71"/>
        </w:numPr>
        <w:rPr>
          <w:rFonts w:ascii="Arial" w:cs="Arial" w:eastAsia="Arial" w:hAnsi="Arial"/>
          <w:sz w:val="21"/>
          <w:szCs w:val="21"/>
          <w:color w:val="auto"/>
          <w:vertAlign w:val="superscript"/>
        </w:rPr>
      </w:pPr>
      <w:r>
        <w:rPr>
          <w:rFonts w:ascii="Arial" w:cs="Arial" w:eastAsia="Arial" w:hAnsi="Arial"/>
          <w:sz w:val="14"/>
          <w:szCs w:val="14"/>
          <w:color w:val="auto"/>
        </w:rPr>
        <w:t>The dollar amounts reported in column (b) are the amounts of total compensation reported for Rafael Santana (our Principal Executive Officer ”PEO“) for each corresponding year in the “Total” column of the Summary Compensation Table. Refer to “Executive Compensation— Executive Compensation Tables—Summary Compensation Table.”</w:t>
      </w:r>
    </w:p>
    <w:p>
      <w:pPr>
        <w:spacing w:after="0" w:line="50" w:lineRule="exact"/>
        <w:rPr>
          <w:sz w:val="20"/>
          <w:szCs w:val="20"/>
          <w:color w:val="auto"/>
        </w:rPr>
      </w:pPr>
    </w:p>
    <w:p>
      <w:pPr>
        <w:ind w:left="180" w:right="159" w:hanging="175"/>
        <w:spacing w:after="0" w:line="222" w:lineRule="auto"/>
        <w:tabs>
          <w:tab w:leader="none" w:pos="180" w:val="left"/>
        </w:tabs>
        <w:numPr>
          <w:ilvl w:val="0"/>
          <w:numId w:val="72"/>
        </w:numPr>
        <w:rPr>
          <w:rFonts w:ascii="Arial" w:cs="Arial" w:eastAsia="Arial" w:hAnsi="Arial"/>
          <w:sz w:val="21"/>
          <w:szCs w:val="21"/>
          <w:color w:val="auto"/>
          <w:vertAlign w:val="superscript"/>
        </w:rPr>
      </w:pPr>
      <w:r>
        <w:rPr>
          <w:rFonts w:ascii="Arial" w:cs="Arial" w:eastAsia="Arial" w:hAnsi="Arial"/>
          <w:sz w:val="14"/>
          <w:szCs w:val="14"/>
          <w:color w:val="auto"/>
        </w:rPr>
        <w:t>The dollar amounts reported in column (c) represent the amount of “compensation actually paid” to Mr. Santana, as computed in accordance with Item 402(v) of Regulation S-K. The dollar amounts do not reflect the actual amount of compensation earned by or paid to Mr. Santana during the applicable year. In accordance with the requirements of Item 402(v) of Regulation S-K, the following adjustments were made to Mr. Santana’s total compensation for each year to determine the compensation actually paid:</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860" w:type="dxa"/>
            <w:vAlign w:val="bottom"/>
          </w:tcPr>
          <w:p>
            <w:pPr>
              <w:ind w:left="180"/>
              <w:spacing w:after="0"/>
              <w:rPr>
                <w:sz w:val="20"/>
                <w:szCs w:val="20"/>
                <w:color w:val="auto"/>
              </w:rPr>
            </w:pPr>
            <w:r>
              <w:rPr>
                <w:rFonts w:ascii="Arial" w:cs="Arial" w:eastAsia="Arial" w:hAnsi="Arial"/>
                <w:sz w:val="14"/>
                <w:szCs w:val="14"/>
                <w:b w:val="1"/>
                <w:bCs w:val="1"/>
                <w:color w:val="auto"/>
              </w:rPr>
              <w:t>Reported Summary</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Reported Value of </w:t>
            </w:r>
            <w:r>
              <w:rPr>
                <w:rFonts w:ascii="Times New Roman" w:cs="Times New Roman" w:eastAsia="Times New Roman" w:hAnsi="Times New Roman"/>
                <w:sz w:val="3"/>
                <w:szCs w:val="3"/>
                <w:color w:val="auto"/>
              </w:rPr>
              <w:t>​           ​</w:t>
            </w:r>
          </w:p>
        </w:tc>
        <w:tc>
          <w:tcPr>
            <w:tcW w:w="13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xml:space="preserve">Equity Award </w:t>
            </w:r>
            <w:r>
              <w:rPr>
                <w:rFonts w:ascii="Times New Roman" w:cs="Times New Roman" w:eastAsia="Times New Roman" w:hAnsi="Times New Roman"/>
                <w:sz w:val="3"/>
                <w:szCs w:val="3"/>
                <w:color w:val="auto"/>
              </w:rPr>
              <w:t>​           ​</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43"/>
        </w:trPr>
        <w:tc>
          <w:tcPr>
            <w:tcW w:w="2900" w:type="dxa"/>
            <w:vAlign w:val="bottom"/>
          </w:tcPr>
          <w:p>
            <w:pPr>
              <w:ind w:left="258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860" w:type="dxa"/>
            <w:vAlign w:val="bottom"/>
          </w:tcPr>
          <w:p>
            <w:pPr>
              <w:ind w:left="100"/>
              <w:spacing w:after="0" w:line="143" w:lineRule="exact"/>
              <w:rPr>
                <w:sz w:val="20"/>
                <w:szCs w:val="20"/>
                <w:color w:val="auto"/>
              </w:rPr>
            </w:pPr>
            <w:r>
              <w:rPr>
                <w:rFonts w:ascii="Arial" w:cs="Arial" w:eastAsia="Arial" w:hAnsi="Arial"/>
                <w:sz w:val="14"/>
                <w:szCs w:val="14"/>
                <w:b w:val="1"/>
                <w:bCs w:val="1"/>
                <w:color w:val="auto"/>
              </w:rPr>
              <w:t xml:space="preserve">Compensation Table </w:t>
            </w:r>
            <w:r>
              <w:rPr>
                <w:rFonts w:ascii="Times New Roman" w:cs="Times New Roman" w:eastAsia="Times New Roman" w:hAnsi="Times New Roman"/>
                <w:sz w:val="3"/>
                <w:szCs w:val="3"/>
                <w:color w:val="auto"/>
              </w:rPr>
              <w:t>​           ​</w:t>
            </w:r>
          </w:p>
        </w:tc>
        <w:tc>
          <w:tcPr>
            <w:tcW w:w="170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14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Actually Paid</w:t>
            </w:r>
          </w:p>
        </w:tc>
        <w:tc>
          <w:tcPr>
            <w:tcW w:w="0" w:type="dxa"/>
            <w:vAlign w:val="bottom"/>
          </w:tcPr>
          <w:p>
            <w:pPr>
              <w:spacing w:after="0"/>
              <w:rPr>
                <w:sz w:val="1"/>
                <w:szCs w:val="1"/>
                <w:color w:val="auto"/>
              </w:rPr>
            </w:pPr>
          </w:p>
        </w:tc>
      </w:tr>
      <w:tr>
        <w:trPr>
          <w:trHeight w:val="325"/>
        </w:trPr>
        <w:tc>
          <w:tcPr>
            <w:tcW w:w="290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1860" w:type="dxa"/>
            <w:vAlign w:val="bottom"/>
          </w:tcPr>
          <w:p>
            <w:pPr>
              <w:ind w:left="640"/>
              <w:spacing w:after="0"/>
              <w:rPr>
                <w:sz w:val="20"/>
                <w:szCs w:val="20"/>
                <w:color w:val="auto"/>
              </w:rPr>
            </w:pPr>
            <w:r>
              <w:rPr>
                <w:rFonts w:ascii="Arial" w:cs="Arial" w:eastAsia="Arial" w:hAnsi="Arial"/>
                <w:sz w:val="14"/>
                <w:szCs w:val="14"/>
                <w:b w:val="1"/>
                <w:bCs w:val="1"/>
                <w:color w:val="auto"/>
              </w:rPr>
              <w:t>Total for PEO</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8"/>
              </w:rPr>
              <w:t>Equity Awards</w:t>
            </w:r>
            <w:r>
              <w:rPr>
                <w:rFonts w:ascii="Arial" w:cs="Arial" w:eastAsia="Arial" w:hAnsi="Arial"/>
                <w:sz w:val="23"/>
                <w:szCs w:val="23"/>
                <w:b w:val="1"/>
                <w:bCs w:val="1"/>
                <w:color w:val="auto"/>
                <w:w w:val="98"/>
                <w:vertAlign w:val="superscript"/>
              </w:rPr>
              <w:t>a</w:t>
            </w:r>
          </w:p>
        </w:tc>
        <w:tc>
          <w:tcPr>
            <w:tcW w:w="1360" w:type="dxa"/>
            <w:vAlign w:val="bottom"/>
          </w:tcPr>
          <w:p>
            <w:pPr>
              <w:ind w:left="180"/>
              <w:spacing w:after="0"/>
              <w:rPr>
                <w:sz w:val="20"/>
                <w:szCs w:val="20"/>
                <w:color w:val="auto"/>
              </w:rPr>
            </w:pPr>
            <w:r>
              <w:rPr>
                <w:rFonts w:ascii="Arial" w:cs="Arial" w:eastAsia="Arial" w:hAnsi="Arial"/>
                <w:sz w:val="14"/>
                <w:szCs w:val="14"/>
                <w:b w:val="1"/>
                <w:bCs w:val="1"/>
                <w:color w:val="auto"/>
              </w:rPr>
              <w:t>Adjustment</w:t>
            </w:r>
            <w:r>
              <w:rPr>
                <w:rFonts w:ascii="Arial" w:cs="Arial" w:eastAsia="Arial" w:hAnsi="Arial"/>
                <w:sz w:val="23"/>
                <w:szCs w:val="23"/>
                <w:b w:val="1"/>
                <w:bCs w:val="1"/>
                <w:color w:val="auto"/>
                <w:vertAlign w:val="superscript"/>
              </w:rPr>
              <w:t>b</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to PEO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-18415</wp:posOffset>
            </wp:positionV>
            <wp:extent cx="571373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p>
      <w:pPr>
        <w:spacing w:after="0" w:line="81" w:lineRule="exact"/>
        <w:rPr>
          <w:sz w:val="20"/>
          <w:szCs w:val="20"/>
          <w:color w:val="auto"/>
        </w:rPr>
      </w:pPr>
    </w:p>
    <w:p>
      <w:pPr>
        <w:ind w:left="40"/>
        <w:spacing w:after="0"/>
        <w:rPr>
          <w:sz w:val="20"/>
          <w:szCs w:val="20"/>
          <w:color w:val="auto"/>
        </w:rPr>
      </w:pPr>
      <w:r>
        <w:rPr>
          <w:rFonts w:ascii="Arial" w:cs="Arial" w:eastAsia="Arial" w:hAnsi="Arial"/>
          <w:sz w:val="14"/>
          <w:szCs w:val="14"/>
          <w:color w:val="auto"/>
        </w:rPr>
        <w:t>2023</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2022</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2021</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2020</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20" w:type="dxa"/>
            <w:vAlign w:val="bottom"/>
          </w:tcPr>
          <w:p>
            <w:pPr>
              <w:jc w:val="right"/>
              <w:ind w:right="29"/>
              <w:spacing w:after="0"/>
              <w:rPr>
                <w:sz w:val="20"/>
                <w:szCs w:val="20"/>
                <w:color w:val="auto"/>
              </w:rPr>
            </w:pPr>
            <w:r>
              <w:rPr>
                <w:rFonts w:ascii="Arial" w:cs="Arial" w:eastAsia="Arial" w:hAnsi="Arial"/>
                <w:sz w:val="14"/>
                <w:szCs w:val="14"/>
                <w:color w:val="auto"/>
              </w:rPr>
              <w:t>$15,493,240</w:t>
            </w:r>
            <w:r>
              <w:rPr>
                <w:rFonts w:ascii="Times New Roman" w:cs="Times New Roman" w:eastAsia="Times New Roman" w:hAnsi="Times New Roman"/>
                <w:sz w:val="3"/>
                <w:szCs w:val="3"/>
                <w:color w:val="auto"/>
              </w:rPr>
              <w:t>​</w:t>
            </w:r>
          </w:p>
        </w:tc>
        <w:tc>
          <w:tcPr>
            <w:tcW w:w="40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tcPr>
          <w:p>
            <w:pPr>
              <w:jc w:val="right"/>
              <w:ind w:right="29"/>
              <w:spacing w:after="0"/>
              <w:rPr>
                <w:sz w:val="20"/>
                <w:szCs w:val="20"/>
                <w:color w:val="auto"/>
              </w:rPr>
            </w:pPr>
            <w:r>
              <w:rPr>
                <w:rFonts w:ascii="Arial" w:cs="Arial" w:eastAsia="Arial" w:hAnsi="Arial"/>
                <w:sz w:val="14"/>
                <w:szCs w:val="14"/>
                <w:color w:val="auto"/>
              </w:rPr>
              <w:t>$(10,655,185)</w:t>
            </w:r>
            <w:r>
              <w:rPr>
                <w:rFonts w:ascii="Times New Roman" w:cs="Times New Roman" w:eastAsia="Times New Roman" w:hAnsi="Times New Roman"/>
                <w:sz w:val="3"/>
                <w:szCs w:val="3"/>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$21,826,440</w:t>
            </w:r>
            <w:r>
              <w:rPr>
                <w:rFonts w:ascii="Times New Roman" w:cs="Times New Roman" w:eastAsia="Times New Roman" w:hAnsi="Times New Roman"/>
                <w:sz w:val="3"/>
                <w:szCs w:val="3"/>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$​26,664,494</w:t>
            </w:r>
          </w:p>
        </w:tc>
      </w:tr>
      <w:tr>
        <w:trPr>
          <w:trHeight w:val="308"/>
        </w:trPr>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20" w:type="dxa"/>
            <w:vAlign w:val="bottom"/>
          </w:tcPr>
          <w:p>
            <w:pPr>
              <w:jc w:val="right"/>
              <w:ind w:right="29"/>
              <w:spacing w:after="0"/>
              <w:rPr>
                <w:sz w:val="20"/>
                <w:szCs w:val="20"/>
                <w:color w:val="auto"/>
              </w:rPr>
            </w:pPr>
            <w:r>
              <w:rPr>
                <w:rFonts w:ascii="Arial" w:cs="Arial" w:eastAsia="Arial" w:hAnsi="Arial"/>
                <w:sz w:val="14"/>
                <w:szCs w:val="14"/>
                <w:color w:val="auto"/>
              </w:rPr>
              <w:t>$11,685,472</w:t>
            </w:r>
            <w:r>
              <w:rPr>
                <w:rFonts w:ascii="Times New Roman" w:cs="Times New Roman" w:eastAsia="Times New Roman" w:hAnsi="Times New Roman"/>
                <w:sz w:val="3"/>
                <w:szCs w:val="3"/>
                <w:color w:val="auto"/>
              </w:rPr>
              <w:t>​</w:t>
            </w:r>
          </w:p>
        </w:tc>
        <w:tc>
          <w:tcPr>
            <w:tcW w:w="40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tcPr>
          <w:p>
            <w:pPr>
              <w:jc w:val="right"/>
              <w:ind w:right="29"/>
              <w:spacing w:after="0"/>
              <w:rPr>
                <w:sz w:val="20"/>
                <w:szCs w:val="20"/>
                <w:color w:val="auto"/>
              </w:rPr>
            </w:pPr>
            <w:r>
              <w:rPr>
                <w:rFonts w:ascii="Arial" w:cs="Arial" w:eastAsia="Arial" w:hAnsi="Arial"/>
                <w:sz w:val="14"/>
                <w:szCs w:val="14"/>
                <w:color w:val="auto"/>
              </w:rPr>
              <w:t>$ (8,200,042)</w:t>
            </w:r>
            <w:r>
              <w:rPr>
                <w:rFonts w:ascii="Times New Roman" w:cs="Times New Roman" w:eastAsia="Times New Roman" w:hAnsi="Times New Roman"/>
                <w:sz w:val="3"/>
                <w:szCs w:val="3"/>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$11,476,615</w:t>
            </w:r>
            <w:r>
              <w:rPr>
                <w:rFonts w:ascii="Times New Roman" w:cs="Times New Roman" w:eastAsia="Times New Roman" w:hAnsi="Times New Roman"/>
                <w:sz w:val="3"/>
                <w:szCs w:val="3"/>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$14,962,045</w:t>
            </w:r>
          </w:p>
        </w:tc>
      </w:tr>
      <w:tr>
        <w:trPr>
          <w:trHeight w:val="308"/>
        </w:trPr>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20" w:type="dxa"/>
            <w:vAlign w:val="bottom"/>
          </w:tcPr>
          <w:p>
            <w:pPr>
              <w:jc w:val="right"/>
              <w:ind w:right="29"/>
              <w:spacing w:after="0"/>
              <w:rPr>
                <w:sz w:val="20"/>
                <w:szCs w:val="20"/>
                <w:color w:val="auto"/>
              </w:rPr>
            </w:pPr>
            <w:r>
              <w:rPr>
                <w:rFonts w:ascii="Arial" w:cs="Arial" w:eastAsia="Arial" w:hAnsi="Arial"/>
                <w:sz w:val="14"/>
                <w:szCs w:val="14"/>
                <w:color w:val="auto"/>
              </w:rPr>
              <w:t>$11,027,238</w:t>
            </w:r>
            <w:r>
              <w:rPr>
                <w:rFonts w:ascii="Times New Roman" w:cs="Times New Roman" w:eastAsia="Times New Roman" w:hAnsi="Times New Roman"/>
                <w:sz w:val="3"/>
                <w:szCs w:val="3"/>
                <w:color w:val="auto"/>
              </w:rPr>
              <w:t>​</w:t>
            </w:r>
          </w:p>
        </w:tc>
        <w:tc>
          <w:tcPr>
            <w:tcW w:w="40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tcPr>
          <w:p>
            <w:pPr>
              <w:jc w:val="right"/>
              <w:ind w:right="29"/>
              <w:spacing w:after="0"/>
              <w:rPr>
                <w:sz w:val="20"/>
                <w:szCs w:val="20"/>
                <w:color w:val="auto"/>
              </w:rPr>
            </w:pPr>
            <w:r>
              <w:rPr>
                <w:rFonts w:ascii="Arial" w:cs="Arial" w:eastAsia="Arial" w:hAnsi="Arial"/>
                <w:sz w:val="14"/>
                <w:szCs w:val="14"/>
                <w:color w:val="auto"/>
              </w:rPr>
              <w:t>$ (7,201,548)</w:t>
            </w:r>
            <w:r>
              <w:rPr>
                <w:rFonts w:ascii="Times New Roman" w:cs="Times New Roman" w:eastAsia="Times New Roman" w:hAnsi="Times New Roman"/>
                <w:sz w:val="3"/>
                <w:szCs w:val="3"/>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$​12,136,195</w:t>
            </w:r>
            <w:r>
              <w:rPr>
                <w:rFonts w:ascii="Times New Roman" w:cs="Times New Roman" w:eastAsia="Times New Roman" w:hAnsi="Times New Roman"/>
                <w:sz w:val="3"/>
                <w:szCs w:val="3"/>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$15,961,883</w:t>
            </w:r>
          </w:p>
        </w:tc>
      </w:tr>
      <w:tr>
        <w:trPr>
          <w:trHeight w:val="308"/>
        </w:trPr>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20" w:type="dxa"/>
            <w:vAlign w:val="bottom"/>
          </w:tcPr>
          <w:p>
            <w:pPr>
              <w:jc w:val="right"/>
              <w:ind w:right="29"/>
              <w:spacing w:after="0"/>
              <w:rPr>
                <w:sz w:val="20"/>
                <w:szCs w:val="20"/>
                <w:color w:val="auto"/>
              </w:rPr>
            </w:pPr>
            <w:r>
              <w:rPr>
                <w:rFonts w:ascii="Arial" w:cs="Arial" w:eastAsia="Arial" w:hAnsi="Arial"/>
                <w:sz w:val="14"/>
                <w:szCs w:val="14"/>
                <w:color w:val="auto"/>
              </w:rPr>
              <w:t>$11,044,419</w:t>
            </w:r>
            <w:r>
              <w:rPr>
                <w:rFonts w:ascii="Times New Roman" w:cs="Times New Roman" w:eastAsia="Times New Roman" w:hAnsi="Times New Roman"/>
                <w:sz w:val="3"/>
                <w:szCs w:val="3"/>
                <w:color w:val="auto"/>
              </w:rPr>
              <w:t>​</w:t>
            </w:r>
          </w:p>
        </w:tc>
        <w:tc>
          <w:tcPr>
            <w:tcW w:w="40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tcPr>
          <w:p>
            <w:pPr>
              <w:jc w:val="right"/>
              <w:ind w:right="29"/>
              <w:spacing w:after="0"/>
              <w:rPr>
                <w:sz w:val="20"/>
                <w:szCs w:val="20"/>
                <w:color w:val="auto"/>
              </w:rPr>
            </w:pPr>
            <w:r>
              <w:rPr>
                <w:rFonts w:ascii="Arial" w:cs="Arial" w:eastAsia="Arial" w:hAnsi="Arial"/>
                <w:sz w:val="14"/>
                <w:szCs w:val="14"/>
                <w:color w:val="auto"/>
              </w:rPr>
              <w:t>$ (5,832,485)</w:t>
            </w:r>
            <w:r>
              <w:rPr>
                <w:rFonts w:ascii="Times New Roman" w:cs="Times New Roman" w:eastAsia="Times New Roman" w:hAnsi="Times New Roman"/>
                <w:sz w:val="3"/>
                <w:szCs w:val="3"/>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 ​3,871,198</w:t>
            </w:r>
            <w:r>
              <w:rPr>
                <w:rFonts w:ascii="Times New Roman" w:cs="Times New Roman" w:eastAsia="Times New Roman" w:hAnsi="Times New Roman"/>
                <w:sz w:val="3"/>
                <w:szCs w:val="3"/>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$ 9,083,133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-1655445</wp:posOffset>
            </wp:positionH>
            <wp:positionV relativeFrom="paragraph">
              <wp:posOffset>30480</wp:posOffset>
            </wp:positionV>
            <wp:extent cx="571373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713730" cy="8255"/>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-164465</wp:posOffset>
            </wp:positionV>
            <wp:extent cx="571373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713730" cy="8255"/>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-360045</wp:posOffset>
            </wp:positionV>
            <wp:extent cx="571373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713730" cy="8255"/>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-555625</wp:posOffset>
            </wp:positionV>
            <wp:extent cx="571373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00" w:space="720"/>
            <w:col w:w="6399"/>
          </w:cols>
          <w:pgMar w:left="1440" w:top="116" w:right="1440" w:bottom="1440" w:gutter="0" w:footer="0" w:header="0"/>
          <w:type w:val="continuous"/>
        </w:sectPr>
      </w:pPr>
    </w:p>
    <w:p>
      <w:pPr>
        <w:spacing w:after="0" w:line="13" w:lineRule="exact"/>
        <w:rPr>
          <w:sz w:val="20"/>
          <w:szCs w:val="20"/>
          <w:color w:val="auto"/>
        </w:rPr>
      </w:pPr>
    </w:p>
    <w:p>
      <w:pPr>
        <w:ind w:left="360" w:right="479" w:hanging="176"/>
        <w:spacing w:after="0" w:line="187" w:lineRule="auto"/>
        <w:tabs>
          <w:tab w:leader="none" w:pos="360" w:val="left"/>
        </w:tabs>
        <w:numPr>
          <w:ilvl w:val="0"/>
          <w:numId w:val="73"/>
        </w:numPr>
        <w:rPr>
          <w:rFonts w:ascii="Arial" w:cs="Arial" w:eastAsia="Arial" w:hAnsi="Arial"/>
          <w:sz w:val="21"/>
          <w:szCs w:val="21"/>
          <w:color w:val="auto"/>
          <w:vertAlign w:val="superscript"/>
        </w:rPr>
      </w:pPr>
      <w:r>
        <w:rPr>
          <w:rFonts w:ascii="Arial" w:cs="Arial" w:eastAsia="Arial" w:hAnsi="Arial"/>
          <w:sz w:val="14"/>
          <w:szCs w:val="14"/>
          <w:color w:val="auto"/>
        </w:rPr>
        <w:t>The grant date fair value of equity awards represents the total of the amounts reported in the “Stock Awards” and “Option Awards” columns in the Summary Compensation Table for the applicable year.</w:t>
      </w:r>
    </w:p>
    <w:p>
      <w:pPr>
        <w:spacing w:after="0" w:line="61" w:lineRule="exact"/>
        <w:rPr>
          <w:sz w:val="20"/>
          <w:szCs w:val="20"/>
          <w:color w:val="auto"/>
        </w:rPr>
      </w:pPr>
    </w:p>
    <w:p>
      <w:pPr>
        <w:ind w:left="360" w:right="39" w:hanging="176"/>
        <w:spacing w:after="0" w:line="232" w:lineRule="auto"/>
        <w:tabs>
          <w:tab w:leader="none" w:pos="360" w:val="left"/>
        </w:tabs>
        <w:numPr>
          <w:ilvl w:val="0"/>
          <w:numId w:val="74"/>
        </w:numPr>
        <w:rPr>
          <w:rFonts w:ascii="Arial" w:cs="Arial" w:eastAsia="Arial" w:hAnsi="Arial"/>
          <w:sz w:val="21"/>
          <w:szCs w:val="21"/>
          <w:color w:val="auto"/>
          <w:vertAlign w:val="superscript"/>
        </w:rPr>
      </w:pPr>
      <w:r>
        <w:rPr>
          <w:rFonts w:ascii="Arial" w:cs="Arial" w:eastAsia="Arial" w:hAnsi="Arial"/>
          <w:sz w:val="14"/>
          <w:szCs w:val="14"/>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760" w:type="dxa"/>
            <w:vAlign w:val="bottom"/>
          </w:tcPr>
          <w:p>
            <w:pPr>
              <w:jc w:val="right"/>
              <w:ind w:right="529"/>
              <w:spacing w:after="0"/>
              <w:rPr>
                <w:sz w:val="20"/>
                <w:szCs w:val="20"/>
                <w:color w:val="auto"/>
              </w:rPr>
            </w:pPr>
            <w:r>
              <w:rPr>
                <w:rFonts w:ascii="Arial" w:cs="Arial" w:eastAsia="Arial" w:hAnsi="Arial"/>
                <w:sz w:val="14"/>
                <w:szCs w:val="14"/>
                <w:b w:val="1"/>
                <w:bCs w:val="1"/>
                <w:color w:val="auto"/>
                <w:w w:val="89"/>
              </w:rPr>
              <w:t>70</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170180</wp:posOffset>
            </wp:positionV>
            <wp:extent cx="693801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type w:val="continuous"/>
        </w:sectPr>
      </w:pPr>
    </w:p>
    <w:bookmarkStart w:id="73" w:name="page74"/>
    <w:bookmarkEnd w:id="73"/>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tbl>
      <w:tblPr>
        <w:tblLayout w:type="fixed"/>
        <w:tblInd w:w="980" w:type="dxa"/>
        <w:tblCellMar>
          <w:top w:w="0" w:type="dxa"/>
          <w:left w:w="0" w:type="dxa"/>
          <w:bottom w:w="0" w:type="dxa"/>
          <w:right w:w="0" w:type="dxa"/>
        </w:tblCellMar>
      </w:tblPr>
      <w:tr>
        <w:trPr>
          <w:trHeight w:val="165"/>
        </w:trPr>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3"/>
          </w:tcPr>
          <w:p>
            <w:pPr>
              <w:jc w:val="right"/>
              <w:spacing w:after="0"/>
              <w:rPr>
                <w:sz w:val="20"/>
                <w:szCs w:val="20"/>
                <w:color w:val="auto"/>
              </w:rPr>
            </w:pPr>
            <w:r>
              <w:rPr>
                <w:rFonts w:ascii="Arial" w:cs="Arial" w:eastAsia="Arial" w:hAnsi="Arial"/>
                <w:sz w:val="12"/>
                <w:szCs w:val="12"/>
                <w:color w:val="auto"/>
              </w:rPr>
              <w:t>Pay Versus Performance</w:t>
            </w:r>
          </w:p>
        </w:tc>
      </w:tr>
      <w:tr>
        <w:trPr>
          <w:trHeight w:val="352"/>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b w:val="1"/>
                <w:bCs w:val="1"/>
                <w:color w:val="auto"/>
              </w:rPr>
              <w:t>Value of</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1"/>
        </w:trPr>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3"/>
                <w:szCs w:val="13"/>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b w:val="1"/>
                <w:bCs w:val="1"/>
                <w:color w:val="auto"/>
              </w:rPr>
              <w:t>Dividends</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1"/>
        </w:trPr>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b w:val="1"/>
                <w:bCs w:val="1"/>
                <w:color w:val="auto"/>
              </w:rPr>
              <w:t>at the End</w:t>
            </w:r>
          </w:p>
        </w:tc>
        <w:tc>
          <w:tcPr>
            <w:tcW w:w="140" w:type="dxa"/>
            <w:vAlign w:val="bottom"/>
          </w:tcPr>
          <w:p>
            <w:pPr>
              <w:spacing w:after="0"/>
              <w:rPr>
                <w:sz w:val="13"/>
                <w:szCs w:val="13"/>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b w:val="1"/>
                <w:bCs w:val="1"/>
                <w:color w:val="auto"/>
              </w:rPr>
              <w:t>or other</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1"/>
        </w:trPr>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b w:val="1"/>
                <w:bCs w:val="1"/>
                <w:color w:val="auto"/>
              </w:rPr>
              <w:t>of the Prior</w:t>
            </w:r>
          </w:p>
        </w:tc>
        <w:tc>
          <w:tcPr>
            <w:tcW w:w="140" w:type="dxa"/>
            <w:vAlign w:val="bottom"/>
          </w:tcPr>
          <w:p>
            <w:pPr>
              <w:spacing w:after="0"/>
              <w:rPr>
                <w:sz w:val="13"/>
                <w:szCs w:val="13"/>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b w:val="1"/>
                <w:bCs w:val="1"/>
                <w:color w:val="auto"/>
              </w:rPr>
              <w:t>Earnings Paid</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1"/>
        </w:trPr>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b w:val="1"/>
                <w:bCs w:val="1"/>
                <w:color w:val="auto"/>
              </w:rPr>
              <w:t>Year over Year</w:t>
            </w:r>
          </w:p>
        </w:tc>
        <w:tc>
          <w:tcPr>
            <w:tcW w:w="140" w:type="dxa"/>
            <w:vAlign w:val="bottom"/>
          </w:tcPr>
          <w:p>
            <w:pPr>
              <w:spacing w:after="0"/>
              <w:rPr>
                <w:sz w:val="13"/>
                <w:szCs w:val="13"/>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b w:val="1"/>
                <w:bCs w:val="1"/>
                <w:color w:val="auto"/>
              </w:rPr>
              <w:t>Year of</w:t>
            </w:r>
          </w:p>
        </w:tc>
        <w:tc>
          <w:tcPr>
            <w:tcW w:w="140" w:type="dxa"/>
            <w:vAlign w:val="bottom"/>
          </w:tcPr>
          <w:p>
            <w:pPr>
              <w:spacing w:after="0"/>
              <w:rPr>
                <w:sz w:val="13"/>
                <w:szCs w:val="13"/>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b w:val="1"/>
                <w:bCs w:val="1"/>
                <w:color w:val="auto"/>
              </w:rPr>
              <w:t>on Stock or</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0"/>
        </w:trPr>
        <w:tc>
          <w:tcPr>
            <w:tcW w:w="380" w:type="dxa"/>
            <w:vAlign w:val="bottom"/>
          </w:tcPr>
          <w:p>
            <w:pPr>
              <w:spacing w:after="0"/>
              <w:rPr>
                <w:sz w:val="14"/>
                <w:szCs w:val="14"/>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 xml:space="preserve">Fair Value </w:t>
            </w:r>
            <w:r>
              <w:rPr>
                <w:rFonts w:ascii="Times New Roman" w:cs="Times New Roman" w:eastAsia="Times New Roman" w:hAnsi="Times New Roman"/>
                <w:sz w:val="7"/>
                <w:szCs w:val="7"/>
                <w:color w:val="auto"/>
                <w:vertAlign w:val="subscript"/>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tcPr>
          <w:p>
            <w:pPr>
              <w:jc w:val="right"/>
              <w:ind w:right="9"/>
              <w:spacing w:after="0"/>
              <w:rPr>
                <w:sz w:val="20"/>
                <w:szCs w:val="20"/>
                <w:color w:val="auto"/>
              </w:rPr>
            </w:pPr>
            <w:r>
              <w:rPr>
                <w:rFonts w:ascii="Arial" w:cs="Arial" w:eastAsia="Arial" w:hAnsi="Arial"/>
                <w:sz w:val="14"/>
                <w:szCs w:val="14"/>
                <w:b w:val="1"/>
                <w:bCs w:val="1"/>
                <w:color w:val="auto"/>
              </w:rPr>
              <w:t xml:space="preserve">Change in </w:t>
            </w:r>
            <w:r>
              <w:rPr>
                <w:rFonts w:ascii="Times New Roman" w:cs="Times New Roman" w:eastAsia="Times New Roman" w:hAnsi="Times New Roman"/>
                <w:sz w:val="7"/>
                <w:szCs w:val="7"/>
                <w:color w:val="auto"/>
                <w:vertAlign w:val="subscript"/>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 xml:space="preserve">Equity </w:t>
            </w:r>
            <w:r>
              <w:rPr>
                <w:rFonts w:ascii="Times New Roman" w:cs="Times New Roman" w:eastAsia="Times New Roman" w:hAnsi="Times New Roman"/>
                <w:sz w:val="7"/>
                <w:szCs w:val="7"/>
                <w:color w:val="auto"/>
                <w:vertAlign w:val="subscript"/>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 xml:space="preserve">Option </w:t>
            </w:r>
            <w:r>
              <w:rPr>
                <w:rFonts w:ascii="Times New Roman" w:cs="Times New Roman" w:eastAsia="Times New Roman" w:hAnsi="Times New Roman"/>
                <w:sz w:val="7"/>
                <w:szCs w:val="7"/>
                <w:color w:val="auto"/>
                <w:vertAlign w:val="subscript"/>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spacing w:after="0"/>
              <w:rPr>
                <w:sz w:val="14"/>
                <w:szCs w:val="14"/>
                <w:color w:val="auto"/>
              </w:rPr>
            </w:pPr>
          </w:p>
        </w:tc>
      </w:tr>
      <w:tr>
        <w:trPr>
          <w:trHeight w:val="151"/>
        </w:trPr>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54"/>
              <w:spacing w:after="0" w:line="151" w:lineRule="exact"/>
              <w:rPr>
                <w:sz w:val="20"/>
                <w:szCs w:val="20"/>
                <w:color w:val="auto"/>
              </w:rPr>
            </w:pPr>
            <w:r>
              <w:rPr>
                <w:rFonts w:ascii="Arial" w:cs="Arial" w:eastAsia="Arial" w:hAnsi="Arial"/>
                <w:sz w:val="14"/>
                <w:szCs w:val="14"/>
                <w:b w:val="1"/>
                <w:bCs w:val="1"/>
                <w:color w:val="auto"/>
              </w:rPr>
              <w:t>Year over Year</w:t>
            </w:r>
          </w:p>
        </w:tc>
        <w:tc>
          <w:tcPr>
            <w:tcW w:w="140" w:type="dxa"/>
            <w:vAlign w:val="bottom"/>
          </w:tcPr>
          <w:p>
            <w:pPr>
              <w:spacing w:after="0"/>
              <w:rPr>
                <w:sz w:val="13"/>
                <w:szCs w:val="13"/>
                <w:color w:val="auto"/>
              </w:rPr>
            </w:pPr>
          </w:p>
        </w:tc>
        <w:tc>
          <w:tcPr>
            <w:tcW w:w="1160" w:type="dxa"/>
            <w:vAlign w:val="bottom"/>
          </w:tcPr>
          <w:p>
            <w:pPr>
              <w:jc w:val="right"/>
              <w:ind w:right="49"/>
              <w:spacing w:after="0" w:line="151" w:lineRule="exact"/>
              <w:rPr>
                <w:sz w:val="20"/>
                <w:szCs w:val="20"/>
                <w:color w:val="auto"/>
              </w:rPr>
            </w:pPr>
            <w:r>
              <w:rPr>
                <w:rFonts w:ascii="Arial" w:cs="Arial" w:eastAsia="Arial" w:hAnsi="Arial"/>
                <w:sz w:val="14"/>
                <w:szCs w:val="14"/>
                <w:b w:val="1"/>
                <w:bCs w:val="1"/>
                <w:color w:val="auto"/>
              </w:rPr>
              <w:t>as of Vesting</w:t>
            </w:r>
          </w:p>
        </w:tc>
        <w:tc>
          <w:tcPr>
            <w:tcW w:w="120" w:type="dxa"/>
            <w:vAlign w:val="bottom"/>
          </w:tcPr>
          <w:p>
            <w:pPr>
              <w:spacing w:after="0"/>
              <w:rPr>
                <w:sz w:val="13"/>
                <w:szCs w:val="13"/>
                <w:color w:val="auto"/>
              </w:rPr>
            </w:pPr>
          </w:p>
        </w:tc>
        <w:tc>
          <w:tcPr>
            <w:tcW w:w="1180" w:type="dxa"/>
            <w:vAlign w:val="bottom"/>
          </w:tcPr>
          <w:p>
            <w:pPr>
              <w:jc w:val="right"/>
              <w:ind w:right="49"/>
              <w:spacing w:after="0" w:line="151" w:lineRule="exact"/>
              <w:rPr>
                <w:sz w:val="20"/>
                <w:szCs w:val="20"/>
                <w:color w:val="auto"/>
              </w:rPr>
            </w:pPr>
            <w:r>
              <w:rPr>
                <w:rFonts w:ascii="Arial" w:cs="Arial" w:eastAsia="Arial" w:hAnsi="Arial"/>
                <w:sz w:val="14"/>
                <w:szCs w:val="14"/>
                <w:b w:val="1"/>
                <w:bCs w:val="1"/>
                <w:color w:val="auto"/>
              </w:rPr>
              <w:t>Fair Value of</w:t>
            </w:r>
          </w:p>
        </w:tc>
        <w:tc>
          <w:tcPr>
            <w:tcW w:w="140" w:type="dxa"/>
            <w:vAlign w:val="bottom"/>
          </w:tcPr>
          <w:p>
            <w:pPr>
              <w:spacing w:after="0"/>
              <w:rPr>
                <w:sz w:val="13"/>
                <w:szCs w:val="13"/>
                <w:color w:val="auto"/>
              </w:rPr>
            </w:pPr>
          </w:p>
        </w:tc>
        <w:tc>
          <w:tcPr>
            <w:tcW w:w="1080" w:type="dxa"/>
            <w:vAlign w:val="bottom"/>
          </w:tcPr>
          <w:p>
            <w:pPr>
              <w:jc w:val="right"/>
              <w:ind w:right="29"/>
              <w:spacing w:after="0" w:line="151" w:lineRule="exact"/>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3"/>
                <w:szCs w:val="13"/>
                <w:color w:val="auto"/>
              </w:rPr>
            </w:pPr>
          </w:p>
        </w:tc>
        <w:tc>
          <w:tcPr>
            <w:tcW w:w="1140" w:type="dxa"/>
            <w:vAlign w:val="bottom"/>
          </w:tcPr>
          <w:p>
            <w:pPr>
              <w:jc w:val="right"/>
              <w:ind w:right="49"/>
              <w:spacing w:after="0" w:line="151" w:lineRule="exact"/>
              <w:rPr>
                <w:sz w:val="20"/>
                <w:szCs w:val="20"/>
                <w:color w:val="auto"/>
              </w:rPr>
            </w:pPr>
            <w:r>
              <w:rPr>
                <w:rFonts w:ascii="Arial" w:cs="Arial" w:eastAsia="Arial" w:hAnsi="Arial"/>
                <w:sz w:val="14"/>
                <w:szCs w:val="14"/>
                <w:b w:val="1"/>
                <w:bCs w:val="1"/>
                <w:color w:val="auto"/>
              </w:rPr>
              <w:t>Awards not</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1"/>
        </w:trPr>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54"/>
              <w:spacing w:after="0"/>
              <w:rPr>
                <w:sz w:val="20"/>
                <w:szCs w:val="20"/>
                <w:color w:val="auto"/>
              </w:rPr>
            </w:pPr>
            <w:r>
              <w:rPr>
                <w:rFonts w:ascii="Arial" w:cs="Arial" w:eastAsia="Arial" w:hAnsi="Arial"/>
                <w:sz w:val="14"/>
                <w:szCs w:val="14"/>
                <w:b w:val="1"/>
                <w:bCs w:val="1"/>
                <w:color w:val="auto"/>
              </w:rPr>
              <w:t>Change in</w:t>
            </w:r>
          </w:p>
        </w:tc>
        <w:tc>
          <w:tcPr>
            <w:tcW w:w="140" w:type="dxa"/>
            <w:vAlign w:val="bottom"/>
          </w:tcPr>
          <w:p>
            <w:pPr>
              <w:spacing w:after="0"/>
              <w:rPr>
                <w:sz w:val="13"/>
                <w:szCs w:val="13"/>
                <w:color w:val="auto"/>
              </w:rPr>
            </w:pPr>
          </w:p>
        </w:tc>
        <w:tc>
          <w:tcPr>
            <w:tcW w:w="1160" w:type="dxa"/>
            <w:vAlign w:val="bottom"/>
          </w:tcPr>
          <w:p>
            <w:pPr>
              <w:jc w:val="right"/>
              <w:ind w:right="49"/>
              <w:spacing w:after="0"/>
              <w:rPr>
                <w:sz w:val="20"/>
                <w:szCs w:val="20"/>
                <w:color w:val="auto"/>
              </w:rPr>
            </w:pPr>
            <w:r>
              <w:rPr>
                <w:rFonts w:ascii="Arial" w:cs="Arial" w:eastAsia="Arial" w:hAnsi="Arial"/>
                <w:sz w:val="14"/>
                <w:szCs w:val="14"/>
                <w:b w:val="1"/>
                <w:bCs w:val="1"/>
                <w:color w:val="auto"/>
              </w:rPr>
              <w:t>Date of</w:t>
            </w:r>
          </w:p>
        </w:tc>
        <w:tc>
          <w:tcPr>
            <w:tcW w:w="120" w:type="dxa"/>
            <w:vAlign w:val="bottom"/>
          </w:tcPr>
          <w:p>
            <w:pPr>
              <w:spacing w:after="0"/>
              <w:rPr>
                <w:sz w:val="13"/>
                <w:szCs w:val="13"/>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b w:val="1"/>
                <w:bCs w:val="1"/>
                <w:color w:val="auto"/>
              </w:rPr>
              <w:t>Equity Awards</w:t>
            </w:r>
          </w:p>
        </w:tc>
        <w:tc>
          <w:tcPr>
            <w:tcW w:w="140" w:type="dxa"/>
            <w:vAlign w:val="bottom"/>
          </w:tcPr>
          <w:p>
            <w:pPr>
              <w:spacing w:after="0"/>
              <w:rPr>
                <w:sz w:val="13"/>
                <w:szCs w:val="13"/>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b w:val="1"/>
                <w:bCs w:val="1"/>
                <w:color w:val="auto"/>
              </w:rPr>
              <w:t>that Failed</w:t>
            </w:r>
          </w:p>
        </w:tc>
        <w:tc>
          <w:tcPr>
            <w:tcW w:w="140" w:type="dxa"/>
            <w:vAlign w:val="bottom"/>
          </w:tcPr>
          <w:p>
            <w:pPr>
              <w:spacing w:after="0"/>
              <w:rPr>
                <w:sz w:val="13"/>
                <w:szCs w:val="13"/>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b w:val="1"/>
                <w:bCs w:val="1"/>
                <w:color w:val="auto"/>
              </w:rPr>
              <w:t>Otherwise</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1"/>
        </w:trPr>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36"/>
              <w:spacing w:after="0"/>
              <w:rPr>
                <w:sz w:val="20"/>
                <w:szCs w:val="20"/>
                <w:color w:val="auto"/>
              </w:rPr>
            </w:pPr>
            <w:r>
              <w:rPr>
                <w:rFonts w:ascii="Arial" w:cs="Arial" w:eastAsia="Arial" w:hAnsi="Arial"/>
                <w:sz w:val="14"/>
                <w:szCs w:val="14"/>
                <w:b w:val="1"/>
                <w:bCs w:val="1"/>
                <w:color w:val="auto"/>
              </w:rPr>
              <w:t>Year End</w:t>
            </w:r>
          </w:p>
        </w:tc>
        <w:tc>
          <w:tcPr>
            <w:tcW w:w="140" w:type="dxa"/>
            <w:vAlign w:val="bottom"/>
          </w:tcPr>
          <w:p>
            <w:pPr>
              <w:spacing w:after="0"/>
              <w:rPr>
                <w:sz w:val="13"/>
                <w:szCs w:val="13"/>
                <w:color w:val="auto"/>
              </w:rPr>
            </w:pPr>
          </w:p>
        </w:tc>
        <w:tc>
          <w:tcPr>
            <w:tcW w:w="1160" w:type="dxa"/>
            <w:vAlign w:val="bottom"/>
          </w:tcPr>
          <w:p>
            <w:pPr>
              <w:jc w:val="right"/>
              <w:ind w:right="54"/>
              <w:spacing w:after="0"/>
              <w:rPr>
                <w:sz w:val="20"/>
                <w:szCs w:val="20"/>
                <w:color w:val="auto"/>
              </w:rPr>
            </w:pPr>
            <w:r>
              <w:rPr>
                <w:rFonts w:ascii="Arial" w:cs="Arial" w:eastAsia="Arial" w:hAnsi="Arial"/>
                <w:sz w:val="14"/>
                <w:szCs w:val="14"/>
                <w:b w:val="1"/>
                <w:bCs w:val="1"/>
                <w:color w:val="auto"/>
              </w:rPr>
              <w:t>Fair Value of</w:t>
            </w:r>
          </w:p>
        </w:tc>
        <w:tc>
          <w:tcPr>
            <w:tcW w:w="140" w:type="dxa"/>
            <w:vAlign w:val="bottom"/>
          </w:tcPr>
          <w:p>
            <w:pPr>
              <w:spacing w:after="0"/>
              <w:rPr>
                <w:sz w:val="13"/>
                <w:szCs w:val="13"/>
                <w:color w:val="auto"/>
              </w:rPr>
            </w:pPr>
          </w:p>
        </w:tc>
        <w:tc>
          <w:tcPr>
            <w:tcW w:w="1160" w:type="dxa"/>
            <w:vAlign w:val="bottom"/>
          </w:tcPr>
          <w:p>
            <w:pPr>
              <w:jc w:val="right"/>
              <w:ind w:right="49"/>
              <w:spacing w:after="0"/>
              <w:rPr>
                <w:sz w:val="20"/>
                <w:szCs w:val="20"/>
                <w:color w:val="auto"/>
              </w:rPr>
            </w:pPr>
            <w:r>
              <w:rPr>
                <w:rFonts w:ascii="Arial" w:cs="Arial" w:eastAsia="Arial" w:hAnsi="Arial"/>
                <w:sz w:val="14"/>
                <w:szCs w:val="14"/>
                <w:b w:val="1"/>
                <w:bCs w:val="1"/>
                <w:color w:val="auto"/>
              </w:rPr>
              <w:t>Equity Awards</w:t>
            </w:r>
          </w:p>
        </w:tc>
        <w:tc>
          <w:tcPr>
            <w:tcW w:w="120" w:type="dxa"/>
            <w:vAlign w:val="bottom"/>
          </w:tcPr>
          <w:p>
            <w:pPr>
              <w:spacing w:after="0"/>
              <w:rPr>
                <w:sz w:val="13"/>
                <w:szCs w:val="13"/>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b w:val="1"/>
                <w:bCs w:val="1"/>
                <w:color w:val="auto"/>
              </w:rPr>
              <w:t>Granted in</w:t>
            </w:r>
          </w:p>
        </w:tc>
        <w:tc>
          <w:tcPr>
            <w:tcW w:w="140" w:type="dxa"/>
            <w:vAlign w:val="bottom"/>
          </w:tcPr>
          <w:p>
            <w:pPr>
              <w:spacing w:after="0"/>
              <w:rPr>
                <w:sz w:val="13"/>
                <w:szCs w:val="13"/>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b w:val="1"/>
                <w:bCs w:val="1"/>
                <w:color w:val="auto"/>
              </w:rPr>
              <w:t>to Meet</w:t>
            </w:r>
          </w:p>
        </w:tc>
        <w:tc>
          <w:tcPr>
            <w:tcW w:w="140" w:type="dxa"/>
            <w:vAlign w:val="bottom"/>
          </w:tcPr>
          <w:p>
            <w:pPr>
              <w:spacing w:after="0"/>
              <w:rPr>
                <w:sz w:val="13"/>
                <w:szCs w:val="13"/>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b w:val="1"/>
                <w:bCs w:val="1"/>
                <w:color w:val="auto"/>
              </w:rPr>
              <w:t>Reflected in</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161"/>
        </w:trPr>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3"/>
                <w:szCs w:val="13"/>
                <w:color w:val="auto"/>
              </w:rPr>
            </w:pPr>
          </w:p>
        </w:tc>
        <w:tc>
          <w:tcPr>
            <w:tcW w:w="1160" w:type="dxa"/>
            <w:vAlign w:val="bottom"/>
          </w:tcPr>
          <w:p>
            <w:pPr>
              <w:jc w:val="right"/>
              <w:ind w:right="54"/>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3"/>
                <w:szCs w:val="13"/>
                <w:color w:val="auto"/>
              </w:rPr>
            </w:pPr>
          </w:p>
        </w:tc>
        <w:tc>
          <w:tcPr>
            <w:tcW w:w="1160" w:type="dxa"/>
            <w:vAlign w:val="bottom"/>
          </w:tcPr>
          <w:p>
            <w:pPr>
              <w:jc w:val="right"/>
              <w:ind w:right="49"/>
              <w:spacing w:after="0"/>
              <w:rPr>
                <w:sz w:val="20"/>
                <w:szCs w:val="20"/>
                <w:color w:val="auto"/>
              </w:rPr>
            </w:pPr>
            <w:r>
              <w:rPr>
                <w:rFonts w:ascii="Arial" w:cs="Arial" w:eastAsia="Arial" w:hAnsi="Arial"/>
                <w:sz w:val="14"/>
                <w:szCs w:val="14"/>
                <w:b w:val="1"/>
                <w:bCs w:val="1"/>
                <w:color w:val="auto"/>
              </w:rPr>
              <w:t>Granted and</w:t>
            </w:r>
          </w:p>
        </w:tc>
        <w:tc>
          <w:tcPr>
            <w:tcW w:w="120" w:type="dxa"/>
            <w:vAlign w:val="bottom"/>
          </w:tcPr>
          <w:p>
            <w:pPr>
              <w:spacing w:after="0"/>
              <w:rPr>
                <w:sz w:val="13"/>
                <w:szCs w:val="13"/>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b w:val="1"/>
                <w:bCs w:val="1"/>
                <w:color w:val="auto"/>
              </w:rPr>
              <w:t>Prior Years</w:t>
            </w:r>
          </w:p>
        </w:tc>
        <w:tc>
          <w:tcPr>
            <w:tcW w:w="140" w:type="dxa"/>
            <w:vAlign w:val="bottom"/>
          </w:tcPr>
          <w:p>
            <w:pPr>
              <w:spacing w:after="0"/>
              <w:rPr>
                <w:sz w:val="13"/>
                <w:szCs w:val="13"/>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b w:val="1"/>
                <w:bCs w:val="1"/>
                <w:color w:val="auto"/>
              </w:rPr>
              <w:t>Vesting</w:t>
            </w:r>
          </w:p>
        </w:tc>
        <w:tc>
          <w:tcPr>
            <w:tcW w:w="140" w:type="dxa"/>
            <w:vAlign w:val="bottom"/>
          </w:tcPr>
          <w:p>
            <w:pPr>
              <w:spacing w:after="0"/>
              <w:rPr>
                <w:sz w:val="13"/>
                <w:szCs w:val="13"/>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Equity</w:t>
            </w:r>
          </w:p>
        </w:tc>
      </w:tr>
      <w:tr>
        <w:trPr>
          <w:trHeight w:val="161"/>
        </w:trPr>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36"/>
              <w:spacing w:after="0"/>
              <w:rPr>
                <w:sz w:val="20"/>
                <w:szCs w:val="20"/>
                <w:color w:val="auto"/>
              </w:rPr>
            </w:pPr>
            <w:r>
              <w:rPr>
                <w:rFonts w:ascii="Arial" w:cs="Arial" w:eastAsia="Arial" w:hAnsi="Arial"/>
                <w:sz w:val="14"/>
                <w:szCs w:val="14"/>
                <w:b w:val="1"/>
                <w:bCs w:val="1"/>
                <w:color w:val="auto"/>
              </w:rPr>
              <w:t>of Equity</w:t>
            </w:r>
          </w:p>
        </w:tc>
        <w:tc>
          <w:tcPr>
            <w:tcW w:w="140" w:type="dxa"/>
            <w:vAlign w:val="bottom"/>
          </w:tcPr>
          <w:p>
            <w:pPr>
              <w:spacing w:after="0"/>
              <w:rPr>
                <w:sz w:val="13"/>
                <w:szCs w:val="13"/>
                <w:color w:val="auto"/>
              </w:rPr>
            </w:pPr>
          </w:p>
        </w:tc>
        <w:tc>
          <w:tcPr>
            <w:tcW w:w="1160" w:type="dxa"/>
            <w:vAlign w:val="bottom"/>
          </w:tcPr>
          <w:p>
            <w:pPr>
              <w:jc w:val="right"/>
              <w:ind w:right="54"/>
              <w:spacing w:after="0"/>
              <w:rPr>
                <w:sz w:val="20"/>
                <w:szCs w:val="20"/>
                <w:color w:val="auto"/>
              </w:rPr>
            </w:pPr>
            <w:r>
              <w:rPr>
                <w:rFonts w:ascii="Arial" w:cs="Arial" w:eastAsia="Arial" w:hAnsi="Arial"/>
                <w:sz w:val="14"/>
                <w:szCs w:val="14"/>
                <w:b w:val="1"/>
                <w:bCs w:val="1"/>
                <w:color w:val="auto"/>
              </w:rPr>
              <w:t>and Unvested</w:t>
            </w:r>
          </w:p>
        </w:tc>
        <w:tc>
          <w:tcPr>
            <w:tcW w:w="140" w:type="dxa"/>
            <w:vAlign w:val="bottom"/>
          </w:tcPr>
          <w:p>
            <w:pPr>
              <w:spacing w:after="0"/>
              <w:rPr>
                <w:sz w:val="13"/>
                <w:szCs w:val="13"/>
                <w:color w:val="auto"/>
              </w:rPr>
            </w:pPr>
          </w:p>
        </w:tc>
        <w:tc>
          <w:tcPr>
            <w:tcW w:w="1160" w:type="dxa"/>
            <w:vAlign w:val="bottom"/>
          </w:tcPr>
          <w:p>
            <w:pPr>
              <w:jc w:val="right"/>
              <w:ind w:right="49"/>
              <w:spacing w:after="0"/>
              <w:rPr>
                <w:sz w:val="20"/>
                <w:szCs w:val="20"/>
                <w:color w:val="auto"/>
              </w:rPr>
            </w:pPr>
            <w:r>
              <w:rPr>
                <w:rFonts w:ascii="Arial" w:cs="Arial" w:eastAsia="Arial" w:hAnsi="Arial"/>
                <w:sz w:val="14"/>
                <w:szCs w:val="14"/>
                <w:b w:val="1"/>
                <w:bCs w:val="1"/>
                <w:color w:val="auto"/>
              </w:rPr>
              <w:t>Vested</w:t>
            </w:r>
          </w:p>
        </w:tc>
        <w:tc>
          <w:tcPr>
            <w:tcW w:w="120" w:type="dxa"/>
            <w:vAlign w:val="bottom"/>
          </w:tcPr>
          <w:p>
            <w:pPr>
              <w:spacing w:after="0"/>
              <w:rPr>
                <w:sz w:val="13"/>
                <w:szCs w:val="13"/>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b w:val="1"/>
                <w:bCs w:val="1"/>
                <w:color w:val="auto"/>
              </w:rPr>
              <w:t>that Vested</w:t>
            </w:r>
          </w:p>
        </w:tc>
        <w:tc>
          <w:tcPr>
            <w:tcW w:w="140" w:type="dxa"/>
            <w:vAlign w:val="bottom"/>
          </w:tcPr>
          <w:p>
            <w:pPr>
              <w:spacing w:after="0"/>
              <w:rPr>
                <w:sz w:val="13"/>
                <w:szCs w:val="13"/>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b w:val="1"/>
                <w:bCs w:val="1"/>
                <w:color w:val="auto"/>
              </w:rPr>
              <w:t>Conditions in</w:t>
            </w:r>
          </w:p>
        </w:tc>
        <w:tc>
          <w:tcPr>
            <w:tcW w:w="140" w:type="dxa"/>
            <w:vAlign w:val="bottom"/>
          </w:tcPr>
          <w:p>
            <w:pPr>
              <w:spacing w:after="0"/>
              <w:rPr>
                <w:sz w:val="13"/>
                <w:szCs w:val="13"/>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b w:val="1"/>
                <w:bCs w:val="1"/>
                <w:color w:val="auto"/>
              </w:rPr>
              <w:t>or Total</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Award</w:t>
            </w:r>
          </w:p>
        </w:tc>
      </w:tr>
      <w:tr>
        <w:trPr>
          <w:trHeight w:val="195"/>
        </w:trPr>
        <w:tc>
          <w:tcPr>
            <w:tcW w:w="38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6"/>
                <w:szCs w:val="16"/>
                <w:color w:val="auto"/>
              </w:rPr>
            </w:pPr>
          </w:p>
        </w:tc>
        <w:tc>
          <w:tcPr>
            <w:tcW w:w="1160" w:type="dxa"/>
            <w:vAlign w:val="bottom"/>
          </w:tcPr>
          <w:p>
            <w:pPr>
              <w:jc w:val="right"/>
              <w:ind w:right="14"/>
              <w:spacing w:after="0"/>
              <w:rPr>
                <w:sz w:val="20"/>
                <w:szCs w:val="20"/>
                <w:color w:val="auto"/>
              </w:rPr>
            </w:pPr>
            <w:r>
              <w:rPr>
                <w:rFonts w:ascii="Arial" w:cs="Arial" w:eastAsia="Arial" w:hAnsi="Arial"/>
                <w:sz w:val="14"/>
                <w:szCs w:val="14"/>
                <w:b w:val="1"/>
                <w:bCs w:val="1"/>
                <w:color w:val="auto"/>
              </w:rPr>
              <w:t>Equity Awards</w:t>
            </w:r>
          </w:p>
        </w:tc>
        <w:tc>
          <w:tcPr>
            <w:tcW w:w="1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b w:val="1"/>
                <w:bCs w:val="1"/>
                <w:color w:val="auto"/>
              </w:rPr>
              <w:t>in the Year</w:t>
            </w:r>
          </w:p>
        </w:tc>
        <w:tc>
          <w:tcPr>
            <w:tcW w:w="12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b w:val="1"/>
                <w:bCs w:val="1"/>
                <w:color w:val="auto"/>
              </w:rPr>
              <w:t>in the Year</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the Year</w:t>
            </w:r>
          </w:p>
        </w:tc>
        <w:tc>
          <w:tcPr>
            <w:tcW w:w="14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Adjustments</w:t>
            </w:r>
          </w:p>
        </w:tc>
      </w:tr>
      <w:tr>
        <w:trPr>
          <w:trHeight w:val="82"/>
        </w:trPr>
        <w:tc>
          <w:tcPr>
            <w:tcW w:w="380" w:type="dxa"/>
            <w:vAlign w:val="bottom"/>
            <w:tcBorders>
              <w:bottom w:val="single" w:sz="8" w:color="0C426A"/>
            </w:tcBorders>
          </w:tcPr>
          <w:p>
            <w:pPr>
              <w:spacing w:after="0"/>
              <w:rPr>
                <w:sz w:val="7"/>
                <w:szCs w:val="7"/>
                <w:color w:val="auto"/>
              </w:rPr>
            </w:pPr>
          </w:p>
        </w:tc>
        <w:tc>
          <w:tcPr>
            <w:tcW w:w="100" w:type="dxa"/>
            <w:vAlign w:val="bottom"/>
            <w:tcBorders>
              <w:bottom w:val="single" w:sz="8" w:color="0C426A"/>
            </w:tcBorders>
          </w:tcPr>
          <w:p>
            <w:pPr>
              <w:spacing w:after="0"/>
              <w:rPr>
                <w:sz w:val="7"/>
                <w:szCs w:val="7"/>
                <w:color w:val="auto"/>
              </w:rPr>
            </w:pPr>
          </w:p>
        </w:tc>
        <w:tc>
          <w:tcPr>
            <w:tcW w:w="120" w:type="dxa"/>
            <w:vAlign w:val="bottom"/>
            <w:tcBorders>
              <w:bottom w:val="single" w:sz="8" w:color="0C426A"/>
            </w:tcBorders>
          </w:tcPr>
          <w:p>
            <w:pPr>
              <w:spacing w:after="0"/>
              <w:rPr>
                <w:sz w:val="7"/>
                <w:szCs w:val="7"/>
                <w:color w:val="auto"/>
              </w:rPr>
            </w:pPr>
          </w:p>
        </w:tc>
        <w:tc>
          <w:tcPr>
            <w:tcW w:w="920" w:type="dxa"/>
            <w:vAlign w:val="bottom"/>
            <w:tcBorders>
              <w:bottom w:val="single" w:sz="8" w:color="0C426A"/>
            </w:tcBorders>
            <w:gridSpan w:val="2"/>
          </w:tcPr>
          <w:p>
            <w:pPr>
              <w:spacing w:after="0"/>
              <w:rPr>
                <w:sz w:val="7"/>
                <w:szCs w:val="7"/>
                <w:color w:val="auto"/>
              </w:rPr>
            </w:pPr>
          </w:p>
        </w:tc>
        <w:tc>
          <w:tcPr>
            <w:tcW w:w="140" w:type="dxa"/>
            <w:vAlign w:val="bottom"/>
            <w:tcBorders>
              <w:bottom w:val="single" w:sz="8" w:color="0C426A"/>
            </w:tcBorders>
          </w:tcPr>
          <w:p>
            <w:pPr>
              <w:spacing w:after="0"/>
              <w:rPr>
                <w:sz w:val="7"/>
                <w:szCs w:val="7"/>
                <w:color w:val="auto"/>
              </w:rPr>
            </w:pPr>
          </w:p>
        </w:tc>
        <w:tc>
          <w:tcPr>
            <w:tcW w:w="1160" w:type="dxa"/>
            <w:vAlign w:val="bottom"/>
            <w:tcBorders>
              <w:bottom w:val="single" w:sz="8" w:color="0C426A"/>
            </w:tcBorders>
          </w:tcPr>
          <w:p>
            <w:pPr>
              <w:spacing w:after="0"/>
              <w:rPr>
                <w:sz w:val="7"/>
                <w:szCs w:val="7"/>
                <w:color w:val="auto"/>
              </w:rPr>
            </w:pPr>
          </w:p>
        </w:tc>
        <w:tc>
          <w:tcPr>
            <w:tcW w:w="140" w:type="dxa"/>
            <w:vAlign w:val="bottom"/>
            <w:tcBorders>
              <w:bottom w:val="single" w:sz="8" w:color="0C426A"/>
            </w:tcBorders>
          </w:tcPr>
          <w:p>
            <w:pPr>
              <w:spacing w:after="0"/>
              <w:rPr>
                <w:sz w:val="7"/>
                <w:szCs w:val="7"/>
                <w:color w:val="auto"/>
              </w:rPr>
            </w:pPr>
          </w:p>
        </w:tc>
        <w:tc>
          <w:tcPr>
            <w:tcW w:w="1160" w:type="dxa"/>
            <w:vAlign w:val="bottom"/>
            <w:tcBorders>
              <w:bottom w:val="single" w:sz="8" w:color="0C426A"/>
            </w:tcBorders>
          </w:tcPr>
          <w:p>
            <w:pPr>
              <w:spacing w:after="0"/>
              <w:rPr>
                <w:sz w:val="7"/>
                <w:szCs w:val="7"/>
                <w:color w:val="auto"/>
              </w:rPr>
            </w:pPr>
          </w:p>
        </w:tc>
        <w:tc>
          <w:tcPr>
            <w:tcW w:w="120" w:type="dxa"/>
            <w:vAlign w:val="bottom"/>
            <w:tcBorders>
              <w:bottom w:val="single" w:sz="8" w:color="0C426A"/>
            </w:tcBorders>
          </w:tcPr>
          <w:p>
            <w:pPr>
              <w:spacing w:after="0"/>
              <w:rPr>
                <w:sz w:val="7"/>
                <w:szCs w:val="7"/>
                <w:color w:val="auto"/>
              </w:rPr>
            </w:pPr>
          </w:p>
        </w:tc>
        <w:tc>
          <w:tcPr>
            <w:tcW w:w="1180" w:type="dxa"/>
            <w:vAlign w:val="bottom"/>
            <w:tcBorders>
              <w:bottom w:val="single" w:sz="8" w:color="0C426A"/>
            </w:tcBorders>
          </w:tcPr>
          <w:p>
            <w:pPr>
              <w:spacing w:after="0"/>
              <w:rPr>
                <w:sz w:val="7"/>
                <w:szCs w:val="7"/>
                <w:color w:val="auto"/>
              </w:rPr>
            </w:pPr>
          </w:p>
        </w:tc>
        <w:tc>
          <w:tcPr>
            <w:tcW w:w="140" w:type="dxa"/>
            <w:vAlign w:val="bottom"/>
            <w:tcBorders>
              <w:bottom w:val="single" w:sz="8" w:color="0C426A"/>
            </w:tcBorders>
          </w:tcPr>
          <w:p>
            <w:pPr>
              <w:spacing w:after="0"/>
              <w:rPr>
                <w:sz w:val="7"/>
                <w:szCs w:val="7"/>
                <w:color w:val="auto"/>
              </w:rPr>
            </w:pPr>
          </w:p>
        </w:tc>
        <w:tc>
          <w:tcPr>
            <w:tcW w:w="1080" w:type="dxa"/>
            <w:vAlign w:val="bottom"/>
            <w:tcBorders>
              <w:bottom w:val="single" w:sz="8" w:color="0C426A"/>
            </w:tcBorders>
          </w:tcPr>
          <w:p>
            <w:pPr>
              <w:spacing w:after="0"/>
              <w:rPr>
                <w:sz w:val="7"/>
                <w:szCs w:val="7"/>
                <w:color w:val="auto"/>
              </w:rPr>
            </w:pPr>
          </w:p>
        </w:tc>
        <w:tc>
          <w:tcPr>
            <w:tcW w:w="140" w:type="dxa"/>
            <w:vAlign w:val="bottom"/>
            <w:tcBorders>
              <w:bottom w:val="single" w:sz="8" w:color="0C426A"/>
            </w:tcBorders>
          </w:tcPr>
          <w:p>
            <w:pPr>
              <w:spacing w:after="0"/>
              <w:rPr>
                <w:sz w:val="7"/>
                <w:szCs w:val="7"/>
                <w:color w:val="auto"/>
              </w:rPr>
            </w:pPr>
          </w:p>
        </w:tc>
        <w:tc>
          <w:tcPr>
            <w:tcW w:w="1140" w:type="dxa"/>
            <w:vAlign w:val="bottom"/>
            <w:tcBorders>
              <w:bottom w:val="single" w:sz="8" w:color="0C426A"/>
            </w:tcBorders>
          </w:tcPr>
          <w:p>
            <w:pPr>
              <w:spacing w:after="0"/>
              <w:rPr>
                <w:sz w:val="7"/>
                <w:szCs w:val="7"/>
                <w:color w:val="auto"/>
              </w:rPr>
            </w:pPr>
          </w:p>
        </w:tc>
        <w:tc>
          <w:tcPr>
            <w:tcW w:w="140" w:type="dxa"/>
            <w:vAlign w:val="bottom"/>
            <w:tcBorders>
              <w:bottom w:val="single" w:sz="8" w:color="0C426A"/>
            </w:tcBorders>
          </w:tcPr>
          <w:p>
            <w:pPr>
              <w:spacing w:after="0"/>
              <w:rPr>
                <w:sz w:val="7"/>
                <w:szCs w:val="7"/>
                <w:color w:val="auto"/>
              </w:rPr>
            </w:pPr>
          </w:p>
        </w:tc>
        <w:tc>
          <w:tcPr>
            <w:tcW w:w="920" w:type="dxa"/>
            <w:vAlign w:val="bottom"/>
            <w:tcBorders>
              <w:bottom w:val="single" w:sz="8" w:color="0C426A"/>
            </w:tcBorders>
          </w:tcPr>
          <w:p>
            <w:pPr>
              <w:spacing w:after="0"/>
              <w:rPr>
                <w:sz w:val="7"/>
                <w:szCs w:val="7"/>
                <w:color w:val="auto"/>
              </w:rPr>
            </w:pPr>
          </w:p>
        </w:tc>
      </w:tr>
      <w:tr>
        <w:trPr>
          <w:trHeight w:val="280"/>
        </w:trPr>
        <w:tc>
          <w:tcPr>
            <w:tcW w:w="380" w:type="dxa"/>
            <w:vAlign w:val="bottom"/>
          </w:tcPr>
          <w:p>
            <w:pPr>
              <w:ind w:left="20"/>
              <w:spacing w:after="0"/>
              <w:rPr>
                <w:sz w:val="20"/>
                <w:szCs w:val="20"/>
                <w:color w:val="auto"/>
              </w:rPr>
            </w:pPr>
            <w:r>
              <w:rPr>
                <w:rFonts w:ascii="Arial" w:cs="Arial" w:eastAsia="Arial" w:hAnsi="Arial"/>
                <w:sz w:val="14"/>
                <w:szCs w:val="14"/>
                <w:color w:val="auto"/>
              </w:rPr>
              <w:t>2023</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$14,084,958</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$ 7,765,458</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 (74,368)</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50,392</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$21,826,440</w:t>
            </w:r>
          </w:p>
        </w:tc>
      </w:tr>
      <w:tr>
        <w:trPr>
          <w:trHeight w:val="48"/>
        </w:trPr>
        <w:tc>
          <w:tcPr>
            <w:tcW w:w="3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r>
      <w:tr>
        <w:trPr>
          <w:trHeight w:val="240"/>
        </w:trPr>
        <w:tc>
          <w:tcPr>
            <w:tcW w:w="380" w:type="dxa"/>
            <w:vAlign w:val="bottom"/>
          </w:tcPr>
          <w:p>
            <w:pPr>
              <w:ind w:left="20"/>
              <w:spacing w:after="0"/>
              <w:rPr>
                <w:sz w:val="20"/>
                <w:szCs w:val="20"/>
                <w:color w:val="auto"/>
              </w:rPr>
            </w:pPr>
            <w:r>
              <w:rPr>
                <w:rFonts w:ascii="Arial" w:cs="Arial" w:eastAsia="Arial" w:hAnsi="Arial"/>
                <w:sz w:val="14"/>
                <w:szCs w:val="14"/>
                <w:color w:val="auto"/>
              </w:rPr>
              <w:t>2022</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9,319,998</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$ 2,184,162</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 (70,543)</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$42,998</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$11,476,615</w:t>
            </w:r>
          </w:p>
        </w:tc>
      </w:tr>
      <w:tr>
        <w:trPr>
          <w:trHeight w:val="48"/>
        </w:trPr>
        <w:tc>
          <w:tcPr>
            <w:tcW w:w="3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r>
      <w:tr>
        <w:trPr>
          <w:trHeight w:val="240"/>
        </w:trPr>
        <w:tc>
          <w:tcPr>
            <w:tcW w:w="380" w:type="dxa"/>
            <w:vAlign w:val="bottom"/>
          </w:tcPr>
          <w:p>
            <w:pPr>
              <w:ind w:left="20"/>
              <w:spacing w:after="0"/>
              <w:rPr>
                <w:sz w:val="20"/>
                <w:szCs w:val="20"/>
                <w:color w:val="auto"/>
              </w:rPr>
            </w:pPr>
            <w:r>
              <w:rPr>
                <w:rFonts w:ascii="Arial" w:cs="Arial" w:eastAsia="Arial" w:hAnsi="Arial"/>
                <w:sz w:val="14"/>
                <w:szCs w:val="14"/>
                <w:color w:val="auto"/>
              </w:rPr>
              <w:t>2021</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9,065,366</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$ 2,976,341</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  61,792</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$32,696</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$12,136,195</w:t>
            </w:r>
          </w:p>
        </w:tc>
      </w:tr>
      <w:tr>
        <w:trPr>
          <w:trHeight w:val="48"/>
        </w:trPr>
        <w:tc>
          <w:tcPr>
            <w:tcW w:w="3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r>
      <w:tr>
        <w:trPr>
          <w:trHeight w:val="240"/>
        </w:trPr>
        <w:tc>
          <w:tcPr>
            <w:tcW w:w="380" w:type="dxa"/>
            <w:vAlign w:val="bottom"/>
          </w:tcPr>
          <w:p>
            <w:pPr>
              <w:ind w:left="20"/>
              <w:spacing w:after="0"/>
              <w:rPr>
                <w:sz w:val="20"/>
                <w:szCs w:val="20"/>
                <w:color w:val="auto"/>
              </w:rPr>
            </w:pPr>
            <w:r>
              <w:rPr>
                <w:rFonts w:ascii="Arial" w:cs="Arial" w:eastAsia="Arial" w:hAnsi="Arial"/>
                <w:sz w:val="14"/>
                <w:szCs w:val="14"/>
                <w:color w:val="auto"/>
              </w:rPr>
              <w:t>2020</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5,441,403</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$(1,379,240)</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$(221,467)</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$30,502</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$ 3,871,198</w:t>
            </w:r>
          </w:p>
        </w:tc>
      </w:tr>
      <w:tr>
        <w:trPr>
          <w:trHeight w:val="48"/>
        </w:trPr>
        <w:tc>
          <w:tcPr>
            <w:tcW w:w="3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r>
    </w:tbl>
    <w:p>
      <w:pPr>
        <w:spacing w:after="0" w:line="151" w:lineRule="exact"/>
        <w:rPr>
          <w:sz w:val="20"/>
          <w:szCs w:val="20"/>
          <w:color w:val="auto"/>
        </w:rPr>
      </w:pPr>
    </w:p>
    <w:p>
      <w:pPr>
        <w:ind w:left="1140" w:right="1060" w:hanging="175"/>
        <w:spacing w:after="0" w:line="222" w:lineRule="auto"/>
        <w:tabs>
          <w:tab w:leader="none" w:pos="1140" w:val="left"/>
        </w:tabs>
        <w:numPr>
          <w:ilvl w:val="0"/>
          <w:numId w:val="75"/>
        </w:numPr>
        <w:rPr>
          <w:rFonts w:ascii="Arial" w:cs="Arial" w:eastAsia="Arial" w:hAnsi="Arial"/>
          <w:sz w:val="21"/>
          <w:szCs w:val="21"/>
          <w:color w:val="auto"/>
          <w:vertAlign w:val="superscript"/>
        </w:rPr>
      </w:pPr>
      <w:r>
        <w:rPr>
          <w:rFonts w:ascii="Arial" w:cs="Arial" w:eastAsia="Arial" w:hAnsi="Arial"/>
          <w:sz w:val="14"/>
          <w:szCs w:val="14"/>
          <w:color w:val="auto"/>
        </w:rPr>
        <w:t>The dollar amounts reported in column (d) represent the average of the amounts reported for the Company’s named executive officers (NEOs) as a group (excluding Mr. Santana, who has served as our CEO since July 2019) in the “Total” column of the Summary Compensation Table in each applicable year. The names of each of the NEOs (excluding Mr. Santana) included for purposes of calculating the average amounts in each applicable year are as follows: (i) for 2023, John Olin, David L. DeNinno, Pascal Schweitzer, and Eric Gebhardt; (ii) for 2022, John Olin, David L. DeNinno, Pascal Schweitzer, and Eric Gebhardt; (iii) for 2021, John Olin, David L. DeNinno, Pascal Schweitzer, Eric Gebhardt, Patrick D. Dugan; and for 2020, Patrick D. Dugan, David L. DeNinno, Pascal Schweitzer, Nicole Theophilus, Albert J. Neupaver, and Scott E. Wahlstrom.</w:t>
      </w:r>
    </w:p>
    <w:p>
      <w:pPr>
        <w:spacing w:after="0" w:line="61" w:lineRule="exact"/>
        <w:rPr>
          <w:sz w:val="20"/>
          <w:szCs w:val="20"/>
          <w:color w:val="auto"/>
        </w:rPr>
      </w:pPr>
    </w:p>
    <w:p>
      <w:pPr>
        <w:ind w:left="1140" w:right="1000" w:hanging="175"/>
        <w:spacing w:after="0"/>
        <w:tabs>
          <w:tab w:leader="none" w:pos="1140" w:val="left"/>
        </w:tabs>
        <w:numPr>
          <w:ilvl w:val="0"/>
          <w:numId w:val="76"/>
        </w:numPr>
        <w:rPr>
          <w:rFonts w:ascii="Arial" w:cs="Arial" w:eastAsia="Arial" w:hAnsi="Arial"/>
          <w:sz w:val="21"/>
          <w:szCs w:val="21"/>
          <w:color w:val="auto"/>
          <w:vertAlign w:val="superscript"/>
        </w:rPr>
      </w:pPr>
      <w:r>
        <w:rPr>
          <w:rFonts w:ascii="Arial" w:cs="Arial" w:eastAsia="Arial" w:hAnsi="Arial"/>
          <w:sz w:val="14"/>
          <w:szCs w:val="14"/>
          <w:color w:val="auto"/>
        </w:rPr>
        <w:t>The dollar amounts reported in column (e) represent the average amount of “compensation actually paid” to the NEOs as a group (excluding Mr. Santana), as computed in accordance with Item 402(v) of Regulation S-K. The dollar amounts do not reflect the actual average amount of compensation earned by or paid to the NEOs as a group (excluding Mr. Santana) during the applicable year. In accordance with the requirements of Item 402(v) of Regulation S-K, the following adjustments were made to average total compensation for the NEOs as a group (excluding Mr. Santana) for each year to determine the compensation actually paid, using the same methodology described above in Note 2:</w:t>
      </w:r>
    </w:p>
    <w:p>
      <w:pPr>
        <w:spacing w:after="0" w:line="252"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80" w:type="dxa"/>
            <w:vAlign w:val="bottom"/>
          </w:tcPr>
          <w:p>
            <w:pPr>
              <w:jc w:val="right"/>
              <w:ind w:right="189"/>
              <w:spacing w:after="0"/>
              <w:rPr>
                <w:sz w:val="20"/>
                <w:szCs w:val="20"/>
                <w:color w:val="auto"/>
              </w:rPr>
            </w:pPr>
            <w:r>
              <w:rPr>
                <w:rFonts w:ascii="Arial" w:cs="Arial" w:eastAsia="Arial" w:hAnsi="Arial"/>
                <w:sz w:val="14"/>
                <w:szCs w:val="14"/>
                <w:b w:val="1"/>
                <w:bCs w:val="1"/>
                <w:color w:val="auto"/>
              </w:rPr>
              <w:t>Average</w:t>
            </w:r>
          </w:p>
        </w:tc>
        <w:tc>
          <w:tcPr>
            <w:tcW w:w="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Average</w:t>
            </w:r>
          </w:p>
        </w:tc>
      </w:tr>
      <w:tr>
        <w:trPr>
          <w:trHeight w:val="161"/>
        </w:trPr>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80" w:type="dxa"/>
            <w:vAlign w:val="bottom"/>
          </w:tcPr>
          <w:p>
            <w:pPr>
              <w:jc w:val="right"/>
              <w:ind w:right="189"/>
              <w:spacing w:after="0"/>
              <w:rPr>
                <w:sz w:val="20"/>
                <w:szCs w:val="20"/>
                <w:color w:val="auto"/>
              </w:rPr>
            </w:pPr>
            <w:r>
              <w:rPr>
                <w:rFonts w:ascii="Arial" w:cs="Arial" w:eastAsia="Arial" w:hAnsi="Arial"/>
                <w:sz w:val="14"/>
                <w:szCs w:val="14"/>
                <w:b w:val="1"/>
                <w:bCs w:val="1"/>
                <w:color w:val="auto"/>
              </w:rPr>
              <w:t>Reported Summary</w:t>
            </w:r>
          </w:p>
        </w:tc>
        <w:tc>
          <w:tcPr>
            <w:tcW w:w="460" w:type="dxa"/>
            <w:vAlign w:val="bottom"/>
          </w:tcPr>
          <w:p>
            <w:pPr>
              <w:spacing w:after="0"/>
              <w:rPr>
                <w:sz w:val="13"/>
                <w:szCs w:val="13"/>
                <w:color w:val="auto"/>
              </w:rPr>
            </w:pPr>
          </w:p>
        </w:tc>
        <w:tc>
          <w:tcPr>
            <w:tcW w:w="1520" w:type="dxa"/>
            <w:vAlign w:val="bottom"/>
          </w:tcPr>
          <w:p>
            <w:pPr>
              <w:jc w:val="right"/>
              <w:ind w:right="189"/>
              <w:spacing w:after="0"/>
              <w:rPr>
                <w:sz w:val="20"/>
                <w:szCs w:val="20"/>
                <w:color w:val="auto"/>
              </w:rPr>
            </w:pPr>
            <w:r>
              <w:rPr>
                <w:rFonts w:ascii="Arial" w:cs="Arial" w:eastAsia="Arial" w:hAnsi="Arial"/>
                <w:sz w:val="14"/>
                <w:szCs w:val="14"/>
                <w:b w:val="1"/>
                <w:bCs w:val="1"/>
                <w:color w:val="auto"/>
              </w:rPr>
              <w:t>Average</w:t>
            </w:r>
          </w:p>
        </w:tc>
        <w:tc>
          <w:tcPr>
            <w:tcW w:w="4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Compensation</w:t>
            </w:r>
          </w:p>
        </w:tc>
      </w:tr>
      <w:tr>
        <w:trPr>
          <w:trHeight w:val="143"/>
        </w:trPr>
        <w:tc>
          <w:tcPr>
            <w:tcW w:w="380" w:type="dxa"/>
            <w:vAlign w:val="bottom"/>
          </w:tcPr>
          <w:p>
            <w:pPr>
              <w:spacing w:after="0"/>
              <w:rPr>
                <w:sz w:val="12"/>
                <w:szCs w:val="12"/>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tcPr>
          <w:p>
            <w:pPr>
              <w:jc w:val="right"/>
              <w:ind w:right="149"/>
              <w:spacing w:after="0" w:line="143" w:lineRule="exact"/>
              <w:rPr>
                <w:sz w:val="20"/>
                <w:szCs w:val="20"/>
                <w:color w:val="auto"/>
              </w:rPr>
            </w:pPr>
            <w:r>
              <w:rPr>
                <w:rFonts w:ascii="Arial" w:cs="Arial" w:eastAsia="Arial" w:hAnsi="Arial"/>
                <w:sz w:val="14"/>
                <w:szCs w:val="14"/>
                <w:b w:val="1"/>
                <w:bCs w:val="1"/>
                <w:color w:val="auto"/>
              </w:rPr>
              <w:t xml:space="preserve">Compensation Table </w:t>
            </w:r>
            <w:r>
              <w:rPr>
                <w:rFonts w:ascii="Times New Roman" w:cs="Times New Roman" w:eastAsia="Times New Roman" w:hAnsi="Times New Roman"/>
                <w:sz w:val="3"/>
                <w:szCs w:val="3"/>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520" w:type="dxa"/>
            <w:vAlign w:val="bottom"/>
          </w:tcPr>
          <w:p>
            <w:pPr>
              <w:jc w:val="right"/>
              <w:ind w:right="149"/>
              <w:spacing w:after="0" w:line="143" w:lineRule="exact"/>
              <w:rPr>
                <w:sz w:val="20"/>
                <w:szCs w:val="20"/>
                <w:color w:val="auto"/>
              </w:rPr>
            </w:pPr>
            <w:r>
              <w:rPr>
                <w:rFonts w:ascii="Arial" w:cs="Arial" w:eastAsia="Arial" w:hAnsi="Arial"/>
                <w:sz w:val="14"/>
                <w:szCs w:val="14"/>
                <w:b w:val="1"/>
                <w:bCs w:val="1"/>
                <w:color w:val="auto"/>
              </w:rPr>
              <w:t xml:space="preserve">Reported </w:t>
            </w:r>
            <w:r>
              <w:rPr>
                <w:rFonts w:ascii="Times New Roman" w:cs="Times New Roman" w:eastAsia="Times New Roman" w:hAnsi="Times New Roman"/>
                <w:sz w:val="3"/>
                <w:szCs w:val="3"/>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Pr>
          <w:p>
            <w:pPr>
              <w:jc w:val="right"/>
              <w:ind w:right="156"/>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Actually Paid</w:t>
            </w:r>
          </w:p>
        </w:tc>
      </w:tr>
      <w:tr>
        <w:trPr>
          <w:trHeight w:val="161"/>
        </w:trPr>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80" w:type="dxa"/>
            <w:vAlign w:val="bottom"/>
          </w:tcPr>
          <w:p>
            <w:pPr>
              <w:jc w:val="right"/>
              <w:ind w:right="189"/>
              <w:spacing w:after="0"/>
              <w:rPr>
                <w:sz w:val="20"/>
                <w:szCs w:val="20"/>
                <w:color w:val="auto"/>
              </w:rPr>
            </w:pPr>
            <w:r>
              <w:rPr>
                <w:rFonts w:ascii="Arial" w:cs="Arial" w:eastAsia="Arial" w:hAnsi="Arial"/>
                <w:sz w:val="14"/>
                <w:szCs w:val="14"/>
                <w:b w:val="1"/>
                <w:bCs w:val="1"/>
                <w:color w:val="auto"/>
              </w:rPr>
              <w:t>Total for</w:t>
            </w:r>
          </w:p>
        </w:tc>
        <w:tc>
          <w:tcPr>
            <w:tcW w:w="460" w:type="dxa"/>
            <w:vAlign w:val="bottom"/>
          </w:tcPr>
          <w:p>
            <w:pPr>
              <w:spacing w:after="0"/>
              <w:rPr>
                <w:sz w:val="13"/>
                <w:szCs w:val="13"/>
                <w:color w:val="auto"/>
              </w:rPr>
            </w:pPr>
          </w:p>
        </w:tc>
        <w:tc>
          <w:tcPr>
            <w:tcW w:w="1520" w:type="dxa"/>
            <w:vAlign w:val="bottom"/>
          </w:tcPr>
          <w:p>
            <w:pPr>
              <w:jc w:val="right"/>
              <w:ind w:right="189"/>
              <w:spacing w:after="0"/>
              <w:rPr>
                <w:sz w:val="20"/>
                <w:szCs w:val="20"/>
                <w:color w:val="auto"/>
              </w:rPr>
            </w:pPr>
            <w:r>
              <w:rPr>
                <w:rFonts w:ascii="Arial" w:cs="Arial" w:eastAsia="Arial" w:hAnsi="Arial"/>
                <w:sz w:val="14"/>
                <w:szCs w:val="14"/>
                <w:b w:val="1"/>
                <w:bCs w:val="1"/>
                <w:color w:val="auto"/>
              </w:rPr>
              <w:t>Value of Equity</w:t>
            </w:r>
          </w:p>
        </w:tc>
        <w:tc>
          <w:tcPr>
            <w:tcW w:w="460" w:type="dxa"/>
            <w:vAlign w:val="bottom"/>
          </w:tcPr>
          <w:p>
            <w:pPr>
              <w:spacing w:after="0"/>
              <w:rPr>
                <w:sz w:val="13"/>
                <w:szCs w:val="13"/>
                <w:color w:val="auto"/>
              </w:rPr>
            </w:pPr>
          </w:p>
        </w:tc>
        <w:tc>
          <w:tcPr>
            <w:tcW w:w="1860" w:type="dxa"/>
            <w:vAlign w:val="bottom"/>
          </w:tcPr>
          <w:p>
            <w:pPr>
              <w:jc w:val="right"/>
              <w:ind w:right="216"/>
              <w:spacing w:after="0"/>
              <w:rPr>
                <w:sz w:val="20"/>
                <w:szCs w:val="20"/>
                <w:color w:val="auto"/>
              </w:rPr>
            </w:pPr>
            <w:r>
              <w:rPr>
                <w:rFonts w:ascii="Arial" w:cs="Arial" w:eastAsia="Arial" w:hAnsi="Arial"/>
                <w:sz w:val="14"/>
                <w:szCs w:val="14"/>
                <w:b w:val="1"/>
                <w:bCs w:val="1"/>
                <w:color w:val="auto"/>
              </w:rPr>
              <w:t>Average Equity</w:t>
            </w:r>
          </w:p>
        </w:tc>
        <w:tc>
          <w:tcPr>
            <w:tcW w:w="4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to Non-PEO</w:t>
            </w:r>
          </w:p>
        </w:tc>
      </w:tr>
      <w:tr>
        <w:trPr>
          <w:trHeight w:val="295"/>
        </w:trPr>
        <w:tc>
          <w:tcPr>
            <w:tcW w:w="380" w:type="dxa"/>
            <w:vAlign w:val="bottom"/>
            <w:tcBorders>
              <w:bottom w:val="single" w:sz="8" w:color="0C426A"/>
            </w:tcBorders>
          </w:tcPr>
          <w:p>
            <w:pPr>
              <w:ind w:left="20"/>
              <w:spacing w:after="0"/>
              <w:rPr>
                <w:sz w:val="20"/>
                <w:szCs w:val="20"/>
                <w:color w:val="auto"/>
              </w:rPr>
            </w:pPr>
            <w:r>
              <w:rPr>
                <w:rFonts w:ascii="Arial" w:cs="Arial" w:eastAsia="Arial" w:hAnsi="Arial"/>
                <w:sz w:val="14"/>
                <w:szCs w:val="14"/>
                <w:b w:val="1"/>
                <w:bCs w:val="1"/>
                <w:color w:val="auto"/>
              </w:rPr>
              <w:t>Year</w:t>
            </w:r>
          </w:p>
        </w:tc>
        <w:tc>
          <w:tcPr>
            <w:tcW w:w="280" w:type="dxa"/>
            <w:vAlign w:val="bottom"/>
            <w:tcBorders>
              <w:bottom w:val="single" w:sz="8" w:color="0C426A"/>
            </w:tcBorders>
          </w:tcPr>
          <w:p>
            <w:pPr>
              <w:spacing w:after="0"/>
              <w:rPr>
                <w:sz w:val="24"/>
                <w:szCs w:val="24"/>
                <w:color w:val="auto"/>
              </w:rPr>
            </w:pPr>
          </w:p>
        </w:tc>
        <w:tc>
          <w:tcPr>
            <w:tcW w:w="460" w:type="dxa"/>
            <w:vAlign w:val="bottom"/>
            <w:tcBorders>
              <w:bottom w:val="single" w:sz="8" w:color="0C426A"/>
            </w:tcBorders>
          </w:tcPr>
          <w:p>
            <w:pPr>
              <w:spacing w:after="0"/>
              <w:rPr>
                <w:sz w:val="24"/>
                <w:szCs w:val="24"/>
                <w:color w:val="auto"/>
              </w:rPr>
            </w:pPr>
          </w:p>
        </w:tc>
        <w:tc>
          <w:tcPr>
            <w:tcW w:w="1880" w:type="dxa"/>
            <w:vAlign w:val="bottom"/>
            <w:tcBorders>
              <w:bottom w:val="single" w:sz="8" w:color="0C426A"/>
            </w:tcBorders>
          </w:tcPr>
          <w:p>
            <w:pPr>
              <w:jc w:val="right"/>
              <w:ind w:right="149"/>
              <w:spacing w:after="0"/>
              <w:rPr>
                <w:sz w:val="20"/>
                <w:szCs w:val="20"/>
                <w:color w:val="auto"/>
              </w:rPr>
            </w:pPr>
            <w:r>
              <w:rPr>
                <w:rFonts w:ascii="Arial" w:cs="Arial" w:eastAsia="Arial" w:hAnsi="Arial"/>
                <w:sz w:val="14"/>
                <w:szCs w:val="14"/>
                <w:b w:val="1"/>
                <w:bCs w:val="1"/>
                <w:color w:val="auto"/>
              </w:rPr>
              <w:t>Non-PEO NEOs</w:t>
            </w:r>
          </w:p>
        </w:tc>
        <w:tc>
          <w:tcPr>
            <w:tcW w:w="460" w:type="dxa"/>
            <w:vAlign w:val="bottom"/>
            <w:tcBorders>
              <w:bottom w:val="single" w:sz="8" w:color="0C426A"/>
            </w:tcBorders>
          </w:tcPr>
          <w:p>
            <w:pPr>
              <w:spacing w:after="0"/>
              <w:rPr>
                <w:sz w:val="24"/>
                <w:szCs w:val="24"/>
                <w:color w:val="auto"/>
              </w:rPr>
            </w:pPr>
          </w:p>
        </w:tc>
        <w:tc>
          <w:tcPr>
            <w:tcW w:w="1520" w:type="dxa"/>
            <w:vAlign w:val="bottom"/>
            <w:tcBorders>
              <w:bottom w:val="single" w:sz="8" w:color="0C426A"/>
            </w:tcBorders>
          </w:tcPr>
          <w:p>
            <w:pPr>
              <w:jc w:val="right"/>
              <w:ind w:right="149"/>
              <w:spacing w:after="0"/>
              <w:rPr>
                <w:sz w:val="20"/>
                <w:szCs w:val="20"/>
                <w:color w:val="auto"/>
              </w:rPr>
            </w:pPr>
            <w:r>
              <w:rPr>
                <w:rFonts w:ascii="Arial" w:cs="Arial" w:eastAsia="Arial" w:hAnsi="Arial"/>
                <w:sz w:val="14"/>
                <w:szCs w:val="14"/>
                <w:b w:val="1"/>
                <w:bCs w:val="1"/>
                <w:color w:val="auto"/>
              </w:rPr>
              <w:t>Awards</w:t>
            </w:r>
          </w:p>
        </w:tc>
        <w:tc>
          <w:tcPr>
            <w:tcW w:w="460" w:type="dxa"/>
            <w:vAlign w:val="bottom"/>
            <w:tcBorders>
              <w:bottom w:val="single" w:sz="8" w:color="0C426A"/>
            </w:tcBorders>
          </w:tcPr>
          <w:p>
            <w:pPr>
              <w:spacing w:after="0"/>
              <w:rPr>
                <w:sz w:val="24"/>
                <w:szCs w:val="24"/>
                <w:color w:val="auto"/>
              </w:rPr>
            </w:pPr>
          </w:p>
        </w:tc>
        <w:tc>
          <w:tcPr>
            <w:tcW w:w="1860" w:type="dxa"/>
            <w:vAlign w:val="bottom"/>
            <w:tcBorders>
              <w:bottom w:val="single" w:sz="8" w:color="0C426A"/>
            </w:tcBorders>
          </w:tcPr>
          <w:p>
            <w:pPr>
              <w:jc w:val="right"/>
              <w:ind w:right="176"/>
              <w:spacing w:after="0"/>
              <w:rPr>
                <w:sz w:val="20"/>
                <w:szCs w:val="20"/>
                <w:color w:val="auto"/>
              </w:rPr>
            </w:pPr>
            <w:r>
              <w:rPr>
                <w:rFonts w:ascii="Arial" w:cs="Arial" w:eastAsia="Arial" w:hAnsi="Arial"/>
                <w:sz w:val="14"/>
                <w:szCs w:val="14"/>
                <w:b w:val="1"/>
                <w:bCs w:val="1"/>
                <w:color w:val="auto"/>
              </w:rPr>
              <w:t>Award Adjustments</w:t>
            </w:r>
            <w:r>
              <w:rPr>
                <w:rFonts w:ascii="Arial" w:cs="Arial" w:eastAsia="Arial" w:hAnsi="Arial"/>
                <w:sz w:val="23"/>
                <w:szCs w:val="23"/>
                <w:b w:val="1"/>
                <w:bCs w:val="1"/>
                <w:color w:val="auto"/>
                <w:vertAlign w:val="superscript"/>
              </w:rPr>
              <w:t>a</w:t>
            </w:r>
          </w:p>
        </w:tc>
        <w:tc>
          <w:tcPr>
            <w:tcW w:w="460" w:type="dxa"/>
            <w:vAlign w:val="bottom"/>
            <w:tcBorders>
              <w:bottom w:val="single" w:sz="8" w:color="0C426A"/>
            </w:tcBorders>
          </w:tcPr>
          <w:p>
            <w:pPr>
              <w:spacing w:after="0"/>
              <w:rPr>
                <w:sz w:val="24"/>
                <w:szCs w:val="24"/>
                <w:color w:val="auto"/>
              </w:rPr>
            </w:pPr>
          </w:p>
        </w:tc>
        <w:tc>
          <w:tcPr>
            <w:tcW w:w="1220" w:type="dxa"/>
            <w:vAlign w:val="bottom"/>
            <w:tcBorders>
              <w:bottom w:val="single" w:sz="8" w:color="0C426A"/>
            </w:tcBorders>
          </w:tcPr>
          <w:p>
            <w:pPr>
              <w:jc w:val="right"/>
              <w:spacing w:after="0"/>
              <w:rPr>
                <w:sz w:val="20"/>
                <w:szCs w:val="20"/>
                <w:color w:val="auto"/>
              </w:rPr>
            </w:pPr>
            <w:r>
              <w:rPr>
                <w:rFonts w:ascii="Arial" w:cs="Arial" w:eastAsia="Arial" w:hAnsi="Arial"/>
                <w:sz w:val="14"/>
                <w:szCs w:val="14"/>
                <w:b w:val="1"/>
                <w:bCs w:val="1"/>
                <w:color w:val="auto"/>
              </w:rPr>
              <w:t>NEOs</w:t>
            </w:r>
          </w:p>
        </w:tc>
      </w:tr>
      <w:tr>
        <w:trPr>
          <w:trHeight w:val="280"/>
        </w:trPr>
        <w:tc>
          <w:tcPr>
            <w:tcW w:w="380" w:type="dxa"/>
            <w:vAlign w:val="bottom"/>
          </w:tcPr>
          <w:p>
            <w:pPr>
              <w:ind w:left="20"/>
              <w:spacing w:after="0"/>
              <w:rPr>
                <w:sz w:val="20"/>
                <w:szCs w:val="20"/>
                <w:color w:val="auto"/>
              </w:rPr>
            </w:pPr>
            <w:r>
              <w:rPr>
                <w:rFonts w:ascii="Arial" w:cs="Arial" w:eastAsia="Arial" w:hAnsi="Arial"/>
                <w:sz w:val="14"/>
                <w:szCs w:val="14"/>
                <w:color w:val="auto"/>
              </w:rPr>
              <w:t>2023</w:t>
            </w:r>
          </w:p>
        </w:tc>
        <w:tc>
          <w:tcPr>
            <w:tcW w:w="2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tcPr>
          <w:p>
            <w:pPr>
              <w:jc w:val="right"/>
              <w:ind w:right="149"/>
              <w:spacing w:after="0"/>
              <w:rPr>
                <w:sz w:val="20"/>
                <w:szCs w:val="20"/>
                <w:color w:val="auto"/>
              </w:rPr>
            </w:pPr>
            <w:r>
              <w:rPr>
                <w:rFonts w:ascii="Arial" w:cs="Arial" w:eastAsia="Arial" w:hAnsi="Arial"/>
                <w:sz w:val="14"/>
                <w:szCs w:val="14"/>
                <w:color w:val="auto"/>
              </w:rPr>
              <w:t>$3,457,624</w:t>
            </w:r>
            <w:r>
              <w:rPr>
                <w:rFonts w:ascii="Times New Roman" w:cs="Times New Roman" w:eastAsia="Times New Roman" w:hAnsi="Times New Roman"/>
                <w:sz w:val="3"/>
                <w:szCs w:val="3"/>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520" w:type="dxa"/>
            <w:vAlign w:val="bottom"/>
          </w:tcPr>
          <w:p>
            <w:pPr>
              <w:jc w:val="right"/>
              <w:ind w:right="149"/>
              <w:spacing w:after="0"/>
              <w:rPr>
                <w:sz w:val="20"/>
                <w:szCs w:val="20"/>
                <w:color w:val="auto"/>
              </w:rPr>
            </w:pPr>
            <w:r>
              <w:rPr>
                <w:rFonts w:ascii="Arial" w:cs="Arial" w:eastAsia="Arial" w:hAnsi="Arial"/>
                <w:sz w:val="14"/>
                <w:szCs w:val="14"/>
                <w:color w:val="auto"/>
              </w:rPr>
              <w:t>$(1,621,522)</w:t>
            </w:r>
            <w:r>
              <w:rPr>
                <w:rFonts w:ascii="Times New Roman" w:cs="Times New Roman" w:eastAsia="Times New Roman" w:hAnsi="Times New Roman"/>
                <w:sz w:val="3"/>
                <w:szCs w:val="3"/>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Pr>
          <w:p>
            <w:pPr>
              <w:jc w:val="right"/>
              <w:ind w:right="156"/>
              <w:spacing w:after="0"/>
              <w:rPr>
                <w:sz w:val="20"/>
                <w:szCs w:val="20"/>
                <w:color w:val="auto"/>
              </w:rPr>
            </w:pPr>
            <w:r>
              <w:rPr>
                <w:rFonts w:ascii="Arial" w:cs="Arial" w:eastAsia="Arial" w:hAnsi="Arial"/>
                <w:sz w:val="14"/>
                <w:szCs w:val="14"/>
                <w:color w:val="auto"/>
              </w:rPr>
              <w:t>$3,759,440</w:t>
            </w:r>
            <w:r>
              <w:rPr>
                <w:rFonts w:ascii="Times New Roman" w:cs="Times New Roman" w:eastAsia="Times New Roman" w:hAnsi="Times New Roman"/>
                <w:sz w:val="3"/>
                <w:szCs w:val="3"/>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$5,595,542</w:t>
            </w:r>
          </w:p>
        </w:tc>
      </w:tr>
      <w:tr>
        <w:trPr>
          <w:trHeight w:val="48"/>
        </w:trPr>
        <w:tc>
          <w:tcPr>
            <w:tcW w:w="3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88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52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8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r>
      <w:tr>
        <w:trPr>
          <w:trHeight w:val="240"/>
        </w:trPr>
        <w:tc>
          <w:tcPr>
            <w:tcW w:w="380" w:type="dxa"/>
            <w:vAlign w:val="bottom"/>
          </w:tcPr>
          <w:p>
            <w:pPr>
              <w:ind w:left="20"/>
              <w:spacing w:after="0"/>
              <w:rPr>
                <w:sz w:val="20"/>
                <w:szCs w:val="20"/>
                <w:color w:val="auto"/>
              </w:rPr>
            </w:pPr>
            <w:r>
              <w:rPr>
                <w:rFonts w:ascii="Arial" w:cs="Arial" w:eastAsia="Arial" w:hAnsi="Arial"/>
                <w:sz w:val="14"/>
                <w:szCs w:val="14"/>
                <w:color w:val="auto"/>
              </w:rPr>
              <w:t>2022</w:t>
            </w:r>
          </w:p>
        </w:tc>
        <w:tc>
          <w:tcPr>
            <w:tcW w:w="2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tcPr>
          <w:p>
            <w:pPr>
              <w:jc w:val="right"/>
              <w:ind w:right="149"/>
              <w:spacing w:after="0"/>
              <w:rPr>
                <w:sz w:val="20"/>
                <w:szCs w:val="20"/>
                <w:color w:val="auto"/>
              </w:rPr>
            </w:pPr>
            <w:r>
              <w:rPr>
                <w:rFonts w:ascii="Arial" w:cs="Arial" w:eastAsia="Arial" w:hAnsi="Arial"/>
                <w:sz w:val="14"/>
                <w:szCs w:val="14"/>
                <w:color w:val="auto"/>
              </w:rPr>
              <w:t>$2,629,586</w:t>
            </w:r>
            <w:r>
              <w:rPr>
                <w:rFonts w:ascii="Times New Roman" w:cs="Times New Roman" w:eastAsia="Times New Roman" w:hAnsi="Times New Roman"/>
                <w:sz w:val="3"/>
                <w:szCs w:val="3"/>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520" w:type="dxa"/>
            <w:vAlign w:val="bottom"/>
          </w:tcPr>
          <w:p>
            <w:pPr>
              <w:jc w:val="right"/>
              <w:ind w:right="149"/>
              <w:spacing w:after="0"/>
              <w:rPr>
                <w:sz w:val="20"/>
                <w:szCs w:val="20"/>
                <w:color w:val="auto"/>
              </w:rPr>
            </w:pPr>
            <w:r>
              <w:rPr>
                <w:rFonts w:ascii="Arial" w:cs="Arial" w:eastAsia="Arial" w:hAnsi="Arial"/>
                <w:sz w:val="14"/>
                <w:szCs w:val="14"/>
                <w:color w:val="auto"/>
              </w:rPr>
              <w:t>$(1,250,011)</w:t>
            </w:r>
            <w:r>
              <w:rPr>
                <w:rFonts w:ascii="Times New Roman" w:cs="Times New Roman" w:eastAsia="Times New Roman" w:hAnsi="Times New Roman"/>
                <w:sz w:val="3"/>
                <w:szCs w:val="3"/>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Pr>
          <w:p>
            <w:pPr>
              <w:jc w:val="right"/>
              <w:ind w:right="156"/>
              <w:spacing w:after="0"/>
              <w:rPr>
                <w:sz w:val="20"/>
                <w:szCs w:val="20"/>
                <w:color w:val="auto"/>
              </w:rPr>
            </w:pPr>
            <w:r>
              <w:rPr>
                <w:rFonts w:ascii="Arial" w:cs="Arial" w:eastAsia="Arial" w:hAnsi="Arial"/>
                <w:sz w:val="14"/>
                <w:szCs w:val="14"/>
                <w:color w:val="auto"/>
              </w:rPr>
              <w:t>$1,669,960</w:t>
            </w:r>
            <w:r>
              <w:rPr>
                <w:rFonts w:ascii="Times New Roman" w:cs="Times New Roman" w:eastAsia="Times New Roman" w:hAnsi="Times New Roman"/>
                <w:sz w:val="3"/>
                <w:szCs w:val="3"/>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$3,049,535</w:t>
            </w:r>
          </w:p>
        </w:tc>
      </w:tr>
      <w:tr>
        <w:trPr>
          <w:trHeight w:val="48"/>
        </w:trPr>
        <w:tc>
          <w:tcPr>
            <w:tcW w:w="3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88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52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8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r>
      <w:tr>
        <w:trPr>
          <w:trHeight w:val="240"/>
        </w:trPr>
        <w:tc>
          <w:tcPr>
            <w:tcW w:w="380" w:type="dxa"/>
            <w:vAlign w:val="bottom"/>
          </w:tcPr>
          <w:p>
            <w:pPr>
              <w:ind w:left="20"/>
              <w:spacing w:after="0"/>
              <w:rPr>
                <w:sz w:val="20"/>
                <w:szCs w:val="20"/>
                <w:color w:val="auto"/>
              </w:rPr>
            </w:pPr>
            <w:r>
              <w:rPr>
                <w:rFonts w:ascii="Arial" w:cs="Arial" w:eastAsia="Arial" w:hAnsi="Arial"/>
                <w:sz w:val="14"/>
                <w:szCs w:val="14"/>
                <w:color w:val="auto"/>
              </w:rPr>
              <w:t>2021</w:t>
            </w:r>
          </w:p>
        </w:tc>
        <w:tc>
          <w:tcPr>
            <w:tcW w:w="2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tcPr>
          <w:p>
            <w:pPr>
              <w:jc w:val="right"/>
              <w:ind w:right="149"/>
              <w:spacing w:after="0"/>
              <w:rPr>
                <w:sz w:val="20"/>
                <w:szCs w:val="20"/>
                <w:color w:val="auto"/>
              </w:rPr>
            </w:pPr>
            <w:r>
              <w:rPr>
                <w:rFonts w:ascii="Arial" w:cs="Arial" w:eastAsia="Arial" w:hAnsi="Arial"/>
                <w:sz w:val="14"/>
                <w:szCs w:val="14"/>
                <w:color w:val="auto"/>
              </w:rPr>
              <w:t>$3,806,454</w:t>
            </w:r>
            <w:r>
              <w:rPr>
                <w:rFonts w:ascii="Times New Roman" w:cs="Times New Roman" w:eastAsia="Times New Roman" w:hAnsi="Times New Roman"/>
                <w:sz w:val="3"/>
                <w:szCs w:val="3"/>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520" w:type="dxa"/>
            <w:vAlign w:val="bottom"/>
          </w:tcPr>
          <w:p>
            <w:pPr>
              <w:jc w:val="right"/>
              <w:ind w:right="149"/>
              <w:spacing w:after="0"/>
              <w:rPr>
                <w:sz w:val="20"/>
                <w:szCs w:val="20"/>
                <w:color w:val="auto"/>
              </w:rPr>
            </w:pPr>
            <w:r>
              <w:rPr>
                <w:rFonts w:ascii="Arial" w:cs="Arial" w:eastAsia="Arial" w:hAnsi="Arial"/>
                <w:sz w:val="14"/>
                <w:szCs w:val="14"/>
                <w:color w:val="auto"/>
              </w:rPr>
              <w:t>$(1,917,786)</w:t>
            </w:r>
            <w:r>
              <w:rPr>
                <w:rFonts w:ascii="Times New Roman" w:cs="Times New Roman" w:eastAsia="Times New Roman" w:hAnsi="Times New Roman"/>
                <w:sz w:val="3"/>
                <w:szCs w:val="3"/>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Pr>
          <w:p>
            <w:pPr>
              <w:jc w:val="right"/>
              <w:ind w:right="156"/>
              <w:spacing w:after="0"/>
              <w:rPr>
                <w:sz w:val="20"/>
                <w:szCs w:val="20"/>
                <w:color w:val="auto"/>
              </w:rPr>
            </w:pPr>
            <w:r>
              <w:rPr>
                <w:rFonts w:ascii="Arial" w:cs="Arial" w:eastAsia="Arial" w:hAnsi="Arial"/>
                <w:sz w:val="14"/>
                <w:szCs w:val="14"/>
                <w:color w:val="auto"/>
              </w:rPr>
              <w:t>$1,676,503</w:t>
            </w:r>
            <w:r>
              <w:rPr>
                <w:rFonts w:ascii="Times New Roman" w:cs="Times New Roman" w:eastAsia="Times New Roman" w:hAnsi="Times New Roman"/>
                <w:sz w:val="3"/>
                <w:szCs w:val="3"/>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$3,565,170</w:t>
            </w:r>
          </w:p>
        </w:tc>
      </w:tr>
      <w:tr>
        <w:trPr>
          <w:trHeight w:val="48"/>
        </w:trPr>
        <w:tc>
          <w:tcPr>
            <w:tcW w:w="3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88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52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8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r>
      <w:tr>
        <w:trPr>
          <w:trHeight w:val="240"/>
        </w:trPr>
        <w:tc>
          <w:tcPr>
            <w:tcW w:w="380" w:type="dxa"/>
            <w:vAlign w:val="bottom"/>
          </w:tcPr>
          <w:p>
            <w:pPr>
              <w:ind w:left="20"/>
              <w:spacing w:after="0"/>
              <w:rPr>
                <w:sz w:val="20"/>
                <w:szCs w:val="20"/>
                <w:color w:val="auto"/>
              </w:rPr>
            </w:pPr>
            <w:r>
              <w:rPr>
                <w:rFonts w:ascii="Arial" w:cs="Arial" w:eastAsia="Arial" w:hAnsi="Arial"/>
                <w:sz w:val="14"/>
                <w:szCs w:val="14"/>
                <w:color w:val="auto"/>
              </w:rPr>
              <w:t>2020</w:t>
            </w:r>
          </w:p>
        </w:tc>
        <w:tc>
          <w:tcPr>
            <w:tcW w:w="2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tcPr>
          <w:p>
            <w:pPr>
              <w:jc w:val="right"/>
              <w:ind w:right="149"/>
              <w:spacing w:after="0"/>
              <w:rPr>
                <w:sz w:val="20"/>
                <w:szCs w:val="20"/>
                <w:color w:val="auto"/>
              </w:rPr>
            </w:pPr>
            <w:r>
              <w:rPr>
                <w:rFonts w:ascii="Arial" w:cs="Arial" w:eastAsia="Arial" w:hAnsi="Arial"/>
                <w:sz w:val="14"/>
                <w:szCs w:val="14"/>
                <w:color w:val="auto"/>
              </w:rPr>
              <w:t>$2,847,857</w:t>
            </w:r>
            <w:r>
              <w:rPr>
                <w:rFonts w:ascii="Times New Roman" w:cs="Times New Roman" w:eastAsia="Times New Roman" w:hAnsi="Times New Roman"/>
                <w:sz w:val="3"/>
                <w:szCs w:val="3"/>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520" w:type="dxa"/>
            <w:vAlign w:val="bottom"/>
          </w:tcPr>
          <w:p>
            <w:pPr>
              <w:jc w:val="right"/>
              <w:ind w:right="149"/>
              <w:spacing w:after="0"/>
              <w:rPr>
                <w:sz w:val="20"/>
                <w:szCs w:val="20"/>
                <w:color w:val="auto"/>
              </w:rPr>
            </w:pPr>
            <w:r>
              <w:rPr>
                <w:rFonts w:ascii="Arial" w:cs="Arial" w:eastAsia="Arial" w:hAnsi="Arial"/>
                <w:sz w:val="14"/>
                <w:szCs w:val="14"/>
                <w:color w:val="auto"/>
              </w:rPr>
              <w:t>$(1,531,362)</w:t>
            </w:r>
            <w:r>
              <w:rPr>
                <w:rFonts w:ascii="Times New Roman" w:cs="Times New Roman" w:eastAsia="Times New Roman" w:hAnsi="Times New Roman"/>
                <w:sz w:val="3"/>
                <w:szCs w:val="3"/>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Pr>
          <w:p>
            <w:pPr>
              <w:jc w:val="right"/>
              <w:ind w:right="156"/>
              <w:spacing w:after="0"/>
              <w:rPr>
                <w:sz w:val="20"/>
                <w:szCs w:val="20"/>
                <w:color w:val="auto"/>
              </w:rPr>
            </w:pPr>
            <w:r>
              <w:rPr>
                <w:rFonts w:ascii="Arial" w:cs="Arial" w:eastAsia="Arial" w:hAnsi="Arial"/>
                <w:sz w:val="14"/>
                <w:szCs w:val="14"/>
                <w:color w:val="auto"/>
              </w:rPr>
              <w:t>$  170,833</w:t>
            </w:r>
            <w:r>
              <w:rPr>
                <w:rFonts w:ascii="Times New Roman" w:cs="Times New Roman" w:eastAsia="Times New Roman" w:hAnsi="Times New Roman"/>
                <w:sz w:val="3"/>
                <w:szCs w:val="3"/>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$1,487,328</w:t>
            </w:r>
          </w:p>
        </w:tc>
      </w:tr>
      <w:tr>
        <w:trPr>
          <w:trHeight w:val="48"/>
        </w:trPr>
        <w:tc>
          <w:tcPr>
            <w:tcW w:w="3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88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52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8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r>
    </w:tbl>
    <w:p>
      <w:pPr>
        <w:spacing w:after="0" w:line="99" w:lineRule="exact"/>
        <w:rPr>
          <w:sz w:val="20"/>
          <w:szCs w:val="20"/>
          <w:color w:val="auto"/>
        </w:rPr>
      </w:pPr>
    </w:p>
    <w:p>
      <w:pPr>
        <w:ind w:left="1320" w:hanging="176"/>
        <w:spacing w:after="0"/>
        <w:tabs>
          <w:tab w:leader="none" w:pos="1320" w:val="left"/>
        </w:tabs>
        <w:numPr>
          <w:ilvl w:val="0"/>
          <w:numId w:val="77"/>
        </w:numPr>
        <w:rPr>
          <w:rFonts w:ascii="Arial" w:cs="Arial" w:eastAsia="Arial" w:hAnsi="Arial"/>
          <w:sz w:val="21"/>
          <w:szCs w:val="21"/>
          <w:color w:val="auto"/>
          <w:vertAlign w:val="superscript"/>
        </w:rPr>
      </w:pPr>
      <w:r>
        <w:rPr>
          <w:rFonts w:ascii="Arial" w:cs="Arial" w:eastAsia="Arial" w:hAnsi="Arial"/>
          <w:sz w:val="14"/>
          <w:szCs w:val="14"/>
          <w:color w:val="auto"/>
        </w:rPr>
        <w:t>The amounts deducted or added in calculating the total average equity award adjustments are as follows:</w:t>
      </w:r>
    </w:p>
    <w:p>
      <w:pPr>
        <w:spacing w:after="0" w:line="145"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Average Value</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1"/>
        </w:trPr>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Year over</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of Dividends</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1"/>
        </w:trPr>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Year Average</w:t>
            </w:r>
          </w:p>
        </w:tc>
        <w:tc>
          <w:tcPr>
            <w:tcW w:w="100" w:type="dxa"/>
            <w:vAlign w:val="bottom"/>
          </w:tcPr>
          <w:p>
            <w:pPr>
              <w:spacing w:after="0"/>
              <w:rPr>
                <w:sz w:val="13"/>
                <w:szCs w:val="13"/>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b w:val="1"/>
                <w:bCs w:val="1"/>
                <w:color w:val="auto"/>
              </w:rPr>
              <w:t>Average Fair</w:t>
            </w:r>
          </w:p>
        </w:tc>
        <w:tc>
          <w:tcPr>
            <w:tcW w:w="120" w:type="dxa"/>
            <w:vAlign w:val="bottom"/>
          </w:tcPr>
          <w:p>
            <w:pPr>
              <w:spacing w:after="0"/>
              <w:rPr>
                <w:sz w:val="13"/>
                <w:szCs w:val="13"/>
                <w:color w:val="auto"/>
              </w:rPr>
            </w:pPr>
          </w:p>
        </w:tc>
        <w:tc>
          <w:tcPr>
            <w:tcW w:w="116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or other</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1"/>
        </w:trPr>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46"/>
              <w:spacing w:after="0"/>
              <w:rPr>
                <w:sz w:val="20"/>
                <w:szCs w:val="20"/>
                <w:color w:val="auto"/>
              </w:rPr>
            </w:pPr>
            <w:r>
              <w:rPr>
                <w:rFonts w:ascii="Arial" w:cs="Arial" w:eastAsia="Arial" w:hAnsi="Arial"/>
                <w:sz w:val="14"/>
                <w:szCs w:val="14"/>
                <w:b w:val="1"/>
                <w:bCs w:val="1"/>
                <w:color w:val="auto"/>
              </w:rPr>
              <w:t>Average Fair</w:t>
            </w:r>
          </w:p>
        </w:tc>
        <w:tc>
          <w:tcPr>
            <w:tcW w:w="100" w:type="dxa"/>
            <w:vAlign w:val="bottom"/>
          </w:tcPr>
          <w:p>
            <w:pPr>
              <w:spacing w:after="0"/>
              <w:rPr>
                <w:sz w:val="13"/>
                <w:szCs w:val="13"/>
                <w:color w:val="auto"/>
              </w:rPr>
            </w:pPr>
          </w:p>
        </w:tc>
        <w:tc>
          <w:tcPr>
            <w:tcW w:w="114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Change in Fair</w:t>
            </w:r>
          </w:p>
        </w:tc>
        <w:tc>
          <w:tcPr>
            <w:tcW w:w="100" w:type="dxa"/>
            <w:vAlign w:val="bottom"/>
          </w:tcPr>
          <w:p>
            <w:pPr>
              <w:spacing w:after="0"/>
              <w:rPr>
                <w:sz w:val="13"/>
                <w:szCs w:val="13"/>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b w:val="1"/>
                <w:bCs w:val="1"/>
                <w:color w:val="auto"/>
              </w:rPr>
              <w:t>Value at the</w:t>
            </w:r>
          </w:p>
        </w:tc>
        <w:tc>
          <w:tcPr>
            <w:tcW w:w="120" w:type="dxa"/>
            <w:vAlign w:val="bottom"/>
          </w:tcPr>
          <w:p>
            <w:pPr>
              <w:spacing w:after="0"/>
              <w:rPr>
                <w:sz w:val="13"/>
                <w:szCs w:val="13"/>
                <w:color w:val="auto"/>
              </w:rPr>
            </w:pPr>
          </w:p>
        </w:tc>
        <w:tc>
          <w:tcPr>
            <w:tcW w:w="116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Earnings Paid</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1"/>
        </w:trPr>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Year over</w:t>
            </w:r>
          </w:p>
        </w:tc>
        <w:tc>
          <w:tcPr>
            <w:tcW w:w="100" w:type="dxa"/>
            <w:vAlign w:val="bottom"/>
          </w:tcPr>
          <w:p>
            <w:pPr>
              <w:spacing w:after="0"/>
              <w:rPr>
                <w:sz w:val="13"/>
                <w:szCs w:val="13"/>
                <w:color w:val="auto"/>
              </w:rPr>
            </w:pPr>
          </w:p>
        </w:tc>
        <w:tc>
          <w:tcPr>
            <w:tcW w:w="1140" w:type="dxa"/>
            <w:vAlign w:val="bottom"/>
            <w:gridSpan w:val="2"/>
          </w:tcPr>
          <w:p>
            <w:pPr>
              <w:jc w:val="right"/>
              <w:ind w:right="46"/>
              <w:spacing w:after="0"/>
              <w:rPr>
                <w:sz w:val="20"/>
                <w:szCs w:val="20"/>
                <w:color w:val="auto"/>
              </w:rPr>
            </w:pPr>
            <w:r>
              <w:rPr>
                <w:rFonts w:ascii="Arial" w:cs="Arial" w:eastAsia="Arial" w:hAnsi="Arial"/>
                <w:sz w:val="14"/>
                <w:szCs w:val="14"/>
                <w:b w:val="1"/>
                <w:bCs w:val="1"/>
                <w:color w:val="auto"/>
              </w:rPr>
              <w:t>Value as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3"/>
                <w:szCs w:val="13"/>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b w:val="1"/>
                <w:bCs w:val="1"/>
                <w:color w:val="auto"/>
              </w:rPr>
              <w:t>End of the Prior</w:t>
            </w:r>
          </w:p>
        </w:tc>
        <w:tc>
          <w:tcPr>
            <w:tcW w:w="120" w:type="dxa"/>
            <w:vAlign w:val="bottom"/>
          </w:tcPr>
          <w:p>
            <w:pPr>
              <w:spacing w:after="0"/>
              <w:rPr>
                <w:sz w:val="13"/>
                <w:szCs w:val="13"/>
                <w:color w:val="auto"/>
              </w:rPr>
            </w:pPr>
          </w:p>
        </w:tc>
        <w:tc>
          <w:tcPr>
            <w:tcW w:w="116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on Stock or</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1"/>
        </w:trPr>
        <w:tc>
          <w:tcPr>
            <w:tcW w:w="360" w:type="dxa"/>
            <w:vAlign w:val="bottom"/>
          </w:tcPr>
          <w:p>
            <w:pPr>
              <w:spacing w:after="0"/>
              <w:rPr>
                <w:sz w:val="13"/>
                <w:szCs w:val="13"/>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Year Average </w:t>
            </w:r>
            <w:r>
              <w:rPr>
                <w:rFonts w:ascii="Times New Roman" w:cs="Times New Roman" w:eastAsia="Times New Roman" w:hAnsi="Times New Roman"/>
                <w:sz w:val="3"/>
                <w:szCs w:val="3"/>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40" w:type="dxa"/>
            <w:vAlign w:val="bottom"/>
            <w:gridSpan w:val="2"/>
          </w:tcPr>
          <w:p>
            <w:pPr>
              <w:jc w:val="right"/>
              <w:ind w:right="6"/>
              <w:spacing w:after="0"/>
              <w:rPr>
                <w:sz w:val="20"/>
                <w:szCs w:val="20"/>
                <w:color w:val="auto"/>
              </w:rPr>
            </w:pPr>
            <w:r>
              <w:rPr>
                <w:rFonts w:ascii="Arial" w:cs="Arial" w:eastAsia="Arial" w:hAnsi="Arial"/>
                <w:sz w:val="14"/>
                <w:szCs w:val="14"/>
                <w:b w:val="1"/>
                <w:bCs w:val="1"/>
                <w:color w:val="auto"/>
              </w:rPr>
              <w:t xml:space="preserve">of Vesting </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of Equity </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xml:space="preserve">Year of Equity </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Option Awards </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Pr>
          <w:p>
            <w:pPr>
              <w:spacing w:after="0"/>
              <w:rPr>
                <w:sz w:val="13"/>
                <w:szCs w:val="13"/>
                <w:color w:val="auto"/>
              </w:rPr>
            </w:pPr>
          </w:p>
        </w:tc>
      </w:tr>
      <w:tr>
        <w:trPr>
          <w:trHeight w:val="161"/>
        </w:trPr>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Change in</w:t>
            </w:r>
          </w:p>
        </w:tc>
        <w:tc>
          <w:tcPr>
            <w:tcW w:w="100" w:type="dxa"/>
            <w:vAlign w:val="bottom"/>
          </w:tcPr>
          <w:p>
            <w:pPr>
              <w:spacing w:after="0"/>
              <w:rPr>
                <w:sz w:val="13"/>
                <w:szCs w:val="13"/>
                <w:color w:val="auto"/>
              </w:rPr>
            </w:pPr>
          </w:p>
        </w:tc>
        <w:tc>
          <w:tcPr>
            <w:tcW w:w="1140" w:type="dxa"/>
            <w:vAlign w:val="bottom"/>
            <w:gridSpan w:val="2"/>
          </w:tcPr>
          <w:p>
            <w:pPr>
              <w:jc w:val="right"/>
              <w:ind w:right="46"/>
              <w:spacing w:after="0"/>
              <w:rPr>
                <w:sz w:val="20"/>
                <w:szCs w:val="20"/>
                <w:color w:val="auto"/>
              </w:rPr>
            </w:pPr>
            <w:r>
              <w:rPr>
                <w:rFonts w:ascii="Arial" w:cs="Arial" w:eastAsia="Arial" w:hAnsi="Arial"/>
                <w:sz w:val="14"/>
                <w:szCs w:val="14"/>
                <w:b w:val="1"/>
                <w:bCs w:val="1"/>
                <w:color w:val="auto"/>
              </w:rPr>
              <w:t>Date of</w:t>
            </w:r>
          </w:p>
        </w:tc>
        <w:tc>
          <w:tcPr>
            <w:tcW w:w="100" w:type="dxa"/>
            <w:vAlign w:val="bottom"/>
          </w:tcPr>
          <w:p>
            <w:pPr>
              <w:spacing w:after="0"/>
              <w:rPr>
                <w:sz w:val="13"/>
                <w:szCs w:val="13"/>
                <w:color w:val="auto"/>
              </w:rPr>
            </w:pPr>
          </w:p>
        </w:tc>
        <w:tc>
          <w:tcPr>
            <w:tcW w:w="114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3"/>
                <w:szCs w:val="13"/>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b w:val="1"/>
                <w:bCs w:val="1"/>
                <w:color w:val="auto"/>
              </w:rPr>
              <w:t>Awards that</w:t>
            </w:r>
          </w:p>
        </w:tc>
        <w:tc>
          <w:tcPr>
            <w:tcW w:w="120" w:type="dxa"/>
            <w:vAlign w:val="bottom"/>
          </w:tcPr>
          <w:p>
            <w:pPr>
              <w:spacing w:after="0"/>
              <w:rPr>
                <w:sz w:val="13"/>
                <w:szCs w:val="13"/>
                <w:color w:val="auto"/>
              </w:rPr>
            </w:pPr>
          </w:p>
        </w:tc>
        <w:tc>
          <w:tcPr>
            <w:tcW w:w="116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not Otherwise</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1"/>
        </w:trPr>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15"/>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3"/>
                <w:szCs w:val="13"/>
                <w:color w:val="auto"/>
              </w:rPr>
            </w:pPr>
          </w:p>
        </w:tc>
        <w:tc>
          <w:tcPr>
            <w:tcW w:w="10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Fair Value of</w:t>
            </w:r>
          </w:p>
        </w:tc>
        <w:tc>
          <w:tcPr>
            <w:tcW w:w="100" w:type="dxa"/>
            <w:vAlign w:val="bottom"/>
          </w:tcPr>
          <w:p>
            <w:pPr>
              <w:spacing w:after="0"/>
              <w:rPr>
                <w:sz w:val="13"/>
                <w:szCs w:val="13"/>
                <w:color w:val="auto"/>
              </w:rPr>
            </w:pPr>
          </w:p>
        </w:tc>
        <w:tc>
          <w:tcPr>
            <w:tcW w:w="1140" w:type="dxa"/>
            <w:vAlign w:val="bottom"/>
            <w:gridSpan w:val="2"/>
          </w:tcPr>
          <w:p>
            <w:pPr>
              <w:jc w:val="right"/>
              <w:ind w:right="46"/>
              <w:spacing w:after="0"/>
              <w:rPr>
                <w:sz w:val="20"/>
                <w:szCs w:val="20"/>
                <w:color w:val="auto"/>
              </w:rPr>
            </w:pPr>
            <w:r>
              <w:rPr>
                <w:rFonts w:ascii="Arial" w:cs="Arial" w:eastAsia="Arial" w:hAnsi="Arial"/>
                <w:sz w:val="14"/>
                <w:szCs w:val="14"/>
                <w:b w:val="1"/>
                <w:bCs w:val="1"/>
                <w:color w:val="auto"/>
              </w:rPr>
              <w:t>Equity Awards</w:t>
            </w:r>
          </w:p>
        </w:tc>
        <w:tc>
          <w:tcPr>
            <w:tcW w:w="100" w:type="dxa"/>
            <w:vAlign w:val="bottom"/>
          </w:tcPr>
          <w:p>
            <w:pPr>
              <w:spacing w:after="0"/>
              <w:rPr>
                <w:sz w:val="13"/>
                <w:szCs w:val="13"/>
                <w:color w:val="auto"/>
              </w:rPr>
            </w:pPr>
          </w:p>
        </w:tc>
        <w:tc>
          <w:tcPr>
            <w:tcW w:w="114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Granted in</w:t>
            </w:r>
          </w:p>
        </w:tc>
        <w:tc>
          <w:tcPr>
            <w:tcW w:w="100" w:type="dxa"/>
            <w:vAlign w:val="bottom"/>
          </w:tcPr>
          <w:p>
            <w:pPr>
              <w:spacing w:after="0"/>
              <w:rPr>
                <w:sz w:val="13"/>
                <w:szCs w:val="13"/>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b w:val="1"/>
                <w:bCs w:val="1"/>
                <w:color w:val="auto"/>
              </w:rPr>
              <w:t>Failed to</w:t>
            </w:r>
          </w:p>
        </w:tc>
        <w:tc>
          <w:tcPr>
            <w:tcW w:w="120" w:type="dxa"/>
            <w:vAlign w:val="bottom"/>
          </w:tcPr>
          <w:p>
            <w:pPr>
              <w:spacing w:after="0"/>
              <w:rPr>
                <w:sz w:val="13"/>
                <w:szCs w:val="13"/>
                <w:color w:val="auto"/>
              </w:rPr>
            </w:pPr>
          </w:p>
        </w:tc>
        <w:tc>
          <w:tcPr>
            <w:tcW w:w="116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Reflected in</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161"/>
        </w:trPr>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15"/>
              <w:spacing w:after="0"/>
              <w:rPr>
                <w:sz w:val="20"/>
                <w:szCs w:val="20"/>
                <w:color w:val="auto"/>
              </w:rPr>
            </w:pPr>
            <w:r>
              <w:rPr>
                <w:rFonts w:ascii="Arial" w:cs="Arial" w:eastAsia="Arial" w:hAnsi="Arial"/>
                <w:sz w:val="14"/>
                <w:szCs w:val="14"/>
                <w:b w:val="1"/>
                <w:bCs w:val="1"/>
                <w:color w:val="auto"/>
              </w:rPr>
              <w:t>Year End Fair</w:t>
            </w:r>
          </w:p>
        </w:tc>
        <w:tc>
          <w:tcPr>
            <w:tcW w:w="100" w:type="dxa"/>
            <w:vAlign w:val="bottom"/>
          </w:tcPr>
          <w:p>
            <w:pPr>
              <w:spacing w:after="0"/>
              <w:rPr>
                <w:sz w:val="13"/>
                <w:szCs w:val="13"/>
                <w:color w:val="auto"/>
              </w:rPr>
            </w:pPr>
          </w:p>
        </w:tc>
        <w:tc>
          <w:tcPr>
            <w:tcW w:w="10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3"/>
                <w:szCs w:val="13"/>
                <w:color w:val="auto"/>
              </w:rPr>
            </w:pPr>
          </w:p>
        </w:tc>
        <w:tc>
          <w:tcPr>
            <w:tcW w:w="1140" w:type="dxa"/>
            <w:vAlign w:val="bottom"/>
            <w:gridSpan w:val="2"/>
          </w:tcPr>
          <w:p>
            <w:pPr>
              <w:jc w:val="right"/>
              <w:ind w:right="46"/>
              <w:spacing w:after="0"/>
              <w:rPr>
                <w:sz w:val="20"/>
                <w:szCs w:val="20"/>
                <w:color w:val="auto"/>
              </w:rPr>
            </w:pPr>
            <w:r>
              <w:rPr>
                <w:rFonts w:ascii="Arial" w:cs="Arial" w:eastAsia="Arial" w:hAnsi="Arial"/>
                <w:sz w:val="14"/>
                <w:szCs w:val="14"/>
                <w:b w:val="1"/>
                <w:bCs w:val="1"/>
                <w:color w:val="auto"/>
              </w:rPr>
              <w:t>Granted and</w:t>
            </w:r>
          </w:p>
        </w:tc>
        <w:tc>
          <w:tcPr>
            <w:tcW w:w="100" w:type="dxa"/>
            <w:vAlign w:val="bottom"/>
          </w:tcPr>
          <w:p>
            <w:pPr>
              <w:spacing w:after="0"/>
              <w:rPr>
                <w:sz w:val="13"/>
                <w:szCs w:val="13"/>
                <w:color w:val="auto"/>
              </w:rPr>
            </w:pPr>
          </w:p>
        </w:tc>
        <w:tc>
          <w:tcPr>
            <w:tcW w:w="114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Prior Years</w:t>
            </w:r>
          </w:p>
        </w:tc>
        <w:tc>
          <w:tcPr>
            <w:tcW w:w="100" w:type="dxa"/>
            <w:vAlign w:val="bottom"/>
          </w:tcPr>
          <w:p>
            <w:pPr>
              <w:spacing w:after="0"/>
              <w:rPr>
                <w:sz w:val="13"/>
                <w:szCs w:val="13"/>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b w:val="1"/>
                <w:bCs w:val="1"/>
                <w:color w:val="auto"/>
              </w:rPr>
              <w:t>Meet Vesting</w:t>
            </w:r>
          </w:p>
        </w:tc>
        <w:tc>
          <w:tcPr>
            <w:tcW w:w="120" w:type="dxa"/>
            <w:vAlign w:val="bottom"/>
          </w:tcPr>
          <w:p>
            <w:pPr>
              <w:spacing w:after="0"/>
              <w:rPr>
                <w:sz w:val="13"/>
                <w:szCs w:val="13"/>
                <w:color w:val="auto"/>
              </w:rPr>
            </w:pPr>
          </w:p>
        </w:tc>
        <w:tc>
          <w:tcPr>
            <w:tcW w:w="116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Average</w:t>
            </w:r>
          </w:p>
        </w:tc>
      </w:tr>
      <w:tr>
        <w:trPr>
          <w:trHeight w:val="161"/>
        </w:trPr>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15"/>
              <w:spacing w:after="0"/>
              <w:rPr>
                <w:sz w:val="20"/>
                <w:szCs w:val="20"/>
                <w:color w:val="auto"/>
              </w:rPr>
            </w:pPr>
            <w:r>
              <w:rPr>
                <w:rFonts w:ascii="Arial" w:cs="Arial" w:eastAsia="Arial" w:hAnsi="Arial"/>
                <w:sz w:val="14"/>
                <w:szCs w:val="14"/>
                <w:b w:val="1"/>
                <w:bCs w:val="1"/>
                <w:color w:val="auto"/>
              </w:rPr>
              <w:t>Value of</w:t>
            </w:r>
          </w:p>
        </w:tc>
        <w:tc>
          <w:tcPr>
            <w:tcW w:w="100" w:type="dxa"/>
            <w:vAlign w:val="bottom"/>
          </w:tcPr>
          <w:p>
            <w:pPr>
              <w:spacing w:after="0"/>
              <w:rPr>
                <w:sz w:val="13"/>
                <w:szCs w:val="13"/>
                <w:color w:val="auto"/>
              </w:rPr>
            </w:pPr>
          </w:p>
        </w:tc>
        <w:tc>
          <w:tcPr>
            <w:tcW w:w="10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and Unvested</w:t>
            </w:r>
          </w:p>
        </w:tc>
        <w:tc>
          <w:tcPr>
            <w:tcW w:w="100" w:type="dxa"/>
            <w:vAlign w:val="bottom"/>
          </w:tcPr>
          <w:p>
            <w:pPr>
              <w:spacing w:after="0"/>
              <w:rPr>
                <w:sz w:val="13"/>
                <w:szCs w:val="13"/>
                <w:color w:val="auto"/>
              </w:rPr>
            </w:pPr>
          </w:p>
        </w:tc>
        <w:tc>
          <w:tcPr>
            <w:tcW w:w="1140" w:type="dxa"/>
            <w:vAlign w:val="bottom"/>
            <w:gridSpan w:val="2"/>
          </w:tcPr>
          <w:p>
            <w:pPr>
              <w:jc w:val="right"/>
              <w:ind w:right="46"/>
              <w:spacing w:after="0"/>
              <w:rPr>
                <w:sz w:val="20"/>
                <w:szCs w:val="20"/>
                <w:color w:val="auto"/>
              </w:rPr>
            </w:pPr>
            <w:r>
              <w:rPr>
                <w:rFonts w:ascii="Arial" w:cs="Arial" w:eastAsia="Arial" w:hAnsi="Arial"/>
                <w:sz w:val="14"/>
                <w:szCs w:val="14"/>
                <w:b w:val="1"/>
                <w:bCs w:val="1"/>
                <w:color w:val="auto"/>
              </w:rPr>
              <w:t>Vested in</w:t>
            </w:r>
          </w:p>
        </w:tc>
        <w:tc>
          <w:tcPr>
            <w:tcW w:w="100" w:type="dxa"/>
            <w:vAlign w:val="bottom"/>
          </w:tcPr>
          <w:p>
            <w:pPr>
              <w:spacing w:after="0"/>
              <w:rPr>
                <w:sz w:val="13"/>
                <w:szCs w:val="13"/>
                <w:color w:val="auto"/>
              </w:rPr>
            </w:pPr>
          </w:p>
        </w:tc>
        <w:tc>
          <w:tcPr>
            <w:tcW w:w="114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that Vested</w:t>
            </w:r>
          </w:p>
        </w:tc>
        <w:tc>
          <w:tcPr>
            <w:tcW w:w="100" w:type="dxa"/>
            <w:vAlign w:val="bottom"/>
          </w:tcPr>
          <w:p>
            <w:pPr>
              <w:spacing w:after="0"/>
              <w:rPr>
                <w:sz w:val="13"/>
                <w:szCs w:val="13"/>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b w:val="1"/>
                <w:bCs w:val="1"/>
                <w:color w:val="auto"/>
              </w:rPr>
              <w:t>Conditions</w:t>
            </w:r>
          </w:p>
        </w:tc>
        <w:tc>
          <w:tcPr>
            <w:tcW w:w="120" w:type="dxa"/>
            <w:vAlign w:val="bottom"/>
          </w:tcPr>
          <w:p>
            <w:pPr>
              <w:spacing w:after="0"/>
              <w:rPr>
                <w:sz w:val="13"/>
                <w:szCs w:val="13"/>
                <w:color w:val="auto"/>
              </w:rPr>
            </w:pPr>
          </w:p>
        </w:tc>
        <w:tc>
          <w:tcPr>
            <w:tcW w:w="116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or Total</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Equity Award</w:t>
            </w:r>
          </w:p>
        </w:tc>
      </w:tr>
      <w:tr>
        <w:trPr>
          <w:trHeight w:val="195"/>
        </w:trPr>
        <w:tc>
          <w:tcPr>
            <w:tcW w:w="36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Equity Awards</w:t>
            </w:r>
          </w:p>
        </w:tc>
        <w:tc>
          <w:tcPr>
            <w:tcW w:w="10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Equity Awards</w:t>
            </w:r>
          </w:p>
        </w:tc>
        <w:tc>
          <w:tcPr>
            <w:tcW w:w="100" w:type="dxa"/>
            <w:vAlign w:val="bottom"/>
          </w:tcPr>
          <w:p>
            <w:pPr>
              <w:spacing w:after="0"/>
              <w:rPr>
                <w:sz w:val="16"/>
                <w:szCs w:val="16"/>
                <w:color w:val="auto"/>
              </w:rPr>
            </w:pPr>
          </w:p>
        </w:tc>
        <w:tc>
          <w:tcPr>
            <w:tcW w:w="1140" w:type="dxa"/>
            <w:vAlign w:val="bottom"/>
            <w:gridSpan w:val="2"/>
          </w:tcPr>
          <w:p>
            <w:pPr>
              <w:jc w:val="right"/>
              <w:ind w:right="6"/>
              <w:spacing w:after="0"/>
              <w:rPr>
                <w:sz w:val="20"/>
                <w:szCs w:val="20"/>
                <w:color w:val="auto"/>
              </w:rPr>
            </w:pPr>
            <w:r>
              <w:rPr>
                <w:rFonts w:ascii="Arial" w:cs="Arial" w:eastAsia="Arial" w:hAnsi="Arial"/>
                <w:sz w:val="14"/>
                <w:szCs w:val="14"/>
                <w:b w:val="1"/>
                <w:bCs w:val="1"/>
                <w:color w:val="auto"/>
              </w:rPr>
              <w:t>the Year</w:t>
            </w:r>
          </w:p>
        </w:tc>
        <w:tc>
          <w:tcPr>
            <w:tcW w:w="10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the Year</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in the Year</w:t>
            </w:r>
          </w:p>
        </w:tc>
        <w:tc>
          <w:tcPr>
            <w:tcW w:w="12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Adjustments</w:t>
            </w:r>
          </w:p>
        </w:tc>
      </w:tr>
      <w:tr>
        <w:trPr>
          <w:trHeight w:val="82"/>
        </w:trPr>
        <w:tc>
          <w:tcPr>
            <w:tcW w:w="360" w:type="dxa"/>
            <w:vAlign w:val="bottom"/>
            <w:tcBorders>
              <w:bottom w:val="single" w:sz="8" w:color="0C426A"/>
            </w:tcBorders>
          </w:tcPr>
          <w:p>
            <w:pPr>
              <w:spacing w:after="0"/>
              <w:rPr>
                <w:sz w:val="7"/>
                <w:szCs w:val="7"/>
                <w:color w:val="auto"/>
              </w:rPr>
            </w:pPr>
          </w:p>
        </w:tc>
        <w:tc>
          <w:tcPr>
            <w:tcW w:w="100" w:type="dxa"/>
            <w:vAlign w:val="bottom"/>
            <w:tcBorders>
              <w:bottom w:val="single" w:sz="8" w:color="0C426A"/>
            </w:tcBorders>
          </w:tcPr>
          <w:p>
            <w:pPr>
              <w:spacing w:after="0"/>
              <w:rPr>
                <w:sz w:val="7"/>
                <w:szCs w:val="7"/>
                <w:color w:val="auto"/>
              </w:rPr>
            </w:pPr>
          </w:p>
        </w:tc>
        <w:tc>
          <w:tcPr>
            <w:tcW w:w="80" w:type="dxa"/>
            <w:vAlign w:val="bottom"/>
            <w:tcBorders>
              <w:bottom w:val="single" w:sz="8" w:color="0C426A"/>
            </w:tcBorders>
          </w:tcPr>
          <w:p>
            <w:pPr>
              <w:spacing w:after="0"/>
              <w:rPr>
                <w:sz w:val="7"/>
                <w:szCs w:val="7"/>
                <w:color w:val="auto"/>
              </w:rPr>
            </w:pPr>
          </w:p>
        </w:tc>
        <w:tc>
          <w:tcPr>
            <w:tcW w:w="1080" w:type="dxa"/>
            <w:vAlign w:val="bottom"/>
            <w:tcBorders>
              <w:bottom w:val="single" w:sz="8" w:color="0C426A"/>
            </w:tcBorders>
          </w:tcPr>
          <w:p>
            <w:pPr>
              <w:spacing w:after="0"/>
              <w:rPr>
                <w:sz w:val="7"/>
                <w:szCs w:val="7"/>
                <w:color w:val="auto"/>
              </w:rPr>
            </w:pPr>
          </w:p>
        </w:tc>
        <w:tc>
          <w:tcPr>
            <w:tcW w:w="100" w:type="dxa"/>
            <w:vAlign w:val="bottom"/>
            <w:tcBorders>
              <w:bottom w:val="single" w:sz="8" w:color="0C426A"/>
            </w:tcBorders>
          </w:tcPr>
          <w:p>
            <w:pPr>
              <w:spacing w:after="0"/>
              <w:rPr>
                <w:sz w:val="7"/>
                <w:szCs w:val="7"/>
                <w:color w:val="auto"/>
              </w:rPr>
            </w:pPr>
          </w:p>
        </w:tc>
        <w:tc>
          <w:tcPr>
            <w:tcW w:w="1080" w:type="dxa"/>
            <w:vAlign w:val="bottom"/>
            <w:tcBorders>
              <w:bottom w:val="single" w:sz="8" w:color="0C426A"/>
            </w:tcBorders>
            <w:gridSpan w:val="2"/>
          </w:tcPr>
          <w:p>
            <w:pPr>
              <w:spacing w:after="0"/>
              <w:rPr>
                <w:sz w:val="7"/>
                <w:szCs w:val="7"/>
                <w:color w:val="auto"/>
              </w:rPr>
            </w:pPr>
          </w:p>
        </w:tc>
        <w:tc>
          <w:tcPr>
            <w:tcW w:w="100" w:type="dxa"/>
            <w:vAlign w:val="bottom"/>
            <w:tcBorders>
              <w:bottom w:val="single" w:sz="8" w:color="0C426A"/>
            </w:tcBorders>
          </w:tcPr>
          <w:p>
            <w:pPr>
              <w:spacing w:after="0"/>
              <w:rPr>
                <w:sz w:val="7"/>
                <w:szCs w:val="7"/>
                <w:color w:val="auto"/>
              </w:rPr>
            </w:pPr>
          </w:p>
        </w:tc>
        <w:tc>
          <w:tcPr>
            <w:tcW w:w="600" w:type="dxa"/>
            <w:vAlign w:val="bottom"/>
            <w:tcBorders>
              <w:bottom w:val="single" w:sz="8" w:color="0C426A"/>
            </w:tcBorders>
          </w:tcPr>
          <w:p>
            <w:pPr>
              <w:spacing w:after="0"/>
              <w:rPr>
                <w:sz w:val="7"/>
                <w:szCs w:val="7"/>
                <w:color w:val="auto"/>
              </w:rPr>
            </w:pPr>
          </w:p>
        </w:tc>
        <w:tc>
          <w:tcPr>
            <w:tcW w:w="540" w:type="dxa"/>
            <w:vAlign w:val="bottom"/>
            <w:tcBorders>
              <w:bottom w:val="single" w:sz="8" w:color="0C426A"/>
            </w:tcBorders>
          </w:tcPr>
          <w:p>
            <w:pPr>
              <w:spacing w:after="0"/>
              <w:rPr>
                <w:sz w:val="7"/>
                <w:szCs w:val="7"/>
                <w:color w:val="auto"/>
              </w:rPr>
            </w:pPr>
          </w:p>
        </w:tc>
        <w:tc>
          <w:tcPr>
            <w:tcW w:w="100" w:type="dxa"/>
            <w:vAlign w:val="bottom"/>
            <w:tcBorders>
              <w:bottom w:val="single" w:sz="8" w:color="0C426A"/>
            </w:tcBorders>
          </w:tcPr>
          <w:p>
            <w:pPr>
              <w:spacing w:after="0"/>
              <w:rPr>
                <w:sz w:val="7"/>
                <w:szCs w:val="7"/>
                <w:color w:val="auto"/>
              </w:rPr>
            </w:pPr>
          </w:p>
        </w:tc>
        <w:tc>
          <w:tcPr>
            <w:tcW w:w="600" w:type="dxa"/>
            <w:vAlign w:val="bottom"/>
            <w:tcBorders>
              <w:bottom w:val="single" w:sz="8" w:color="0C426A"/>
            </w:tcBorders>
          </w:tcPr>
          <w:p>
            <w:pPr>
              <w:spacing w:after="0"/>
              <w:rPr>
                <w:sz w:val="7"/>
                <w:szCs w:val="7"/>
                <w:color w:val="auto"/>
              </w:rPr>
            </w:pPr>
          </w:p>
        </w:tc>
        <w:tc>
          <w:tcPr>
            <w:tcW w:w="540" w:type="dxa"/>
            <w:vAlign w:val="bottom"/>
            <w:tcBorders>
              <w:bottom w:val="single" w:sz="8" w:color="0C426A"/>
            </w:tcBorders>
          </w:tcPr>
          <w:p>
            <w:pPr>
              <w:spacing w:after="0"/>
              <w:rPr>
                <w:sz w:val="7"/>
                <w:szCs w:val="7"/>
                <w:color w:val="auto"/>
              </w:rPr>
            </w:pPr>
          </w:p>
        </w:tc>
        <w:tc>
          <w:tcPr>
            <w:tcW w:w="100" w:type="dxa"/>
            <w:vAlign w:val="bottom"/>
            <w:tcBorders>
              <w:bottom w:val="single" w:sz="8" w:color="0C426A"/>
            </w:tcBorders>
          </w:tcPr>
          <w:p>
            <w:pPr>
              <w:spacing w:after="0"/>
              <w:rPr>
                <w:sz w:val="7"/>
                <w:szCs w:val="7"/>
                <w:color w:val="auto"/>
              </w:rPr>
            </w:pPr>
          </w:p>
        </w:tc>
        <w:tc>
          <w:tcPr>
            <w:tcW w:w="1220" w:type="dxa"/>
            <w:vAlign w:val="bottom"/>
            <w:tcBorders>
              <w:bottom w:val="single" w:sz="8" w:color="0C426A"/>
            </w:tcBorders>
          </w:tcPr>
          <w:p>
            <w:pPr>
              <w:spacing w:after="0"/>
              <w:rPr>
                <w:sz w:val="7"/>
                <w:szCs w:val="7"/>
                <w:color w:val="auto"/>
              </w:rPr>
            </w:pPr>
          </w:p>
        </w:tc>
        <w:tc>
          <w:tcPr>
            <w:tcW w:w="120" w:type="dxa"/>
            <w:vAlign w:val="bottom"/>
            <w:tcBorders>
              <w:bottom w:val="single" w:sz="8" w:color="0C426A"/>
            </w:tcBorders>
          </w:tcPr>
          <w:p>
            <w:pPr>
              <w:spacing w:after="0"/>
              <w:rPr>
                <w:sz w:val="7"/>
                <w:szCs w:val="7"/>
                <w:color w:val="auto"/>
              </w:rPr>
            </w:pPr>
          </w:p>
        </w:tc>
        <w:tc>
          <w:tcPr>
            <w:tcW w:w="700" w:type="dxa"/>
            <w:vAlign w:val="bottom"/>
            <w:tcBorders>
              <w:bottom w:val="single" w:sz="8" w:color="0C426A"/>
            </w:tcBorders>
          </w:tcPr>
          <w:p>
            <w:pPr>
              <w:spacing w:after="0"/>
              <w:rPr>
                <w:sz w:val="7"/>
                <w:szCs w:val="7"/>
                <w:color w:val="auto"/>
              </w:rPr>
            </w:pPr>
          </w:p>
        </w:tc>
        <w:tc>
          <w:tcPr>
            <w:tcW w:w="460" w:type="dxa"/>
            <w:vAlign w:val="bottom"/>
            <w:tcBorders>
              <w:bottom w:val="single" w:sz="8" w:color="0C426A"/>
            </w:tcBorders>
          </w:tcPr>
          <w:p>
            <w:pPr>
              <w:spacing w:after="0"/>
              <w:rPr>
                <w:sz w:val="7"/>
                <w:szCs w:val="7"/>
                <w:color w:val="auto"/>
              </w:rPr>
            </w:pPr>
          </w:p>
        </w:tc>
        <w:tc>
          <w:tcPr>
            <w:tcW w:w="100" w:type="dxa"/>
            <w:vAlign w:val="bottom"/>
            <w:tcBorders>
              <w:bottom w:val="single" w:sz="8" w:color="0C426A"/>
            </w:tcBorders>
          </w:tcPr>
          <w:p>
            <w:pPr>
              <w:spacing w:after="0"/>
              <w:rPr>
                <w:sz w:val="7"/>
                <w:szCs w:val="7"/>
                <w:color w:val="auto"/>
              </w:rPr>
            </w:pPr>
          </w:p>
        </w:tc>
        <w:tc>
          <w:tcPr>
            <w:tcW w:w="1000" w:type="dxa"/>
            <w:vAlign w:val="bottom"/>
            <w:tcBorders>
              <w:bottom w:val="single" w:sz="8" w:color="0C426A"/>
            </w:tcBorders>
          </w:tcPr>
          <w:p>
            <w:pPr>
              <w:spacing w:after="0"/>
              <w:rPr>
                <w:sz w:val="7"/>
                <w:szCs w:val="7"/>
                <w:color w:val="auto"/>
              </w:rPr>
            </w:pPr>
          </w:p>
        </w:tc>
      </w:tr>
      <w:tr>
        <w:trPr>
          <w:trHeight w:val="280"/>
        </w:trPr>
        <w:tc>
          <w:tcPr>
            <w:tcW w:w="360" w:type="dxa"/>
            <w:vAlign w:val="bottom"/>
          </w:tcPr>
          <w:p>
            <w:pPr>
              <w:ind w:left="20"/>
              <w:spacing w:after="0"/>
              <w:rPr>
                <w:sz w:val="20"/>
                <w:szCs w:val="20"/>
                <w:color w:val="auto"/>
              </w:rPr>
            </w:pPr>
            <w:r>
              <w:rPr>
                <w:rFonts w:ascii="Arial" w:cs="Arial" w:eastAsia="Arial" w:hAnsi="Arial"/>
                <w:sz w:val="14"/>
                <w:szCs w:val="14"/>
                <w:color w:val="auto"/>
              </w:rPr>
              <w:t>2023</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$2,583,295</w:t>
            </w:r>
            <w:r>
              <w:rPr>
                <w:rFonts w:ascii="Times New Roman" w:cs="Times New Roman" w:eastAsia="Times New Roman" w:hAnsi="Times New Roman"/>
                <w:sz w:val="3"/>
                <w:szCs w:val="3"/>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$1,173,276</w:t>
            </w:r>
            <w:r>
              <w:rPr>
                <w:rFonts w:ascii="Times New Roman" w:cs="Times New Roman" w:eastAsia="Times New Roman" w:hAnsi="Times New Roman"/>
                <w:sz w:val="3"/>
                <w:szCs w:val="3"/>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6"/>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3,079)</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center"/>
              <w:ind w:left="469"/>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5,948</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$3,759,440</w:t>
            </w:r>
          </w:p>
        </w:tc>
      </w:tr>
      <w:tr>
        <w:trPr>
          <w:trHeight w:val="48"/>
        </w:trPr>
        <w:tc>
          <w:tcPr>
            <w:tcW w:w="36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r>
      <w:tr>
        <w:trPr>
          <w:trHeight w:val="288"/>
        </w:trPr>
        <w:tc>
          <w:tcPr>
            <w:tcW w:w="360" w:type="dxa"/>
            <w:vAlign w:val="bottom"/>
            <w:tcBorders>
              <w:bottom w:val="single" w:sz="8" w:color="808080"/>
            </w:tcBorders>
          </w:tcPr>
          <w:p>
            <w:pPr>
              <w:ind w:left="20"/>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$1,420,738</w:t>
            </w:r>
            <w:r>
              <w:rPr>
                <w:rFonts w:ascii="Times New Roman" w:cs="Times New Roman" w:eastAsia="Times New Roman" w:hAnsi="Times New Roman"/>
                <w:sz w:val="3"/>
                <w:szCs w:val="3"/>
                <w:color w:val="auto"/>
              </w:rPr>
              <w:t>​</w:t>
            </w:r>
          </w:p>
        </w:tc>
        <w:tc>
          <w:tcPr>
            <w:tcW w:w="10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244,469</w:t>
            </w:r>
            <w:r>
              <w:rPr>
                <w:rFonts w:ascii="Times New Roman" w:cs="Times New Roman" w:eastAsia="Times New Roman" w:hAnsi="Times New Roman"/>
                <w:sz w:val="3"/>
                <w:szCs w:val="3"/>
                <w:color w:val="auto"/>
              </w:rPr>
              <w:t>​</w:t>
            </w:r>
          </w:p>
        </w:tc>
        <w:tc>
          <w:tcPr>
            <w:tcW w:w="10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808080"/>
            </w:tcBorders>
          </w:tcPr>
          <w:p>
            <w:pPr>
              <w:jc w:val="right"/>
              <w:ind w:right="6"/>
              <w:spacing w:after="0" w:line="287" w:lineRule="exact"/>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10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290</w:t>
            </w:r>
            <w:r>
              <w:rPr>
                <w:rFonts w:ascii="Times New Roman" w:cs="Times New Roman" w:eastAsia="Times New Roman" w:hAnsi="Times New Roman"/>
                <w:sz w:val="3"/>
                <w:szCs w:val="3"/>
                <w:color w:val="auto"/>
              </w:rPr>
              <w:t>​</w:t>
            </w:r>
          </w:p>
        </w:tc>
        <w:tc>
          <w:tcPr>
            <w:tcW w:w="10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12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Borders>
              <w:bottom w:val="single" w:sz="8" w:color="808080"/>
            </w:tcBorders>
          </w:tcPr>
          <w:p>
            <w:pPr>
              <w:jc w:val="center"/>
              <w:ind w:left="469"/>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4,463</w:t>
            </w:r>
            <w:r>
              <w:rPr>
                <w:rFonts w:ascii="Times New Roman" w:cs="Times New Roman" w:eastAsia="Times New Roman" w:hAnsi="Times New Roman"/>
                <w:sz w:val="3"/>
                <w:szCs w:val="3"/>
                <w:color w:val="auto"/>
              </w:rPr>
              <w:t>​</w:t>
            </w:r>
          </w:p>
        </w:tc>
        <w:tc>
          <w:tcPr>
            <w:tcW w:w="10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$1,669,960</w:t>
            </w:r>
          </w:p>
        </w:tc>
      </w:tr>
      <w:tr>
        <w:trPr>
          <w:trHeight w:val="240"/>
        </w:trPr>
        <w:tc>
          <w:tcPr>
            <w:tcW w:w="360" w:type="dxa"/>
            <w:vAlign w:val="bottom"/>
          </w:tcPr>
          <w:p>
            <w:pPr>
              <w:ind w:left="20"/>
              <w:spacing w:after="0"/>
              <w:rPr>
                <w:sz w:val="20"/>
                <w:szCs w:val="20"/>
                <w:color w:val="auto"/>
              </w:rPr>
            </w:pPr>
            <w:r>
              <w:rPr>
                <w:rFonts w:ascii="Arial" w:cs="Arial" w:eastAsia="Arial" w:hAnsi="Arial"/>
                <w:sz w:val="14"/>
                <w:szCs w:val="14"/>
                <w:color w:val="auto"/>
              </w:rPr>
              <w:t>2021</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$1,016,773</w:t>
            </w:r>
            <w:r>
              <w:rPr>
                <w:rFonts w:ascii="Times New Roman" w:cs="Times New Roman" w:eastAsia="Times New Roman" w:hAnsi="Times New Roman"/>
                <w:sz w:val="3"/>
                <w:szCs w:val="3"/>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373,430</w:t>
            </w:r>
            <w:r>
              <w:rPr>
                <w:rFonts w:ascii="Times New Roman" w:cs="Times New Roman" w:eastAsia="Times New Roman" w:hAnsi="Times New Roman"/>
                <w:sz w:val="3"/>
                <w:szCs w:val="3"/>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40" w:type="dxa"/>
            <w:vAlign w:val="bottom"/>
            <w:gridSpan w:val="2"/>
          </w:tcPr>
          <w:p>
            <w:pPr>
              <w:jc w:val="right"/>
              <w:ind w:right="6"/>
              <w:spacing w:after="0"/>
              <w:rPr>
                <w:sz w:val="20"/>
                <w:szCs w:val="20"/>
                <w:color w:val="auto"/>
              </w:rPr>
            </w:pPr>
            <w:r>
              <w:rPr>
                <w:rFonts w:ascii="Arial" w:cs="Arial" w:eastAsia="Arial" w:hAnsi="Arial"/>
                <w:sz w:val="14"/>
                <w:szCs w:val="14"/>
                <w:color w:val="auto"/>
              </w:rPr>
              <w:t>$175,446</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$ 104,296</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center"/>
              <w:ind w:left="469"/>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6,558</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$1,676,503</w:t>
            </w:r>
          </w:p>
        </w:tc>
      </w:tr>
      <w:tr>
        <w:trPr>
          <w:trHeight w:val="48"/>
        </w:trPr>
        <w:tc>
          <w:tcPr>
            <w:tcW w:w="36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gridSpan w:val="2"/>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160" w:type="dxa"/>
            <w:vAlign w:val="bottom"/>
            <w:tcBorders>
              <w:bottom w:val="single" w:sz="8" w:color="808080"/>
            </w:tcBorders>
            <w:gridSpan w:val="2"/>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r>
      <w:tr>
        <w:trPr>
          <w:trHeight w:val="240"/>
        </w:trPr>
        <w:tc>
          <w:tcPr>
            <w:tcW w:w="360" w:type="dxa"/>
            <w:vAlign w:val="bottom"/>
          </w:tcPr>
          <w:p>
            <w:pPr>
              <w:ind w:left="20"/>
              <w:spacing w:after="0"/>
              <w:rPr>
                <w:sz w:val="20"/>
                <w:szCs w:val="20"/>
                <w:color w:val="auto"/>
              </w:rPr>
            </w:pPr>
            <w:r>
              <w:rPr>
                <w:rFonts w:ascii="Arial" w:cs="Arial" w:eastAsia="Arial" w:hAnsi="Arial"/>
                <w:sz w:val="14"/>
                <w:szCs w:val="14"/>
                <w:color w:val="auto"/>
              </w:rPr>
              <w:t>2020</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$1,409,472</w:t>
            </w:r>
            <w:r>
              <w:rPr>
                <w:rFonts w:ascii="Times New Roman" w:cs="Times New Roman" w:eastAsia="Times New Roman" w:hAnsi="Times New Roman"/>
                <w:sz w:val="3"/>
                <w:szCs w:val="3"/>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(905,176)</w:t>
            </w:r>
            <w:r>
              <w:rPr>
                <w:rFonts w:ascii="Times New Roman" w:cs="Times New Roman" w:eastAsia="Times New Roman" w:hAnsi="Times New Roman"/>
                <w:sz w:val="3"/>
                <w:szCs w:val="3"/>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6"/>
              <w:spacing w:after="0"/>
              <w:rPr>
                <w:sz w:val="20"/>
                <w:szCs w:val="20"/>
                <w:color w:val="auto"/>
              </w:rPr>
            </w:pPr>
            <w:r>
              <w:rPr>
                <w:rFonts w:ascii="Arial" w:cs="Arial" w:eastAsia="Arial" w:hAnsi="Arial"/>
                <w:sz w:val="14"/>
                <w:szCs w:val="14"/>
                <w:color w:val="auto"/>
              </w:rPr>
              <w:t>55,683</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$(399,355)</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$10,209</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  170,833</w:t>
            </w:r>
          </w:p>
        </w:tc>
      </w:tr>
      <w:tr>
        <w:trPr>
          <w:trHeight w:val="48"/>
        </w:trPr>
        <w:tc>
          <w:tcPr>
            <w:tcW w:w="360" w:type="dxa"/>
            <w:vAlign w:val="bottom"/>
            <w:tcBorders>
              <w:bottom w:val="single" w:sz="8" w:color="0C426A"/>
            </w:tcBorders>
          </w:tcPr>
          <w:p>
            <w:pPr>
              <w:spacing w:after="0"/>
              <w:rPr>
                <w:sz w:val="4"/>
                <w:szCs w:val="4"/>
                <w:color w:val="auto"/>
              </w:rPr>
            </w:pPr>
          </w:p>
        </w:tc>
        <w:tc>
          <w:tcPr>
            <w:tcW w:w="100" w:type="dxa"/>
            <w:vAlign w:val="bottom"/>
            <w:tcBorders>
              <w:bottom w:val="single" w:sz="8" w:color="0C426A"/>
            </w:tcBorders>
          </w:tcPr>
          <w:p>
            <w:pPr>
              <w:spacing w:after="0"/>
              <w:rPr>
                <w:sz w:val="4"/>
                <w:szCs w:val="4"/>
                <w:color w:val="auto"/>
              </w:rPr>
            </w:pPr>
          </w:p>
        </w:tc>
        <w:tc>
          <w:tcPr>
            <w:tcW w:w="80" w:type="dxa"/>
            <w:vAlign w:val="bottom"/>
            <w:tcBorders>
              <w:bottom w:val="single" w:sz="8" w:color="0C426A"/>
            </w:tcBorders>
          </w:tcPr>
          <w:p>
            <w:pPr>
              <w:spacing w:after="0"/>
              <w:rPr>
                <w:sz w:val="4"/>
                <w:szCs w:val="4"/>
                <w:color w:val="auto"/>
              </w:rPr>
            </w:pPr>
          </w:p>
        </w:tc>
        <w:tc>
          <w:tcPr>
            <w:tcW w:w="1080" w:type="dxa"/>
            <w:vAlign w:val="bottom"/>
            <w:tcBorders>
              <w:bottom w:val="single" w:sz="8" w:color="0C426A"/>
            </w:tcBorders>
          </w:tcPr>
          <w:p>
            <w:pPr>
              <w:spacing w:after="0"/>
              <w:rPr>
                <w:sz w:val="4"/>
                <w:szCs w:val="4"/>
                <w:color w:val="auto"/>
              </w:rPr>
            </w:pPr>
          </w:p>
        </w:tc>
        <w:tc>
          <w:tcPr>
            <w:tcW w:w="100" w:type="dxa"/>
            <w:vAlign w:val="bottom"/>
            <w:tcBorders>
              <w:bottom w:val="single" w:sz="8" w:color="0C426A"/>
            </w:tcBorders>
          </w:tcPr>
          <w:p>
            <w:pPr>
              <w:spacing w:after="0"/>
              <w:rPr>
                <w:sz w:val="4"/>
                <w:szCs w:val="4"/>
                <w:color w:val="auto"/>
              </w:rPr>
            </w:pPr>
          </w:p>
        </w:tc>
        <w:tc>
          <w:tcPr>
            <w:tcW w:w="420" w:type="dxa"/>
            <w:vAlign w:val="bottom"/>
            <w:tcBorders>
              <w:bottom w:val="single" w:sz="8" w:color="0C426A"/>
            </w:tcBorders>
          </w:tcPr>
          <w:p>
            <w:pPr>
              <w:spacing w:after="0"/>
              <w:rPr>
                <w:sz w:val="4"/>
                <w:szCs w:val="4"/>
                <w:color w:val="auto"/>
              </w:rPr>
            </w:pPr>
          </w:p>
        </w:tc>
        <w:tc>
          <w:tcPr>
            <w:tcW w:w="660" w:type="dxa"/>
            <w:vAlign w:val="bottom"/>
            <w:tcBorders>
              <w:bottom w:val="single" w:sz="8" w:color="0C426A"/>
            </w:tcBorders>
          </w:tcPr>
          <w:p>
            <w:pPr>
              <w:spacing w:after="0"/>
              <w:rPr>
                <w:sz w:val="4"/>
                <w:szCs w:val="4"/>
                <w:color w:val="auto"/>
              </w:rPr>
            </w:pPr>
          </w:p>
        </w:tc>
        <w:tc>
          <w:tcPr>
            <w:tcW w:w="100" w:type="dxa"/>
            <w:vAlign w:val="bottom"/>
            <w:tcBorders>
              <w:bottom w:val="single" w:sz="8" w:color="0C426A"/>
            </w:tcBorders>
          </w:tcPr>
          <w:p>
            <w:pPr>
              <w:spacing w:after="0"/>
              <w:rPr>
                <w:sz w:val="4"/>
                <w:szCs w:val="4"/>
                <w:color w:val="auto"/>
              </w:rPr>
            </w:pPr>
          </w:p>
        </w:tc>
        <w:tc>
          <w:tcPr>
            <w:tcW w:w="600" w:type="dxa"/>
            <w:vAlign w:val="bottom"/>
            <w:tcBorders>
              <w:bottom w:val="single" w:sz="8" w:color="0C426A"/>
            </w:tcBorders>
          </w:tcPr>
          <w:p>
            <w:pPr>
              <w:spacing w:after="0"/>
              <w:rPr>
                <w:sz w:val="4"/>
                <w:szCs w:val="4"/>
                <w:color w:val="auto"/>
              </w:rPr>
            </w:pPr>
          </w:p>
        </w:tc>
        <w:tc>
          <w:tcPr>
            <w:tcW w:w="540" w:type="dxa"/>
            <w:vAlign w:val="bottom"/>
            <w:tcBorders>
              <w:bottom w:val="single" w:sz="8" w:color="0C426A"/>
            </w:tcBorders>
          </w:tcPr>
          <w:p>
            <w:pPr>
              <w:spacing w:after="0"/>
              <w:rPr>
                <w:sz w:val="4"/>
                <w:szCs w:val="4"/>
                <w:color w:val="auto"/>
              </w:rPr>
            </w:pPr>
          </w:p>
        </w:tc>
        <w:tc>
          <w:tcPr>
            <w:tcW w:w="100" w:type="dxa"/>
            <w:vAlign w:val="bottom"/>
            <w:tcBorders>
              <w:bottom w:val="single" w:sz="8" w:color="0C426A"/>
            </w:tcBorders>
          </w:tcPr>
          <w:p>
            <w:pPr>
              <w:spacing w:after="0"/>
              <w:rPr>
                <w:sz w:val="4"/>
                <w:szCs w:val="4"/>
                <w:color w:val="auto"/>
              </w:rPr>
            </w:pPr>
          </w:p>
        </w:tc>
        <w:tc>
          <w:tcPr>
            <w:tcW w:w="600" w:type="dxa"/>
            <w:vAlign w:val="bottom"/>
            <w:tcBorders>
              <w:bottom w:val="single" w:sz="8" w:color="0C426A"/>
            </w:tcBorders>
          </w:tcPr>
          <w:p>
            <w:pPr>
              <w:spacing w:after="0"/>
              <w:rPr>
                <w:sz w:val="4"/>
                <w:szCs w:val="4"/>
                <w:color w:val="auto"/>
              </w:rPr>
            </w:pPr>
          </w:p>
        </w:tc>
        <w:tc>
          <w:tcPr>
            <w:tcW w:w="540" w:type="dxa"/>
            <w:vAlign w:val="bottom"/>
            <w:tcBorders>
              <w:bottom w:val="single" w:sz="8" w:color="0C426A"/>
            </w:tcBorders>
          </w:tcPr>
          <w:p>
            <w:pPr>
              <w:spacing w:after="0"/>
              <w:rPr>
                <w:sz w:val="4"/>
                <w:szCs w:val="4"/>
                <w:color w:val="auto"/>
              </w:rPr>
            </w:pPr>
          </w:p>
        </w:tc>
        <w:tc>
          <w:tcPr>
            <w:tcW w:w="100" w:type="dxa"/>
            <w:vAlign w:val="bottom"/>
            <w:tcBorders>
              <w:bottom w:val="single" w:sz="8" w:color="0C426A"/>
            </w:tcBorders>
          </w:tcPr>
          <w:p>
            <w:pPr>
              <w:spacing w:after="0"/>
              <w:rPr>
                <w:sz w:val="4"/>
                <w:szCs w:val="4"/>
                <w:color w:val="auto"/>
              </w:rPr>
            </w:pPr>
          </w:p>
        </w:tc>
        <w:tc>
          <w:tcPr>
            <w:tcW w:w="1220" w:type="dxa"/>
            <w:vAlign w:val="bottom"/>
            <w:tcBorders>
              <w:bottom w:val="single" w:sz="8" w:color="0C426A"/>
            </w:tcBorders>
          </w:tcPr>
          <w:p>
            <w:pPr>
              <w:spacing w:after="0"/>
              <w:rPr>
                <w:sz w:val="4"/>
                <w:szCs w:val="4"/>
                <w:color w:val="auto"/>
              </w:rPr>
            </w:pPr>
          </w:p>
        </w:tc>
        <w:tc>
          <w:tcPr>
            <w:tcW w:w="120" w:type="dxa"/>
            <w:vAlign w:val="bottom"/>
            <w:tcBorders>
              <w:bottom w:val="single" w:sz="8" w:color="0C426A"/>
            </w:tcBorders>
          </w:tcPr>
          <w:p>
            <w:pPr>
              <w:spacing w:after="0"/>
              <w:rPr>
                <w:sz w:val="4"/>
                <w:szCs w:val="4"/>
                <w:color w:val="auto"/>
              </w:rPr>
            </w:pPr>
          </w:p>
        </w:tc>
        <w:tc>
          <w:tcPr>
            <w:tcW w:w="700" w:type="dxa"/>
            <w:vAlign w:val="bottom"/>
            <w:tcBorders>
              <w:bottom w:val="single" w:sz="8" w:color="0C426A"/>
            </w:tcBorders>
          </w:tcPr>
          <w:p>
            <w:pPr>
              <w:spacing w:after="0"/>
              <w:rPr>
                <w:sz w:val="4"/>
                <w:szCs w:val="4"/>
                <w:color w:val="auto"/>
              </w:rPr>
            </w:pPr>
          </w:p>
        </w:tc>
        <w:tc>
          <w:tcPr>
            <w:tcW w:w="460" w:type="dxa"/>
            <w:vAlign w:val="bottom"/>
            <w:tcBorders>
              <w:bottom w:val="single" w:sz="8" w:color="0C426A"/>
            </w:tcBorders>
          </w:tcPr>
          <w:p>
            <w:pPr>
              <w:spacing w:after="0"/>
              <w:rPr>
                <w:sz w:val="4"/>
                <w:szCs w:val="4"/>
                <w:color w:val="auto"/>
              </w:rPr>
            </w:pPr>
          </w:p>
        </w:tc>
        <w:tc>
          <w:tcPr>
            <w:tcW w:w="100" w:type="dxa"/>
            <w:vAlign w:val="bottom"/>
            <w:tcBorders>
              <w:bottom w:val="single" w:sz="8" w:color="0C426A"/>
            </w:tcBorders>
          </w:tcPr>
          <w:p>
            <w:pPr>
              <w:spacing w:after="0"/>
              <w:rPr>
                <w:sz w:val="4"/>
                <w:szCs w:val="4"/>
                <w:color w:val="auto"/>
              </w:rPr>
            </w:pPr>
          </w:p>
        </w:tc>
        <w:tc>
          <w:tcPr>
            <w:tcW w:w="1000" w:type="dxa"/>
            <w:vAlign w:val="bottom"/>
            <w:tcBorders>
              <w:bottom w:val="single" w:sz="8" w:color="0C426A"/>
            </w:tcBorders>
          </w:tcPr>
          <w:p>
            <w:pPr>
              <w:spacing w:after="0"/>
              <w:rPr>
                <w:sz w:val="4"/>
                <w:szCs w:val="4"/>
                <w:color w:val="auto"/>
              </w:rPr>
            </w:pPr>
          </w:p>
        </w:tc>
      </w:tr>
    </w:tbl>
    <w:p>
      <w:pPr>
        <w:spacing w:after="0" w:line="151" w:lineRule="exact"/>
        <w:rPr>
          <w:sz w:val="20"/>
          <w:szCs w:val="20"/>
          <w:color w:val="auto"/>
        </w:rPr>
      </w:pPr>
    </w:p>
    <w:p>
      <w:pPr>
        <w:ind w:left="1140" w:right="1080" w:hanging="175"/>
        <w:spacing w:after="0" w:line="222" w:lineRule="auto"/>
        <w:tabs>
          <w:tab w:leader="none" w:pos="1140" w:val="left"/>
        </w:tabs>
        <w:numPr>
          <w:ilvl w:val="0"/>
          <w:numId w:val="78"/>
        </w:numPr>
        <w:rPr>
          <w:rFonts w:ascii="Arial" w:cs="Arial" w:eastAsia="Arial" w:hAnsi="Arial"/>
          <w:sz w:val="21"/>
          <w:szCs w:val="21"/>
          <w:color w:val="auto"/>
          <w:vertAlign w:val="superscript"/>
        </w:rPr>
      </w:pPr>
      <w:r>
        <w:rPr>
          <w:rFonts w:ascii="Arial" w:cs="Arial" w:eastAsia="Arial" w:hAnsi="Arial"/>
          <w:sz w:val="14"/>
          <w:szCs w:val="14"/>
          <w:color w:val="auto"/>
        </w:rPr>
        <w:t>Cumulative TSR for the Company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 based on a deemed fixed investment of $100 at the beginning of such period.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9140" w:type="dxa"/>
            <w:vAlign w:val="bottom"/>
          </w:tcPr>
          <w:p>
            <w:pPr>
              <w:ind w:left="636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800" w:type="dxa"/>
            <w:vAlign w:val="bottom"/>
          </w:tcPr>
          <w:p>
            <w:pPr>
              <w:jc w:val="right"/>
              <w:ind w:right="909"/>
              <w:spacing w:after="0"/>
              <w:rPr>
                <w:sz w:val="20"/>
                <w:szCs w:val="20"/>
                <w:color w:val="auto"/>
              </w:rPr>
            </w:pPr>
            <w:r>
              <w:rPr>
                <w:rFonts w:ascii="Arial" w:cs="Arial" w:eastAsia="Arial" w:hAnsi="Arial"/>
                <w:sz w:val="14"/>
                <w:szCs w:val="14"/>
                <w:b w:val="1"/>
                <w:bCs w:val="1"/>
                <w:color w:val="auto"/>
              </w:rPr>
              <w:t>71</w:t>
            </w:r>
          </w:p>
        </w:tc>
      </w:tr>
      <w:tr>
        <w:trPr>
          <w:trHeight w:val="355"/>
        </w:trPr>
        <w:tc>
          <w:tcPr>
            <w:tcW w:w="9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-415925</wp:posOffset>
            </wp:positionV>
            <wp:extent cx="501650" cy="1701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Pay Versus Performance</w:t>
      </w:r>
    </w:p>
    <w:p>
      <w:pPr>
        <w:spacing w:after="0" w:line="98" w:lineRule="exact"/>
        <w:rPr>
          <w:sz w:val="20"/>
          <w:szCs w:val="20"/>
          <w:color w:val="auto"/>
        </w:rPr>
      </w:pPr>
    </w:p>
    <w:p>
      <w:pPr>
        <w:ind w:left="180" w:right="119" w:hanging="175"/>
        <w:spacing w:after="0" w:line="222" w:lineRule="auto"/>
        <w:tabs>
          <w:tab w:leader="none" w:pos="180" w:val="left"/>
        </w:tabs>
        <w:numPr>
          <w:ilvl w:val="0"/>
          <w:numId w:val="79"/>
        </w:numPr>
        <w:rPr>
          <w:rFonts w:ascii="Arial" w:cs="Arial" w:eastAsia="Arial" w:hAnsi="Arial"/>
          <w:sz w:val="21"/>
          <w:szCs w:val="21"/>
          <w:color w:val="auto"/>
          <w:vertAlign w:val="superscript"/>
        </w:rPr>
      </w:pPr>
      <w:r>
        <w:rPr>
          <w:rFonts w:ascii="Arial" w:cs="Arial" w:eastAsia="Arial" w:hAnsi="Arial"/>
          <w:sz w:val="14"/>
          <w:szCs w:val="14"/>
          <w:color w:val="auto"/>
        </w:rPr>
        <w:t>Represents the weighted peer group TSR, weighted according to the respective companies’ stock market capitalization at the beginning of each period for which a return is indicated. The peer group used for this purpose is our peer group of manufacturing companies which consists of the following publicly traded companies: AGCO, AMETEK, Borg Warner, CSX, Dover, Emerson Electric, Fortive Corporation, Greenbriar Companies, Howmet Aerospace Inc., Illinois Tool Works, Ingersoll-Rand, Norfolk Southern, Oshkosh, Parker-Hannifin Corporation, Rockwell Automation, Terex, Textron, Trinity and Xylem. There was no change from the group used for 2022. Howmet Aerospace Inc. was formerly known as Arconic, Inc. (included in the 2022 group) and changed its name as the result of a separation of its business.</w:t>
      </w:r>
    </w:p>
    <w:p>
      <w:pPr>
        <w:spacing w:after="0" w:line="61" w:lineRule="exact"/>
        <w:rPr>
          <w:sz w:val="20"/>
          <w:szCs w:val="20"/>
          <w:color w:val="auto"/>
        </w:rPr>
      </w:pPr>
    </w:p>
    <w:p>
      <w:pPr>
        <w:ind w:left="180" w:right="399" w:hanging="175"/>
        <w:spacing w:after="0" w:line="187" w:lineRule="auto"/>
        <w:tabs>
          <w:tab w:leader="none" w:pos="180" w:val="left"/>
        </w:tabs>
        <w:numPr>
          <w:ilvl w:val="0"/>
          <w:numId w:val="80"/>
        </w:numPr>
        <w:rPr>
          <w:rFonts w:ascii="Arial" w:cs="Arial" w:eastAsia="Arial" w:hAnsi="Arial"/>
          <w:sz w:val="21"/>
          <w:szCs w:val="21"/>
          <w:color w:val="auto"/>
          <w:vertAlign w:val="superscript"/>
        </w:rPr>
      </w:pPr>
      <w:r>
        <w:rPr>
          <w:rFonts w:ascii="Arial" w:cs="Arial" w:eastAsia="Arial" w:hAnsi="Arial"/>
          <w:sz w:val="14"/>
          <w:szCs w:val="14"/>
          <w:color w:val="auto"/>
        </w:rPr>
        <w:t>The dollar amounts reported represent the amount of net income excluding non-controlling interest reflected in the Company’s audited financial statements for the applicable year.</w:t>
      </w:r>
    </w:p>
    <w:p>
      <w:pPr>
        <w:spacing w:after="0" w:line="61" w:lineRule="exact"/>
        <w:rPr>
          <w:sz w:val="20"/>
          <w:szCs w:val="20"/>
          <w:color w:val="auto"/>
        </w:rPr>
      </w:pPr>
    </w:p>
    <w:p>
      <w:pPr>
        <w:ind w:left="180" w:right="719" w:hanging="175"/>
        <w:spacing w:after="0" w:line="208" w:lineRule="auto"/>
        <w:tabs>
          <w:tab w:leader="none" w:pos="180" w:val="left"/>
        </w:tabs>
        <w:numPr>
          <w:ilvl w:val="0"/>
          <w:numId w:val="81"/>
        </w:numPr>
        <w:rPr>
          <w:rFonts w:ascii="Arial" w:cs="Arial" w:eastAsia="Arial" w:hAnsi="Arial"/>
          <w:sz w:val="21"/>
          <w:szCs w:val="21"/>
          <w:color w:val="auto"/>
          <w:vertAlign w:val="superscript"/>
        </w:rPr>
      </w:pPr>
      <w:r>
        <w:rPr>
          <w:rFonts w:ascii="Arial" w:cs="Arial" w:eastAsia="Arial" w:hAnsi="Arial"/>
          <w:sz w:val="14"/>
          <w:szCs w:val="14"/>
          <w:color w:val="auto"/>
        </w:rPr>
        <w:t>EPS means our “adjusted earnings per diluted share” calculated as U.S. GAAP earnings per diluted share, adjusted for non-cash amortization expense and certain restructuring costs.</w:t>
      </w:r>
    </w:p>
    <w:p>
      <w:pPr>
        <w:spacing w:after="0" w:line="365" w:lineRule="exact"/>
        <w:rPr>
          <w:sz w:val="20"/>
          <w:szCs w:val="20"/>
          <w:color w:val="auto"/>
        </w:rPr>
      </w:pPr>
    </w:p>
    <w:p>
      <w:pPr>
        <w:spacing w:after="0"/>
        <w:rPr>
          <w:sz w:val="20"/>
          <w:szCs w:val="20"/>
          <w:color w:val="auto"/>
        </w:rPr>
      </w:pPr>
      <w:r>
        <w:rPr>
          <w:rFonts w:ascii="Arial" w:cs="Arial" w:eastAsia="Arial" w:hAnsi="Arial"/>
          <w:sz w:val="29"/>
          <w:szCs w:val="29"/>
          <w:color w:val="636466"/>
        </w:rPr>
        <w:t>Most Important Performance Measures for 2023</w:t>
      </w:r>
    </w:p>
    <w:p>
      <w:pPr>
        <w:spacing w:after="0" w:line="180" w:lineRule="exact"/>
        <w:rPr>
          <w:sz w:val="20"/>
          <w:szCs w:val="20"/>
          <w:color w:val="auto"/>
        </w:rPr>
      </w:pPr>
    </w:p>
    <w:p>
      <w:pPr>
        <w:ind w:right="59"/>
        <w:spacing w:after="0" w:line="254" w:lineRule="auto"/>
        <w:rPr>
          <w:sz w:val="20"/>
          <w:szCs w:val="20"/>
          <w:color w:val="auto"/>
        </w:rPr>
      </w:pPr>
      <w:r>
        <w:rPr>
          <w:rFonts w:ascii="Arial" w:cs="Arial" w:eastAsia="Arial" w:hAnsi="Arial"/>
          <w:sz w:val="16"/>
          <w:szCs w:val="16"/>
          <w:color w:val="auto"/>
        </w:rPr>
        <w:t>As described in greater detail in the Compensation Discussion and Analysis, the Company’s executive compensation program includes linking pay of our NEOs to Company, business unit and individual performance as a key objective. The metrics that the Company uses for both our annual cash incentive awards and for performance units that are part of our long-term incentive compensation awards are selected based on an objective of incentivizing our NEOs to increase the value of our enterprise for our long-term stockholders.</w:t>
      </w:r>
    </w:p>
    <w:p>
      <w:pPr>
        <w:spacing w:after="0" w:line="124" w:lineRule="exact"/>
        <w:rPr>
          <w:sz w:val="20"/>
          <w:szCs w:val="20"/>
          <w:color w:val="auto"/>
        </w:rPr>
      </w:pPr>
    </w:p>
    <w:p>
      <w:pPr>
        <w:ind w:right="199"/>
        <w:spacing w:after="0" w:line="282" w:lineRule="auto"/>
        <w:rPr>
          <w:sz w:val="20"/>
          <w:szCs w:val="20"/>
          <w:color w:val="auto"/>
        </w:rPr>
      </w:pPr>
      <w:r>
        <w:rPr>
          <w:rFonts w:ascii="Arial" w:cs="Arial" w:eastAsia="Arial" w:hAnsi="Arial"/>
          <w:sz w:val="16"/>
          <w:szCs w:val="16"/>
          <w:color w:val="auto"/>
        </w:rPr>
        <w:t>For 2023, the most important financial performance measures used by the Company to link executive compensation actually paid to the NEOs, for the most recently completed fiscal year, to the Company’s performance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269875</wp:posOffset>
            </wp:positionV>
            <wp:extent cx="571373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571373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Annual Cash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571373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Cumulative Cash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571373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Return on Invested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571373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571373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9"/>
          <w:szCs w:val="29"/>
          <w:color w:val="636466"/>
        </w:rPr>
        <w:t>Relationship of Compensation Actually Paid to Certain Measures</w:t>
      </w:r>
    </w:p>
    <w:p>
      <w:pPr>
        <w:spacing w:after="0" w:line="180" w:lineRule="exact"/>
        <w:rPr>
          <w:sz w:val="20"/>
          <w:szCs w:val="20"/>
          <w:color w:val="auto"/>
        </w:rPr>
      </w:pPr>
    </w:p>
    <w:p>
      <w:pPr>
        <w:ind w:right="79"/>
        <w:spacing w:after="0" w:line="250" w:lineRule="auto"/>
        <w:rPr>
          <w:sz w:val="20"/>
          <w:szCs w:val="20"/>
          <w:color w:val="auto"/>
        </w:rPr>
      </w:pPr>
      <w:r>
        <w:rPr>
          <w:rFonts w:ascii="Arial" w:cs="Arial" w:eastAsia="Arial" w:hAnsi="Arial"/>
          <w:sz w:val="16"/>
          <w:szCs w:val="16"/>
          <w:color w:val="auto"/>
        </w:rPr>
        <w:t>As described in more detail in the Compensation Discussion and Analysis, the Company’s executive compensation program reflects a variable pay-for-performance philosophy. While the Company utilizes several performance measures to align executive compensation with Company performance, all of those Company measures are not presented in the 2023 Pay Versus Performance Table. Moreover, the Company generally seeks to incentivize long-term performance, and therefore does not specifically align the Company’s performance measures with compensation that is actually paid (as computed in accordance with Item 402(v) of Regulation S-K) for a particular year. In accordance with Item 402(v) of Regulation S-K, the Company is providing the following descriptions of the relationships between information presented in the 2023 Pay Versus Performance Table.</w:t>
      </w:r>
    </w:p>
    <w:p>
      <w:pPr>
        <w:spacing w:after="0" w:line="127" w:lineRule="exact"/>
        <w:rPr>
          <w:sz w:val="20"/>
          <w:szCs w:val="20"/>
          <w:color w:val="auto"/>
        </w:rPr>
      </w:pPr>
    </w:p>
    <w:p>
      <w:pPr>
        <w:ind w:right="99"/>
        <w:spacing w:after="0" w:line="250" w:lineRule="auto"/>
        <w:rPr>
          <w:sz w:val="20"/>
          <w:szCs w:val="20"/>
          <w:color w:val="auto"/>
        </w:rPr>
      </w:pPr>
      <w:r>
        <w:rPr>
          <w:rFonts w:ascii="Arial" w:cs="Arial" w:eastAsia="Arial" w:hAnsi="Arial"/>
          <w:sz w:val="16"/>
          <w:szCs w:val="16"/>
          <w:color w:val="auto"/>
        </w:rPr>
        <w:t>We believe the table above shows the alignment between compensation actually paid to the NEOs and the Company’s performance, consistent with our compensation philosophy as described in our Compensation Discussion and Analysis. Specifically, a large portion of the NEOs’ compensation is tied to the value of our stock and, as such, the CEO and non-CEO “compensation actually paid” each year was aligned with our TSR performance and increased when our TSR performance increased, but declined when our TSR performance declined. The charts below show, for the past four years, the relationship of the Company’s TSR relative to its peers as well as the relationship between the CEO and non-CEO “compensation actually paid” and (i) the Company’s TSR and the Company’s Peer Group’s TSR; (ii) the Company’s net income; and (iii) EPS.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760" w:type="dxa"/>
            <w:vAlign w:val="bottom"/>
          </w:tcPr>
          <w:p>
            <w:pPr>
              <w:jc w:val="right"/>
              <w:ind w:right="529"/>
              <w:spacing w:after="0"/>
              <w:rPr>
                <w:sz w:val="20"/>
                <w:szCs w:val="20"/>
                <w:color w:val="auto"/>
              </w:rPr>
            </w:pPr>
            <w:r>
              <w:rPr>
                <w:rFonts w:ascii="Arial" w:cs="Arial" w:eastAsia="Arial" w:hAnsi="Arial"/>
                <w:sz w:val="14"/>
                <w:szCs w:val="14"/>
                <w:b w:val="1"/>
                <w:bCs w:val="1"/>
                <w:color w:val="auto"/>
                <w:w w:val="89"/>
              </w:rPr>
              <w:t>72</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179070</wp:posOffset>
            </wp:positionV>
            <wp:extent cx="693801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75" w:name="page76"/>
    <w:bookmarkEnd w:id="75"/>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8580"/>
        <w:spacing w:after="0"/>
        <w:rPr>
          <w:sz w:val="20"/>
          <w:szCs w:val="20"/>
          <w:color w:val="auto"/>
        </w:rPr>
      </w:pPr>
      <w:r>
        <w:rPr>
          <w:rFonts w:ascii="Arial" w:cs="Arial" w:eastAsia="Arial" w:hAnsi="Arial"/>
          <w:sz w:val="12"/>
          <w:szCs w:val="12"/>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76835</wp:posOffset>
            </wp:positionV>
            <wp:extent cx="5407660" cy="32988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407660" cy="3298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207010</wp:posOffset>
            </wp:positionV>
            <wp:extent cx="5407660" cy="32905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407660" cy="3290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9140" w:type="dxa"/>
            <w:vAlign w:val="bottom"/>
          </w:tcPr>
          <w:p>
            <w:pPr>
              <w:ind w:left="636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800" w:type="dxa"/>
            <w:vAlign w:val="bottom"/>
          </w:tcPr>
          <w:p>
            <w:pPr>
              <w:jc w:val="right"/>
              <w:ind w:right="909"/>
              <w:spacing w:after="0"/>
              <w:rPr>
                <w:sz w:val="20"/>
                <w:szCs w:val="20"/>
                <w:color w:val="auto"/>
              </w:rPr>
            </w:pPr>
            <w:r>
              <w:rPr>
                <w:rFonts w:ascii="Arial" w:cs="Arial" w:eastAsia="Arial" w:hAnsi="Arial"/>
                <w:sz w:val="14"/>
                <w:szCs w:val="14"/>
                <w:b w:val="1"/>
                <w:bCs w:val="1"/>
                <w:color w:val="auto"/>
              </w:rPr>
              <w:t>73</w:t>
            </w:r>
          </w:p>
        </w:tc>
      </w:tr>
      <w:tr>
        <w:trPr>
          <w:trHeight w:val="342"/>
        </w:trPr>
        <w:tc>
          <w:tcPr>
            <w:tcW w:w="9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-407670</wp:posOffset>
            </wp:positionV>
            <wp:extent cx="501650" cy="1701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6"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76835</wp:posOffset>
            </wp:positionV>
            <wp:extent cx="5271135" cy="32988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271135" cy="3298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760" w:type="dxa"/>
            <w:vAlign w:val="bottom"/>
          </w:tcPr>
          <w:p>
            <w:pPr>
              <w:jc w:val="right"/>
              <w:ind w:right="529"/>
              <w:spacing w:after="0"/>
              <w:rPr>
                <w:sz w:val="20"/>
                <w:szCs w:val="20"/>
                <w:color w:val="auto"/>
              </w:rPr>
            </w:pPr>
            <w:r>
              <w:rPr>
                <w:rFonts w:ascii="Arial" w:cs="Arial" w:eastAsia="Arial" w:hAnsi="Arial"/>
                <w:sz w:val="14"/>
                <w:szCs w:val="14"/>
                <w:b w:val="1"/>
                <w:bCs w:val="1"/>
                <w:color w:val="auto"/>
                <w:w w:val="89"/>
              </w:rPr>
              <w:t>74</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170180</wp:posOffset>
            </wp:positionV>
            <wp:extent cx="693801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7" w:name="page78"/>
    <w:bookmarkEnd w:id="77"/>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736"/>
        </w:trPr>
        <w:tc>
          <w:tcPr>
            <w:tcW w:w="80" w:type="dxa"/>
            <w:vAlign w:val="bottom"/>
            <w:shd w:val="clear" w:color="auto" w:fill="E02826"/>
          </w:tcPr>
          <w:p>
            <w:pPr>
              <w:spacing w:after="0"/>
              <w:rPr>
                <w:sz w:val="24"/>
                <w:szCs w:val="24"/>
                <w:color w:val="auto"/>
              </w:rPr>
            </w:pPr>
          </w:p>
        </w:tc>
        <w:tc>
          <w:tcPr>
            <w:tcW w:w="1040" w:type="dxa"/>
            <w:vAlign w:val="bottom"/>
            <w:shd w:val="clear" w:color="auto" w:fill="0C426A"/>
          </w:tcPr>
          <w:p>
            <w:pPr>
              <w:jc w:val="center"/>
              <w:spacing w:after="0"/>
              <w:rPr>
                <w:sz w:val="20"/>
                <w:szCs w:val="20"/>
                <w:color w:val="auto"/>
              </w:rPr>
            </w:pPr>
            <w:r>
              <w:rPr>
                <w:rFonts w:ascii="Arial" w:cs="Arial" w:eastAsia="Arial" w:hAnsi="Arial"/>
                <w:sz w:val="18"/>
                <w:szCs w:val="18"/>
                <w:b w:val="1"/>
                <w:bCs w:val="1"/>
                <w:color w:val="FFFFFF"/>
              </w:rPr>
              <w:t>Proposal</w:t>
            </w:r>
          </w:p>
        </w:tc>
        <w:tc>
          <w:tcPr>
            <w:tcW w:w="7860" w:type="dxa"/>
            <w:vAlign w:val="bottom"/>
            <w:shd w:val="clear" w:color="auto" w:fill="E9EFF7"/>
          </w:tcPr>
          <w:p>
            <w:pPr>
              <w:ind w:left="220"/>
              <w:spacing w:after="0"/>
              <w:rPr>
                <w:sz w:val="20"/>
                <w:szCs w:val="20"/>
                <w:color w:val="auto"/>
              </w:rPr>
            </w:pPr>
            <w:r>
              <w:rPr>
                <w:rFonts w:ascii="Arial" w:cs="Arial" w:eastAsia="Arial" w:hAnsi="Arial"/>
                <w:sz w:val="43"/>
                <w:szCs w:val="43"/>
                <w:color w:val="0C426A"/>
              </w:rPr>
              <w:t>Ratify Independent Registered Public</w:t>
            </w:r>
          </w:p>
        </w:tc>
      </w:tr>
      <w:tr>
        <w:trPr>
          <w:trHeight w:val="964"/>
        </w:trPr>
        <w:tc>
          <w:tcPr>
            <w:tcW w:w="80" w:type="dxa"/>
            <w:vAlign w:val="bottom"/>
            <w:shd w:val="clear" w:color="auto" w:fill="E02826"/>
          </w:tcPr>
          <w:p>
            <w:pPr>
              <w:spacing w:after="0"/>
              <w:rPr>
                <w:sz w:val="24"/>
                <w:szCs w:val="24"/>
                <w:color w:val="auto"/>
              </w:rPr>
            </w:pPr>
          </w:p>
        </w:tc>
        <w:tc>
          <w:tcPr>
            <w:tcW w:w="1040" w:type="dxa"/>
            <w:vAlign w:val="bottom"/>
            <w:shd w:val="clear" w:color="auto" w:fill="0C426A"/>
          </w:tcPr>
          <w:p>
            <w:pPr>
              <w:jc w:val="right"/>
              <w:ind w:right="50"/>
              <w:spacing w:after="0"/>
              <w:rPr>
                <w:sz w:val="20"/>
                <w:szCs w:val="20"/>
                <w:color w:val="auto"/>
              </w:rPr>
            </w:pPr>
            <w:r>
              <w:rPr>
                <w:rFonts w:ascii="Arial" w:cs="Arial" w:eastAsia="Arial" w:hAnsi="Arial"/>
                <w:sz w:val="82"/>
                <w:szCs w:val="82"/>
                <w:b w:val="1"/>
                <w:bCs w:val="1"/>
                <w:color w:val="FFFFFF"/>
              </w:rPr>
              <w:t>3</w:t>
            </w:r>
          </w:p>
        </w:tc>
        <w:tc>
          <w:tcPr>
            <w:tcW w:w="7860" w:type="dxa"/>
            <w:vAlign w:val="bottom"/>
            <w:shd w:val="clear" w:color="auto" w:fill="E9EFF7"/>
          </w:tcPr>
          <w:p>
            <w:pPr>
              <w:ind w:left="220"/>
              <w:spacing w:after="0"/>
              <w:rPr>
                <w:sz w:val="20"/>
                <w:szCs w:val="20"/>
                <w:color w:val="auto"/>
              </w:rPr>
            </w:pPr>
            <w:r>
              <w:rPr>
                <w:rFonts w:ascii="Arial" w:cs="Arial" w:eastAsia="Arial" w:hAnsi="Arial"/>
                <w:sz w:val="43"/>
                <w:szCs w:val="43"/>
                <w:color w:val="0C426A"/>
              </w:rPr>
              <w:t>Accounting Firm</w:t>
            </w:r>
          </w:p>
        </w:tc>
      </w:tr>
    </w:tbl>
    <w:p>
      <w:pPr>
        <w:spacing w:after="0" w:line="361" w:lineRule="exact"/>
        <w:rPr>
          <w:sz w:val="20"/>
          <w:szCs w:val="20"/>
          <w:color w:val="auto"/>
        </w:rPr>
      </w:pPr>
    </w:p>
    <w:p>
      <w:pPr>
        <w:ind w:left="960" w:right="1000"/>
        <w:spacing w:after="0" w:line="250" w:lineRule="auto"/>
        <w:rPr>
          <w:sz w:val="20"/>
          <w:szCs w:val="20"/>
          <w:color w:val="auto"/>
        </w:rPr>
      </w:pPr>
      <w:r>
        <w:rPr>
          <w:rFonts w:ascii="Arial" w:cs="Arial" w:eastAsia="Arial" w:hAnsi="Arial"/>
          <w:sz w:val="16"/>
          <w:szCs w:val="16"/>
          <w:color w:val="auto"/>
        </w:rPr>
        <w:t>The Audit Committee has appointed Ernst &amp; Young LLP as the independent registered public accounting firm to audit our financial statements for the fiscal year ending December 31, 2024. Although you are not required to ratify this appointment, we ask that you do. If you do not, the Audit Committee will take the vote into consideration when determining whether or not to retain Ernst &amp; Young LLP. Ernst &amp; Young LLP served as our independent registered public accounting firm for the fiscal year ended December 31, 2023. and has served as the Company’s independent registered public accounting firm since 2002. Even if the selection of Ernst &amp; Young LLP is ratified by stockholders, the Audit Committee in its discretion may select a different independent registered public accounting firm at any time during the year if it determines that such a change would be in the best interests of the Company and its stockholders.</w:t>
      </w:r>
    </w:p>
    <w:p>
      <w:pPr>
        <w:spacing w:after="0" w:line="127" w:lineRule="exact"/>
        <w:rPr>
          <w:sz w:val="20"/>
          <w:szCs w:val="20"/>
          <w:color w:val="auto"/>
        </w:rPr>
      </w:pPr>
    </w:p>
    <w:p>
      <w:pPr>
        <w:ind w:left="960" w:right="1140"/>
        <w:spacing w:after="0" w:line="282" w:lineRule="auto"/>
        <w:rPr>
          <w:sz w:val="20"/>
          <w:szCs w:val="20"/>
          <w:color w:val="auto"/>
        </w:rPr>
      </w:pPr>
      <w:r>
        <w:rPr>
          <w:rFonts w:ascii="Arial" w:cs="Arial" w:eastAsia="Arial" w:hAnsi="Arial"/>
          <w:sz w:val="16"/>
          <w:szCs w:val="16"/>
          <w:color w:val="auto"/>
        </w:rPr>
        <w:t>A representative of Ernst &amp; Young LLP is expected to be present at the Annual Meeting to answer appropriate questions and make a statement if the representative so desires.</w:t>
      </w:r>
    </w:p>
    <w:p>
      <w:pPr>
        <w:spacing w:after="0" w:line="314" w:lineRule="exact"/>
        <w:rPr>
          <w:sz w:val="20"/>
          <w:szCs w:val="20"/>
          <w:color w:val="auto"/>
        </w:rPr>
      </w:pPr>
    </w:p>
    <w:p>
      <w:pPr>
        <w:ind w:left="960"/>
        <w:spacing w:after="0"/>
        <w:rPr>
          <w:sz w:val="20"/>
          <w:szCs w:val="20"/>
          <w:color w:val="auto"/>
        </w:rPr>
      </w:pPr>
      <w:r>
        <w:rPr>
          <w:rFonts w:ascii="Arial" w:cs="Arial" w:eastAsia="Arial" w:hAnsi="Arial"/>
          <w:sz w:val="23"/>
          <w:szCs w:val="23"/>
          <w:color w:val="0C426A"/>
        </w:rPr>
        <w:t>Vote Required</w:t>
      </w:r>
    </w:p>
    <w:p>
      <w:pPr>
        <w:spacing w:after="0" w:line="181" w:lineRule="exact"/>
        <w:rPr>
          <w:sz w:val="20"/>
          <w:szCs w:val="20"/>
          <w:color w:val="auto"/>
        </w:rPr>
      </w:pPr>
    </w:p>
    <w:p>
      <w:pPr>
        <w:ind w:left="960" w:right="1000"/>
        <w:spacing w:after="0" w:line="252" w:lineRule="auto"/>
        <w:rPr>
          <w:sz w:val="20"/>
          <w:szCs w:val="20"/>
          <w:color w:val="auto"/>
        </w:rPr>
      </w:pPr>
      <w:r>
        <w:rPr>
          <w:rFonts w:ascii="Arial" w:cs="Arial" w:eastAsia="Arial" w:hAnsi="Arial"/>
          <w:sz w:val="16"/>
          <w:szCs w:val="16"/>
          <w:color w:val="auto"/>
        </w:rPr>
        <w:t>This proposal is adopted if a majority of the shares present in person or by proxy vote for the proposal. Because the total shares voted “for,” “against,” or “abstain” are counted to determine the minimum votes required for approval, if you abstain from voting, it has the same legal effect as if you vote against. If a broker limits the number of shares voted on the proposal on its proxy card or indicates that the shares represented by the proxy card are not being voted on the proposal, it is considered a broker non-vote. Broker non-votes are not counted as a vote or used to determine the favorable votes required to approve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29845</wp:posOffset>
            </wp:positionV>
            <wp:extent cx="5713730" cy="5949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713730" cy="594995"/>
                    </a:xfrm>
                    <a:prstGeom prst="rect">
                      <a:avLst/>
                    </a:prstGeom>
                    <a:noFill/>
                  </pic:spPr>
                </pic:pic>
              </a:graphicData>
            </a:graphic>
          </wp:anchor>
        </w:drawing>
      </w:r>
    </w:p>
    <w:p>
      <w:pPr>
        <w:spacing w:after="0" w:line="346" w:lineRule="exact"/>
        <w:rPr>
          <w:sz w:val="20"/>
          <w:szCs w:val="20"/>
          <w:color w:val="auto"/>
        </w:rPr>
      </w:pPr>
    </w:p>
    <w:p>
      <w:pPr>
        <w:ind w:left="1720"/>
        <w:spacing w:after="0"/>
        <w:rPr>
          <w:sz w:val="20"/>
          <w:szCs w:val="20"/>
          <w:color w:val="auto"/>
        </w:rPr>
      </w:pPr>
      <w:r>
        <w:rPr>
          <w:rFonts w:ascii="Arial" w:cs="Arial" w:eastAsia="Arial" w:hAnsi="Arial"/>
          <w:sz w:val="21"/>
          <w:szCs w:val="21"/>
          <w:color w:val="auto"/>
        </w:rPr>
        <w:t xml:space="preserve">  The Board recommends you vote </w:t>
      </w:r>
      <w:r>
        <w:rPr>
          <w:rFonts w:ascii="Arial" w:cs="Arial" w:eastAsia="Arial" w:hAnsi="Arial"/>
          <w:sz w:val="21"/>
          <w:szCs w:val="21"/>
          <w:b w:val="1"/>
          <w:bCs w:val="1"/>
          <w:color w:val="4297CB"/>
        </w:rPr>
        <w:t>FOR</w:t>
      </w:r>
      <w:r>
        <w:rPr>
          <w:rFonts w:ascii="Arial" w:cs="Arial" w:eastAsia="Arial" w:hAnsi="Arial"/>
          <w:sz w:val="21"/>
          <w:szCs w:val="21"/>
          <w:color w:val="auto"/>
        </w:rPr>
        <w:t xml:space="preserve"> this proposal.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9140" w:type="dxa"/>
            <w:vAlign w:val="bottom"/>
          </w:tcPr>
          <w:p>
            <w:pPr>
              <w:ind w:left="636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800" w:type="dxa"/>
            <w:vAlign w:val="bottom"/>
          </w:tcPr>
          <w:p>
            <w:pPr>
              <w:jc w:val="right"/>
              <w:ind w:right="909"/>
              <w:spacing w:after="0"/>
              <w:rPr>
                <w:sz w:val="20"/>
                <w:szCs w:val="20"/>
                <w:color w:val="auto"/>
              </w:rPr>
            </w:pPr>
            <w:r>
              <w:rPr>
                <w:rFonts w:ascii="Arial" w:cs="Arial" w:eastAsia="Arial" w:hAnsi="Arial"/>
                <w:sz w:val="14"/>
                <w:szCs w:val="14"/>
                <w:b w:val="1"/>
                <w:bCs w:val="1"/>
                <w:color w:val="auto"/>
              </w:rPr>
              <w:t>75</w:t>
            </w:r>
          </w:p>
        </w:tc>
      </w:tr>
      <w:tr>
        <w:trPr>
          <w:trHeight w:val="342"/>
        </w:trPr>
        <w:tc>
          <w:tcPr>
            <w:tcW w:w="9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-407670</wp:posOffset>
            </wp:positionV>
            <wp:extent cx="501650" cy="1701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Proposal 3: Ratify Independent Registered Public Accounting Firm</w:t>
      </w:r>
    </w:p>
    <w:p>
      <w:pPr>
        <w:spacing w:after="0" w:line="254" w:lineRule="exact"/>
        <w:rPr>
          <w:sz w:val="20"/>
          <w:szCs w:val="20"/>
          <w:color w:val="auto"/>
        </w:rPr>
      </w:pPr>
    </w:p>
    <w:p>
      <w:pPr>
        <w:spacing w:after="0"/>
        <w:rPr>
          <w:sz w:val="20"/>
          <w:szCs w:val="20"/>
          <w:color w:val="auto"/>
        </w:rPr>
      </w:pPr>
      <w:r>
        <w:rPr>
          <w:rFonts w:ascii="Arial" w:cs="Arial" w:eastAsia="Arial" w:hAnsi="Arial"/>
          <w:sz w:val="43"/>
          <w:szCs w:val="43"/>
          <w:color w:val="E02826"/>
        </w:rPr>
        <w:t>Audit Matters</w:t>
      </w:r>
    </w:p>
    <w:p>
      <w:pPr>
        <w:spacing w:after="0" w:line="358" w:lineRule="exact"/>
        <w:rPr>
          <w:sz w:val="20"/>
          <w:szCs w:val="20"/>
          <w:color w:val="auto"/>
        </w:rPr>
      </w:pPr>
    </w:p>
    <w:p>
      <w:pPr>
        <w:spacing w:after="0"/>
        <w:rPr>
          <w:sz w:val="20"/>
          <w:szCs w:val="20"/>
          <w:color w:val="auto"/>
        </w:rPr>
      </w:pPr>
      <w:r>
        <w:rPr>
          <w:rFonts w:ascii="Arial" w:cs="Arial" w:eastAsia="Arial" w:hAnsi="Arial"/>
          <w:sz w:val="29"/>
          <w:szCs w:val="29"/>
          <w:color w:val="636466"/>
        </w:rPr>
        <w:t>Fees to the Independent Registered Public Accounting Firm</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aggregate fees for services provided by Ernst &amp; Young LLP for the fiscal years ended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2023 and December 31, 2022:</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440" w:type="dxa"/>
            <w:vAlign w:val="bottom"/>
          </w:tcPr>
          <w:p>
            <w:pPr>
              <w:spacing w:after="0"/>
              <w:rPr>
                <w:sz w:val="16"/>
                <w:szCs w:val="16"/>
                <w:color w:val="auto"/>
              </w:rPr>
            </w:pPr>
          </w:p>
        </w:tc>
        <w:tc>
          <w:tcPr>
            <w:tcW w:w="2440" w:type="dxa"/>
            <w:vAlign w:val="bottom"/>
          </w:tcPr>
          <w:p>
            <w:pPr>
              <w:ind w:left="220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spacing w:after="0"/>
              <w:rPr>
                <w:sz w:val="16"/>
                <w:szCs w:val="16"/>
                <w:color w:val="auto"/>
              </w:rPr>
            </w:pPr>
          </w:p>
        </w:tc>
        <w:tc>
          <w:tcPr>
            <w:tcW w:w="80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2023</w:t>
            </w:r>
            <w:r>
              <w:rPr>
                <w:rFonts w:ascii="Times New Roman" w:cs="Times New Roman" w:eastAsia="Times New Roman" w:hAnsi="Times New Roman"/>
                <w:sz w:val="3"/>
                <w:szCs w:val="3"/>
                <w:color w:val="auto"/>
              </w:rPr>
              <w:t>​</w:t>
            </w:r>
          </w:p>
        </w:tc>
        <w:tc>
          <w:tcPr>
            <w:tcW w:w="48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r>
      <w:tr>
        <w:trPr>
          <w:trHeight w:val="82"/>
        </w:trPr>
        <w:tc>
          <w:tcPr>
            <w:tcW w:w="3440" w:type="dxa"/>
            <w:vAlign w:val="bottom"/>
            <w:tcBorders>
              <w:bottom w:val="single" w:sz="8" w:color="0C426A"/>
            </w:tcBorders>
          </w:tcPr>
          <w:p>
            <w:pPr>
              <w:spacing w:after="0"/>
              <w:rPr>
                <w:sz w:val="7"/>
                <w:szCs w:val="7"/>
                <w:color w:val="auto"/>
              </w:rPr>
            </w:pPr>
          </w:p>
        </w:tc>
        <w:tc>
          <w:tcPr>
            <w:tcW w:w="2440" w:type="dxa"/>
            <w:vAlign w:val="bottom"/>
            <w:tcBorders>
              <w:bottom w:val="single" w:sz="8" w:color="0C426A"/>
            </w:tcBorders>
          </w:tcPr>
          <w:p>
            <w:pPr>
              <w:spacing w:after="0"/>
              <w:rPr>
                <w:sz w:val="7"/>
                <w:szCs w:val="7"/>
                <w:color w:val="auto"/>
              </w:rPr>
            </w:pPr>
          </w:p>
        </w:tc>
        <w:tc>
          <w:tcPr>
            <w:tcW w:w="460" w:type="dxa"/>
            <w:vAlign w:val="bottom"/>
            <w:tcBorders>
              <w:bottom w:val="single" w:sz="8" w:color="0C426A"/>
            </w:tcBorders>
          </w:tcPr>
          <w:p>
            <w:pPr>
              <w:spacing w:after="0"/>
              <w:rPr>
                <w:sz w:val="7"/>
                <w:szCs w:val="7"/>
                <w:color w:val="auto"/>
              </w:rPr>
            </w:pPr>
          </w:p>
        </w:tc>
        <w:tc>
          <w:tcPr>
            <w:tcW w:w="1200" w:type="dxa"/>
            <w:vAlign w:val="bottom"/>
            <w:tcBorders>
              <w:bottom w:val="single" w:sz="8" w:color="0C426A"/>
            </w:tcBorders>
            <w:gridSpan w:val="3"/>
          </w:tcPr>
          <w:p>
            <w:pPr>
              <w:spacing w:after="0"/>
              <w:rPr>
                <w:sz w:val="7"/>
                <w:szCs w:val="7"/>
                <w:color w:val="auto"/>
              </w:rPr>
            </w:pPr>
          </w:p>
        </w:tc>
        <w:tc>
          <w:tcPr>
            <w:tcW w:w="480" w:type="dxa"/>
            <w:vAlign w:val="bottom"/>
            <w:tcBorders>
              <w:bottom w:val="single" w:sz="8" w:color="0C426A"/>
            </w:tcBorders>
          </w:tcPr>
          <w:p>
            <w:pPr>
              <w:spacing w:after="0"/>
              <w:rPr>
                <w:sz w:val="7"/>
                <w:szCs w:val="7"/>
                <w:color w:val="auto"/>
              </w:rPr>
            </w:pPr>
          </w:p>
        </w:tc>
        <w:tc>
          <w:tcPr>
            <w:tcW w:w="960" w:type="dxa"/>
            <w:vAlign w:val="bottom"/>
            <w:tcBorders>
              <w:bottom w:val="single" w:sz="8" w:color="0C426A"/>
            </w:tcBorders>
            <w:gridSpan w:val="2"/>
          </w:tcPr>
          <w:p>
            <w:pPr>
              <w:spacing w:after="0"/>
              <w:rPr>
                <w:sz w:val="7"/>
                <w:szCs w:val="7"/>
                <w:color w:val="auto"/>
              </w:rPr>
            </w:pPr>
          </w:p>
        </w:tc>
      </w:tr>
      <w:tr>
        <w:trPr>
          <w:trHeight w:val="280"/>
        </w:trPr>
        <w:tc>
          <w:tcPr>
            <w:tcW w:w="3440" w:type="dxa"/>
            <w:vAlign w:val="bottom"/>
          </w:tcPr>
          <w:p>
            <w:pPr>
              <w:ind w:left="20"/>
              <w:spacing w:after="0"/>
              <w:rPr>
                <w:sz w:val="20"/>
                <w:szCs w:val="20"/>
                <w:color w:val="auto"/>
              </w:rPr>
            </w:pPr>
            <w:r>
              <w:rPr>
                <w:rFonts w:ascii="Arial" w:cs="Arial" w:eastAsia="Arial" w:hAnsi="Arial"/>
                <w:sz w:val="14"/>
                <w:szCs w:val="14"/>
                <w:color w:val="auto"/>
              </w:rPr>
              <w:t>Audit Fees</w:t>
            </w:r>
          </w:p>
        </w:tc>
        <w:tc>
          <w:tcPr>
            <w:tcW w:w="2440" w:type="dxa"/>
            <w:vAlign w:val="bottom"/>
          </w:tcPr>
          <w:p>
            <w:pPr>
              <w:ind w:left="220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gridSpan w:val="3"/>
          </w:tcPr>
          <w:p>
            <w:pPr>
              <w:jc w:val="right"/>
              <w:ind w:right="222"/>
              <w:spacing w:after="0"/>
              <w:rPr>
                <w:sz w:val="20"/>
                <w:szCs w:val="20"/>
                <w:color w:val="auto"/>
              </w:rPr>
            </w:pPr>
            <w:r>
              <w:rPr>
                <w:rFonts w:ascii="Arial" w:cs="Arial" w:eastAsia="Arial" w:hAnsi="Arial"/>
                <w:sz w:val="14"/>
                <w:szCs w:val="14"/>
                <w:color w:val="auto"/>
              </w:rPr>
              <w:t>$8,483,014</w:t>
            </w:r>
            <w:r>
              <w:rPr>
                <w:rFonts w:ascii="Times New Roman" w:cs="Times New Roman" w:eastAsia="Times New Roman" w:hAnsi="Times New Roman"/>
                <w:sz w:val="3"/>
                <w:szCs w:val="3"/>
                <w:color w:val="auto"/>
              </w:rPr>
              <w:t>​</w:t>
            </w:r>
          </w:p>
        </w:tc>
        <w:tc>
          <w:tcPr>
            <w:tcW w:w="48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$8,151,652</w:t>
            </w:r>
          </w:p>
        </w:tc>
      </w:tr>
      <w:tr>
        <w:trPr>
          <w:trHeight w:val="48"/>
        </w:trPr>
        <w:tc>
          <w:tcPr>
            <w:tcW w:w="3440" w:type="dxa"/>
            <w:vAlign w:val="bottom"/>
            <w:tcBorders>
              <w:bottom w:val="single" w:sz="8" w:color="808080"/>
            </w:tcBorders>
          </w:tcPr>
          <w:p>
            <w:pPr>
              <w:spacing w:after="0"/>
              <w:rPr>
                <w:sz w:val="4"/>
                <w:szCs w:val="4"/>
                <w:color w:val="auto"/>
              </w:rPr>
            </w:pPr>
          </w:p>
        </w:tc>
        <w:tc>
          <w:tcPr>
            <w:tcW w:w="244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r>
      <w:tr>
        <w:trPr>
          <w:trHeight w:val="240"/>
        </w:trPr>
        <w:tc>
          <w:tcPr>
            <w:tcW w:w="3440" w:type="dxa"/>
            <w:vAlign w:val="bottom"/>
          </w:tcPr>
          <w:p>
            <w:pPr>
              <w:ind w:left="20"/>
              <w:spacing w:after="0"/>
              <w:rPr>
                <w:sz w:val="20"/>
                <w:szCs w:val="20"/>
                <w:color w:val="auto"/>
              </w:rPr>
            </w:pPr>
            <w:r>
              <w:rPr>
                <w:rFonts w:ascii="Arial" w:cs="Arial" w:eastAsia="Arial" w:hAnsi="Arial"/>
                <w:sz w:val="14"/>
                <w:szCs w:val="14"/>
                <w:color w:val="auto"/>
              </w:rPr>
              <w:t>Audit-Related Fees</w:t>
            </w:r>
          </w:p>
        </w:tc>
        <w:tc>
          <w:tcPr>
            <w:tcW w:w="2440" w:type="dxa"/>
            <w:vAlign w:val="bottom"/>
          </w:tcPr>
          <w:p>
            <w:pPr>
              <w:ind w:left="220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ind w:left="40"/>
              <w:spacing w:after="0"/>
              <w:rPr>
                <w:sz w:val="20"/>
                <w:szCs w:val="20"/>
                <w:color w:val="auto"/>
              </w:rPr>
            </w:pPr>
            <w:r>
              <w:rPr>
                <w:rFonts w:ascii="Arial" w:cs="Arial" w:eastAsia="Arial" w:hAnsi="Arial"/>
                <w:sz w:val="14"/>
                <w:szCs w:val="14"/>
                <w:color w:val="auto"/>
                <w:w w:val="98"/>
              </w:rPr>
              <w:t>530,467​</w:t>
            </w:r>
          </w:p>
        </w:tc>
        <w:tc>
          <w:tcPr>
            <w:tcW w:w="240" w:type="dxa"/>
            <w:vAlign w:val="bottom"/>
          </w:tcPr>
          <w:p>
            <w:pPr>
              <w:jc w:val="right"/>
              <w:ind w:right="222"/>
              <w:spacing w:after="0"/>
              <w:rPr>
                <w:sz w:val="20"/>
                <w:szCs w:val="20"/>
                <w:color w:val="auto"/>
              </w:rPr>
            </w:pPr>
            <w:r>
              <w:rPr>
                <w:rFonts w:ascii="Times New Roman" w:cs="Times New Roman" w:eastAsia="Times New Roman" w:hAnsi="Times New Roman"/>
                <w:sz w:val="4"/>
                <w:szCs w:val="4"/>
                <w:color w:val="auto"/>
              </w:rPr>
              <w:t>​</w:t>
            </w:r>
          </w:p>
        </w:tc>
        <w:tc>
          <w:tcPr>
            <w:tcW w:w="48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115,247</w:t>
            </w:r>
          </w:p>
        </w:tc>
      </w:tr>
      <w:tr>
        <w:trPr>
          <w:trHeight w:val="48"/>
        </w:trPr>
        <w:tc>
          <w:tcPr>
            <w:tcW w:w="3440" w:type="dxa"/>
            <w:vAlign w:val="bottom"/>
            <w:tcBorders>
              <w:bottom w:val="single" w:sz="8" w:color="808080"/>
            </w:tcBorders>
          </w:tcPr>
          <w:p>
            <w:pPr>
              <w:spacing w:after="0"/>
              <w:rPr>
                <w:sz w:val="4"/>
                <w:szCs w:val="4"/>
                <w:color w:val="auto"/>
              </w:rPr>
            </w:pPr>
          </w:p>
        </w:tc>
        <w:tc>
          <w:tcPr>
            <w:tcW w:w="244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r>
      <w:tr>
        <w:trPr>
          <w:trHeight w:val="240"/>
        </w:trPr>
        <w:tc>
          <w:tcPr>
            <w:tcW w:w="3440" w:type="dxa"/>
            <w:vAlign w:val="bottom"/>
          </w:tcPr>
          <w:p>
            <w:pPr>
              <w:ind w:left="20"/>
              <w:spacing w:after="0"/>
              <w:rPr>
                <w:sz w:val="20"/>
                <w:szCs w:val="20"/>
                <w:color w:val="auto"/>
              </w:rPr>
            </w:pPr>
            <w:r>
              <w:rPr>
                <w:rFonts w:ascii="Arial" w:cs="Arial" w:eastAsia="Arial" w:hAnsi="Arial"/>
                <w:sz w:val="14"/>
                <w:szCs w:val="14"/>
                <w:color w:val="auto"/>
              </w:rPr>
              <w:t>Tax Fees</w:t>
            </w:r>
          </w:p>
        </w:tc>
        <w:tc>
          <w:tcPr>
            <w:tcW w:w="2440" w:type="dxa"/>
            <w:vAlign w:val="bottom"/>
          </w:tcPr>
          <w:p>
            <w:pPr>
              <w:ind w:left="220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ind w:left="40"/>
              <w:spacing w:after="0"/>
              <w:rPr>
                <w:sz w:val="20"/>
                <w:szCs w:val="20"/>
                <w:color w:val="auto"/>
              </w:rPr>
            </w:pPr>
            <w:r>
              <w:rPr>
                <w:rFonts w:ascii="Arial" w:cs="Arial" w:eastAsia="Arial" w:hAnsi="Arial"/>
                <w:sz w:val="14"/>
                <w:szCs w:val="14"/>
                <w:color w:val="auto"/>
                <w:w w:val="98"/>
              </w:rPr>
              <w:t>460,914​</w:t>
            </w:r>
          </w:p>
        </w:tc>
        <w:tc>
          <w:tcPr>
            <w:tcW w:w="240" w:type="dxa"/>
            <w:vAlign w:val="bottom"/>
          </w:tcPr>
          <w:p>
            <w:pPr>
              <w:jc w:val="right"/>
              <w:ind w:right="222"/>
              <w:spacing w:after="0"/>
              <w:rPr>
                <w:sz w:val="20"/>
                <w:szCs w:val="20"/>
                <w:color w:val="auto"/>
              </w:rPr>
            </w:pPr>
            <w:r>
              <w:rPr>
                <w:rFonts w:ascii="Times New Roman" w:cs="Times New Roman" w:eastAsia="Times New Roman" w:hAnsi="Times New Roman"/>
                <w:sz w:val="4"/>
                <w:szCs w:val="4"/>
                <w:color w:val="auto"/>
              </w:rPr>
              <w:t>​</w:t>
            </w:r>
          </w:p>
        </w:tc>
        <w:tc>
          <w:tcPr>
            <w:tcW w:w="48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93,676</w:t>
            </w:r>
          </w:p>
        </w:tc>
      </w:tr>
      <w:tr>
        <w:trPr>
          <w:trHeight w:val="48"/>
        </w:trPr>
        <w:tc>
          <w:tcPr>
            <w:tcW w:w="3440" w:type="dxa"/>
            <w:vAlign w:val="bottom"/>
            <w:tcBorders>
              <w:bottom w:val="single" w:sz="8" w:color="808080"/>
            </w:tcBorders>
          </w:tcPr>
          <w:p>
            <w:pPr>
              <w:spacing w:after="0"/>
              <w:rPr>
                <w:sz w:val="4"/>
                <w:szCs w:val="4"/>
                <w:color w:val="auto"/>
              </w:rPr>
            </w:pPr>
          </w:p>
        </w:tc>
        <w:tc>
          <w:tcPr>
            <w:tcW w:w="244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gridSpan w:val="2"/>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r>
      <w:tr>
        <w:trPr>
          <w:trHeight w:val="240"/>
        </w:trPr>
        <w:tc>
          <w:tcPr>
            <w:tcW w:w="3440" w:type="dxa"/>
            <w:vAlign w:val="bottom"/>
          </w:tcPr>
          <w:p>
            <w:pPr>
              <w:ind w:left="20"/>
              <w:spacing w:after="0"/>
              <w:rPr>
                <w:sz w:val="20"/>
                <w:szCs w:val="20"/>
                <w:color w:val="auto"/>
              </w:rPr>
            </w:pPr>
            <w:r>
              <w:rPr>
                <w:rFonts w:ascii="Arial" w:cs="Arial" w:eastAsia="Arial" w:hAnsi="Arial"/>
                <w:sz w:val="14"/>
                <w:szCs w:val="14"/>
                <w:color w:val="auto"/>
              </w:rPr>
              <w:t>All Other Fees</w:t>
            </w:r>
          </w:p>
        </w:tc>
        <w:tc>
          <w:tcPr>
            <w:tcW w:w="2440" w:type="dxa"/>
            <w:vAlign w:val="bottom"/>
          </w:tcPr>
          <w:p>
            <w:pPr>
              <w:ind w:left="220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2"/>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48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48"/>
        </w:trPr>
        <w:tc>
          <w:tcPr>
            <w:tcW w:w="3440" w:type="dxa"/>
            <w:vAlign w:val="bottom"/>
            <w:tcBorders>
              <w:bottom w:val="single" w:sz="8" w:color="808080"/>
            </w:tcBorders>
          </w:tcPr>
          <w:p>
            <w:pPr>
              <w:spacing w:after="0"/>
              <w:rPr>
                <w:sz w:val="4"/>
                <w:szCs w:val="4"/>
                <w:color w:val="auto"/>
              </w:rPr>
            </w:pPr>
          </w:p>
        </w:tc>
        <w:tc>
          <w:tcPr>
            <w:tcW w:w="244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200" w:type="dxa"/>
            <w:vAlign w:val="bottom"/>
            <w:tcBorders>
              <w:bottom w:val="single" w:sz="8" w:color="808080"/>
            </w:tcBorders>
            <w:gridSpan w:val="3"/>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gridSpan w:val="2"/>
          </w:tcPr>
          <w:p>
            <w:pPr>
              <w:spacing w:after="0"/>
              <w:rPr>
                <w:sz w:val="4"/>
                <w:szCs w:val="4"/>
                <w:color w:val="auto"/>
              </w:rPr>
            </w:pPr>
          </w:p>
        </w:tc>
      </w:tr>
      <w:tr>
        <w:trPr>
          <w:trHeight w:val="240"/>
        </w:trPr>
        <w:tc>
          <w:tcPr>
            <w:tcW w:w="3440" w:type="dxa"/>
            <w:vAlign w:val="bottom"/>
          </w:tcPr>
          <w:p>
            <w:pPr>
              <w:ind w:left="20"/>
              <w:spacing w:after="0"/>
              <w:rPr>
                <w:sz w:val="20"/>
                <w:szCs w:val="20"/>
                <w:color w:val="auto"/>
              </w:rPr>
            </w:pPr>
            <w:r>
              <w:rPr>
                <w:rFonts w:ascii="Arial" w:cs="Arial" w:eastAsia="Arial" w:hAnsi="Arial"/>
                <w:sz w:val="14"/>
                <w:szCs w:val="14"/>
                <w:color w:val="auto"/>
              </w:rPr>
              <w:t>Total Fees</w:t>
            </w:r>
          </w:p>
        </w:tc>
        <w:tc>
          <w:tcPr>
            <w:tcW w:w="2440" w:type="dxa"/>
            <w:vAlign w:val="bottom"/>
          </w:tcPr>
          <w:p>
            <w:pPr>
              <w:ind w:left="220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gridSpan w:val="3"/>
          </w:tcPr>
          <w:p>
            <w:pPr>
              <w:jc w:val="right"/>
              <w:ind w:right="222"/>
              <w:spacing w:after="0"/>
              <w:rPr>
                <w:sz w:val="20"/>
                <w:szCs w:val="20"/>
                <w:color w:val="auto"/>
              </w:rPr>
            </w:pPr>
            <w:r>
              <w:rPr>
                <w:rFonts w:ascii="Arial" w:cs="Arial" w:eastAsia="Arial" w:hAnsi="Arial"/>
                <w:sz w:val="14"/>
                <w:szCs w:val="14"/>
                <w:color w:val="auto"/>
              </w:rPr>
              <w:t>$​9,474,395</w:t>
            </w:r>
            <w:r>
              <w:rPr>
                <w:rFonts w:ascii="Times New Roman" w:cs="Times New Roman" w:eastAsia="Times New Roman" w:hAnsi="Times New Roman"/>
                <w:sz w:val="3"/>
                <w:szCs w:val="3"/>
                <w:color w:val="auto"/>
              </w:rPr>
              <w:t>​</w:t>
            </w:r>
          </w:p>
        </w:tc>
        <w:tc>
          <w:tcPr>
            <w:tcW w:w="48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$8,360,575</w:t>
            </w:r>
          </w:p>
        </w:tc>
      </w:tr>
      <w:tr>
        <w:trPr>
          <w:trHeight w:val="48"/>
        </w:trPr>
        <w:tc>
          <w:tcPr>
            <w:tcW w:w="3440" w:type="dxa"/>
            <w:vAlign w:val="bottom"/>
            <w:tcBorders>
              <w:bottom w:val="single" w:sz="8" w:color="808080"/>
            </w:tcBorders>
          </w:tcPr>
          <w:p>
            <w:pPr>
              <w:spacing w:after="0"/>
              <w:rPr>
                <w:sz w:val="4"/>
                <w:szCs w:val="4"/>
                <w:color w:val="auto"/>
              </w:rPr>
            </w:pPr>
          </w:p>
        </w:tc>
        <w:tc>
          <w:tcPr>
            <w:tcW w:w="244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23"/>
          <w:szCs w:val="23"/>
          <w:color w:val="0C426A"/>
        </w:rPr>
        <w:t>Audit Fees</w:t>
      </w:r>
    </w:p>
    <w:p>
      <w:pPr>
        <w:spacing w:after="0" w:line="181" w:lineRule="exact"/>
        <w:rPr>
          <w:sz w:val="20"/>
          <w:szCs w:val="20"/>
          <w:color w:val="auto"/>
        </w:rPr>
      </w:pPr>
    </w:p>
    <w:p>
      <w:pPr>
        <w:ind w:right="59"/>
        <w:spacing w:after="0" w:line="263" w:lineRule="auto"/>
        <w:rPr>
          <w:sz w:val="20"/>
          <w:szCs w:val="20"/>
          <w:color w:val="auto"/>
        </w:rPr>
      </w:pPr>
      <w:r>
        <w:rPr>
          <w:rFonts w:ascii="Arial" w:cs="Arial" w:eastAsia="Arial" w:hAnsi="Arial"/>
          <w:sz w:val="16"/>
          <w:szCs w:val="16"/>
          <w:color w:val="auto"/>
        </w:rPr>
        <w:t>Audit fees include fees for audit services in connection with Wabtec’s annual financial statements, including the audit of internal control over financial reporting, the reviews of Wabtec’s quarterly reports on Form 10-Q, comfort letters, consents, and other services relating to Securities and Exchange Commission filings and statutory audits required internationally.</w:t>
      </w:r>
    </w:p>
    <w:p>
      <w:pPr>
        <w:spacing w:after="0" w:line="342" w:lineRule="exact"/>
        <w:rPr>
          <w:sz w:val="20"/>
          <w:szCs w:val="20"/>
          <w:color w:val="auto"/>
        </w:rPr>
      </w:pPr>
    </w:p>
    <w:p>
      <w:pPr>
        <w:spacing w:after="0"/>
        <w:rPr>
          <w:sz w:val="20"/>
          <w:szCs w:val="20"/>
          <w:color w:val="auto"/>
        </w:rPr>
      </w:pPr>
      <w:r>
        <w:rPr>
          <w:rFonts w:ascii="Arial" w:cs="Arial" w:eastAsia="Arial" w:hAnsi="Arial"/>
          <w:sz w:val="23"/>
          <w:szCs w:val="23"/>
          <w:color w:val="0C426A"/>
        </w:rPr>
        <w:t>Audit-Related Fees</w:t>
      </w:r>
    </w:p>
    <w:p>
      <w:pPr>
        <w:spacing w:after="0" w:line="181" w:lineRule="exact"/>
        <w:rPr>
          <w:sz w:val="20"/>
          <w:szCs w:val="20"/>
          <w:color w:val="auto"/>
        </w:rPr>
      </w:pPr>
    </w:p>
    <w:p>
      <w:pPr>
        <w:ind w:right="819"/>
        <w:spacing w:after="0" w:line="282" w:lineRule="auto"/>
        <w:rPr>
          <w:sz w:val="20"/>
          <w:szCs w:val="20"/>
          <w:color w:val="auto"/>
        </w:rPr>
      </w:pPr>
      <w:r>
        <w:rPr>
          <w:rFonts w:ascii="Arial" w:cs="Arial" w:eastAsia="Arial" w:hAnsi="Arial"/>
          <w:sz w:val="16"/>
          <w:szCs w:val="16"/>
          <w:color w:val="auto"/>
        </w:rPr>
        <w:t>Audit-related fees include fees for services performed within the respective year primarily related to due diligence in connection with mergers and acquisitions and non-financial statement audits.</w:t>
      </w:r>
    </w:p>
    <w:p>
      <w:pPr>
        <w:spacing w:after="0" w:line="327" w:lineRule="exact"/>
        <w:rPr>
          <w:sz w:val="20"/>
          <w:szCs w:val="20"/>
          <w:color w:val="auto"/>
        </w:rPr>
      </w:pPr>
    </w:p>
    <w:p>
      <w:pPr>
        <w:spacing w:after="0"/>
        <w:rPr>
          <w:sz w:val="20"/>
          <w:szCs w:val="20"/>
          <w:color w:val="auto"/>
        </w:rPr>
      </w:pPr>
      <w:r>
        <w:rPr>
          <w:rFonts w:ascii="Arial" w:cs="Arial" w:eastAsia="Arial" w:hAnsi="Arial"/>
          <w:sz w:val="23"/>
          <w:szCs w:val="23"/>
          <w:color w:val="0C426A"/>
        </w:rPr>
        <w:t>Tax Fees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Tax fees include fees for services related to tax compliance, including tax return preparation, tax advice and tax planning.</w:t>
      </w:r>
    </w:p>
    <w:p>
      <w:pPr>
        <w:spacing w:after="0" w:line="375" w:lineRule="exact"/>
        <w:rPr>
          <w:sz w:val="20"/>
          <w:szCs w:val="20"/>
          <w:color w:val="auto"/>
        </w:rPr>
      </w:pPr>
    </w:p>
    <w:p>
      <w:pPr>
        <w:spacing w:after="0"/>
        <w:rPr>
          <w:sz w:val="20"/>
          <w:szCs w:val="20"/>
          <w:color w:val="auto"/>
        </w:rPr>
      </w:pPr>
      <w:r>
        <w:rPr>
          <w:rFonts w:ascii="Arial" w:cs="Arial" w:eastAsia="Arial" w:hAnsi="Arial"/>
          <w:sz w:val="23"/>
          <w:szCs w:val="23"/>
          <w:color w:val="0C426A"/>
        </w:rPr>
        <w:t>All Other Fees</w:t>
      </w:r>
    </w:p>
    <w:p>
      <w:pPr>
        <w:spacing w:after="0" w:line="181" w:lineRule="exact"/>
        <w:rPr>
          <w:sz w:val="20"/>
          <w:szCs w:val="20"/>
          <w:color w:val="auto"/>
        </w:rPr>
      </w:pPr>
    </w:p>
    <w:p>
      <w:pPr>
        <w:ind w:right="59"/>
        <w:spacing w:after="0" w:line="257" w:lineRule="auto"/>
        <w:rPr>
          <w:sz w:val="20"/>
          <w:szCs w:val="20"/>
          <w:color w:val="auto"/>
        </w:rPr>
      </w:pPr>
      <w:r>
        <w:rPr>
          <w:rFonts w:ascii="Arial" w:cs="Arial" w:eastAsia="Arial" w:hAnsi="Arial"/>
          <w:sz w:val="16"/>
          <w:szCs w:val="16"/>
          <w:color w:val="auto"/>
        </w:rPr>
        <w:t>This category includes the aggregate fees billed for products and services provided by the independent accountants that are not reported above under “Audit Fees,” “Audit-Related Fees,” or “Tax Fees.” The Audit Committee considered the compatibility of the non-audit-related services provided by and fees paid to Ernst &amp; Young LLP in 2023 and determined that such services and fees are compatible with the independence of Ernst &amp; Young LLP.</w:t>
      </w:r>
    </w:p>
    <w:p>
      <w:pPr>
        <w:spacing w:after="0" w:line="386" w:lineRule="exact"/>
        <w:rPr>
          <w:sz w:val="20"/>
          <w:szCs w:val="20"/>
          <w:color w:val="auto"/>
        </w:rPr>
      </w:pPr>
    </w:p>
    <w:p>
      <w:pPr>
        <w:spacing w:after="0"/>
        <w:rPr>
          <w:sz w:val="20"/>
          <w:szCs w:val="20"/>
          <w:color w:val="auto"/>
        </w:rPr>
      </w:pPr>
      <w:r>
        <w:rPr>
          <w:rFonts w:ascii="Arial" w:cs="Arial" w:eastAsia="Arial" w:hAnsi="Arial"/>
          <w:sz w:val="29"/>
          <w:szCs w:val="29"/>
          <w:color w:val="636466"/>
        </w:rPr>
        <w:t>Audit Committee Pre-Approval Policies and Procedures</w:t>
      </w:r>
    </w:p>
    <w:p>
      <w:pPr>
        <w:spacing w:after="0" w:line="180" w:lineRule="exact"/>
        <w:rPr>
          <w:sz w:val="20"/>
          <w:szCs w:val="20"/>
          <w:color w:val="auto"/>
        </w:rPr>
      </w:pPr>
    </w:p>
    <w:p>
      <w:pPr>
        <w:ind w:right="259"/>
        <w:spacing w:after="0" w:line="257" w:lineRule="auto"/>
        <w:rPr>
          <w:sz w:val="20"/>
          <w:szCs w:val="20"/>
          <w:color w:val="auto"/>
        </w:rPr>
      </w:pPr>
      <w:r>
        <w:rPr>
          <w:rFonts w:ascii="Arial" w:cs="Arial" w:eastAsia="Arial" w:hAnsi="Arial"/>
          <w:sz w:val="16"/>
          <w:szCs w:val="16"/>
          <w:color w:val="auto"/>
        </w:rPr>
        <w:t>The Audit Committee is responsible for the appointment, compensation and oversight of the work of the independent registered public accounting firm. As part of this responsibility, the Audit Committee is required to pre-approve the audit and non-audit services performed by the independent registered public accounting firm to assure that the provision of such services does not impair the independent registered public accounting firm’s independence.</w:t>
      </w:r>
    </w:p>
    <w:p>
      <w:pPr>
        <w:spacing w:after="0" w:line="122" w:lineRule="exact"/>
        <w:rPr>
          <w:sz w:val="20"/>
          <w:szCs w:val="20"/>
          <w:color w:val="auto"/>
        </w:rPr>
      </w:pPr>
    </w:p>
    <w:p>
      <w:pPr>
        <w:ind w:right="59"/>
        <w:spacing w:after="0" w:line="263" w:lineRule="auto"/>
        <w:rPr>
          <w:sz w:val="20"/>
          <w:szCs w:val="20"/>
          <w:color w:val="auto"/>
        </w:rPr>
      </w:pPr>
      <w:r>
        <w:rPr>
          <w:rFonts w:ascii="Arial" w:cs="Arial" w:eastAsia="Arial" w:hAnsi="Arial"/>
          <w:sz w:val="16"/>
          <w:szCs w:val="16"/>
          <w:color w:val="auto"/>
        </w:rPr>
        <w:t>The annual audit services engagement terms and fees are subject to the specific pre-approval of the Audit Committee. All other permitted services, including those described under “Fees to the Independent Registered Public Accounting Firm” above are also pre-approved by the Audit Committee.</w:t>
      </w:r>
    </w:p>
    <w:p>
      <w:pPr>
        <w:spacing w:after="0" w:line="118" w:lineRule="exact"/>
        <w:rPr>
          <w:sz w:val="20"/>
          <w:szCs w:val="20"/>
          <w:color w:val="auto"/>
        </w:rPr>
      </w:pPr>
    </w:p>
    <w:p>
      <w:pPr>
        <w:ind w:right="119"/>
        <w:spacing w:after="0" w:line="263" w:lineRule="auto"/>
        <w:rPr>
          <w:sz w:val="20"/>
          <w:szCs w:val="20"/>
          <w:color w:val="auto"/>
        </w:rPr>
      </w:pPr>
      <w:r>
        <w:rPr>
          <w:rFonts w:ascii="Arial" w:cs="Arial" w:eastAsia="Arial" w:hAnsi="Arial"/>
          <w:sz w:val="16"/>
          <w:szCs w:val="16"/>
          <w:color w:val="auto"/>
        </w:rPr>
        <w:t>The Audit Committee has delegated its pre-approval authority to its Chair if the fee to be approved does not exceed $500,000 as well as adjustments to any general pre-approval fee threshold up to $50,000. All services provided by Ernst &amp; Young LLP for fiscal year 2023 were pre-approved by the Audit Committee.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760" w:type="dxa"/>
            <w:vAlign w:val="bottom"/>
          </w:tcPr>
          <w:p>
            <w:pPr>
              <w:jc w:val="right"/>
              <w:ind w:right="529"/>
              <w:spacing w:after="0"/>
              <w:rPr>
                <w:sz w:val="20"/>
                <w:szCs w:val="20"/>
                <w:color w:val="auto"/>
              </w:rPr>
            </w:pPr>
            <w:r>
              <w:rPr>
                <w:rFonts w:ascii="Arial" w:cs="Arial" w:eastAsia="Arial" w:hAnsi="Arial"/>
                <w:sz w:val="14"/>
                <w:szCs w:val="14"/>
                <w:b w:val="1"/>
                <w:bCs w:val="1"/>
                <w:color w:val="auto"/>
                <w:w w:val="89"/>
              </w:rPr>
              <w:t>76</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170180</wp:posOffset>
            </wp:positionV>
            <wp:extent cx="693801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79" w:name="page80"/>
    <w:bookmarkEnd w:id="79"/>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jc w:val="right"/>
        <w:ind w:right="980"/>
        <w:spacing w:after="0"/>
        <w:rPr>
          <w:sz w:val="20"/>
          <w:szCs w:val="20"/>
          <w:color w:val="auto"/>
        </w:rPr>
      </w:pPr>
      <w:r>
        <w:rPr>
          <w:rFonts w:ascii="Arial" w:cs="Arial" w:eastAsia="Arial" w:hAnsi="Arial"/>
          <w:sz w:val="12"/>
          <w:szCs w:val="12"/>
          <w:color w:val="auto"/>
        </w:rPr>
        <w:t>Proposal 3: Ratify Independent Registered Public Accounting Firm</w:t>
      </w:r>
    </w:p>
    <w:p>
      <w:pPr>
        <w:spacing w:after="0" w:line="254" w:lineRule="exact"/>
        <w:rPr>
          <w:sz w:val="20"/>
          <w:szCs w:val="20"/>
          <w:color w:val="auto"/>
        </w:rPr>
      </w:pPr>
    </w:p>
    <w:p>
      <w:pPr>
        <w:ind w:left="960"/>
        <w:spacing w:after="0"/>
        <w:rPr>
          <w:sz w:val="20"/>
          <w:szCs w:val="20"/>
          <w:color w:val="auto"/>
        </w:rPr>
      </w:pPr>
      <w:r>
        <w:rPr>
          <w:rFonts w:ascii="Arial" w:cs="Arial" w:eastAsia="Arial" w:hAnsi="Arial"/>
          <w:sz w:val="43"/>
          <w:szCs w:val="43"/>
          <w:color w:val="E02826"/>
        </w:rPr>
        <w:t>Audit Committee Report</w:t>
      </w:r>
    </w:p>
    <w:p>
      <w:pPr>
        <w:spacing w:after="0" w:line="243" w:lineRule="exact"/>
        <w:rPr>
          <w:sz w:val="20"/>
          <w:szCs w:val="20"/>
          <w:color w:val="auto"/>
        </w:rPr>
      </w:pPr>
    </w:p>
    <w:p>
      <w:pPr>
        <w:ind w:left="960" w:right="1120"/>
        <w:spacing w:after="0" w:line="250" w:lineRule="auto"/>
        <w:rPr>
          <w:sz w:val="20"/>
          <w:szCs w:val="20"/>
          <w:color w:val="auto"/>
        </w:rPr>
      </w:pPr>
      <w:r>
        <w:rPr>
          <w:rFonts w:ascii="Arial" w:cs="Arial" w:eastAsia="Arial" w:hAnsi="Arial"/>
          <w:sz w:val="16"/>
          <w:szCs w:val="16"/>
          <w:color w:val="auto"/>
        </w:rPr>
        <w:t>The Audit Committee is responsible for reviewing the Company’s financial reporting process on behalf of the Board of Directors. Management of the Company has the primary responsibility for the financial statements and the reporting process, including the system of internal controls. In the performance of its oversight function, the Audit Committee meets with management periodically to consider the adequacy of the Company’s internal controls and the objectivity of its financial reporting. The Audit Committee meets privately with the independent registered public accountants, who have unrestricted access to the Audit Committee. Specifically, the Audit Committee has reviewed and discussed with management and the independent registered public accountants the Company’s consolidated financial statements as of and for the fiscal year ended December 31, 2023.</w:t>
      </w:r>
    </w:p>
    <w:p>
      <w:pPr>
        <w:spacing w:after="0" w:line="127" w:lineRule="exact"/>
        <w:rPr>
          <w:sz w:val="20"/>
          <w:szCs w:val="20"/>
          <w:color w:val="auto"/>
        </w:rPr>
      </w:pPr>
    </w:p>
    <w:p>
      <w:pPr>
        <w:ind w:left="960" w:right="1520"/>
        <w:spacing w:after="0" w:line="263" w:lineRule="auto"/>
        <w:rPr>
          <w:sz w:val="20"/>
          <w:szCs w:val="20"/>
          <w:color w:val="auto"/>
        </w:rPr>
      </w:pPr>
      <w:r>
        <w:rPr>
          <w:rFonts w:ascii="Arial" w:cs="Arial" w:eastAsia="Arial" w:hAnsi="Arial"/>
          <w:sz w:val="16"/>
          <w:szCs w:val="16"/>
          <w:color w:val="auto"/>
        </w:rPr>
        <w:t>The Audit Committee has also discussed with the independent registered public accountants the matters required to be discussed by the applicable requirements of the Public Company Accounting Oversight Board and the Securities and Exchange Commission.</w:t>
      </w:r>
    </w:p>
    <w:p>
      <w:pPr>
        <w:spacing w:after="0" w:line="118" w:lineRule="exact"/>
        <w:rPr>
          <w:sz w:val="20"/>
          <w:szCs w:val="20"/>
          <w:color w:val="auto"/>
        </w:rPr>
      </w:pPr>
    </w:p>
    <w:p>
      <w:pPr>
        <w:ind w:left="960" w:right="1520"/>
        <w:spacing w:after="0" w:line="257" w:lineRule="auto"/>
        <w:rPr>
          <w:sz w:val="20"/>
          <w:szCs w:val="20"/>
          <w:color w:val="auto"/>
        </w:rPr>
      </w:pPr>
      <w:r>
        <w:rPr>
          <w:rFonts w:ascii="Arial" w:cs="Arial" w:eastAsia="Arial" w:hAnsi="Arial"/>
          <w:sz w:val="16"/>
          <w:szCs w:val="16"/>
          <w:color w:val="auto"/>
        </w:rPr>
        <w:t>Furthermore, the Audit Committee received and reviewed the written disclosures and the letter from the independent registered public accountants required by applicable requirements of the Public Company Accounting Oversight Board regarding the independent accountant’s communications with the Audit Committee concerning independence and have discussed with the independent registered public accountants their independence.</w:t>
      </w:r>
    </w:p>
    <w:p>
      <w:pPr>
        <w:spacing w:after="0" w:line="122" w:lineRule="exact"/>
        <w:rPr>
          <w:sz w:val="20"/>
          <w:szCs w:val="20"/>
          <w:color w:val="auto"/>
        </w:rPr>
      </w:pPr>
    </w:p>
    <w:p>
      <w:pPr>
        <w:ind w:left="960" w:right="1120"/>
        <w:spacing w:after="0" w:line="257" w:lineRule="auto"/>
        <w:rPr>
          <w:sz w:val="20"/>
          <w:szCs w:val="20"/>
          <w:color w:val="auto"/>
        </w:rPr>
      </w:pPr>
      <w:r>
        <w:rPr>
          <w:rFonts w:ascii="Arial" w:cs="Arial" w:eastAsia="Arial" w:hAnsi="Arial"/>
          <w:sz w:val="16"/>
          <w:szCs w:val="16"/>
          <w:color w:val="auto"/>
        </w:rPr>
        <w:t>Based on the review and discussions referred to above, the Audit Committee recommended to the Board of Directors that Wabtec’s audited financial statements, as of and for the fiscal year ended December 31, 2023, be included in the Company’s Annual Report on Form 10-K, for the year ended December 31, 2023, to be filed with the Securities and Exchange Commission.</w:t>
      </w:r>
    </w:p>
    <w:p>
      <w:pPr>
        <w:spacing w:after="0" w:line="163" w:lineRule="exact"/>
        <w:rPr>
          <w:sz w:val="20"/>
          <w:szCs w:val="20"/>
          <w:color w:val="auto"/>
        </w:rPr>
      </w:pPr>
    </w:p>
    <w:p>
      <w:pPr>
        <w:ind w:left="960"/>
        <w:spacing w:after="0"/>
        <w:rPr>
          <w:sz w:val="20"/>
          <w:szCs w:val="20"/>
          <w:color w:val="auto"/>
        </w:rPr>
      </w:pPr>
      <w:r>
        <w:rPr>
          <w:rFonts w:ascii="Arial" w:cs="Arial" w:eastAsia="Arial" w:hAnsi="Arial"/>
          <w:sz w:val="16"/>
          <w:szCs w:val="16"/>
          <w:color w:val="auto"/>
        </w:rPr>
        <w:t>Respectfully submitted,</w:t>
      </w:r>
    </w:p>
    <w:p>
      <w:pPr>
        <w:spacing w:after="0" w:line="19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The Audit Committee</w:t>
      </w:r>
    </w:p>
    <w:p>
      <w:pPr>
        <w:spacing w:after="0" w:line="20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Brian P. Hehir (Chair)</w:t>
      </w:r>
    </w:p>
    <w:p>
      <w:pPr>
        <w:spacing w:after="0" w:line="19" w:lineRule="exact"/>
        <w:rPr>
          <w:sz w:val="20"/>
          <w:szCs w:val="20"/>
          <w:color w:val="auto"/>
        </w:rPr>
      </w:pPr>
    </w:p>
    <w:p>
      <w:pPr>
        <w:ind w:left="960"/>
        <w:spacing w:after="0"/>
        <w:rPr>
          <w:sz w:val="20"/>
          <w:szCs w:val="20"/>
          <w:color w:val="auto"/>
        </w:rPr>
      </w:pPr>
      <w:r>
        <w:rPr>
          <w:rFonts w:ascii="Arial" w:cs="Arial" w:eastAsia="Arial" w:hAnsi="Arial"/>
          <w:sz w:val="16"/>
          <w:szCs w:val="16"/>
          <w:color w:val="auto"/>
        </w:rPr>
        <w:t>Beverley A. Babcock</w:t>
      </w:r>
    </w:p>
    <w:p>
      <w:pPr>
        <w:spacing w:after="0" w:line="3" w:lineRule="exact"/>
        <w:rPr>
          <w:sz w:val="20"/>
          <w:szCs w:val="20"/>
          <w:color w:val="auto"/>
        </w:rPr>
      </w:pPr>
    </w:p>
    <w:p>
      <w:pPr>
        <w:ind w:left="960"/>
        <w:spacing w:after="0"/>
        <w:rPr>
          <w:sz w:val="20"/>
          <w:szCs w:val="20"/>
          <w:color w:val="auto"/>
        </w:rPr>
      </w:pPr>
      <w:r>
        <w:rPr>
          <w:rFonts w:ascii="Arial" w:cs="Arial" w:eastAsia="Arial" w:hAnsi="Arial"/>
          <w:sz w:val="16"/>
          <w:szCs w:val="16"/>
          <w:color w:val="auto"/>
        </w:rPr>
        <w:t>Byron S. Foster</w:t>
      </w:r>
    </w:p>
    <w:p>
      <w:pPr>
        <w:spacing w:after="0" w:line="3" w:lineRule="exact"/>
        <w:rPr>
          <w:sz w:val="20"/>
          <w:szCs w:val="20"/>
          <w:color w:val="auto"/>
        </w:rPr>
      </w:pPr>
    </w:p>
    <w:p>
      <w:pPr>
        <w:ind w:left="960"/>
        <w:spacing w:after="0"/>
        <w:rPr>
          <w:sz w:val="20"/>
          <w:szCs w:val="20"/>
          <w:color w:val="auto"/>
        </w:rPr>
      </w:pPr>
      <w:r>
        <w:rPr>
          <w:rFonts w:ascii="Arial" w:cs="Arial" w:eastAsia="Arial" w:hAnsi="Arial"/>
          <w:sz w:val="16"/>
          <w:szCs w:val="16"/>
          <w:color w:val="auto"/>
        </w:rPr>
        <w:t>Linda A. Harty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9140" w:type="dxa"/>
            <w:vAlign w:val="bottom"/>
          </w:tcPr>
          <w:p>
            <w:pPr>
              <w:ind w:left="636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800" w:type="dxa"/>
            <w:vAlign w:val="bottom"/>
          </w:tcPr>
          <w:p>
            <w:pPr>
              <w:jc w:val="right"/>
              <w:ind w:right="909"/>
              <w:spacing w:after="0"/>
              <w:rPr>
                <w:sz w:val="20"/>
                <w:szCs w:val="20"/>
                <w:color w:val="auto"/>
              </w:rPr>
            </w:pPr>
            <w:r>
              <w:rPr>
                <w:rFonts w:ascii="Arial" w:cs="Arial" w:eastAsia="Arial" w:hAnsi="Arial"/>
                <w:sz w:val="14"/>
                <w:szCs w:val="14"/>
                <w:b w:val="1"/>
                <w:bCs w:val="1"/>
                <w:color w:val="auto"/>
              </w:rPr>
              <w:t>77</w:t>
            </w:r>
          </w:p>
        </w:tc>
      </w:tr>
      <w:tr>
        <w:trPr>
          <w:trHeight w:val="342"/>
        </w:trPr>
        <w:tc>
          <w:tcPr>
            <w:tcW w:w="9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-407670</wp:posOffset>
            </wp:positionV>
            <wp:extent cx="501650" cy="1701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4"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43"/>
          <w:szCs w:val="43"/>
          <w:color w:val="E02826"/>
        </w:rPr>
        <w:t>Common Stock Ownership</w:t>
      </w:r>
    </w:p>
    <w:p>
      <w:pPr>
        <w:spacing w:after="0" w:line="358" w:lineRule="exact"/>
        <w:rPr>
          <w:sz w:val="20"/>
          <w:szCs w:val="20"/>
          <w:color w:val="auto"/>
        </w:rPr>
      </w:pPr>
    </w:p>
    <w:p>
      <w:pPr>
        <w:spacing w:after="0"/>
        <w:rPr>
          <w:sz w:val="20"/>
          <w:szCs w:val="20"/>
          <w:color w:val="auto"/>
        </w:rPr>
      </w:pPr>
      <w:r>
        <w:rPr>
          <w:rFonts w:ascii="Arial" w:cs="Arial" w:eastAsia="Arial" w:hAnsi="Arial"/>
          <w:sz w:val="29"/>
          <w:szCs w:val="29"/>
          <w:color w:val="636466"/>
        </w:rPr>
        <w:t>Director and Executive Officer Stock Ownership</w:t>
      </w:r>
    </w:p>
    <w:p>
      <w:pPr>
        <w:spacing w:after="0" w:line="180" w:lineRule="exact"/>
        <w:rPr>
          <w:sz w:val="20"/>
          <w:szCs w:val="20"/>
          <w:color w:val="auto"/>
        </w:rPr>
      </w:pPr>
    </w:p>
    <w:p>
      <w:pPr>
        <w:ind w:right="159"/>
        <w:spacing w:after="0" w:line="252" w:lineRule="auto"/>
        <w:rPr>
          <w:sz w:val="20"/>
          <w:szCs w:val="20"/>
          <w:color w:val="auto"/>
        </w:rPr>
      </w:pPr>
      <w:r>
        <w:rPr>
          <w:rFonts w:ascii="Arial" w:cs="Arial" w:eastAsia="Arial" w:hAnsi="Arial"/>
          <w:sz w:val="16"/>
          <w:szCs w:val="16"/>
          <w:color w:val="auto"/>
        </w:rPr>
        <w:t>Under the proxy rules of the SEC, a person beneficially owns Wabtec common stock if the person has the power to vote or dispose of the shares, or if such power may be acquired, by exercising options or otherwise, within 60 days. The table below shows the number of shares of Wabtec common stock beneficially owned as of January 31, 2024 by our directors, nominees for director, Chief Executive Officer, Chief Financial Officer and the other named executive officers, and the directors and executive officers as a group. Each person has sole voting power and sole dispositive power with respect to the shares listed unless indicated otherwise. No directors or executive officers have pledged shares of Wabtec common stock.</w:t>
      </w:r>
    </w:p>
    <w:p>
      <w:pPr>
        <w:spacing w:after="0" w:line="144" w:lineRule="exact"/>
        <w:rPr>
          <w:sz w:val="20"/>
          <w:szCs w:val="20"/>
          <w:color w:val="auto"/>
        </w:rPr>
      </w:pPr>
    </w:p>
    <w:p>
      <w:pPr>
        <w:ind w:left="40"/>
        <w:spacing w:after="0"/>
        <w:tabs>
          <w:tab w:leader="none" w:pos="4920" w:val="left"/>
          <w:tab w:leader="none" w:pos="5400" w:val="left"/>
          <w:tab w:leader="none" w:pos="5880" w:val="left"/>
          <w:tab w:leader="none" w:pos="7360" w:val="left"/>
          <w:tab w:leader="none" w:pos="7860" w:val="left"/>
        </w:tabs>
        <w:rPr>
          <w:sz w:val="20"/>
          <w:szCs w:val="20"/>
          <w:color w:val="auto"/>
        </w:rPr>
      </w:pPr>
      <w:r>
        <w:rPr>
          <w:rFonts w:ascii="Arial" w:cs="Arial" w:eastAsia="Arial" w:hAnsi="Arial"/>
          <w:sz w:val="14"/>
          <w:szCs w:val="14"/>
          <w:b w:val="1"/>
          <w:bCs w:val="1"/>
          <w:color w:val="auto"/>
        </w:rPr>
        <w:t>Named Executive Officer</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4"/>
          <w:szCs w:val="14"/>
          <w:b w:val="1"/>
          <w:bCs w:val="1"/>
          <w:color w:val="auto"/>
        </w:rPr>
        <w:t>Shares Owned</w:t>
      </w: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4"/>
          <w:szCs w:val="14"/>
          <w:b w:val="1"/>
          <w:bCs w:val="1"/>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73660</wp:posOffset>
            </wp:positionV>
            <wp:extent cx="571373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319"/>
        </w:trPr>
        <w:tc>
          <w:tcPr>
            <w:tcW w:w="3060" w:type="dxa"/>
            <w:vAlign w:val="bottom"/>
          </w:tcPr>
          <w:p>
            <w:pPr>
              <w:spacing w:after="0"/>
              <w:rPr>
                <w:sz w:val="20"/>
                <w:szCs w:val="20"/>
                <w:color w:val="auto"/>
              </w:rPr>
            </w:pPr>
            <w:r>
              <w:rPr>
                <w:rFonts w:ascii="Arial" w:cs="Arial" w:eastAsia="Arial" w:hAnsi="Arial"/>
                <w:sz w:val="14"/>
                <w:szCs w:val="14"/>
                <w:b w:val="1"/>
                <w:bCs w:val="1"/>
                <w:color w:val="0C426A"/>
              </w:rPr>
              <w:t>Rafael Santana</w:t>
            </w:r>
          </w:p>
        </w:tc>
        <w:tc>
          <w:tcPr>
            <w:tcW w:w="2080" w:type="dxa"/>
            <w:vAlign w:val="bottom"/>
          </w:tcPr>
          <w:p>
            <w:pPr>
              <w:ind w:left="18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1380" w:type="dxa"/>
            <w:vAlign w:val="bottom"/>
          </w:tcPr>
          <w:p>
            <w:pPr>
              <w:jc w:val="right"/>
              <w:ind w:right="176"/>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165,216</w:t>
            </w:r>
            <w:r>
              <w:rPr>
                <w:rFonts w:ascii="Arial" w:cs="Arial" w:eastAsia="Arial" w:hAnsi="Arial"/>
                <w:sz w:val="23"/>
                <w:szCs w:val="23"/>
                <w:color w:val="auto"/>
                <w:vertAlign w:val="superscript"/>
              </w:rPr>
              <w:t>(1)(2)</w:t>
            </w:r>
            <w:r>
              <w:rPr>
                <w:rFonts w:ascii="Times New Roman" w:cs="Times New Roman" w:eastAsia="Times New Roman" w:hAnsi="Times New Roman"/>
                <w:sz w:val="3"/>
                <w:szCs w:val="3"/>
                <w:color w:val="auto"/>
              </w:rPr>
              <w:t>​</w:t>
            </w:r>
          </w:p>
        </w:tc>
        <w:tc>
          <w:tcPr>
            <w:tcW w:w="260" w:type="dxa"/>
            <w:vAlign w:val="bottom"/>
          </w:tcPr>
          <w:p>
            <w:pPr>
              <w:ind w:left="240"/>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335"/>
        </w:trPr>
        <w:tc>
          <w:tcPr>
            <w:tcW w:w="3060" w:type="dxa"/>
            <w:vAlign w:val="bottom"/>
          </w:tcPr>
          <w:p>
            <w:pPr>
              <w:spacing w:after="0"/>
              <w:rPr>
                <w:sz w:val="20"/>
                <w:szCs w:val="20"/>
                <w:color w:val="auto"/>
              </w:rPr>
            </w:pPr>
            <w:r>
              <w:rPr>
                <w:rFonts w:ascii="Arial" w:cs="Arial" w:eastAsia="Arial" w:hAnsi="Arial"/>
                <w:sz w:val="14"/>
                <w:szCs w:val="14"/>
                <w:b w:val="1"/>
                <w:bCs w:val="1"/>
                <w:color w:val="0C426A"/>
              </w:rPr>
              <w:t>John Olin</w:t>
            </w:r>
          </w:p>
        </w:tc>
        <w:tc>
          <w:tcPr>
            <w:tcW w:w="2080" w:type="dxa"/>
            <w:vAlign w:val="bottom"/>
          </w:tcPr>
          <w:p>
            <w:pPr>
              <w:ind w:left="18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1380" w:type="dxa"/>
            <w:vAlign w:val="bottom"/>
          </w:tcPr>
          <w:p>
            <w:pPr>
              <w:jc w:val="right"/>
              <w:ind w:right="176"/>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39,014</w:t>
            </w:r>
            <w:r>
              <w:rPr>
                <w:rFonts w:ascii="Arial" w:cs="Arial" w:eastAsia="Arial" w:hAnsi="Arial"/>
                <w:sz w:val="23"/>
                <w:szCs w:val="23"/>
                <w:color w:val="auto"/>
                <w:vertAlign w:val="superscript"/>
              </w:rPr>
              <w:t>(1)</w:t>
            </w:r>
            <w:r>
              <w:rPr>
                <w:rFonts w:ascii="Times New Roman" w:cs="Times New Roman" w:eastAsia="Times New Roman" w:hAnsi="Times New Roman"/>
                <w:sz w:val="3"/>
                <w:szCs w:val="3"/>
                <w:color w:val="auto"/>
              </w:rPr>
              <w:t>​</w:t>
            </w:r>
          </w:p>
        </w:tc>
        <w:tc>
          <w:tcPr>
            <w:tcW w:w="260" w:type="dxa"/>
            <w:vAlign w:val="bottom"/>
          </w:tcPr>
          <w:p>
            <w:pPr>
              <w:ind w:left="240"/>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350"/>
        </w:trPr>
        <w:tc>
          <w:tcPr>
            <w:tcW w:w="3060" w:type="dxa"/>
            <w:vAlign w:val="bottom"/>
          </w:tcPr>
          <w:p>
            <w:pPr>
              <w:spacing w:after="0"/>
              <w:rPr>
                <w:sz w:val="20"/>
                <w:szCs w:val="20"/>
                <w:color w:val="auto"/>
              </w:rPr>
            </w:pPr>
            <w:r>
              <w:rPr>
                <w:rFonts w:ascii="Arial" w:cs="Arial" w:eastAsia="Arial" w:hAnsi="Arial"/>
                <w:sz w:val="14"/>
                <w:szCs w:val="14"/>
                <w:b w:val="1"/>
                <w:bCs w:val="1"/>
                <w:color w:val="0C426A"/>
              </w:rPr>
              <w:t>David L. DeNinno</w:t>
            </w:r>
          </w:p>
        </w:tc>
        <w:tc>
          <w:tcPr>
            <w:tcW w:w="2080" w:type="dxa"/>
            <w:vAlign w:val="bottom"/>
          </w:tcPr>
          <w:p>
            <w:pPr>
              <w:ind w:left="18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1380" w:type="dxa"/>
            <w:vAlign w:val="bottom"/>
          </w:tcPr>
          <w:p>
            <w:pPr>
              <w:jc w:val="right"/>
              <w:ind w:right="176"/>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color w:val="auto"/>
              </w:rPr>
              <w:t xml:space="preserve"> </w:t>
            </w:r>
            <w:r>
              <w:rPr>
                <w:rFonts w:ascii="Arial" w:cs="Arial" w:eastAsia="Arial" w:hAnsi="Arial"/>
                <w:sz w:val="28"/>
                <w:szCs w:val="28"/>
                <w:color w:val="auto"/>
                <w:vertAlign w:val="subscript"/>
              </w:rPr>
              <w:t>91,493</w:t>
            </w:r>
            <w:r>
              <w:rPr>
                <w:rFonts w:ascii="Arial" w:cs="Arial" w:eastAsia="Arial" w:hAnsi="Arial"/>
                <w:sz w:val="12"/>
                <w:szCs w:val="12"/>
                <w:color w:val="auto"/>
              </w:rPr>
              <w:t>(1)(2)</w:t>
            </w:r>
            <w:r>
              <w:rPr>
                <w:rFonts w:ascii="Times New Roman" w:cs="Times New Roman" w:eastAsia="Times New Roman" w:hAnsi="Times New Roman"/>
                <w:sz w:val="3"/>
                <w:szCs w:val="3"/>
                <w:color w:val="auto"/>
              </w:rPr>
              <w:t>​</w:t>
            </w:r>
          </w:p>
        </w:tc>
        <w:tc>
          <w:tcPr>
            <w:tcW w:w="260" w:type="dxa"/>
            <w:vAlign w:val="bottom"/>
          </w:tcPr>
          <w:p>
            <w:pPr>
              <w:ind w:left="240"/>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335"/>
        </w:trPr>
        <w:tc>
          <w:tcPr>
            <w:tcW w:w="3060" w:type="dxa"/>
            <w:vAlign w:val="bottom"/>
          </w:tcPr>
          <w:p>
            <w:pPr>
              <w:spacing w:after="0"/>
              <w:rPr>
                <w:sz w:val="20"/>
                <w:szCs w:val="20"/>
                <w:color w:val="auto"/>
              </w:rPr>
            </w:pPr>
            <w:r>
              <w:rPr>
                <w:rFonts w:ascii="Arial" w:cs="Arial" w:eastAsia="Arial" w:hAnsi="Arial"/>
                <w:sz w:val="14"/>
                <w:szCs w:val="14"/>
                <w:b w:val="1"/>
                <w:bCs w:val="1"/>
                <w:color w:val="0C426A"/>
              </w:rPr>
              <w:t>Pascal Schweitzer</w:t>
            </w:r>
          </w:p>
        </w:tc>
        <w:tc>
          <w:tcPr>
            <w:tcW w:w="2080" w:type="dxa"/>
            <w:vAlign w:val="bottom"/>
          </w:tcPr>
          <w:p>
            <w:pPr>
              <w:ind w:left="18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1380" w:type="dxa"/>
            <w:vAlign w:val="bottom"/>
          </w:tcPr>
          <w:p>
            <w:pPr>
              <w:jc w:val="right"/>
              <w:ind w:right="176"/>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color w:val="auto"/>
              </w:rPr>
              <w:t xml:space="preserve"> </w:t>
            </w:r>
            <w:r>
              <w:rPr>
                <w:rFonts w:ascii="Arial" w:cs="Arial" w:eastAsia="Arial" w:hAnsi="Arial"/>
                <w:sz w:val="28"/>
                <w:szCs w:val="28"/>
                <w:color w:val="auto"/>
                <w:vertAlign w:val="subscript"/>
              </w:rPr>
              <w:t>29,845</w:t>
            </w:r>
            <w:r>
              <w:rPr>
                <w:rFonts w:ascii="Arial" w:cs="Arial" w:eastAsia="Arial" w:hAnsi="Arial"/>
                <w:sz w:val="12"/>
                <w:szCs w:val="12"/>
                <w:color w:val="auto"/>
              </w:rPr>
              <w:t>(1)(2)</w:t>
            </w:r>
            <w:r>
              <w:rPr>
                <w:rFonts w:ascii="Times New Roman" w:cs="Times New Roman" w:eastAsia="Times New Roman" w:hAnsi="Times New Roman"/>
                <w:sz w:val="3"/>
                <w:szCs w:val="3"/>
                <w:color w:val="auto"/>
              </w:rPr>
              <w:t>​</w:t>
            </w:r>
          </w:p>
        </w:tc>
        <w:tc>
          <w:tcPr>
            <w:tcW w:w="260" w:type="dxa"/>
            <w:vAlign w:val="bottom"/>
          </w:tcPr>
          <w:p>
            <w:pPr>
              <w:ind w:left="240"/>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389"/>
        </w:trPr>
        <w:tc>
          <w:tcPr>
            <w:tcW w:w="3060" w:type="dxa"/>
            <w:vAlign w:val="bottom"/>
          </w:tcPr>
          <w:p>
            <w:pPr>
              <w:spacing w:after="0"/>
              <w:rPr>
                <w:sz w:val="20"/>
                <w:szCs w:val="20"/>
                <w:color w:val="auto"/>
              </w:rPr>
            </w:pPr>
            <w:r>
              <w:rPr>
                <w:rFonts w:ascii="Arial" w:cs="Arial" w:eastAsia="Arial" w:hAnsi="Arial"/>
                <w:sz w:val="14"/>
                <w:szCs w:val="14"/>
                <w:b w:val="1"/>
                <w:bCs w:val="1"/>
                <w:color w:val="0C426A"/>
              </w:rPr>
              <w:t>Eric Gebhardt</w:t>
            </w:r>
          </w:p>
        </w:tc>
        <w:tc>
          <w:tcPr>
            <w:tcW w:w="2080" w:type="dxa"/>
            <w:vAlign w:val="bottom"/>
          </w:tcPr>
          <w:p>
            <w:pPr>
              <w:ind w:left="18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1380" w:type="dxa"/>
            <w:vAlign w:val="bottom"/>
          </w:tcPr>
          <w:p>
            <w:pPr>
              <w:jc w:val="right"/>
              <w:ind w:right="176"/>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color w:val="auto"/>
              </w:rPr>
              <w:t xml:space="preserve"> </w:t>
            </w:r>
            <w:r>
              <w:rPr>
                <w:rFonts w:ascii="Arial" w:cs="Arial" w:eastAsia="Arial" w:hAnsi="Arial"/>
                <w:sz w:val="28"/>
                <w:szCs w:val="28"/>
                <w:color w:val="auto"/>
                <w:vertAlign w:val="subscript"/>
              </w:rPr>
              <w:t>24,788</w:t>
            </w:r>
            <w:r>
              <w:rPr>
                <w:rFonts w:ascii="Arial" w:cs="Arial" w:eastAsia="Arial" w:hAnsi="Arial"/>
                <w:sz w:val="12"/>
                <w:szCs w:val="12"/>
                <w:color w:val="auto"/>
              </w:rPr>
              <w:t>(1)(2)</w:t>
            </w:r>
            <w:r>
              <w:rPr>
                <w:rFonts w:ascii="Times New Roman" w:cs="Times New Roman" w:eastAsia="Times New Roman" w:hAnsi="Times New Roman"/>
                <w:sz w:val="3"/>
                <w:szCs w:val="3"/>
                <w:color w:val="auto"/>
              </w:rPr>
              <w:t>​</w:t>
            </w:r>
          </w:p>
        </w:tc>
        <w:tc>
          <w:tcPr>
            <w:tcW w:w="260" w:type="dxa"/>
            <w:vAlign w:val="bottom"/>
          </w:tcPr>
          <w:p>
            <w:pPr>
              <w:ind w:left="240"/>
              <w:spacing w:after="0"/>
              <w:rPr>
                <w:sz w:val="20"/>
                <w:szCs w:val="20"/>
                <w:color w:val="auto"/>
              </w:rPr>
            </w:pPr>
            <w:r>
              <w:rPr>
                <w:rFonts w:ascii="Times New Roman" w:cs="Times New Roman" w:eastAsia="Times New Roman" w:hAnsi="Times New Roman"/>
                <w:sz w:val="2"/>
                <w:szCs w:val="2"/>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-76835</wp:posOffset>
            </wp:positionV>
            <wp:extent cx="571373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71373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-289560</wp:posOffset>
            </wp:positionV>
            <wp:extent cx="571373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71373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-502285</wp:posOffset>
            </wp:positionV>
            <wp:extent cx="571373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71373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-714375</wp:posOffset>
            </wp:positionV>
            <wp:extent cx="571373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71373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-927100</wp:posOffset>
            </wp:positionV>
            <wp:extent cx="571373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98" w:lineRule="exact"/>
        <w:rPr>
          <w:sz w:val="20"/>
          <w:szCs w:val="20"/>
          <w:color w:val="auto"/>
        </w:rPr>
      </w:pPr>
    </w:p>
    <w:p>
      <w:pPr>
        <w:sectPr>
          <w:pgSz w:w="11900" w:h="16838" w:orient="portrait"/>
          <w:cols w:equalWidth="0" w:num="2">
            <w:col w:w="8220" w:space="720"/>
            <w:col w:w="79"/>
          </w:cols>
          <w:pgMar w:left="1440" w:top="114" w:right="1440" w:bottom="1440" w:gutter="0" w:footer="0" w:header="0"/>
          <w:type w:val="continuous"/>
        </w:sectPr>
      </w:pPr>
    </w:p>
    <w:p>
      <w:pPr>
        <w:ind w:left="40"/>
        <w:spacing w:after="0"/>
        <w:tabs>
          <w:tab w:leader="none" w:pos="4920" w:val="left"/>
          <w:tab w:leader="none" w:pos="5400" w:val="left"/>
          <w:tab w:leader="none" w:pos="5880" w:val="left"/>
          <w:tab w:leader="none" w:pos="7360" w:val="left"/>
          <w:tab w:leader="none" w:pos="7860" w:val="left"/>
        </w:tabs>
        <w:rPr>
          <w:sz w:val="20"/>
          <w:szCs w:val="20"/>
          <w:color w:val="auto"/>
        </w:rPr>
      </w:pPr>
      <w:r>
        <w:rPr>
          <w:rFonts w:ascii="Arial" w:cs="Arial" w:eastAsia="Arial" w:hAnsi="Arial"/>
          <w:sz w:val="11"/>
          <w:szCs w:val="11"/>
          <w:b w:val="1"/>
          <w:bCs w:val="1"/>
          <w:color w:val="auto"/>
        </w:rPr>
        <w:t>Director/Nominee</w:t>
      </w:r>
      <w:r>
        <w:rPr>
          <w:sz w:val="20"/>
          <w:szCs w:val="20"/>
          <w:color w:val="auto"/>
        </w:rPr>
        <w:tab/>
      </w: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4"/>
          <w:szCs w:val="14"/>
          <w:b w:val="1"/>
          <w:bCs w:val="1"/>
          <w:color w:val="auto"/>
        </w:rPr>
        <w:t>Shares Owned</w:t>
      </w: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4"/>
          <w:szCs w:val="14"/>
          <w:b w:val="1"/>
          <w:bCs w:val="1"/>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73660</wp:posOffset>
            </wp:positionV>
            <wp:extent cx="571373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319"/>
        </w:trPr>
        <w:tc>
          <w:tcPr>
            <w:tcW w:w="620" w:type="dxa"/>
            <w:vAlign w:val="bottom"/>
          </w:tcPr>
          <w:p>
            <w:pPr>
              <w:spacing w:after="0"/>
              <w:rPr>
                <w:sz w:val="20"/>
                <w:szCs w:val="20"/>
                <w:color w:val="auto"/>
              </w:rPr>
            </w:pPr>
            <w:r>
              <w:rPr>
                <w:rFonts w:ascii="Arial" w:cs="Arial" w:eastAsia="Arial" w:hAnsi="Arial"/>
                <w:sz w:val="14"/>
                <w:szCs w:val="14"/>
                <w:b w:val="1"/>
                <w:bCs w:val="1"/>
                <w:color w:val="0C426A"/>
              </w:rPr>
              <w:t>Beverley​</w:t>
            </w:r>
          </w:p>
        </w:tc>
        <w:tc>
          <w:tcPr>
            <w:tcW w:w="3760" w:type="dxa"/>
            <w:vAlign w:val="bottom"/>
          </w:tcPr>
          <w:p>
            <w:pPr>
              <w:ind w:left="20"/>
              <w:spacing w:after="0"/>
              <w:rPr>
                <w:sz w:val="20"/>
                <w:szCs w:val="20"/>
                <w:color w:val="auto"/>
              </w:rPr>
            </w:pPr>
            <w:r>
              <w:rPr>
                <w:rFonts w:ascii="Arial" w:cs="Arial" w:eastAsia="Arial" w:hAnsi="Arial"/>
                <w:sz w:val="14"/>
                <w:szCs w:val="14"/>
                <w:b w:val="1"/>
                <w:bCs w:val="1"/>
                <w:color w:val="0C426A"/>
              </w:rPr>
              <w:t>A. Babcock</w:t>
            </w:r>
          </w:p>
        </w:tc>
        <w:tc>
          <w:tcPr>
            <w:tcW w:w="760" w:type="dxa"/>
            <w:vAlign w:val="bottom"/>
          </w:tcPr>
          <w:p>
            <w:pPr>
              <w:ind w:left="52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Pr>
          <w:p>
            <w:pPr>
              <w:spacing w:after="0"/>
              <w:rPr>
                <w:sz w:val="24"/>
                <w:szCs w:val="24"/>
                <w:color w:val="auto"/>
              </w:rPr>
            </w:pPr>
          </w:p>
        </w:tc>
        <w:tc>
          <w:tcPr>
            <w:tcW w:w="880" w:type="dxa"/>
            <w:vAlign w:val="bottom"/>
          </w:tcPr>
          <w:p>
            <w:pPr>
              <w:jc w:val="right"/>
              <w:ind w:right="169"/>
              <w:spacing w:after="0"/>
              <w:rPr>
                <w:sz w:val="20"/>
                <w:szCs w:val="20"/>
                <w:color w:val="auto"/>
              </w:rPr>
            </w:pPr>
            <w:r>
              <w:rPr>
                <w:rFonts w:ascii="Arial" w:cs="Arial" w:eastAsia="Arial" w:hAnsi="Arial"/>
                <w:sz w:val="14"/>
                <w:szCs w:val="14"/>
                <w:color w:val="auto"/>
              </w:rPr>
              <w:t>1,857</w:t>
            </w:r>
            <w:r>
              <w:rPr>
                <w:rFonts w:ascii="Arial" w:cs="Arial" w:eastAsia="Arial" w:hAnsi="Arial"/>
                <w:sz w:val="23"/>
                <w:szCs w:val="23"/>
                <w:color w:val="auto"/>
                <w:vertAlign w:val="superscript"/>
              </w:rPr>
              <w:t>(5)</w:t>
            </w:r>
            <w:r>
              <w:rPr>
                <w:rFonts w:ascii="Times New Roman" w:cs="Times New Roman" w:eastAsia="Times New Roman" w:hAnsi="Times New Roman"/>
                <w:sz w:val="3"/>
                <w:szCs w:val="3"/>
                <w:color w:val="auto"/>
              </w:rPr>
              <w:t>​</w:t>
            </w:r>
          </w:p>
        </w:tc>
        <w:tc>
          <w:tcPr>
            <w:tcW w:w="260" w:type="dxa"/>
            <w:vAlign w:val="bottom"/>
          </w:tcPr>
          <w:p>
            <w:pPr>
              <w:ind w:left="240"/>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335"/>
        </w:trPr>
        <w:tc>
          <w:tcPr>
            <w:tcW w:w="4380" w:type="dxa"/>
            <w:vAlign w:val="bottom"/>
            <w:gridSpan w:val="2"/>
          </w:tcPr>
          <w:p>
            <w:pPr>
              <w:spacing w:after="0"/>
              <w:rPr>
                <w:sz w:val="20"/>
                <w:szCs w:val="20"/>
                <w:color w:val="auto"/>
              </w:rPr>
            </w:pPr>
            <w:r>
              <w:rPr>
                <w:rFonts w:ascii="Arial" w:cs="Arial" w:eastAsia="Arial" w:hAnsi="Arial"/>
                <w:sz w:val="14"/>
                <w:szCs w:val="14"/>
                <w:b w:val="1"/>
                <w:bCs w:val="1"/>
                <w:color w:val="0C426A"/>
              </w:rPr>
              <w:t>Lee C. Banks</w:t>
            </w:r>
          </w:p>
        </w:tc>
        <w:tc>
          <w:tcPr>
            <w:tcW w:w="760" w:type="dxa"/>
            <w:vAlign w:val="bottom"/>
          </w:tcPr>
          <w:p>
            <w:pPr>
              <w:ind w:left="52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Pr>
          <w:p>
            <w:pPr>
              <w:ind w:left="44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69"/>
              <w:spacing w:after="0"/>
              <w:rPr>
                <w:sz w:val="20"/>
                <w:szCs w:val="20"/>
                <w:color w:val="auto"/>
              </w:rPr>
            </w:pPr>
            <w:r>
              <w:rPr>
                <w:rFonts w:ascii="Arial" w:cs="Arial" w:eastAsia="Arial" w:hAnsi="Arial"/>
                <w:sz w:val="14"/>
                <w:szCs w:val="14"/>
                <w:color w:val="auto"/>
              </w:rPr>
              <w:t>10,715</w:t>
            </w:r>
            <w:r>
              <w:rPr>
                <w:rFonts w:ascii="Arial" w:cs="Arial" w:eastAsia="Arial" w:hAnsi="Arial"/>
                <w:sz w:val="23"/>
                <w:szCs w:val="23"/>
                <w:color w:val="auto"/>
                <w:vertAlign w:val="superscript"/>
              </w:rPr>
              <w:t>(1)</w:t>
            </w:r>
            <w:r>
              <w:rPr>
                <w:rFonts w:ascii="Times New Roman" w:cs="Times New Roman" w:eastAsia="Times New Roman" w:hAnsi="Times New Roman"/>
                <w:sz w:val="3"/>
                <w:szCs w:val="3"/>
                <w:color w:val="auto"/>
              </w:rPr>
              <w:t>​</w:t>
            </w:r>
          </w:p>
        </w:tc>
        <w:tc>
          <w:tcPr>
            <w:tcW w:w="260" w:type="dxa"/>
            <w:vAlign w:val="bottom"/>
          </w:tcPr>
          <w:p>
            <w:pPr>
              <w:ind w:left="240"/>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335"/>
        </w:trPr>
        <w:tc>
          <w:tcPr>
            <w:tcW w:w="4380" w:type="dxa"/>
            <w:vAlign w:val="bottom"/>
            <w:gridSpan w:val="2"/>
          </w:tcPr>
          <w:p>
            <w:pPr>
              <w:spacing w:after="0"/>
              <w:rPr>
                <w:sz w:val="20"/>
                <w:szCs w:val="20"/>
                <w:color w:val="auto"/>
              </w:rPr>
            </w:pPr>
            <w:r>
              <w:rPr>
                <w:rFonts w:ascii="Arial" w:cs="Arial" w:eastAsia="Arial" w:hAnsi="Arial"/>
                <w:sz w:val="14"/>
                <w:szCs w:val="14"/>
                <w:b w:val="1"/>
                <w:bCs w:val="1"/>
                <w:color w:val="0C426A"/>
              </w:rPr>
              <w:t>Byron S. Foster</w:t>
            </w:r>
          </w:p>
        </w:tc>
        <w:tc>
          <w:tcPr>
            <w:tcW w:w="760" w:type="dxa"/>
            <w:vAlign w:val="bottom"/>
          </w:tcPr>
          <w:p>
            <w:pPr>
              <w:ind w:left="52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Pr>
          <w:p>
            <w:pPr>
              <w:spacing w:after="0"/>
              <w:rPr>
                <w:sz w:val="24"/>
                <w:szCs w:val="24"/>
                <w:color w:val="auto"/>
              </w:rPr>
            </w:pPr>
          </w:p>
        </w:tc>
        <w:tc>
          <w:tcPr>
            <w:tcW w:w="880" w:type="dxa"/>
            <w:vAlign w:val="bottom"/>
          </w:tcPr>
          <w:p>
            <w:pPr>
              <w:jc w:val="right"/>
              <w:ind w:right="169"/>
              <w:spacing w:after="0"/>
              <w:rPr>
                <w:sz w:val="20"/>
                <w:szCs w:val="20"/>
                <w:color w:val="auto"/>
              </w:rPr>
            </w:pPr>
            <w:r>
              <w:rPr>
                <w:rFonts w:ascii="Arial" w:cs="Arial" w:eastAsia="Arial" w:hAnsi="Arial"/>
                <w:sz w:val="14"/>
                <w:szCs w:val="14"/>
                <w:color w:val="auto"/>
              </w:rPr>
              <w:t>5,336</w:t>
            </w:r>
            <w:r>
              <w:rPr>
                <w:rFonts w:ascii="Arial" w:cs="Arial" w:eastAsia="Arial" w:hAnsi="Arial"/>
                <w:sz w:val="23"/>
                <w:szCs w:val="23"/>
                <w:color w:val="auto"/>
                <w:vertAlign w:val="superscript"/>
              </w:rPr>
              <w:t>(1)</w:t>
            </w:r>
            <w:r>
              <w:rPr>
                <w:rFonts w:ascii="Times New Roman" w:cs="Times New Roman" w:eastAsia="Times New Roman" w:hAnsi="Times New Roman"/>
                <w:sz w:val="3"/>
                <w:szCs w:val="3"/>
                <w:color w:val="auto"/>
              </w:rPr>
              <w:t>​</w:t>
            </w:r>
          </w:p>
        </w:tc>
        <w:tc>
          <w:tcPr>
            <w:tcW w:w="260" w:type="dxa"/>
            <w:vAlign w:val="bottom"/>
          </w:tcPr>
          <w:p>
            <w:pPr>
              <w:ind w:left="240"/>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335"/>
        </w:trPr>
        <w:tc>
          <w:tcPr>
            <w:tcW w:w="4380" w:type="dxa"/>
            <w:vAlign w:val="bottom"/>
            <w:gridSpan w:val="2"/>
          </w:tcPr>
          <w:p>
            <w:pPr>
              <w:spacing w:after="0"/>
              <w:rPr>
                <w:sz w:val="20"/>
                <w:szCs w:val="20"/>
                <w:color w:val="auto"/>
              </w:rPr>
            </w:pPr>
            <w:r>
              <w:rPr>
                <w:rFonts w:ascii="Arial" w:cs="Arial" w:eastAsia="Arial" w:hAnsi="Arial"/>
                <w:sz w:val="14"/>
                <w:szCs w:val="14"/>
                <w:b w:val="1"/>
                <w:bCs w:val="1"/>
                <w:color w:val="0C426A"/>
              </w:rPr>
              <w:t>Linda A. Harty</w:t>
            </w:r>
          </w:p>
        </w:tc>
        <w:tc>
          <w:tcPr>
            <w:tcW w:w="760" w:type="dxa"/>
            <w:vAlign w:val="bottom"/>
          </w:tcPr>
          <w:p>
            <w:pPr>
              <w:ind w:left="52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Pr>
          <w:p>
            <w:pPr>
              <w:ind w:left="44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69"/>
              <w:spacing w:after="0"/>
              <w:rPr>
                <w:sz w:val="20"/>
                <w:szCs w:val="20"/>
                <w:color w:val="auto"/>
              </w:rPr>
            </w:pPr>
            <w:r>
              <w:rPr>
                <w:rFonts w:ascii="Arial" w:cs="Arial" w:eastAsia="Arial" w:hAnsi="Arial"/>
                <w:sz w:val="14"/>
                <w:szCs w:val="14"/>
                <w:color w:val="auto"/>
              </w:rPr>
              <w:t>11,869</w:t>
            </w:r>
            <w:r>
              <w:rPr>
                <w:rFonts w:ascii="Arial" w:cs="Arial" w:eastAsia="Arial" w:hAnsi="Arial"/>
                <w:sz w:val="23"/>
                <w:szCs w:val="23"/>
                <w:color w:val="auto"/>
                <w:vertAlign w:val="superscript"/>
              </w:rPr>
              <w:t>(1)</w:t>
            </w:r>
            <w:r>
              <w:rPr>
                <w:rFonts w:ascii="Times New Roman" w:cs="Times New Roman" w:eastAsia="Times New Roman" w:hAnsi="Times New Roman"/>
                <w:sz w:val="3"/>
                <w:szCs w:val="3"/>
                <w:color w:val="auto"/>
              </w:rPr>
              <w:t>​</w:t>
            </w:r>
          </w:p>
        </w:tc>
        <w:tc>
          <w:tcPr>
            <w:tcW w:w="260" w:type="dxa"/>
            <w:vAlign w:val="bottom"/>
          </w:tcPr>
          <w:p>
            <w:pPr>
              <w:ind w:left="240"/>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350"/>
        </w:trPr>
        <w:tc>
          <w:tcPr>
            <w:tcW w:w="4380" w:type="dxa"/>
            <w:vAlign w:val="bottom"/>
            <w:gridSpan w:val="2"/>
          </w:tcPr>
          <w:p>
            <w:pPr>
              <w:spacing w:after="0"/>
              <w:rPr>
                <w:sz w:val="20"/>
                <w:szCs w:val="20"/>
                <w:color w:val="auto"/>
              </w:rPr>
            </w:pPr>
            <w:r>
              <w:rPr>
                <w:rFonts w:ascii="Arial" w:cs="Arial" w:eastAsia="Arial" w:hAnsi="Arial"/>
                <w:sz w:val="14"/>
                <w:szCs w:val="14"/>
                <w:b w:val="1"/>
                <w:bCs w:val="1"/>
                <w:color w:val="0C426A"/>
              </w:rPr>
              <w:t>Brian P. Hehir</w:t>
            </w:r>
          </w:p>
        </w:tc>
        <w:tc>
          <w:tcPr>
            <w:tcW w:w="760" w:type="dxa"/>
            <w:vAlign w:val="bottom"/>
          </w:tcPr>
          <w:p>
            <w:pPr>
              <w:ind w:left="52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1440" w:type="dxa"/>
            <w:vAlign w:val="bottom"/>
            <w:gridSpan w:val="2"/>
          </w:tcPr>
          <w:p>
            <w:pPr>
              <w:jc w:val="right"/>
              <w:ind w:right="169"/>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color w:val="auto"/>
              </w:rPr>
              <w:t xml:space="preserve">  </w:t>
            </w:r>
            <w:r>
              <w:rPr>
                <w:rFonts w:ascii="Arial" w:cs="Arial" w:eastAsia="Arial" w:hAnsi="Arial"/>
                <w:sz w:val="28"/>
                <w:szCs w:val="28"/>
                <w:color w:val="auto"/>
                <w:vertAlign w:val="subscript"/>
              </w:rPr>
              <w:t>32,735</w:t>
            </w:r>
            <w:r>
              <w:rPr>
                <w:rFonts w:ascii="Arial" w:cs="Arial" w:eastAsia="Arial" w:hAnsi="Arial"/>
                <w:sz w:val="12"/>
                <w:szCs w:val="12"/>
                <w:color w:val="auto"/>
              </w:rPr>
              <w:t>(1)(3)</w:t>
            </w:r>
            <w:r>
              <w:rPr>
                <w:rFonts w:ascii="Times New Roman" w:cs="Times New Roman" w:eastAsia="Times New Roman" w:hAnsi="Times New Roman"/>
                <w:sz w:val="3"/>
                <w:szCs w:val="3"/>
                <w:color w:val="auto"/>
              </w:rPr>
              <w:t>​</w:t>
            </w:r>
          </w:p>
        </w:tc>
        <w:tc>
          <w:tcPr>
            <w:tcW w:w="260" w:type="dxa"/>
            <w:vAlign w:val="bottom"/>
          </w:tcPr>
          <w:p>
            <w:pPr>
              <w:ind w:left="240"/>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319"/>
        </w:trPr>
        <w:tc>
          <w:tcPr>
            <w:tcW w:w="4380" w:type="dxa"/>
            <w:vAlign w:val="bottom"/>
            <w:gridSpan w:val="2"/>
          </w:tcPr>
          <w:p>
            <w:pPr>
              <w:spacing w:after="0"/>
              <w:rPr>
                <w:sz w:val="20"/>
                <w:szCs w:val="20"/>
                <w:color w:val="auto"/>
              </w:rPr>
            </w:pPr>
            <w:r>
              <w:rPr>
                <w:rFonts w:ascii="Arial" w:cs="Arial" w:eastAsia="Arial" w:hAnsi="Arial"/>
                <w:sz w:val="14"/>
                <w:szCs w:val="14"/>
                <w:b w:val="1"/>
                <w:bCs w:val="1"/>
                <w:color w:val="0C426A"/>
              </w:rPr>
              <w:t>William E. Kassling</w:t>
            </w:r>
          </w:p>
        </w:tc>
        <w:tc>
          <w:tcPr>
            <w:tcW w:w="760" w:type="dxa"/>
            <w:vAlign w:val="bottom"/>
          </w:tcPr>
          <w:p>
            <w:pPr>
              <w:ind w:left="52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1440" w:type="dxa"/>
            <w:vAlign w:val="bottom"/>
            <w:gridSpan w:val="2"/>
          </w:tcPr>
          <w:p>
            <w:pPr>
              <w:jc w:val="right"/>
              <w:ind w:right="169"/>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753,279</w:t>
            </w:r>
            <w:r>
              <w:rPr>
                <w:rFonts w:ascii="Arial" w:cs="Arial" w:eastAsia="Arial" w:hAnsi="Arial"/>
                <w:sz w:val="23"/>
                <w:szCs w:val="23"/>
                <w:color w:val="auto"/>
                <w:vertAlign w:val="superscript"/>
              </w:rPr>
              <w:t>(1)(4)</w:t>
            </w:r>
            <w:r>
              <w:rPr>
                <w:rFonts w:ascii="Times New Roman" w:cs="Times New Roman" w:eastAsia="Times New Roman" w:hAnsi="Times New Roman"/>
                <w:sz w:val="3"/>
                <w:szCs w:val="3"/>
                <w:color w:val="auto"/>
              </w:rPr>
              <w:t>​</w:t>
            </w:r>
          </w:p>
        </w:tc>
        <w:tc>
          <w:tcPr>
            <w:tcW w:w="260" w:type="dxa"/>
            <w:vAlign w:val="bottom"/>
          </w:tcPr>
          <w:p>
            <w:pPr>
              <w:ind w:left="240"/>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335"/>
        </w:trPr>
        <w:tc>
          <w:tcPr>
            <w:tcW w:w="4380" w:type="dxa"/>
            <w:vAlign w:val="bottom"/>
            <w:gridSpan w:val="2"/>
          </w:tcPr>
          <w:p>
            <w:pPr>
              <w:spacing w:after="0"/>
              <w:rPr>
                <w:sz w:val="20"/>
                <w:szCs w:val="20"/>
                <w:color w:val="auto"/>
              </w:rPr>
            </w:pPr>
            <w:r>
              <w:rPr>
                <w:rFonts w:ascii="Arial" w:cs="Arial" w:eastAsia="Arial" w:hAnsi="Arial"/>
                <w:sz w:val="14"/>
                <w:szCs w:val="14"/>
                <w:b w:val="1"/>
                <w:bCs w:val="1"/>
                <w:color w:val="0C426A"/>
              </w:rPr>
              <w:t>Ann R. Klee</w:t>
            </w:r>
          </w:p>
        </w:tc>
        <w:tc>
          <w:tcPr>
            <w:tcW w:w="760" w:type="dxa"/>
            <w:vAlign w:val="bottom"/>
          </w:tcPr>
          <w:p>
            <w:pPr>
              <w:ind w:left="52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Pr>
          <w:p>
            <w:pPr>
              <w:spacing w:after="0"/>
              <w:rPr>
                <w:sz w:val="24"/>
                <w:szCs w:val="24"/>
                <w:color w:val="auto"/>
              </w:rPr>
            </w:pPr>
          </w:p>
        </w:tc>
        <w:tc>
          <w:tcPr>
            <w:tcW w:w="880" w:type="dxa"/>
            <w:vAlign w:val="bottom"/>
          </w:tcPr>
          <w:p>
            <w:pPr>
              <w:jc w:val="right"/>
              <w:ind w:right="169"/>
              <w:spacing w:after="0"/>
              <w:rPr>
                <w:sz w:val="20"/>
                <w:szCs w:val="20"/>
                <w:color w:val="auto"/>
              </w:rPr>
            </w:pPr>
            <w:r>
              <w:rPr>
                <w:rFonts w:ascii="Arial" w:cs="Arial" w:eastAsia="Arial" w:hAnsi="Arial"/>
                <w:sz w:val="14"/>
                <w:szCs w:val="14"/>
                <w:color w:val="auto"/>
              </w:rPr>
              <w:t>9,691</w:t>
            </w:r>
            <w:r>
              <w:rPr>
                <w:rFonts w:ascii="Arial" w:cs="Arial" w:eastAsia="Arial" w:hAnsi="Arial"/>
                <w:sz w:val="23"/>
                <w:szCs w:val="23"/>
                <w:color w:val="auto"/>
                <w:vertAlign w:val="superscript"/>
              </w:rPr>
              <w:t>(1)</w:t>
            </w:r>
            <w:r>
              <w:rPr>
                <w:rFonts w:ascii="Times New Roman" w:cs="Times New Roman" w:eastAsia="Times New Roman" w:hAnsi="Times New Roman"/>
                <w:sz w:val="3"/>
                <w:szCs w:val="3"/>
                <w:color w:val="auto"/>
              </w:rPr>
              <w:t>​</w:t>
            </w:r>
          </w:p>
        </w:tc>
        <w:tc>
          <w:tcPr>
            <w:tcW w:w="260" w:type="dxa"/>
            <w:vAlign w:val="bottom"/>
          </w:tcPr>
          <w:p>
            <w:pPr>
              <w:ind w:left="240"/>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335"/>
        </w:trPr>
        <w:tc>
          <w:tcPr>
            <w:tcW w:w="4380" w:type="dxa"/>
            <w:vAlign w:val="bottom"/>
            <w:gridSpan w:val="2"/>
          </w:tcPr>
          <w:p>
            <w:pPr>
              <w:spacing w:after="0"/>
              <w:rPr>
                <w:sz w:val="20"/>
                <w:szCs w:val="20"/>
                <w:color w:val="auto"/>
              </w:rPr>
            </w:pPr>
            <w:r>
              <w:rPr>
                <w:rFonts w:ascii="Arial" w:cs="Arial" w:eastAsia="Arial" w:hAnsi="Arial"/>
                <w:sz w:val="14"/>
                <w:szCs w:val="14"/>
                <w:b w:val="1"/>
                <w:bCs w:val="1"/>
                <w:color w:val="0C426A"/>
              </w:rPr>
              <w:t>Albert J. Neupaver</w:t>
            </w:r>
          </w:p>
        </w:tc>
        <w:tc>
          <w:tcPr>
            <w:tcW w:w="760" w:type="dxa"/>
            <w:vAlign w:val="bottom"/>
          </w:tcPr>
          <w:p>
            <w:pPr>
              <w:ind w:left="52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1440" w:type="dxa"/>
            <w:vAlign w:val="bottom"/>
            <w:gridSpan w:val="2"/>
          </w:tcPr>
          <w:p>
            <w:pPr>
              <w:jc w:val="right"/>
              <w:ind w:right="169"/>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678,104</w:t>
            </w:r>
            <w:r>
              <w:rPr>
                <w:rFonts w:ascii="Arial" w:cs="Arial" w:eastAsia="Arial" w:hAnsi="Arial"/>
                <w:sz w:val="23"/>
                <w:szCs w:val="23"/>
                <w:color w:val="auto"/>
                <w:vertAlign w:val="superscript"/>
              </w:rPr>
              <w:t>(1)(2)</w:t>
            </w:r>
            <w:r>
              <w:rPr>
                <w:rFonts w:ascii="Times New Roman" w:cs="Times New Roman" w:eastAsia="Times New Roman" w:hAnsi="Times New Roman"/>
                <w:sz w:val="3"/>
                <w:szCs w:val="3"/>
                <w:color w:val="auto"/>
              </w:rPr>
              <w:t>​</w:t>
            </w:r>
          </w:p>
        </w:tc>
        <w:tc>
          <w:tcPr>
            <w:tcW w:w="260" w:type="dxa"/>
            <w:vAlign w:val="bottom"/>
          </w:tcPr>
          <w:p>
            <w:pPr>
              <w:ind w:left="240"/>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335"/>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Directors and Executive Officers as a Group (24 persons)</w:t>
            </w:r>
          </w:p>
        </w:tc>
        <w:tc>
          <w:tcPr>
            <w:tcW w:w="760" w:type="dxa"/>
            <w:vAlign w:val="bottom"/>
          </w:tcPr>
          <w:p>
            <w:pPr>
              <w:ind w:left="52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1440" w:type="dxa"/>
            <w:vAlign w:val="bottom"/>
            <w:gridSpan w:val="2"/>
          </w:tcPr>
          <w:p>
            <w:pPr>
              <w:jc w:val="right"/>
              <w:ind w:right="16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1,999,717</w:t>
            </w:r>
            <w:r>
              <w:rPr>
                <w:rFonts w:ascii="Arial" w:cs="Arial" w:eastAsia="Arial" w:hAnsi="Arial"/>
                <w:sz w:val="23"/>
                <w:szCs w:val="23"/>
                <w:color w:val="auto"/>
                <w:vertAlign w:val="superscript"/>
              </w:rPr>
              <w:t>(1)(2)</w:t>
            </w:r>
            <w:r>
              <w:rPr>
                <w:rFonts w:ascii="Times New Roman" w:cs="Times New Roman" w:eastAsia="Times New Roman" w:hAnsi="Times New Roman"/>
                <w:sz w:val="3"/>
                <w:szCs w:val="3"/>
                <w:color w:val="auto"/>
              </w:rPr>
              <w:t>​</w:t>
            </w:r>
          </w:p>
        </w:tc>
        <w:tc>
          <w:tcPr>
            <w:tcW w:w="260" w:type="dxa"/>
            <w:vAlign w:val="bottom"/>
          </w:tcPr>
          <w:p>
            <w:pPr>
              <w:ind w:left="240"/>
              <w:spacing w:after="0"/>
              <w:rPr>
                <w:sz w:val="20"/>
                <w:szCs w:val="20"/>
                <w:color w:val="auto"/>
              </w:rPr>
            </w:pPr>
            <w:r>
              <w:rPr>
                <w:rFonts w:ascii="Times New Roman" w:cs="Times New Roman" w:eastAsia="Times New Roman" w:hAnsi="Times New Roman"/>
                <w:sz w:val="2"/>
                <w:szCs w:val="2"/>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-32385</wp:posOffset>
            </wp:positionV>
            <wp:extent cx="571373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71373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-245110</wp:posOffset>
            </wp:positionV>
            <wp:extent cx="571373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71373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-457835</wp:posOffset>
            </wp:positionV>
            <wp:extent cx="571373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71373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-669925</wp:posOffset>
            </wp:positionV>
            <wp:extent cx="571373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71373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-882650</wp:posOffset>
            </wp:positionV>
            <wp:extent cx="571373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71373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-1095375</wp:posOffset>
            </wp:positionV>
            <wp:extent cx="571373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71373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-1308100</wp:posOffset>
            </wp:positionV>
            <wp:extent cx="571373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71373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-1520190</wp:posOffset>
            </wp:positionV>
            <wp:extent cx="571373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71373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-1732915</wp:posOffset>
            </wp:positionV>
            <wp:extent cx="571373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right"/>
        <w:ind w:right="19"/>
        <w:spacing w:after="0"/>
        <w:rPr>
          <w:sz w:val="20"/>
          <w:szCs w:val="20"/>
          <w:color w:val="auto"/>
        </w:rPr>
      </w:pPr>
      <w:r>
        <w:rPr>
          <w:rFonts w:ascii="Arial" w:cs="Arial" w:eastAsia="Arial" w:hAnsi="Arial"/>
          <w:sz w:val="14"/>
          <w:szCs w:val="14"/>
          <w:color w:val="auto"/>
        </w:rPr>
        <w:t>*</w:t>
      </w:r>
    </w:p>
    <w:p>
      <w:pPr>
        <w:spacing w:after="0" w:line="174" w:lineRule="exact"/>
        <w:rPr>
          <w:sz w:val="20"/>
          <w:szCs w:val="20"/>
          <w:color w:val="auto"/>
        </w:rPr>
      </w:pPr>
    </w:p>
    <w:p>
      <w:pPr>
        <w:jc w:val="right"/>
        <w:ind w:right="19"/>
        <w:spacing w:after="0"/>
        <w:rPr>
          <w:sz w:val="20"/>
          <w:szCs w:val="20"/>
          <w:color w:val="auto"/>
        </w:rPr>
      </w:pPr>
      <w:r>
        <w:rPr>
          <w:rFonts w:ascii="Arial" w:cs="Arial" w:eastAsia="Arial" w:hAnsi="Arial"/>
          <w:sz w:val="14"/>
          <w:szCs w:val="14"/>
          <w:color w:val="auto"/>
        </w:rPr>
        <w:t>*</w:t>
      </w:r>
    </w:p>
    <w:p>
      <w:pPr>
        <w:spacing w:after="0" w:line="174" w:lineRule="exact"/>
        <w:rPr>
          <w:sz w:val="20"/>
          <w:szCs w:val="20"/>
          <w:color w:val="auto"/>
        </w:rPr>
      </w:pPr>
    </w:p>
    <w:p>
      <w:pPr>
        <w:jc w:val="right"/>
        <w:ind w:right="19"/>
        <w:spacing w:after="0"/>
        <w:rPr>
          <w:sz w:val="20"/>
          <w:szCs w:val="20"/>
          <w:color w:val="auto"/>
        </w:rPr>
      </w:pPr>
      <w:r>
        <w:rPr>
          <w:rFonts w:ascii="Arial" w:cs="Arial" w:eastAsia="Arial" w:hAnsi="Arial"/>
          <w:sz w:val="14"/>
          <w:szCs w:val="14"/>
          <w:color w:val="auto"/>
        </w:rPr>
        <w:t>*</w:t>
      </w:r>
    </w:p>
    <w:p>
      <w:pPr>
        <w:spacing w:after="0" w:line="174" w:lineRule="exact"/>
        <w:rPr>
          <w:sz w:val="20"/>
          <w:szCs w:val="20"/>
          <w:color w:val="auto"/>
        </w:rPr>
      </w:pPr>
    </w:p>
    <w:p>
      <w:pPr>
        <w:jc w:val="right"/>
        <w:ind w:right="19"/>
        <w:spacing w:after="0"/>
        <w:rPr>
          <w:sz w:val="20"/>
          <w:szCs w:val="20"/>
          <w:color w:val="auto"/>
        </w:rPr>
      </w:pPr>
      <w:r>
        <w:rPr>
          <w:rFonts w:ascii="Arial" w:cs="Arial" w:eastAsia="Arial" w:hAnsi="Arial"/>
          <w:sz w:val="14"/>
          <w:szCs w:val="14"/>
          <w:color w:val="auto"/>
        </w:rPr>
        <w:t>*</w:t>
      </w:r>
    </w:p>
    <w:p>
      <w:pPr>
        <w:spacing w:after="0" w:line="174" w:lineRule="exact"/>
        <w:rPr>
          <w:sz w:val="20"/>
          <w:szCs w:val="20"/>
          <w:color w:val="auto"/>
        </w:rPr>
      </w:pPr>
    </w:p>
    <w:p>
      <w:pPr>
        <w:jc w:val="right"/>
        <w:ind w:right="19"/>
        <w:spacing w:after="0"/>
        <w:rPr>
          <w:sz w:val="20"/>
          <w:szCs w:val="20"/>
          <w:color w:val="auto"/>
        </w:rPr>
      </w:pPr>
      <w:r>
        <w:rPr>
          <w:rFonts w:ascii="Arial" w:cs="Arial" w:eastAsia="Arial" w:hAnsi="Arial"/>
          <w:sz w:val="14"/>
          <w:szCs w:val="14"/>
          <w:color w:val="auto"/>
        </w:rPr>
        <w:t>*</w:t>
      </w:r>
    </w:p>
    <w:p>
      <w:pPr>
        <w:spacing w:after="0" w:line="174" w:lineRule="exact"/>
        <w:rPr>
          <w:sz w:val="20"/>
          <w:szCs w:val="20"/>
          <w:color w:val="auto"/>
        </w:rPr>
      </w:pPr>
    </w:p>
    <w:p>
      <w:pPr>
        <w:jc w:val="right"/>
        <w:ind w:right="19"/>
        <w:spacing w:after="0"/>
        <w:rPr>
          <w:sz w:val="20"/>
          <w:szCs w:val="20"/>
          <w:color w:val="auto"/>
        </w:rPr>
      </w:pPr>
      <w:r>
        <w:rPr>
          <w:rFonts w:ascii="Arial" w:cs="Arial" w:eastAsia="Arial" w:hAnsi="Arial"/>
          <w:sz w:val="14"/>
          <w:szCs w:val="14"/>
          <w:color w:val="auto"/>
        </w:rPr>
        <w:t>*</w:t>
      </w:r>
    </w:p>
    <w:p>
      <w:pPr>
        <w:spacing w:after="0" w:line="174" w:lineRule="exact"/>
        <w:rPr>
          <w:sz w:val="20"/>
          <w:szCs w:val="20"/>
          <w:color w:val="auto"/>
        </w:rPr>
      </w:pPr>
    </w:p>
    <w:p>
      <w:pPr>
        <w:jc w:val="right"/>
        <w:ind w:right="19"/>
        <w:spacing w:after="0"/>
        <w:rPr>
          <w:sz w:val="20"/>
          <w:szCs w:val="20"/>
          <w:color w:val="auto"/>
        </w:rPr>
      </w:pPr>
      <w:r>
        <w:rPr>
          <w:rFonts w:ascii="Arial" w:cs="Arial" w:eastAsia="Arial" w:hAnsi="Arial"/>
          <w:sz w:val="14"/>
          <w:szCs w:val="14"/>
          <w:color w:val="auto"/>
        </w:rPr>
        <w:t>*</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1​.1%</w:t>
      </w:r>
    </w:p>
    <w:p>
      <w:pPr>
        <w:spacing w:after="0" w:line="241" w:lineRule="exact"/>
        <w:rPr>
          <w:sz w:val="20"/>
          <w:szCs w:val="20"/>
          <w:color w:val="auto"/>
        </w:rPr>
      </w:pPr>
    </w:p>
    <w:p>
      <w:pPr>
        <w:sectPr>
          <w:pgSz w:w="11900" w:h="16838" w:orient="portrait"/>
          <w:cols w:equalWidth="0" w:num="2">
            <w:col w:w="7960" w:space="720"/>
            <w:col w:w="339"/>
          </w:cols>
          <w:pgMar w:left="1440" w:top="114" w:right="1440" w:bottom="1440" w:gutter="0" w:footer="0" w:header="0"/>
          <w:type w:val="continuous"/>
        </w:sectPr>
      </w:pPr>
    </w:p>
    <w:p>
      <w:pPr>
        <w:ind w:left="180" w:right="199" w:hanging="175"/>
        <w:spacing w:after="0" w:line="195" w:lineRule="auto"/>
        <w:tabs>
          <w:tab w:leader="none" w:pos="180" w:val="left"/>
        </w:tabs>
        <w:numPr>
          <w:ilvl w:val="0"/>
          <w:numId w:val="82"/>
        </w:numPr>
        <w:rPr>
          <w:rFonts w:ascii="Arial" w:cs="Arial" w:eastAsia="Arial" w:hAnsi="Arial"/>
          <w:sz w:val="21"/>
          <w:szCs w:val="21"/>
          <w:color w:val="auto"/>
          <w:vertAlign w:val="superscript"/>
        </w:rPr>
      </w:pPr>
      <w:r>
        <w:rPr>
          <w:rFonts w:ascii="Arial" w:cs="Arial" w:eastAsia="Arial" w:hAnsi="Arial"/>
          <w:sz w:val="14"/>
          <w:szCs w:val="14"/>
          <w:color w:val="auto"/>
        </w:rPr>
        <w:t>Less than 1%. Note that all Percent of Class calculations are based on the issued and outstanding shares of Wabtec common stock as of the March 20, 2024 record date.</w:t>
      </w:r>
    </w:p>
    <w:p>
      <w:pPr>
        <w:spacing w:after="0" w:line="48" w:lineRule="exact"/>
        <w:rPr>
          <w:sz w:val="20"/>
          <w:szCs w:val="20"/>
          <w:color w:val="auto"/>
        </w:rPr>
      </w:pPr>
    </w:p>
    <w:p>
      <w:pPr>
        <w:ind w:left="180" w:right="39" w:hanging="175"/>
        <w:spacing w:after="0" w:line="214" w:lineRule="auto"/>
        <w:tabs>
          <w:tab w:leader="none" w:pos="180" w:val="left"/>
        </w:tabs>
        <w:numPr>
          <w:ilvl w:val="0"/>
          <w:numId w:val="83"/>
        </w:numPr>
        <w:rPr>
          <w:rFonts w:ascii="Arial" w:cs="Arial" w:eastAsia="Arial" w:hAnsi="Arial"/>
          <w:sz w:val="21"/>
          <w:szCs w:val="21"/>
          <w:color w:val="auto"/>
          <w:vertAlign w:val="superscript"/>
        </w:rPr>
      </w:pPr>
      <w:r>
        <w:rPr>
          <w:rFonts w:ascii="Arial" w:cs="Arial" w:eastAsia="Arial" w:hAnsi="Arial"/>
          <w:sz w:val="14"/>
          <w:szCs w:val="14"/>
          <w:color w:val="auto"/>
        </w:rPr>
        <w:t>Includes restricted shares as follows: Mr. Santana – 74,608; Mr. Olin – 26,464, Mr. DeNinno – 10,659; Mr. Schweitzer – 4,256, and Mr.Gebhardt – 21, 513. Each other non-employee director held 1,857 restricted shares, and all directors and executive officers as a group – 196,052. The restricted stockholders have sole voting power with respect to the restricted shares but do not have sole or shared dispositive power until the restricted shares vest.</w:t>
      </w:r>
    </w:p>
    <w:p>
      <w:pPr>
        <w:spacing w:after="0" w:line="50" w:lineRule="exact"/>
        <w:rPr>
          <w:sz w:val="20"/>
          <w:szCs w:val="20"/>
          <w:color w:val="auto"/>
        </w:rPr>
      </w:pPr>
    </w:p>
    <w:p>
      <w:pPr>
        <w:ind w:left="180" w:right="59" w:hanging="175"/>
        <w:spacing w:after="0" w:line="195" w:lineRule="auto"/>
        <w:tabs>
          <w:tab w:leader="none" w:pos="180" w:val="left"/>
        </w:tabs>
        <w:numPr>
          <w:ilvl w:val="0"/>
          <w:numId w:val="84"/>
        </w:numPr>
        <w:rPr>
          <w:rFonts w:ascii="Arial" w:cs="Arial" w:eastAsia="Arial" w:hAnsi="Arial"/>
          <w:sz w:val="21"/>
          <w:szCs w:val="21"/>
          <w:color w:val="auto"/>
          <w:vertAlign w:val="superscript"/>
        </w:rPr>
      </w:pPr>
      <w:r>
        <w:rPr>
          <w:rFonts w:ascii="Arial" w:cs="Arial" w:eastAsia="Arial" w:hAnsi="Arial"/>
          <w:sz w:val="14"/>
          <w:szCs w:val="14"/>
          <w:color w:val="auto"/>
        </w:rPr>
        <w:t>Includes options that are exercisable on or within 60 days of January 31, 2023 as follows: Mr. Santana – 68,833; Mr. DeNinno – 25,958; Mr. Schweitzer – 7,716; Mr. Gebhardt – 3,275; and Mr. Neupaver – 82,692; and all directors and executive officers as a group – 211,988.</w:t>
      </w:r>
    </w:p>
    <w:p>
      <w:pPr>
        <w:spacing w:after="0" w:line="48" w:lineRule="exact"/>
        <w:rPr>
          <w:sz w:val="20"/>
          <w:szCs w:val="20"/>
          <w:color w:val="auto"/>
        </w:rPr>
      </w:pPr>
    </w:p>
    <w:p>
      <w:pPr>
        <w:ind w:left="180" w:right="119" w:hanging="175"/>
        <w:spacing w:after="0" w:line="195" w:lineRule="auto"/>
        <w:tabs>
          <w:tab w:leader="none" w:pos="180" w:val="left"/>
        </w:tabs>
        <w:numPr>
          <w:ilvl w:val="0"/>
          <w:numId w:val="85"/>
        </w:numPr>
        <w:rPr>
          <w:rFonts w:ascii="Arial" w:cs="Arial" w:eastAsia="Arial" w:hAnsi="Arial"/>
          <w:sz w:val="21"/>
          <w:szCs w:val="21"/>
          <w:color w:val="auto"/>
          <w:vertAlign w:val="superscript"/>
        </w:rPr>
      </w:pPr>
      <w:r>
        <w:rPr>
          <w:rFonts w:ascii="Arial" w:cs="Arial" w:eastAsia="Arial" w:hAnsi="Arial"/>
          <w:sz w:val="14"/>
          <w:szCs w:val="14"/>
          <w:color w:val="auto"/>
        </w:rPr>
        <w:t>Includes 28,535 shares owned by Mr Hehir. Also includes 4,200 shares held by the Brian P. Hehir and Janet S. Hehir Foundation for which Mr. Hehir serves as a trustee.</w:t>
      </w:r>
    </w:p>
    <w:p>
      <w:pPr>
        <w:spacing w:after="0" w:line="48" w:lineRule="exact"/>
        <w:rPr>
          <w:sz w:val="20"/>
          <w:szCs w:val="20"/>
          <w:color w:val="auto"/>
        </w:rPr>
      </w:pPr>
    </w:p>
    <w:p>
      <w:pPr>
        <w:ind w:left="180" w:right="399" w:hanging="175"/>
        <w:spacing w:after="0" w:line="195" w:lineRule="auto"/>
        <w:tabs>
          <w:tab w:leader="none" w:pos="180" w:val="left"/>
        </w:tabs>
        <w:numPr>
          <w:ilvl w:val="0"/>
          <w:numId w:val="86"/>
        </w:numPr>
        <w:rPr>
          <w:rFonts w:ascii="Arial" w:cs="Arial" w:eastAsia="Arial" w:hAnsi="Arial"/>
          <w:sz w:val="21"/>
          <w:szCs w:val="21"/>
          <w:color w:val="auto"/>
          <w:vertAlign w:val="superscript"/>
        </w:rPr>
      </w:pPr>
      <w:r>
        <w:rPr>
          <w:rFonts w:ascii="Arial" w:cs="Arial" w:eastAsia="Arial" w:hAnsi="Arial"/>
          <w:sz w:val="14"/>
          <w:szCs w:val="14"/>
          <w:color w:val="auto"/>
        </w:rPr>
        <w:t>Includes 78,345 shares owned by Mr. Kassling. Also includes 671,654 shares owned by Davideco, a Delaware corporation, and 3,280 shares owned by Mr. Kassling’s wife. Mr. Kassling disclaims beneficial ownership of the shares held by his wife.</w:t>
      </w:r>
    </w:p>
    <w:p>
      <w:pPr>
        <w:ind w:left="180" w:hanging="175"/>
        <w:spacing w:after="0" w:line="235" w:lineRule="auto"/>
        <w:tabs>
          <w:tab w:leader="none" w:pos="180" w:val="left"/>
        </w:tabs>
        <w:numPr>
          <w:ilvl w:val="0"/>
          <w:numId w:val="87"/>
        </w:numPr>
        <w:rPr>
          <w:rFonts w:ascii="Arial" w:cs="Arial" w:eastAsia="Arial" w:hAnsi="Arial"/>
          <w:sz w:val="21"/>
          <w:szCs w:val="21"/>
          <w:color w:val="auto"/>
          <w:vertAlign w:val="superscript"/>
        </w:rPr>
      </w:pPr>
      <w:r>
        <w:rPr>
          <w:rFonts w:ascii="Arial" w:cs="Arial" w:eastAsia="Arial" w:hAnsi="Arial"/>
          <w:sz w:val="14"/>
          <w:szCs w:val="14"/>
          <w:color w:val="auto"/>
        </w:rPr>
        <w:t>Does not include 1,550 shares which have been deferred.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760" w:type="dxa"/>
            <w:vAlign w:val="bottom"/>
          </w:tcPr>
          <w:p>
            <w:pPr>
              <w:jc w:val="right"/>
              <w:ind w:right="529"/>
              <w:spacing w:after="0"/>
              <w:rPr>
                <w:sz w:val="20"/>
                <w:szCs w:val="20"/>
                <w:color w:val="auto"/>
              </w:rPr>
            </w:pPr>
            <w:r>
              <w:rPr>
                <w:rFonts w:ascii="Arial" w:cs="Arial" w:eastAsia="Arial" w:hAnsi="Arial"/>
                <w:sz w:val="14"/>
                <w:szCs w:val="14"/>
                <w:b w:val="1"/>
                <w:bCs w:val="1"/>
                <w:color w:val="auto"/>
                <w:w w:val="89"/>
              </w:rPr>
              <w:t>78</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179070</wp:posOffset>
            </wp:positionV>
            <wp:extent cx="693801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81" w:name="page82"/>
    <w:bookmarkEnd w:id="81"/>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8480"/>
        <w:spacing w:after="0"/>
        <w:rPr>
          <w:sz w:val="20"/>
          <w:szCs w:val="20"/>
          <w:color w:val="auto"/>
        </w:rPr>
      </w:pPr>
      <w:r>
        <w:rPr>
          <w:rFonts w:ascii="Arial" w:cs="Arial" w:eastAsia="Arial" w:hAnsi="Arial"/>
          <w:sz w:val="12"/>
          <w:szCs w:val="12"/>
          <w:color w:val="auto"/>
        </w:rPr>
        <w:t>Common Stock Ownership</w:t>
      </w:r>
    </w:p>
    <w:p>
      <w:pPr>
        <w:spacing w:after="0" w:line="169" w:lineRule="exact"/>
        <w:rPr>
          <w:sz w:val="20"/>
          <w:szCs w:val="20"/>
          <w:color w:val="auto"/>
        </w:rPr>
      </w:pPr>
    </w:p>
    <w:p>
      <w:pPr>
        <w:ind w:left="960"/>
        <w:spacing w:after="0"/>
        <w:rPr>
          <w:sz w:val="20"/>
          <w:szCs w:val="20"/>
          <w:color w:val="auto"/>
        </w:rPr>
      </w:pPr>
      <w:r>
        <w:rPr>
          <w:rFonts w:ascii="Arial" w:cs="Arial" w:eastAsia="Arial" w:hAnsi="Arial"/>
          <w:sz w:val="29"/>
          <w:szCs w:val="29"/>
          <w:color w:val="636466"/>
        </w:rPr>
        <w:t>Security Ownership of Certain Beneficial Owners</w:t>
      </w:r>
    </w:p>
    <w:p>
      <w:pPr>
        <w:spacing w:after="0" w:line="180" w:lineRule="exact"/>
        <w:rPr>
          <w:sz w:val="20"/>
          <w:szCs w:val="20"/>
          <w:color w:val="auto"/>
        </w:rPr>
      </w:pPr>
    </w:p>
    <w:p>
      <w:pPr>
        <w:ind w:left="960" w:right="1520"/>
        <w:spacing w:after="0" w:line="282" w:lineRule="auto"/>
        <w:rPr>
          <w:sz w:val="20"/>
          <w:szCs w:val="20"/>
          <w:color w:val="auto"/>
        </w:rPr>
      </w:pPr>
      <w:r>
        <w:rPr>
          <w:rFonts w:ascii="Arial" w:cs="Arial" w:eastAsia="Arial" w:hAnsi="Arial"/>
          <w:sz w:val="16"/>
          <w:szCs w:val="16"/>
          <w:color w:val="auto"/>
        </w:rPr>
        <w:t>The following table shows stockholders who are known to Wabtec to be beneficial owners of more than 5% of Wabtec’s common stock as of March 20, 2024.</w:t>
      </w:r>
    </w:p>
    <w:p>
      <w:pPr>
        <w:spacing w:after="0" w:line="118" w:lineRule="exact"/>
        <w:rPr>
          <w:sz w:val="20"/>
          <w:szCs w:val="20"/>
          <w:color w:val="auto"/>
        </w:rPr>
      </w:pPr>
    </w:p>
    <w:tbl>
      <w:tblPr>
        <w:tblLayout w:type="fixed"/>
        <w:tblInd w:w="980" w:type="dxa"/>
        <w:tblCellMar>
          <w:top w:w="0" w:type="dxa"/>
          <w:left w:w="0" w:type="dxa"/>
          <w:bottom w:w="0" w:type="dxa"/>
          <w:right w:w="0" w:type="dxa"/>
        </w:tblCellMar>
      </w:tblPr>
      <w:tr>
        <w:trPr>
          <w:trHeight w:val="307"/>
        </w:trPr>
        <w:tc>
          <w:tcPr>
            <w:tcW w:w="3440" w:type="dxa"/>
            <w:vAlign w:val="bottom"/>
            <w:tcBorders>
              <w:bottom w:val="single" w:sz="8" w:color="0C426A"/>
            </w:tcBorders>
            <w:gridSpan w:val="3"/>
          </w:tcPr>
          <w:p>
            <w:pPr>
              <w:ind w:left="20"/>
              <w:spacing w:after="0"/>
              <w:rPr>
                <w:sz w:val="20"/>
                <w:szCs w:val="20"/>
                <w:color w:val="auto"/>
              </w:rPr>
            </w:pPr>
            <w:r>
              <w:rPr>
                <w:rFonts w:ascii="Arial" w:cs="Arial" w:eastAsia="Arial" w:hAnsi="Arial"/>
                <w:sz w:val="14"/>
                <w:szCs w:val="14"/>
                <w:b w:val="1"/>
                <w:bCs w:val="1"/>
                <w:color w:val="auto"/>
              </w:rPr>
              <w:t>Name and Address of Beneficial Owner</w:t>
            </w:r>
          </w:p>
        </w:tc>
        <w:tc>
          <w:tcPr>
            <w:tcW w:w="1020" w:type="dxa"/>
            <w:vAlign w:val="bottom"/>
            <w:tcBorders>
              <w:bottom w:val="single" w:sz="8" w:color="0C426A"/>
            </w:tcBorders>
          </w:tcPr>
          <w:p>
            <w:pPr>
              <w:ind w:left="78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Borders>
              <w:bottom w:val="single" w:sz="8" w:color="0C426A"/>
            </w:tcBorders>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2000" w:type="dxa"/>
            <w:vAlign w:val="bottom"/>
            <w:tcBorders>
              <w:bottom w:val="single" w:sz="8" w:color="0C426A"/>
            </w:tcBorders>
          </w:tcPr>
          <w:p>
            <w:pPr>
              <w:jc w:val="right"/>
              <w:ind w:right="192"/>
              <w:spacing w:after="0"/>
              <w:rPr>
                <w:sz w:val="20"/>
                <w:szCs w:val="20"/>
                <w:color w:val="auto"/>
              </w:rPr>
            </w:pPr>
            <w:r>
              <w:rPr>
                <w:rFonts w:ascii="Arial" w:cs="Arial" w:eastAsia="Arial" w:hAnsi="Arial"/>
                <w:sz w:val="14"/>
                <w:szCs w:val="14"/>
                <w:b w:val="1"/>
                <w:bCs w:val="1"/>
                <w:color w:val="auto"/>
              </w:rPr>
              <w:t>Beneficial Ownership</w:t>
            </w:r>
            <w:r>
              <w:rPr>
                <w:rFonts w:ascii="Arial" w:cs="Arial" w:eastAsia="Arial" w:hAnsi="Arial"/>
                <w:sz w:val="23"/>
                <w:szCs w:val="23"/>
                <w:b w:val="1"/>
                <w:bCs w:val="1"/>
                <w:color w:val="auto"/>
                <w:vertAlign w:val="superscript"/>
              </w:rPr>
              <w:t>1</w:t>
            </w:r>
            <w:r>
              <w:rPr>
                <w:rFonts w:ascii="Times New Roman" w:cs="Times New Roman" w:eastAsia="Times New Roman" w:hAnsi="Times New Roman"/>
                <w:sz w:val="3"/>
                <w:szCs w:val="3"/>
                <w:color w:val="auto"/>
              </w:rPr>
              <w:t>​</w:t>
            </w:r>
          </w:p>
        </w:tc>
        <w:tc>
          <w:tcPr>
            <w:tcW w:w="460" w:type="dxa"/>
            <w:vAlign w:val="bottom"/>
            <w:tcBorders>
              <w:bottom w:val="single" w:sz="8" w:color="0C426A"/>
            </w:tcBorders>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600" w:type="dxa"/>
            <w:vAlign w:val="bottom"/>
            <w:tcBorders>
              <w:bottom w:val="single" w:sz="8" w:color="0C426A"/>
            </w:tcBorders>
          </w:tcPr>
          <w:p>
            <w:pPr>
              <w:jc w:val="right"/>
              <w:spacing w:after="0"/>
              <w:rPr>
                <w:sz w:val="20"/>
                <w:szCs w:val="20"/>
                <w:color w:val="auto"/>
              </w:rPr>
            </w:pPr>
            <w:r>
              <w:rPr>
                <w:rFonts w:ascii="Arial" w:cs="Arial" w:eastAsia="Arial" w:hAnsi="Arial"/>
                <w:sz w:val="14"/>
                <w:szCs w:val="14"/>
                <w:b w:val="1"/>
                <w:bCs w:val="1"/>
                <w:color w:val="auto"/>
              </w:rPr>
              <w:t>Percentage of Class</w:t>
            </w:r>
          </w:p>
        </w:tc>
      </w:tr>
      <w:tr>
        <w:trPr>
          <w:trHeight w:val="252"/>
        </w:trPr>
        <w:tc>
          <w:tcPr>
            <w:tcW w:w="3440" w:type="dxa"/>
            <w:vAlign w:val="bottom"/>
            <w:gridSpan w:val="3"/>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The Vanguard Group</w:t>
            </w: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100"/>
        </w:trPr>
        <w:tc>
          <w:tcPr>
            <w:tcW w:w="3440" w:type="dxa"/>
            <w:vAlign w:val="bottom"/>
            <w:gridSpan w:val="3"/>
          </w:tcPr>
          <w:p>
            <w:pPr>
              <w:ind w:left="20"/>
              <w:spacing w:after="0" w:line="90" w:lineRule="exact"/>
              <w:rPr>
                <w:sz w:val="20"/>
                <w:szCs w:val="20"/>
                <w:color w:val="auto"/>
              </w:rPr>
            </w:pPr>
            <w:r>
              <w:rPr>
                <w:rFonts w:ascii="Arial" w:cs="Arial" w:eastAsia="Arial" w:hAnsi="Arial"/>
                <w:sz w:val="10"/>
                <w:szCs w:val="10"/>
                <w:color w:val="auto"/>
              </w:rPr>
              <w:t>100 Vanguard Boulevard</w:t>
            </w:r>
          </w:p>
        </w:tc>
        <w:tc>
          <w:tcPr>
            <w:tcW w:w="1020" w:type="dxa"/>
            <w:vAlign w:val="bottom"/>
          </w:tcPr>
          <w:p>
            <w:pPr>
              <w:ind w:left="78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2000" w:type="dxa"/>
            <w:vAlign w:val="bottom"/>
          </w:tcPr>
          <w:p>
            <w:pPr>
              <w:jc w:val="right"/>
              <w:ind w:right="192"/>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600" w:type="dxa"/>
            <w:vAlign w:val="bottom"/>
          </w:tcPr>
          <w:p>
            <w:pPr>
              <w:spacing w:after="0"/>
              <w:rPr>
                <w:sz w:val="8"/>
                <w:szCs w:val="8"/>
                <w:color w:val="auto"/>
              </w:rPr>
            </w:pPr>
          </w:p>
        </w:tc>
      </w:tr>
      <w:tr>
        <w:trPr>
          <w:trHeight w:val="250"/>
        </w:trPr>
        <w:tc>
          <w:tcPr>
            <w:tcW w:w="3440" w:type="dxa"/>
            <w:vAlign w:val="bottom"/>
            <w:gridSpan w:val="3"/>
          </w:tcPr>
          <w:p>
            <w:pPr>
              <w:ind w:left="20"/>
              <w:spacing w:after="0"/>
              <w:rPr>
                <w:sz w:val="20"/>
                <w:szCs w:val="20"/>
                <w:color w:val="auto"/>
              </w:rPr>
            </w:pPr>
            <w:r>
              <w:rPr>
                <w:rFonts w:ascii="Arial" w:cs="Arial" w:eastAsia="Arial" w:hAnsi="Arial"/>
                <w:sz w:val="14"/>
                <w:szCs w:val="14"/>
                <w:color w:val="auto"/>
              </w:rPr>
              <w:t>Malvern, PA 19355</w:t>
            </w: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0" w:type="dxa"/>
            <w:vAlign w:val="bottom"/>
          </w:tcPr>
          <w:p>
            <w:pPr>
              <w:jc w:val="right"/>
              <w:ind w:right="192"/>
              <w:spacing w:after="0"/>
              <w:rPr>
                <w:sz w:val="20"/>
                <w:szCs w:val="20"/>
                <w:color w:val="auto"/>
              </w:rPr>
            </w:pPr>
            <w:r>
              <w:rPr>
                <w:rFonts w:ascii="Arial" w:cs="Arial" w:eastAsia="Arial" w:hAnsi="Arial"/>
                <w:sz w:val="14"/>
                <w:szCs w:val="14"/>
                <w:color w:val="auto"/>
              </w:rPr>
              <w:t>​20,014,239</w:t>
            </w:r>
          </w:p>
        </w:tc>
        <w:tc>
          <w:tcPr>
            <w:tcW w:w="4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48"/>
        </w:trPr>
        <w:tc>
          <w:tcPr>
            <w:tcW w:w="740" w:type="dxa"/>
            <w:vAlign w:val="bottom"/>
            <w:tcBorders>
              <w:bottom w:val="single" w:sz="8" w:color="808080"/>
            </w:tcBorders>
            <w:gridSpan w:val="2"/>
          </w:tcPr>
          <w:p>
            <w:pPr>
              <w:spacing w:after="0"/>
              <w:rPr>
                <w:sz w:val="4"/>
                <w:szCs w:val="4"/>
                <w:color w:val="auto"/>
              </w:rPr>
            </w:pPr>
          </w:p>
        </w:tc>
        <w:tc>
          <w:tcPr>
            <w:tcW w:w="270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200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r>
      <w:tr>
        <w:trPr>
          <w:trHeight w:val="212"/>
        </w:trPr>
        <w:tc>
          <w:tcPr>
            <w:tcW w:w="740" w:type="dxa"/>
            <w:vAlign w:val="bottom"/>
            <w:gridSpan w:val="2"/>
          </w:tcPr>
          <w:p>
            <w:pPr>
              <w:ind w:left="20"/>
              <w:spacing w:after="0"/>
              <w:rPr>
                <w:sz w:val="20"/>
                <w:szCs w:val="20"/>
                <w:color w:val="auto"/>
              </w:rPr>
            </w:pPr>
            <w:r>
              <w:rPr>
                <w:rFonts w:ascii="Arial" w:cs="Arial" w:eastAsia="Arial" w:hAnsi="Arial"/>
                <w:sz w:val="14"/>
                <w:szCs w:val="14"/>
                <w:color w:val="auto"/>
                <w:w w:val="99"/>
              </w:rPr>
              <w:t>BlackRock,​</w:t>
            </w:r>
          </w:p>
        </w:tc>
        <w:tc>
          <w:tcPr>
            <w:tcW w:w="2700" w:type="dxa"/>
            <w:vAlign w:val="bottom"/>
          </w:tcPr>
          <w:p>
            <w:pPr>
              <w:ind w:left="20"/>
              <w:spacing w:after="0"/>
              <w:rPr>
                <w:sz w:val="20"/>
                <w:szCs w:val="20"/>
                <w:color w:val="auto"/>
              </w:rPr>
            </w:pPr>
            <w:r>
              <w:rPr>
                <w:rFonts w:ascii="Arial" w:cs="Arial" w:eastAsia="Arial" w:hAnsi="Arial"/>
                <w:sz w:val="14"/>
                <w:szCs w:val="14"/>
                <w:color w:val="auto"/>
              </w:rPr>
              <w:t>Inc.</w:t>
            </w: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00"/>
        </w:trPr>
        <w:tc>
          <w:tcPr>
            <w:tcW w:w="3440" w:type="dxa"/>
            <w:vAlign w:val="bottom"/>
            <w:gridSpan w:val="3"/>
          </w:tcPr>
          <w:p>
            <w:pPr>
              <w:ind w:left="20"/>
              <w:spacing w:after="0" w:line="90" w:lineRule="exact"/>
              <w:rPr>
                <w:sz w:val="20"/>
                <w:szCs w:val="20"/>
                <w:color w:val="auto"/>
              </w:rPr>
            </w:pPr>
            <w:r>
              <w:rPr>
                <w:rFonts w:ascii="Arial" w:cs="Arial" w:eastAsia="Arial" w:hAnsi="Arial"/>
                <w:sz w:val="10"/>
                <w:szCs w:val="10"/>
                <w:color w:val="auto"/>
              </w:rPr>
              <w:t>50 Hudson Yards</w:t>
            </w:r>
          </w:p>
        </w:tc>
        <w:tc>
          <w:tcPr>
            <w:tcW w:w="1020" w:type="dxa"/>
            <w:vAlign w:val="bottom"/>
          </w:tcPr>
          <w:p>
            <w:pPr>
              <w:ind w:left="78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2000" w:type="dxa"/>
            <w:vAlign w:val="bottom"/>
          </w:tcPr>
          <w:p>
            <w:pPr>
              <w:jc w:val="right"/>
              <w:ind w:right="192"/>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600" w:type="dxa"/>
            <w:vAlign w:val="bottom"/>
          </w:tcPr>
          <w:p>
            <w:pPr>
              <w:spacing w:after="0"/>
              <w:rPr>
                <w:sz w:val="8"/>
                <w:szCs w:val="8"/>
                <w:color w:val="auto"/>
              </w:rPr>
            </w:pPr>
          </w:p>
        </w:tc>
      </w:tr>
      <w:tr>
        <w:trPr>
          <w:trHeight w:val="250"/>
        </w:trPr>
        <w:tc>
          <w:tcPr>
            <w:tcW w:w="3440" w:type="dxa"/>
            <w:vAlign w:val="bottom"/>
            <w:gridSpan w:val="3"/>
          </w:tcPr>
          <w:p>
            <w:pPr>
              <w:ind w:left="20"/>
              <w:spacing w:after="0"/>
              <w:rPr>
                <w:sz w:val="20"/>
                <w:szCs w:val="20"/>
                <w:color w:val="auto"/>
              </w:rPr>
            </w:pPr>
            <w:r>
              <w:rPr>
                <w:rFonts w:ascii="Arial" w:cs="Arial" w:eastAsia="Arial" w:hAnsi="Arial"/>
                <w:sz w:val="14"/>
                <w:szCs w:val="14"/>
                <w:color w:val="auto"/>
              </w:rPr>
              <w:t>New York, NY 10001</w:t>
            </w: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0" w:type="dxa"/>
            <w:vAlign w:val="bottom"/>
          </w:tcPr>
          <w:p>
            <w:pPr>
              <w:jc w:val="right"/>
              <w:ind w:right="192"/>
              <w:spacing w:after="0"/>
              <w:rPr>
                <w:sz w:val="20"/>
                <w:szCs w:val="20"/>
                <w:color w:val="auto"/>
              </w:rPr>
            </w:pPr>
            <w:r>
              <w:rPr>
                <w:rFonts w:ascii="Arial" w:cs="Arial" w:eastAsia="Arial" w:hAnsi="Arial"/>
                <w:sz w:val="14"/>
                <w:szCs w:val="14"/>
                <w:color w:val="auto"/>
              </w:rPr>
              <w:t>12,015,588</w:t>
            </w:r>
          </w:p>
        </w:tc>
        <w:tc>
          <w:tcPr>
            <w:tcW w:w="4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48"/>
        </w:trPr>
        <w:tc>
          <w:tcPr>
            <w:tcW w:w="700" w:type="dxa"/>
            <w:vAlign w:val="bottom"/>
            <w:tcBorders>
              <w:bottom w:val="single" w:sz="8" w:color="808080"/>
            </w:tcBorders>
          </w:tcPr>
          <w:p>
            <w:pPr>
              <w:spacing w:after="0"/>
              <w:rPr>
                <w:sz w:val="4"/>
                <w:szCs w:val="4"/>
                <w:color w:val="auto"/>
              </w:rPr>
            </w:pPr>
          </w:p>
        </w:tc>
        <w:tc>
          <w:tcPr>
            <w:tcW w:w="2740" w:type="dxa"/>
            <w:vAlign w:val="bottom"/>
            <w:tcBorders>
              <w:bottom w:val="single" w:sz="8" w:color="808080"/>
            </w:tcBorders>
            <w:gridSpan w:val="2"/>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200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r>
      <w:tr>
        <w:trPr>
          <w:trHeight w:val="212"/>
        </w:trPr>
        <w:tc>
          <w:tcPr>
            <w:tcW w:w="700" w:type="dxa"/>
            <w:vAlign w:val="bottom"/>
          </w:tcPr>
          <w:p>
            <w:pPr>
              <w:ind w:left="20"/>
              <w:spacing w:after="0"/>
              <w:rPr>
                <w:sz w:val="20"/>
                <w:szCs w:val="20"/>
                <w:color w:val="auto"/>
              </w:rPr>
            </w:pPr>
            <w:r>
              <w:rPr>
                <w:rFonts w:ascii="Arial" w:cs="Arial" w:eastAsia="Arial" w:hAnsi="Arial"/>
                <w:sz w:val="14"/>
                <w:szCs w:val="14"/>
                <w:color w:val="auto"/>
              </w:rPr>
              <w:t>Wellington​</w:t>
            </w:r>
          </w:p>
        </w:tc>
        <w:tc>
          <w:tcPr>
            <w:tcW w:w="2740" w:type="dxa"/>
            <w:vAlign w:val="bottom"/>
            <w:gridSpan w:val="2"/>
          </w:tcPr>
          <w:p>
            <w:pPr>
              <w:ind w:left="20"/>
              <w:spacing w:after="0"/>
              <w:rPr>
                <w:sz w:val="20"/>
                <w:szCs w:val="20"/>
                <w:color w:val="auto"/>
              </w:rPr>
            </w:pPr>
            <w:r>
              <w:rPr>
                <w:rFonts w:ascii="Arial" w:cs="Arial" w:eastAsia="Arial" w:hAnsi="Arial"/>
                <w:sz w:val="14"/>
                <w:szCs w:val="14"/>
                <w:color w:val="auto"/>
              </w:rPr>
              <w:t>Management Group, LLP</w:t>
            </w: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00"/>
        </w:trPr>
        <w:tc>
          <w:tcPr>
            <w:tcW w:w="3440" w:type="dxa"/>
            <w:vAlign w:val="bottom"/>
            <w:gridSpan w:val="3"/>
          </w:tcPr>
          <w:p>
            <w:pPr>
              <w:ind w:left="20"/>
              <w:spacing w:after="0" w:line="90" w:lineRule="exact"/>
              <w:rPr>
                <w:sz w:val="20"/>
                <w:szCs w:val="20"/>
                <w:color w:val="auto"/>
              </w:rPr>
            </w:pPr>
            <w:r>
              <w:rPr>
                <w:rFonts w:ascii="Arial" w:cs="Arial" w:eastAsia="Arial" w:hAnsi="Arial"/>
                <w:sz w:val="10"/>
                <w:szCs w:val="10"/>
                <w:color w:val="auto"/>
              </w:rPr>
              <w:t>280 Congress Street</w:t>
            </w:r>
          </w:p>
        </w:tc>
        <w:tc>
          <w:tcPr>
            <w:tcW w:w="1020" w:type="dxa"/>
            <w:vAlign w:val="bottom"/>
          </w:tcPr>
          <w:p>
            <w:pPr>
              <w:ind w:left="78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2000" w:type="dxa"/>
            <w:vAlign w:val="bottom"/>
          </w:tcPr>
          <w:p>
            <w:pPr>
              <w:jc w:val="right"/>
              <w:ind w:right="192"/>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600" w:type="dxa"/>
            <w:vAlign w:val="bottom"/>
          </w:tcPr>
          <w:p>
            <w:pPr>
              <w:spacing w:after="0"/>
              <w:rPr>
                <w:sz w:val="8"/>
                <w:szCs w:val="8"/>
                <w:color w:val="auto"/>
              </w:rPr>
            </w:pPr>
          </w:p>
        </w:tc>
      </w:tr>
      <w:tr>
        <w:trPr>
          <w:trHeight w:val="250"/>
        </w:trPr>
        <w:tc>
          <w:tcPr>
            <w:tcW w:w="3440" w:type="dxa"/>
            <w:vAlign w:val="bottom"/>
            <w:gridSpan w:val="3"/>
          </w:tcPr>
          <w:p>
            <w:pPr>
              <w:ind w:left="20"/>
              <w:spacing w:after="0"/>
              <w:rPr>
                <w:sz w:val="20"/>
                <w:szCs w:val="20"/>
                <w:color w:val="auto"/>
              </w:rPr>
            </w:pPr>
            <w:r>
              <w:rPr>
                <w:rFonts w:ascii="Arial" w:cs="Arial" w:eastAsia="Arial" w:hAnsi="Arial"/>
                <w:sz w:val="14"/>
                <w:szCs w:val="14"/>
                <w:color w:val="auto"/>
              </w:rPr>
              <w:t>Boston, MA 02210</w:t>
            </w: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0" w:type="dxa"/>
            <w:vAlign w:val="bottom"/>
          </w:tcPr>
          <w:p>
            <w:pPr>
              <w:jc w:val="right"/>
              <w:ind w:right="192"/>
              <w:spacing w:after="0"/>
              <w:rPr>
                <w:sz w:val="20"/>
                <w:szCs w:val="20"/>
                <w:color w:val="auto"/>
              </w:rPr>
            </w:pPr>
            <w:r>
              <w:rPr>
                <w:rFonts w:ascii="Arial" w:cs="Arial" w:eastAsia="Arial" w:hAnsi="Arial"/>
                <w:sz w:val="14"/>
                <w:szCs w:val="14"/>
                <w:color w:val="auto"/>
              </w:rPr>
              <w:t>9,760,215</w:t>
            </w:r>
          </w:p>
        </w:tc>
        <w:tc>
          <w:tcPr>
            <w:tcW w:w="4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48"/>
        </w:trPr>
        <w:tc>
          <w:tcPr>
            <w:tcW w:w="3440" w:type="dxa"/>
            <w:vAlign w:val="bottom"/>
            <w:tcBorders>
              <w:bottom w:val="single" w:sz="8" w:color="808080"/>
            </w:tcBorders>
            <w:gridSpan w:val="3"/>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200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r>
      <w:tr>
        <w:trPr>
          <w:trHeight w:val="212"/>
        </w:trPr>
        <w:tc>
          <w:tcPr>
            <w:tcW w:w="3440" w:type="dxa"/>
            <w:vAlign w:val="bottom"/>
            <w:gridSpan w:val="3"/>
          </w:tcPr>
          <w:p>
            <w:pPr>
              <w:ind w:left="20"/>
              <w:spacing w:after="0"/>
              <w:rPr>
                <w:sz w:val="20"/>
                <w:szCs w:val="20"/>
                <w:color w:val="auto"/>
              </w:rPr>
            </w:pPr>
            <w:r>
              <w:rPr>
                <w:rFonts w:ascii="Arial" w:cs="Arial" w:eastAsia="Arial" w:hAnsi="Arial"/>
                <w:sz w:val="14"/>
                <w:szCs w:val="14"/>
                <w:color w:val="auto"/>
              </w:rPr>
              <w:t>T. Rowe Price Associates, Inc.</w:t>
            </w: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00"/>
        </w:trPr>
        <w:tc>
          <w:tcPr>
            <w:tcW w:w="3440" w:type="dxa"/>
            <w:vAlign w:val="bottom"/>
            <w:gridSpan w:val="3"/>
          </w:tcPr>
          <w:p>
            <w:pPr>
              <w:ind w:left="20"/>
              <w:spacing w:after="0" w:line="90" w:lineRule="exact"/>
              <w:rPr>
                <w:sz w:val="20"/>
                <w:szCs w:val="20"/>
                <w:color w:val="auto"/>
              </w:rPr>
            </w:pPr>
            <w:r>
              <w:rPr>
                <w:rFonts w:ascii="Arial" w:cs="Arial" w:eastAsia="Arial" w:hAnsi="Arial"/>
                <w:sz w:val="10"/>
                <w:szCs w:val="10"/>
                <w:color w:val="auto"/>
              </w:rPr>
              <w:t>100 E. Pratt Street</w:t>
            </w:r>
          </w:p>
        </w:tc>
        <w:tc>
          <w:tcPr>
            <w:tcW w:w="1020" w:type="dxa"/>
            <w:vAlign w:val="bottom"/>
          </w:tcPr>
          <w:p>
            <w:pPr>
              <w:ind w:left="78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2000" w:type="dxa"/>
            <w:vAlign w:val="bottom"/>
          </w:tcPr>
          <w:p>
            <w:pPr>
              <w:jc w:val="right"/>
              <w:ind w:right="192"/>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600" w:type="dxa"/>
            <w:vAlign w:val="bottom"/>
          </w:tcPr>
          <w:p>
            <w:pPr>
              <w:spacing w:after="0"/>
              <w:rPr>
                <w:sz w:val="8"/>
                <w:szCs w:val="8"/>
                <w:color w:val="auto"/>
              </w:rPr>
            </w:pPr>
          </w:p>
        </w:tc>
      </w:tr>
      <w:tr>
        <w:trPr>
          <w:trHeight w:val="250"/>
        </w:trPr>
        <w:tc>
          <w:tcPr>
            <w:tcW w:w="3440" w:type="dxa"/>
            <w:vAlign w:val="bottom"/>
            <w:gridSpan w:val="3"/>
          </w:tcPr>
          <w:p>
            <w:pPr>
              <w:ind w:left="20"/>
              <w:spacing w:after="0"/>
              <w:rPr>
                <w:sz w:val="20"/>
                <w:szCs w:val="20"/>
                <w:color w:val="auto"/>
              </w:rPr>
            </w:pPr>
            <w:r>
              <w:rPr>
                <w:rFonts w:ascii="Arial" w:cs="Arial" w:eastAsia="Arial" w:hAnsi="Arial"/>
                <w:sz w:val="14"/>
                <w:szCs w:val="14"/>
                <w:color w:val="auto"/>
              </w:rPr>
              <w:t>Baltimore, MD 21202</w:t>
            </w: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0" w:type="dxa"/>
            <w:vAlign w:val="bottom"/>
          </w:tcPr>
          <w:p>
            <w:pPr>
              <w:jc w:val="right"/>
              <w:ind w:right="192"/>
              <w:spacing w:after="0"/>
              <w:rPr>
                <w:sz w:val="20"/>
                <w:szCs w:val="20"/>
                <w:color w:val="auto"/>
              </w:rPr>
            </w:pPr>
            <w:r>
              <w:rPr>
                <w:rFonts w:ascii="Arial" w:cs="Arial" w:eastAsia="Arial" w:hAnsi="Arial"/>
                <w:sz w:val="14"/>
                <w:szCs w:val="14"/>
                <w:color w:val="auto"/>
              </w:rPr>
              <w:t>9,026,373</w:t>
            </w:r>
          </w:p>
        </w:tc>
        <w:tc>
          <w:tcPr>
            <w:tcW w:w="4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48"/>
        </w:trPr>
        <w:tc>
          <w:tcPr>
            <w:tcW w:w="70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70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200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r>
    </w:tbl>
    <w:p>
      <w:pPr>
        <w:spacing w:after="0" w:line="151" w:lineRule="exact"/>
        <w:rPr>
          <w:sz w:val="20"/>
          <w:szCs w:val="20"/>
          <w:color w:val="auto"/>
        </w:rPr>
      </w:pPr>
    </w:p>
    <w:p>
      <w:pPr>
        <w:ind w:left="1140" w:right="1080" w:hanging="175"/>
        <w:spacing w:after="0" w:line="214" w:lineRule="auto"/>
        <w:tabs>
          <w:tab w:leader="none" w:pos="1140" w:val="left"/>
        </w:tabs>
        <w:numPr>
          <w:ilvl w:val="0"/>
          <w:numId w:val="88"/>
        </w:numPr>
        <w:rPr>
          <w:rFonts w:ascii="Arial" w:cs="Arial" w:eastAsia="Arial" w:hAnsi="Arial"/>
          <w:sz w:val="21"/>
          <w:szCs w:val="21"/>
          <w:color w:val="auto"/>
          <w:vertAlign w:val="superscript"/>
        </w:rPr>
      </w:pPr>
      <w:r>
        <w:rPr>
          <w:rFonts w:ascii="Arial" w:cs="Arial" w:eastAsia="Arial" w:hAnsi="Arial"/>
          <w:sz w:val="14"/>
          <w:szCs w:val="14"/>
          <w:color w:val="auto"/>
        </w:rPr>
        <w:t>Under SEC regulations, a person who has or shares voting or investment power with respect to a security is considered a beneficial owner of the security. Voting power is the power to vote or direct the voting of shares, and investment power is the power to dispose of or direct the disposition of shares. Unless otherwise indicated in the other footnotes below, each person has sole voting power and sole investment power as to all shares listed opposite such person’s name.</w:t>
      </w:r>
    </w:p>
    <w:p>
      <w:pPr>
        <w:spacing w:after="0" w:line="50" w:lineRule="exact"/>
        <w:rPr>
          <w:sz w:val="20"/>
          <w:szCs w:val="20"/>
          <w:color w:val="auto"/>
        </w:rPr>
      </w:pPr>
    </w:p>
    <w:p>
      <w:pPr>
        <w:ind w:left="1140" w:right="980" w:hanging="175"/>
        <w:spacing w:after="0" w:line="207" w:lineRule="auto"/>
        <w:tabs>
          <w:tab w:leader="none" w:pos="1140" w:val="left"/>
        </w:tabs>
        <w:numPr>
          <w:ilvl w:val="0"/>
          <w:numId w:val="89"/>
        </w:numPr>
        <w:rPr>
          <w:rFonts w:ascii="Arial" w:cs="Arial" w:eastAsia="Arial" w:hAnsi="Arial"/>
          <w:sz w:val="21"/>
          <w:szCs w:val="21"/>
          <w:color w:val="auto"/>
          <w:vertAlign w:val="superscript"/>
        </w:rPr>
      </w:pPr>
      <w:r>
        <w:rPr>
          <w:rFonts w:ascii="Arial" w:cs="Arial" w:eastAsia="Arial" w:hAnsi="Arial"/>
          <w:sz w:val="14"/>
          <w:szCs w:val="14"/>
          <w:color w:val="auto"/>
        </w:rPr>
        <w:t>Based solely upon the Schedule 13G/A filed February 13, 2024, The Vanguard Group has sole dispositive power with respect to 19,258,382 shares, shared dispositive power with respect to 755,857 shares, and shared voting power with respect to 224,923 shares, and sole voting power with respect to zero shares.</w:t>
      </w:r>
    </w:p>
    <w:p>
      <w:pPr>
        <w:spacing w:after="0" w:line="50" w:lineRule="exact"/>
        <w:rPr>
          <w:sz w:val="20"/>
          <w:szCs w:val="20"/>
          <w:color w:val="auto"/>
        </w:rPr>
      </w:pPr>
    </w:p>
    <w:p>
      <w:pPr>
        <w:ind w:left="1140" w:right="1780" w:hanging="175"/>
        <w:spacing w:after="0" w:line="207" w:lineRule="auto"/>
        <w:tabs>
          <w:tab w:leader="none" w:pos="1140" w:val="left"/>
        </w:tabs>
        <w:numPr>
          <w:ilvl w:val="0"/>
          <w:numId w:val="90"/>
        </w:numPr>
        <w:rPr>
          <w:rFonts w:ascii="Arial" w:cs="Arial" w:eastAsia="Arial" w:hAnsi="Arial"/>
          <w:sz w:val="21"/>
          <w:szCs w:val="21"/>
          <w:color w:val="auto"/>
          <w:vertAlign w:val="superscript"/>
        </w:rPr>
      </w:pPr>
      <w:r>
        <w:rPr>
          <w:rFonts w:ascii="Arial" w:cs="Arial" w:eastAsia="Arial" w:hAnsi="Arial"/>
          <w:sz w:val="14"/>
          <w:szCs w:val="14"/>
          <w:color w:val="auto"/>
        </w:rPr>
        <w:t>Based solely upon the Schedule 13G/A filed February 6, 2024, Blackrock, Inc. has sole dispositive power with respect to 12,015,588 shares, sole voting power with respect to 10,641,948 shares, and shared voting or dispositive power with respect to zero shares.</w:t>
      </w:r>
    </w:p>
    <w:p>
      <w:pPr>
        <w:spacing w:after="0" w:line="50" w:lineRule="exact"/>
        <w:rPr>
          <w:sz w:val="20"/>
          <w:szCs w:val="20"/>
          <w:color w:val="auto"/>
        </w:rPr>
      </w:pPr>
    </w:p>
    <w:p>
      <w:pPr>
        <w:ind w:left="1140" w:right="1260" w:hanging="175"/>
        <w:spacing w:after="0" w:line="207" w:lineRule="auto"/>
        <w:tabs>
          <w:tab w:leader="none" w:pos="1140" w:val="left"/>
        </w:tabs>
        <w:numPr>
          <w:ilvl w:val="0"/>
          <w:numId w:val="91"/>
        </w:numPr>
        <w:rPr>
          <w:rFonts w:ascii="Arial" w:cs="Arial" w:eastAsia="Arial" w:hAnsi="Arial"/>
          <w:sz w:val="21"/>
          <w:szCs w:val="21"/>
          <w:color w:val="auto"/>
          <w:vertAlign w:val="superscript"/>
        </w:rPr>
      </w:pPr>
      <w:r>
        <w:rPr>
          <w:rFonts w:ascii="Arial" w:cs="Arial" w:eastAsia="Arial" w:hAnsi="Arial"/>
          <w:sz w:val="14"/>
          <w:szCs w:val="14"/>
          <w:color w:val="auto"/>
        </w:rPr>
        <w:t>Based solely upon the Schedule 13G/A filed February 8, 2024, Wellington Management Group LLP has shared dispositive power with respect to 9,760,215 shares, shared voting power with respect to 8,493,434 shares, and sole voting or dispositive power with respect to zero shares.</w:t>
      </w:r>
    </w:p>
    <w:p>
      <w:pPr>
        <w:spacing w:after="0" w:line="50" w:lineRule="exact"/>
        <w:rPr>
          <w:sz w:val="20"/>
          <w:szCs w:val="20"/>
          <w:color w:val="auto"/>
        </w:rPr>
      </w:pPr>
    </w:p>
    <w:p>
      <w:pPr>
        <w:ind w:left="1140" w:right="1460" w:hanging="175"/>
        <w:spacing w:after="0" w:line="217" w:lineRule="auto"/>
        <w:tabs>
          <w:tab w:leader="none" w:pos="1140" w:val="left"/>
        </w:tabs>
        <w:numPr>
          <w:ilvl w:val="0"/>
          <w:numId w:val="92"/>
        </w:numPr>
        <w:rPr>
          <w:rFonts w:ascii="Arial" w:cs="Arial" w:eastAsia="Arial" w:hAnsi="Arial"/>
          <w:sz w:val="21"/>
          <w:szCs w:val="21"/>
          <w:color w:val="auto"/>
          <w:vertAlign w:val="superscript"/>
        </w:rPr>
      </w:pPr>
      <w:r>
        <w:rPr>
          <w:rFonts w:ascii="Arial" w:cs="Arial" w:eastAsia="Arial" w:hAnsi="Arial"/>
          <w:sz w:val="14"/>
          <w:szCs w:val="14"/>
          <w:color w:val="auto"/>
        </w:rPr>
        <w:t>Based solely upon the Schedule 13G/A filed February 14, 2024, T Rowe Price Associates, Inc. has sole voting power with respect to 4,590,180 shares, sole dispositive power with respect to 9,024,635 shares and shared voting or dispositive power with respect to zero shares.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9140" w:type="dxa"/>
            <w:vAlign w:val="bottom"/>
          </w:tcPr>
          <w:p>
            <w:pPr>
              <w:ind w:left="636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800" w:type="dxa"/>
            <w:vAlign w:val="bottom"/>
          </w:tcPr>
          <w:p>
            <w:pPr>
              <w:jc w:val="right"/>
              <w:ind w:right="909"/>
              <w:spacing w:after="0"/>
              <w:rPr>
                <w:sz w:val="20"/>
                <w:szCs w:val="20"/>
                <w:color w:val="auto"/>
              </w:rPr>
            </w:pPr>
            <w:r>
              <w:rPr>
                <w:rFonts w:ascii="Arial" w:cs="Arial" w:eastAsia="Arial" w:hAnsi="Arial"/>
                <w:sz w:val="14"/>
                <w:szCs w:val="14"/>
                <w:b w:val="1"/>
                <w:bCs w:val="1"/>
                <w:color w:val="auto"/>
              </w:rPr>
              <w:t>79</w:t>
            </w:r>
          </w:p>
        </w:tc>
      </w:tr>
      <w:tr>
        <w:trPr>
          <w:trHeight w:val="355"/>
        </w:trPr>
        <w:tc>
          <w:tcPr>
            <w:tcW w:w="9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-415925</wp:posOffset>
            </wp:positionV>
            <wp:extent cx="501650" cy="1701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Questions and Answers Relating to the Annual Meeting</w:t>
      </w:r>
    </w:p>
    <w:p>
      <w:pPr>
        <w:spacing w:after="0" w:line="254" w:lineRule="exact"/>
        <w:rPr>
          <w:sz w:val="20"/>
          <w:szCs w:val="20"/>
          <w:color w:val="auto"/>
        </w:rPr>
      </w:pPr>
    </w:p>
    <w:p>
      <w:pPr>
        <w:ind w:right="1599"/>
        <w:spacing w:after="0" w:line="276" w:lineRule="auto"/>
        <w:rPr>
          <w:sz w:val="20"/>
          <w:szCs w:val="20"/>
          <w:color w:val="auto"/>
        </w:rPr>
      </w:pPr>
      <w:r>
        <w:rPr>
          <w:rFonts w:ascii="Arial" w:cs="Arial" w:eastAsia="Arial" w:hAnsi="Arial"/>
          <w:sz w:val="43"/>
          <w:szCs w:val="43"/>
          <w:color w:val="E02826"/>
        </w:rPr>
        <w:t>Questions and Answers Relating to the Annual Meeting</w:t>
      </w:r>
    </w:p>
    <w:p>
      <w:pPr>
        <w:spacing w:after="0" w:line="95" w:lineRule="exact"/>
        <w:rPr>
          <w:sz w:val="20"/>
          <w:szCs w:val="20"/>
          <w:color w:val="auto"/>
        </w:rPr>
      </w:pPr>
    </w:p>
    <w:p>
      <w:pPr>
        <w:ind w:right="599"/>
        <w:spacing w:after="0" w:line="282" w:lineRule="auto"/>
        <w:rPr>
          <w:sz w:val="20"/>
          <w:szCs w:val="20"/>
          <w:color w:val="auto"/>
        </w:rPr>
      </w:pPr>
      <w:r>
        <w:rPr>
          <w:rFonts w:ascii="Arial" w:cs="Arial" w:eastAsia="Arial" w:hAnsi="Arial"/>
          <w:sz w:val="16"/>
          <w:szCs w:val="16"/>
          <w:color w:val="auto"/>
        </w:rPr>
        <w:t>We have provided you this booklet and proxy materials on or about April 4, 2024 because the Board of Directors of the Company is soliciting your proxy to vote at the Company’s 2024 Annual Meeting of stockholders.</w:t>
      </w:r>
    </w:p>
    <w:p>
      <w:pPr>
        <w:spacing w:after="0" w:line="314" w:lineRule="exact"/>
        <w:rPr>
          <w:sz w:val="20"/>
          <w:szCs w:val="20"/>
          <w:color w:val="auto"/>
        </w:rPr>
      </w:pPr>
    </w:p>
    <w:p>
      <w:pPr>
        <w:spacing w:after="0"/>
        <w:rPr>
          <w:sz w:val="20"/>
          <w:szCs w:val="20"/>
          <w:color w:val="auto"/>
        </w:rPr>
      </w:pPr>
      <w:r>
        <w:rPr>
          <w:rFonts w:ascii="Arial" w:cs="Arial" w:eastAsia="Arial" w:hAnsi="Arial"/>
          <w:sz w:val="23"/>
          <w:szCs w:val="23"/>
          <w:color w:val="0C426A"/>
        </w:rPr>
        <w:t>Who is entitled to vote?</w:t>
      </w:r>
    </w:p>
    <w:p>
      <w:pPr>
        <w:spacing w:after="0" w:line="181" w:lineRule="exact"/>
        <w:rPr>
          <w:sz w:val="20"/>
          <w:szCs w:val="20"/>
          <w:color w:val="auto"/>
        </w:rPr>
      </w:pPr>
    </w:p>
    <w:p>
      <w:pPr>
        <w:ind w:right="79"/>
        <w:spacing w:after="0" w:line="257" w:lineRule="auto"/>
        <w:rPr>
          <w:sz w:val="20"/>
          <w:szCs w:val="20"/>
          <w:color w:val="auto"/>
        </w:rPr>
      </w:pPr>
      <w:r>
        <w:rPr>
          <w:rFonts w:ascii="Arial" w:cs="Arial" w:eastAsia="Arial" w:hAnsi="Arial"/>
          <w:sz w:val="16"/>
          <w:szCs w:val="16"/>
          <w:color w:val="auto"/>
        </w:rPr>
        <w:t>Holders of our common stock as of the close of business on March 20, 2024, the record date for this Annual Meeting (the “Record Date”), may vote at the Annual Meeting. As of the Record Date, there were 176,822,250 shares of our common stock outstanding. Stockholders are not permitted to cumulate votes with respect to the election of directors. Each share of common stock is entitled to one vote for each director nominee and on each proposal.</w:t>
      </w:r>
    </w:p>
    <w:p>
      <w:pPr>
        <w:spacing w:after="0" w:line="122" w:lineRule="exact"/>
        <w:rPr>
          <w:sz w:val="20"/>
          <w:szCs w:val="20"/>
          <w:color w:val="auto"/>
        </w:rPr>
      </w:pPr>
    </w:p>
    <w:p>
      <w:pPr>
        <w:ind w:right="199"/>
        <w:spacing w:after="0" w:line="257" w:lineRule="auto"/>
        <w:rPr>
          <w:sz w:val="20"/>
          <w:szCs w:val="20"/>
          <w:color w:val="auto"/>
        </w:rPr>
      </w:pPr>
      <w:r>
        <w:rPr>
          <w:rFonts w:ascii="Arial" w:cs="Arial" w:eastAsia="Arial" w:hAnsi="Arial"/>
          <w:sz w:val="16"/>
          <w:szCs w:val="16"/>
          <w:i w:val="1"/>
          <w:iCs w:val="1"/>
          <w:color w:val="auto"/>
        </w:rPr>
        <w:t xml:space="preserve">Registered Stockholders </w:t>
      </w:r>
      <w:r>
        <w:rPr>
          <w:rFonts w:ascii="Arial" w:cs="Arial" w:eastAsia="Arial" w:hAnsi="Arial"/>
          <w:sz w:val="16"/>
          <w:szCs w:val="16"/>
          <w:color w:val="auto"/>
        </w:rPr>
        <w:t>. If shares of our common stock are registered directly in your name with our transfer agent, you are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considered a “registered stockholder” with respect to those shares and the Notice was provided to you directly by us. As the registered stockholder, you have the right to grant your voting proxy directly to the individuals listed on the proxy card or to vote live at the Annual Meeting.</w:t>
      </w:r>
    </w:p>
    <w:p>
      <w:pPr>
        <w:spacing w:after="0" w:line="122" w:lineRule="exact"/>
        <w:rPr>
          <w:sz w:val="20"/>
          <w:szCs w:val="20"/>
          <w:color w:val="auto"/>
        </w:rPr>
      </w:pPr>
    </w:p>
    <w:p>
      <w:pPr>
        <w:ind w:right="79"/>
        <w:spacing w:after="0" w:line="250" w:lineRule="auto"/>
        <w:rPr>
          <w:sz w:val="20"/>
          <w:szCs w:val="20"/>
          <w:color w:val="auto"/>
        </w:rPr>
      </w:pPr>
      <w:r>
        <w:rPr>
          <w:rFonts w:ascii="Arial" w:cs="Arial" w:eastAsia="Arial" w:hAnsi="Arial"/>
          <w:sz w:val="16"/>
          <w:szCs w:val="16"/>
          <w:i w:val="1"/>
          <w:iCs w:val="1"/>
          <w:color w:val="auto"/>
        </w:rPr>
        <w:t>Beneficial Owners</w:t>
      </w:r>
      <w:r>
        <w:rPr>
          <w:rFonts w:ascii="Arial" w:cs="Arial" w:eastAsia="Arial" w:hAnsi="Arial"/>
          <w:sz w:val="16"/>
          <w:szCs w:val="16"/>
          <w:color w:val="auto"/>
        </w:rPr>
        <w:t>. If you hold shares of our common stock in a brokerage account or by a bank or other nominee, you are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considered to be the “beneficial owner” of shares that are held in “street name,” and the Notice was forwarded to you by your broker or nominee, who is considered the registered stockholder with respect to those shares. As the beneficial owner, you have the right to direct your broker, bank or other nominee as to how to vote your shares. Beneficial owners are also invited to attend the Annual Meeting. However, since a beneficial owner is not the stockholder of record, you may not vote your shares of our common stock live at the Annual Meeting unless you follow your broker’s procedures for obtaining a legal proxy. If you request a printed copy of our proxy materials by mail, your broker, bank or other nominee will provide a voting instruction form for you to use.</w:t>
      </w:r>
    </w:p>
    <w:p>
      <w:pPr>
        <w:spacing w:after="0" w:line="338" w:lineRule="exact"/>
        <w:rPr>
          <w:sz w:val="20"/>
          <w:szCs w:val="20"/>
          <w:color w:val="auto"/>
        </w:rPr>
      </w:pPr>
    </w:p>
    <w:p>
      <w:pPr>
        <w:spacing w:after="0"/>
        <w:rPr>
          <w:sz w:val="20"/>
          <w:szCs w:val="20"/>
          <w:color w:val="auto"/>
        </w:rPr>
      </w:pPr>
      <w:r>
        <w:rPr>
          <w:rFonts w:ascii="Arial" w:cs="Arial" w:eastAsia="Arial" w:hAnsi="Arial"/>
          <w:sz w:val="23"/>
          <w:szCs w:val="23"/>
          <w:color w:val="0C426A"/>
        </w:rPr>
        <w:t>What do I need to be able to attend the Annual Meeting online?</w:t>
      </w:r>
    </w:p>
    <w:p>
      <w:pPr>
        <w:spacing w:after="0" w:line="181" w:lineRule="exact"/>
        <w:rPr>
          <w:sz w:val="20"/>
          <w:szCs w:val="20"/>
          <w:color w:val="auto"/>
        </w:rPr>
      </w:pPr>
    </w:p>
    <w:p>
      <w:pPr>
        <w:ind w:right="39"/>
        <w:spacing w:after="0" w:line="254" w:lineRule="auto"/>
        <w:rPr>
          <w:sz w:val="20"/>
          <w:szCs w:val="20"/>
          <w:color w:val="auto"/>
        </w:rPr>
      </w:pPr>
      <w:r>
        <w:rPr>
          <w:rFonts w:ascii="Arial" w:cs="Arial" w:eastAsia="Arial" w:hAnsi="Arial"/>
          <w:sz w:val="16"/>
          <w:szCs w:val="16"/>
          <w:color w:val="auto"/>
        </w:rPr>
        <w:t xml:space="preserve">We will be hosting our Annual Meeting via live webcast only. Any stockholder can attend the Annual Meeting live online at </w:t>
      </w:r>
      <w:r>
        <w:rPr>
          <w:rFonts w:ascii="Arial" w:cs="Arial" w:eastAsia="Arial" w:hAnsi="Arial"/>
          <w:sz w:val="16"/>
          <w:szCs w:val="16"/>
          <w:b w:val="1"/>
          <w:bCs w:val="1"/>
          <w:color w:val="4297CB"/>
        </w:rPr>
        <w:t>www.virtualshareholdermeeting.com/WAB2024</w:t>
      </w:r>
      <w:r>
        <w:rPr>
          <w:rFonts w:ascii="Arial" w:cs="Arial" w:eastAsia="Arial" w:hAnsi="Arial"/>
          <w:sz w:val="16"/>
          <w:szCs w:val="16"/>
          <w:color w:val="000000"/>
        </w:rPr>
        <w:t>. The webcast will open at 11:15 a.m. Eastern Time on May 16, 2024, and</w:t>
      </w:r>
      <w:r>
        <w:rPr>
          <w:rFonts w:ascii="Arial" w:cs="Arial" w:eastAsia="Arial" w:hAnsi="Arial"/>
          <w:sz w:val="16"/>
          <w:szCs w:val="16"/>
          <w:b w:val="1"/>
          <w:bCs w:val="1"/>
          <w:color w:val="4297CB"/>
        </w:rPr>
        <w:t xml:space="preserve"> </w:t>
      </w:r>
      <w:r>
        <w:rPr>
          <w:rFonts w:ascii="Arial" w:cs="Arial" w:eastAsia="Arial" w:hAnsi="Arial"/>
          <w:sz w:val="16"/>
          <w:szCs w:val="16"/>
          <w:color w:val="000000"/>
        </w:rPr>
        <w:t>the meeting will start shortly thereafter at 11:30 a.m. Eastern Time. Stockholders may vote and ask questions while attending the Annual Meeting online. In order to be able to attend the Annual Meeting, you will need the 16-digit control number, which is located on your Notice or proxy card (if you received a printed copy of the proxy materials).</w:t>
      </w:r>
    </w:p>
    <w:p>
      <w:pPr>
        <w:spacing w:after="0" w:line="335" w:lineRule="exact"/>
        <w:rPr>
          <w:sz w:val="20"/>
          <w:szCs w:val="20"/>
          <w:color w:val="auto"/>
        </w:rPr>
      </w:pPr>
    </w:p>
    <w:p>
      <w:pPr>
        <w:spacing w:after="0"/>
        <w:rPr>
          <w:sz w:val="20"/>
          <w:szCs w:val="20"/>
          <w:color w:val="auto"/>
        </w:rPr>
      </w:pPr>
      <w:r>
        <w:rPr>
          <w:rFonts w:ascii="Arial" w:cs="Arial" w:eastAsia="Arial" w:hAnsi="Arial"/>
          <w:sz w:val="23"/>
          <w:szCs w:val="23"/>
          <w:color w:val="0C426A"/>
        </w:rPr>
        <w:t>How many votes are needed for approval of each proposal?</w:t>
      </w:r>
    </w:p>
    <w:p>
      <w:pPr>
        <w:spacing w:after="0" w:line="181" w:lineRule="exact"/>
        <w:rPr>
          <w:sz w:val="20"/>
          <w:szCs w:val="20"/>
          <w:color w:val="auto"/>
        </w:rPr>
      </w:pPr>
    </w:p>
    <w:p>
      <w:pPr>
        <w:ind w:right="79"/>
        <w:spacing w:after="0" w:line="282" w:lineRule="auto"/>
        <w:rPr>
          <w:sz w:val="20"/>
          <w:szCs w:val="20"/>
          <w:color w:val="auto"/>
        </w:rPr>
      </w:pPr>
      <w:r>
        <w:rPr>
          <w:rFonts w:ascii="Arial" w:cs="Arial" w:eastAsia="Arial" w:hAnsi="Arial"/>
          <w:sz w:val="16"/>
          <w:szCs w:val="16"/>
          <w:b w:val="1"/>
          <w:bCs w:val="1"/>
          <w:color w:val="auto"/>
        </w:rPr>
        <w:t xml:space="preserve">Proposal 1. </w:t>
      </w:r>
      <w:r>
        <w:rPr>
          <w:rFonts w:ascii="Arial" w:cs="Arial" w:eastAsia="Arial" w:hAnsi="Arial"/>
          <w:sz w:val="16"/>
          <w:szCs w:val="16"/>
          <w:color w:val="auto"/>
        </w:rPr>
        <w:t>As required by Wabtec’s amended and restated by-laws, each director is to be elected by a majority of votes cast</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that director’s election. Each stockholder will have one vote per share to vote for each Director nominee.</w:t>
      </w:r>
    </w:p>
    <w:p>
      <w:pPr>
        <w:spacing w:after="0" w:line="103" w:lineRule="exact"/>
        <w:rPr>
          <w:sz w:val="20"/>
          <w:szCs w:val="20"/>
          <w:color w:val="auto"/>
        </w:rPr>
      </w:pPr>
    </w:p>
    <w:p>
      <w:pPr>
        <w:ind w:right="259"/>
        <w:spacing w:after="0" w:line="282" w:lineRule="auto"/>
        <w:rPr>
          <w:sz w:val="20"/>
          <w:szCs w:val="20"/>
          <w:color w:val="auto"/>
        </w:rPr>
      </w:pPr>
      <w:r>
        <w:rPr>
          <w:rFonts w:ascii="Arial" w:cs="Arial" w:eastAsia="Arial" w:hAnsi="Arial"/>
          <w:sz w:val="16"/>
          <w:szCs w:val="16"/>
          <w:b w:val="1"/>
          <w:bCs w:val="1"/>
          <w:color w:val="auto"/>
        </w:rPr>
        <w:t xml:space="preserve">Proposal 2: </w:t>
      </w:r>
      <w:r>
        <w:rPr>
          <w:rFonts w:ascii="Arial" w:cs="Arial" w:eastAsia="Arial" w:hAnsi="Arial"/>
          <w:sz w:val="16"/>
          <w:szCs w:val="16"/>
          <w:color w:val="auto"/>
        </w:rPr>
        <w:t>The approval of Proposal 2 requires a favorable vote of a majority of the shares present and entitled to vote on</w:t>
      </w:r>
      <w:r>
        <w:rPr>
          <w:rFonts w:ascii="Arial" w:cs="Arial" w:eastAsia="Arial" w:hAnsi="Arial"/>
          <w:sz w:val="16"/>
          <w:szCs w:val="16"/>
          <w:b w:val="1"/>
          <w:bCs w:val="1"/>
          <w:color w:val="auto"/>
        </w:rPr>
        <w:t xml:space="preserve"> </w:t>
      </w:r>
      <w:r>
        <w:rPr>
          <w:rFonts w:ascii="Arial" w:cs="Arial" w:eastAsia="Arial" w:hAnsi="Arial"/>
          <w:sz w:val="16"/>
          <w:szCs w:val="16"/>
          <w:color w:val="auto"/>
        </w:rPr>
        <w:t>the Proposal.</w:t>
      </w:r>
    </w:p>
    <w:p>
      <w:pPr>
        <w:spacing w:after="0" w:line="103" w:lineRule="exact"/>
        <w:rPr>
          <w:sz w:val="20"/>
          <w:szCs w:val="20"/>
          <w:color w:val="auto"/>
        </w:rPr>
      </w:pPr>
    </w:p>
    <w:p>
      <w:pPr>
        <w:ind w:right="259"/>
        <w:spacing w:after="0" w:line="282" w:lineRule="auto"/>
        <w:rPr>
          <w:sz w:val="20"/>
          <w:szCs w:val="20"/>
          <w:color w:val="auto"/>
        </w:rPr>
      </w:pPr>
      <w:r>
        <w:rPr>
          <w:rFonts w:ascii="Arial" w:cs="Arial" w:eastAsia="Arial" w:hAnsi="Arial"/>
          <w:sz w:val="16"/>
          <w:szCs w:val="16"/>
          <w:b w:val="1"/>
          <w:bCs w:val="1"/>
          <w:color w:val="auto"/>
        </w:rPr>
        <w:t xml:space="preserve">Proposal 3: </w:t>
      </w:r>
      <w:r>
        <w:rPr>
          <w:rFonts w:ascii="Arial" w:cs="Arial" w:eastAsia="Arial" w:hAnsi="Arial"/>
          <w:sz w:val="16"/>
          <w:szCs w:val="16"/>
          <w:color w:val="auto"/>
        </w:rPr>
        <w:t>The approval of Proposal 3 requires a favorable vote of a majority of the shares present and entitled to vote on</w:t>
      </w:r>
      <w:r>
        <w:rPr>
          <w:rFonts w:ascii="Arial" w:cs="Arial" w:eastAsia="Arial" w:hAnsi="Arial"/>
          <w:sz w:val="16"/>
          <w:szCs w:val="16"/>
          <w:b w:val="1"/>
          <w:bCs w:val="1"/>
          <w:color w:val="auto"/>
        </w:rPr>
        <w:t xml:space="preserve"> </w:t>
      </w:r>
      <w:r>
        <w:rPr>
          <w:rFonts w:ascii="Arial" w:cs="Arial" w:eastAsia="Arial" w:hAnsi="Arial"/>
          <w:sz w:val="16"/>
          <w:szCs w:val="16"/>
          <w:color w:val="auto"/>
        </w:rPr>
        <w:t>the Proposal.</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760" w:type="dxa"/>
            <w:vAlign w:val="bottom"/>
          </w:tcPr>
          <w:p>
            <w:pPr>
              <w:jc w:val="right"/>
              <w:ind w:right="529"/>
              <w:spacing w:after="0"/>
              <w:rPr>
                <w:sz w:val="20"/>
                <w:szCs w:val="20"/>
                <w:color w:val="auto"/>
              </w:rPr>
            </w:pPr>
            <w:r>
              <w:rPr>
                <w:rFonts w:ascii="Arial" w:cs="Arial" w:eastAsia="Arial" w:hAnsi="Arial"/>
                <w:sz w:val="14"/>
                <w:szCs w:val="14"/>
                <w:b w:val="1"/>
                <w:bCs w:val="1"/>
                <w:color w:val="auto"/>
                <w:w w:val="89"/>
              </w:rPr>
              <w:t>80</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170180</wp:posOffset>
            </wp:positionV>
            <wp:extent cx="693801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83" w:name="page84"/>
    <w:bookmarkEnd w:id="83"/>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6900"/>
        <w:spacing w:after="0"/>
        <w:rPr>
          <w:sz w:val="20"/>
          <w:szCs w:val="20"/>
          <w:color w:val="auto"/>
        </w:rPr>
      </w:pPr>
      <w:r>
        <w:rPr>
          <w:rFonts w:ascii="Arial" w:cs="Arial" w:eastAsia="Arial" w:hAnsi="Arial"/>
          <w:sz w:val="12"/>
          <w:szCs w:val="12"/>
          <w:color w:val="auto"/>
        </w:rPr>
        <w:t>Questions and Answers Relating to the Annual Meeting</w:t>
      </w:r>
    </w:p>
    <w:p>
      <w:pPr>
        <w:spacing w:after="0" w:line="107" w:lineRule="exact"/>
        <w:rPr>
          <w:sz w:val="20"/>
          <w:szCs w:val="20"/>
          <w:color w:val="auto"/>
        </w:rPr>
      </w:pPr>
    </w:p>
    <w:p>
      <w:pPr>
        <w:ind w:left="960" w:right="1000"/>
        <w:spacing w:after="0" w:line="257" w:lineRule="auto"/>
        <w:rPr>
          <w:sz w:val="20"/>
          <w:szCs w:val="20"/>
          <w:color w:val="auto"/>
        </w:rPr>
      </w:pPr>
      <w:r>
        <w:rPr>
          <w:rFonts w:ascii="Arial" w:cs="Arial" w:eastAsia="Arial" w:hAnsi="Arial"/>
          <w:sz w:val="16"/>
          <w:szCs w:val="16"/>
          <w:color w:val="auto"/>
        </w:rPr>
        <w:t>Approval of any other matter that properly comes before the Annual Meeting requires the favorable vote of a majority of shares present and entitled to vote on the matter unless the matter requires more than a majority vote under statute or our amended and restated by-laws. We do not expect any business to come before the Annual Meeting other than the proposals described in this Proxy Statement.</w:t>
      </w:r>
    </w:p>
    <w:p>
      <w:pPr>
        <w:spacing w:after="0" w:line="122" w:lineRule="exact"/>
        <w:rPr>
          <w:sz w:val="20"/>
          <w:szCs w:val="20"/>
          <w:color w:val="auto"/>
        </w:rPr>
      </w:pPr>
    </w:p>
    <w:p>
      <w:pPr>
        <w:ind w:left="960" w:right="1000"/>
        <w:spacing w:after="0" w:line="282" w:lineRule="auto"/>
        <w:rPr>
          <w:sz w:val="20"/>
          <w:szCs w:val="20"/>
          <w:color w:val="auto"/>
        </w:rPr>
      </w:pPr>
      <w:r>
        <w:rPr>
          <w:rFonts w:ascii="Arial" w:cs="Arial" w:eastAsia="Arial" w:hAnsi="Arial"/>
          <w:sz w:val="16"/>
          <w:szCs w:val="16"/>
          <w:color w:val="auto"/>
        </w:rPr>
        <w:t>Abstentions and broker non-votes are not counted for purposes of the election of directors. For all other matters, an abstention will have the same effect as a vote against the proposal.</w:t>
      </w:r>
    </w:p>
    <w:p>
      <w:pPr>
        <w:spacing w:after="0" w:line="103" w:lineRule="exact"/>
        <w:rPr>
          <w:sz w:val="20"/>
          <w:szCs w:val="20"/>
          <w:color w:val="auto"/>
        </w:rPr>
      </w:pPr>
    </w:p>
    <w:p>
      <w:pPr>
        <w:ind w:left="960" w:right="1160"/>
        <w:spacing w:after="0" w:line="254" w:lineRule="auto"/>
        <w:rPr>
          <w:sz w:val="20"/>
          <w:szCs w:val="20"/>
          <w:color w:val="auto"/>
        </w:rPr>
      </w:pPr>
      <w:r>
        <w:rPr>
          <w:rFonts w:ascii="Arial" w:cs="Arial" w:eastAsia="Arial" w:hAnsi="Arial"/>
          <w:sz w:val="16"/>
          <w:szCs w:val="16"/>
          <w:color w:val="auto"/>
        </w:rPr>
        <w:t>If your shares are held by a broker, the broker will ask you how you want your shares to be voted. If you give the broker instructions, your shares will be voted as you direct. If you do not give instructions, one of two things can happen, depending on the type of proposal. For the ratification of the independent auditor (Proposal 3), the broker may vote your shares in its discretion. For all other proposals, the broker may not vote your shares at all if you do not give instructions, and such broker non-votes will have no effect on the outcome of the vote with respect to such proposals.</w:t>
      </w:r>
    </w:p>
    <w:p>
      <w:pPr>
        <w:spacing w:after="0" w:line="335" w:lineRule="exact"/>
        <w:rPr>
          <w:sz w:val="20"/>
          <w:szCs w:val="20"/>
          <w:color w:val="auto"/>
        </w:rPr>
      </w:pPr>
    </w:p>
    <w:p>
      <w:pPr>
        <w:ind w:left="960"/>
        <w:spacing w:after="0"/>
        <w:rPr>
          <w:sz w:val="20"/>
          <w:szCs w:val="20"/>
          <w:color w:val="auto"/>
        </w:rPr>
      </w:pPr>
      <w:r>
        <w:rPr>
          <w:rFonts w:ascii="Arial" w:cs="Arial" w:eastAsia="Arial" w:hAnsi="Arial"/>
          <w:sz w:val="23"/>
          <w:szCs w:val="23"/>
          <w:color w:val="0C426A"/>
        </w:rPr>
        <w:t>What is the quorum requirement?</w:t>
      </w:r>
    </w:p>
    <w:p>
      <w:pPr>
        <w:spacing w:after="0" w:line="181" w:lineRule="exact"/>
        <w:rPr>
          <w:sz w:val="20"/>
          <w:szCs w:val="20"/>
          <w:color w:val="auto"/>
        </w:rPr>
      </w:pPr>
    </w:p>
    <w:p>
      <w:pPr>
        <w:ind w:left="960" w:right="1000"/>
        <w:spacing w:after="0" w:line="252" w:lineRule="auto"/>
        <w:rPr>
          <w:sz w:val="20"/>
          <w:szCs w:val="20"/>
          <w:color w:val="auto"/>
        </w:rPr>
      </w:pPr>
      <w:r>
        <w:rPr>
          <w:rFonts w:ascii="Arial" w:cs="Arial" w:eastAsia="Arial" w:hAnsi="Arial"/>
          <w:sz w:val="16"/>
          <w:szCs w:val="16"/>
          <w:color w:val="auto"/>
        </w:rPr>
        <w:t>A quorum is the minimum number of shares required to be present at the Annual Meeting to properly hold an annual meeting of stockholders and conduct business under our amended and restated by-laws and Delaware law. The presence, in person at the virtual meeting or by proxy, of a majority of the issued and outstanding shares of our common stock entitled to vote on the Record Date will constitute a quorum at the Annual Meeting. Abstentions and broker non-votes are counted as shares present and entitled to vote for purposes of determining a quorum. As of the Record Date, March 20, 2024, we had 176,822,250 shares outstanding.</w:t>
      </w:r>
    </w:p>
    <w:p>
      <w:pPr>
        <w:spacing w:after="0" w:line="337" w:lineRule="exact"/>
        <w:rPr>
          <w:sz w:val="20"/>
          <w:szCs w:val="20"/>
          <w:color w:val="auto"/>
        </w:rPr>
      </w:pPr>
    </w:p>
    <w:p>
      <w:pPr>
        <w:ind w:left="960"/>
        <w:spacing w:after="0"/>
        <w:rPr>
          <w:sz w:val="20"/>
          <w:szCs w:val="20"/>
          <w:color w:val="auto"/>
        </w:rPr>
      </w:pPr>
      <w:r>
        <w:rPr>
          <w:rFonts w:ascii="Arial" w:cs="Arial" w:eastAsia="Arial" w:hAnsi="Arial"/>
          <w:sz w:val="23"/>
          <w:szCs w:val="23"/>
          <w:color w:val="0C426A"/>
        </w:rPr>
        <w:t>How do I vote?</w:t>
      </w:r>
    </w:p>
    <w:p>
      <w:pPr>
        <w:spacing w:after="0" w:line="19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If you are a registered stockholder, there are four ways to vote:</w:t>
      </w:r>
    </w:p>
    <w:p>
      <w:pPr>
        <w:sectPr>
          <w:pgSz w:w="11900" w:h="16838" w:orient="portrait"/>
          <w:cols w:equalWidth="0" w:num="1">
            <w:col w:w="10940"/>
          </w:cols>
          <w:pgMar w:left="480" w:top="114" w:right="47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both"/>
        <w:ind w:left="1560"/>
        <w:spacing w:after="0"/>
        <w:tabs>
          <w:tab w:leader="none" w:pos="1620" w:val="left"/>
          <w:tab w:leader="none" w:pos="17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6"/>
          <w:szCs w:val="16"/>
          <w:b w:val="1"/>
          <w:bCs w:val="1"/>
          <w:color w:val="auto"/>
        </w:rPr>
        <w:t>(1)</w:t>
      </w:r>
      <w:r>
        <w:rPr>
          <w:rFonts w:ascii="Times New Roman" w:cs="Times New Roman" w:eastAsia="Times New Roman" w:hAnsi="Times New Roman"/>
          <w:sz w:val="3"/>
          <w:szCs w:val="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-294005</wp:posOffset>
            </wp:positionV>
            <wp:extent cx="374015" cy="3740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74015" cy="374015"/>
                    </a:xfrm>
                    <a:prstGeom prst="rect">
                      <a:avLst/>
                    </a:prstGeom>
                    <a:noFill/>
                  </pic:spPr>
                </pic:pic>
              </a:graphicData>
            </a:graphic>
          </wp:anchor>
        </w:drawing>
      </w:r>
    </w:p>
    <w:p>
      <w:pPr>
        <w:spacing w:after="0" w:line="9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693420</wp:posOffset>
            </wp:positionH>
            <wp:positionV relativeFrom="paragraph">
              <wp:posOffset>180975</wp:posOffset>
            </wp:positionV>
            <wp:extent cx="229870" cy="3486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29870" cy="34861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both"/>
        <w:ind w:left="1560"/>
        <w:spacing w:after="0"/>
        <w:tabs>
          <w:tab w:leader="none" w:pos="1620" w:val="left"/>
          <w:tab w:leader="none" w:pos="17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6"/>
          <w:szCs w:val="16"/>
          <w:b w:val="1"/>
          <w:bCs w:val="1"/>
          <w:color w:val="auto"/>
        </w:rPr>
        <w:t>(2)</w:t>
      </w:r>
      <w:r>
        <w:rPr>
          <w:rFonts w:ascii="Times New Roman" w:cs="Times New Roman" w:eastAsia="Times New Roman" w:hAnsi="Times New Roman"/>
          <w:sz w:val="3"/>
          <w:szCs w:val="3"/>
          <w:color w:val="auto"/>
        </w:rPr>
        <w:t>​    ​</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189865</wp:posOffset>
            </wp:positionV>
            <wp:extent cx="348615" cy="3657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8615" cy="36576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both"/>
        <w:ind w:left="1560"/>
        <w:spacing w:after="0"/>
        <w:tabs>
          <w:tab w:leader="none" w:pos="1620" w:val="left"/>
          <w:tab w:leader="none" w:pos="17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6"/>
          <w:szCs w:val="16"/>
          <w:b w:val="1"/>
          <w:bCs w:val="1"/>
          <w:color w:val="auto"/>
        </w:rPr>
        <w:t>(3)</w:t>
      </w:r>
      <w:r>
        <w:rPr>
          <w:rFonts w:ascii="Times New Roman" w:cs="Times New Roman" w:eastAsia="Times New Roman" w:hAnsi="Times New Roman"/>
          <w:sz w:val="3"/>
          <w:szCs w:val="3"/>
          <w:color w:val="auto"/>
        </w:rPr>
        <w:t>​    ​</w:t>
      </w:r>
    </w:p>
    <w:p>
      <w:pPr>
        <w:spacing w:after="0" w:line="11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180975</wp:posOffset>
            </wp:positionV>
            <wp:extent cx="374015" cy="3740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74015" cy="37401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both"/>
        <w:ind w:left="1560"/>
        <w:spacing w:after="0"/>
        <w:tabs>
          <w:tab w:leader="none" w:pos="1620" w:val="left"/>
          <w:tab w:leader="none" w:pos="17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6"/>
          <w:szCs w:val="16"/>
          <w:b w:val="1"/>
          <w:bCs w:val="1"/>
          <w:color w:val="auto"/>
        </w:rPr>
        <w:t>(4)</w:t>
      </w:r>
      <w:r>
        <w:rPr>
          <w:rFonts w:ascii="Times New Roman" w:cs="Times New Roman" w:eastAsia="Times New Roman" w:hAnsi="Times New Roman"/>
          <w:sz w:val="3"/>
          <w:szCs w:val="3"/>
          <w:color w:val="auto"/>
        </w:rPr>
        <w:t>​    ​</w:t>
      </w:r>
    </w:p>
    <w:p>
      <w:pPr>
        <w:spacing w:after="0" w:line="11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1040"/>
        <w:spacing w:after="0" w:line="257" w:lineRule="auto"/>
        <w:rPr>
          <w:sz w:val="20"/>
          <w:szCs w:val="20"/>
          <w:color w:val="auto"/>
        </w:rPr>
      </w:pPr>
      <w:r>
        <w:rPr>
          <w:rFonts w:ascii="Arial" w:cs="Arial" w:eastAsia="Arial" w:hAnsi="Arial"/>
          <w:sz w:val="16"/>
          <w:szCs w:val="16"/>
          <w:b w:val="1"/>
          <w:bCs w:val="1"/>
          <w:color w:val="auto"/>
        </w:rPr>
        <w:t xml:space="preserve">By Internet (Before the Annual Meeting): </w:t>
      </w:r>
      <w:r>
        <w:rPr>
          <w:rFonts w:ascii="Arial" w:cs="Arial" w:eastAsia="Arial" w:hAnsi="Arial"/>
          <w:sz w:val="16"/>
          <w:szCs w:val="16"/>
          <w:color w:val="auto"/>
        </w:rPr>
        <w:t>You may vote over the Internet at</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4297CB"/>
        </w:rPr>
        <w:t>www.proxyvote.com</w:t>
      </w:r>
      <w:r>
        <w:rPr>
          <w:rFonts w:ascii="Arial" w:cs="Arial" w:eastAsia="Arial" w:hAnsi="Arial"/>
          <w:sz w:val="16"/>
          <w:szCs w:val="16"/>
          <w:color w:val="auto"/>
        </w:rPr>
        <w:t>, 24 hours</w:t>
      </w:r>
      <w:r>
        <w:rPr>
          <w:rFonts w:ascii="Arial" w:cs="Arial" w:eastAsia="Arial" w:hAnsi="Arial"/>
          <w:sz w:val="16"/>
          <w:szCs w:val="16"/>
          <w:b w:val="1"/>
          <w:bCs w:val="1"/>
          <w:color w:val="auto"/>
        </w:rPr>
        <w:t xml:space="preserve"> </w:t>
      </w:r>
      <w:r>
        <w:rPr>
          <w:rFonts w:ascii="Arial" w:cs="Arial" w:eastAsia="Arial" w:hAnsi="Arial"/>
          <w:sz w:val="16"/>
          <w:szCs w:val="16"/>
          <w:color w:val="auto"/>
        </w:rPr>
        <w:t>a day, seven days a week, until 11:59 p.m. Eastern Time on May 15, 2024 or until 11:59 p.m. Eastern Time on May 13, 2024 if you hold your shares in a Plan. You will need the 16-digit control number included on your Notice or proxy card (if you received a printed copy of the proxy materials);</w:t>
      </w:r>
    </w:p>
    <w:p>
      <w:pPr>
        <w:spacing w:after="0" w:line="243" w:lineRule="exact"/>
        <w:rPr>
          <w:sz w:val="20"/>
          <w:szCs w:val="20"/>
          <w:color w:val="auto"/>
        </w:rPr>
      </w:pPr>
    </w:p>
    <w:p>
      <w:pPr>
        <w:ind w:right="1200"/>
        <w:spacing w:after="0" w:line="257" w:lineRule="auto"/>
        <w:rPr>
          <w:sz w:val="20"/>
          <w:szCs w:val="20"/>
          <w:color w:val="auto"/>
        </w:rPr>
      </w:pPr>
      <w:r>
        <w:rPr>
          <w:rFonts w:ascii="Arial" w:cs="Arial" w:eastAsia="Arial" w:hAnsi="Arial"/>
          <w:sz w:val="16"/>
          <w:szCs w:val="16"/>
          <w:b w:val="1"/>
          <w:bCs w:val="1"/>
          <w:color w:val="auto"/>
        </w:rPr>
        <w:t xml:space="preserve">By Telephone: </w:t>
      </w:r>
      <w:r>
        <w:rPr>
          <w:rFonts w:ascii="Arial" w:cs="Arial" w:eastAsia="Arial" w:hAnsi="Arial"/>
          <w:sz w:val="16"/>
          <w:szCs w:val="16"/>
          <w:color w:val="auto"/>
        </w:rPr>
        <w:t>You may vote by toll-free telephone at 1-800-690-6903, until 11:59 p.m. Eastern Time on</w:t>
      </w:r>
      <w:r>
        <w:rPr>
          <w:rFonts w:ascii="Arial" w:cs="Arial" w:eastAsia="Arial" w:hAnsi="Arial"/>
          <w:sz w:val="16"/>
          <w:szCs w:val="16"/>
          <w:b w:val="1"/>
          <w:bCs w:val="1"/>
          <w:color w:val="auto"/>
        </w:rPr>
        <w:t xml:space="preserve"> </w:t>
      </w:r>
      <w:r>
        <w:rPr>
          <w:rFonts w:ascii="Arial" w:cs="Arial" w:eastAsia="Arial" w:hAnsi="Arial"/>
          <w:sz w:val="16"/>
          <w:szCs w:val="16"/>
          <w:color w:val="auto"/>
        </w:rPr>
        <w:t>May 15, 2024 or until 11:59 p.m. Eastern Time on May 13, 2024 if you hold your shares in a Plan. You will need the 16-digit control number included on your Notice or proxy card (if you received a printed copy of the proxy materials);</w:t>
      </w:r>
    </w:p>
    <w:p>
      <w:pPr>
        <w:spacing w:after="0" w:line="323" w:lineRule="exact"/>
        <w:rPr>
          <w:sz w:val="20"/>
          <w:szCs w:val="20"/>
          <w:color w:val="auto"/>
        </w:rPr>
      </w:pPr>
    </w:p>
    <w:p>
      <w:pPr>
        <w:ind w:right="1120"/>
        <w:spacing w:after="0" w:line="263" w:lineRule="auto"/>
        <w:rPr>
          <w:sz w:val="20"/>
          <w:szCs w:val="20"/>
          <w:color w:val="auto"/>
        </w:rPr>
      </w:pPr>
      <w:r>
        <w:rPr>
          <w:rFonts w:ascii="Arial" w:cs="Arial" w:eastAsia="Arial" w:hAnsi="Arial"/>
          <w:sz w:val="16"/>
          <w:szCs w:val="16"/>
          <w:b w:val="1"/>
          <w:bCs w:val="1"/>
          <w:color w:val="auto"/>
        </w:rPr>
        <w:t xml:space="preserve">By Mail: </w:t>
      </w:r>
      <w:r>
        <w:rPr>
          <w:rFonts w:ascii="Arial" w:cs="Arial" w:eastAsia="Arial" w:hAnsi="Arial"/>
          <w:sz w:val="16"/>
          <w:szCs w:val="16"/>
          <w:color w:val="auto"/>
        </w:rPr>
        <w:t>If you received printed proxy materials, you may submit your vote by completing, signing and dating</w:t>
      </w:r>
      <w:r>
        <w:rPr>
          <w:rFonts w:ascii="Arial" w:cs="Arial" w:eastAsia="Arial" w:hAnsi="Arial"/>
          <w:sz w:val="16"/>
          <w:szCs w:val="16"/>
          <w:b w:val="1"/>
          <w:bCs w:val="1"/>
          <w:color w:val="auto"/>
        </w:rPr>
        <w:t xml:space="preserve"> </w:t>
      </w:r>
      <w:r>
        <w:rPr>
          <w:rFonts w:ascii="Arial" w:cs="Arial" w:eastAsia="Arial" w:hAnsi="Arial"/>
          <w:sz w:val="16"/>
          <w:szCs w:val="16"/>
          <w:color w:val="auto"/>
        </w:rPr>
        <w:t>each proxy card received and returning it promptly in the postage-paid envelope we have provided. Proxies submitted by U.S. mail must be received before the start of the Annual Meeting; or</w:t>
      </w:r>
    </w:p>
    <w:p>
      <w:pPr>
        <w:spacing w:after="0" w:line="346" w:lineRule="exact"/>
        <w:rPr>
          <w:sz w:val="20"/>
          <w:szCs w:val="20"/>
          <w:color w:val="auto"/>
        </w:rPr>
      </w:pPr>
    </w:p>
    <w:p>
      <w:pPr>
        <w:ind w:right="1060"/>
        <w:spacing w:after="0" w:line="257" w:lineRule="auto"/>
        <w:rPr>
          <w:sz w:val="20"/>
          <w:szCs w:val="20"/>
          <w:color w:val="auto"/>
        </w:rPr>
      </w:pPr>
      <w:r>
        <w:rPr>
          <w:rFonts w:ascii="Arial" w:cs="Arial" w:eastAsia="Arial" w:hAnsi="Arial"/>
          <w:sz w:val="16"/>
          <w:szCs w:val="16"/>
          <w:b w:val="1"/>
          <w:bCs w:val="1"/>
          <w:color w:val="auto"/>
        </w:rPr>
        <w:t xml:space="preserve">By Internet (During the Annual Meeting): </w:t>
      </w:r>
      <w:r>
        <w:rPr>
          <w:rFonts w:ascii="Arial" w:cs="Arial" w:eastAsia="Arial" w:hAnsi="Arial"/>
          <w:sz w:val="16"/>
          <w:szCs w:val="16"/>
          <w:color w:val="auto"/>
        </w:rPr>
        <w:t>You may vote during the Annual Meeting by going to</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4297CB"/>
        </w:rPr>
        <w:t>www.virtualshareholdermeeting.com/WAB2024</w:t>
      </w:r>
      <w:r>
        <w:rPr>
          <w:rFonts w:ascii="Arial" w:cs="Arial" w:eastAsia="Arial" w:hAnsi="Arial"/>
          <w:sz w:val="16"/>
          <w:szCs w:val="16"/>
          <w:color w:val="000000"/>
        </w:rPr>
        <w:t>. You will need the 16-digit control number included on your</w:t>
      </w:r>
      <w:r>
        <w:rPr>
          <w:rFonts w:ascii="Arial" w:cs="Arial" w:eastAsia="Arial" w:hAnsi="Arial"/>
          <w:sz w:val="16"/>
          <w:szCs w:val="16"/>
          <w:b w:val="1"/>
          <w:bCs w:val="1"/>
          <w:color w:val="4297CB"/>
        </w:rPr>
        <w:t xml:space="preserve"> </w:t>
      </w:r>
      <w:r>
        <w:rPr>
          <w:rFonts w:ascii="Arial" w:cs="Arial" w:eastAsia="Arial" w:hAnsi="Arial"/>
          <w:sz w:val="16"/>
          <w:szCs w:val="16"/>
          <w:color w:val="000000"/>
        </w:rPr>
        <w:t>Notice or proxy card (if you received a printed copy of the proxy materials). If you previously voted via the Internet (or by telephone or mail), you will not limit your right to vote online at the Annual Meeting.</w:t>
      </w:r>
    </w:p>
    <w:p>
      <w:pPr>
        <w:spacing w:after="0" w:line="200" w:lineRule="exact"/>
        <w:rPr>
          <w:sz w:val="20"/>
          <w:szCs w:val="20"/>
          <w:color w:val="auto"/>
        </w:rPr>
      </w:pPr>
    </w:p>
    <w:p>
      <w:pPr>
        <w:sectPr>
          <w:pgSz w:w="11900" w:h="16838" w:orient="portrait"/>
          <w:cols w:equalWidth="0" w:num="2">
            <w:col w:w="2020" w:space="60"/>
            <w:col w:w="8860"/>
          </w:cols>
          <w:pgMar w:left="480" w:top="114" w:right="479" w:bottom="1440" w:gutter="0" w:footer="0" w:header="0"/>
          <w:type w:val="continuous"/>
        </w:sectPr>
      </w:pPr>
    </w:p>
    <w:p>
      <w:pPr>
        <w:spacing w:after="0" w:line="257" w:lineRule="exact"/>
        <w:rPr>
          <w:sz w:val="20"/>
          <w:szCs w:val="20"/>
          <w:color w:val="auto"/>
        </w:rPr>
      </w:pPr>
    </w:p>
    <w:p>
      <w:pPr>
        <w:ind w:left="960" w:right="1340"/>
        <w:spacing w:after="0" w:line="263" w:lineRule="auto"/>
        <w:rPr>
          <w:sz w:val="20"/>
          <w:szCs w:val="20"/>
          <w:color w:val="auto"/>
        </w:rPr>
      </w:pPr>
      <w:r>
        <w:rPr>
          <w:rFonts w:ascii="Arial" w:cs="Arial" w:eastAsia="Arial" w:hAnsi="Arial"/>
          <w:sz w:val="16"/>
          <w:szCs w:val="16"/>
          <w:color w:val="auto"/>
        </w:rPr>
        <w:t>If you are a beneficial owner, please follow the instructions from your broker, bank or other nominee to vote by Internet, telephone or mail. Beneficial owners may not vote via the Internet at the Annual Meeting unless they receive a legal proxy from their respective brokers, banks or other nominees.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9140" w:type="dxa"/>
            <w:vAlign w:val="bottom"/>
          </w:tcPr>
          <w:p>
            <w:pPr>
              <w:ind w:left="636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800" w:type="dxa"/>
            <w:vAlign w:val="bottom"/>
          </w:tcPr>
          <w:p>
            <w:pPr>
              <w:jc w:val="right"/>
              <w:ind w:right="909"/>
              <w:spacing w:after="0"/>
              <w:rPr>
                <w:sz w:val="20"/>
                <w:szCs w:val="20"/>
                <w:color w:val="auto"/>
              </w:rPr>
            </w:pPr>
            <w:r>
              <w:rPr>
                <w:rFonts w:ascii="Arial" w:cs="Arial" w:eastAsia="Arial" w:hAnsi="Arial"/>
                <w:sz w:val="14"/>
                <w:szCs w:val="14"/>
                <w:b w:val="1"/>
                <w:bCs w:val="1"/>
                <w:color w:val="auto"/>
              </w:rPr>
              <w:t>81</w:t>
            </w:r>
          </w:p>
        </w:tc>
      </w:tr>
      <w:tr>
        <w:trPr>
          <w:trHeight w:val="355"/>
        </w:trPr>
        <w:tc>
          <w:tcPr>
            <w:tcW w:w="9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-415925</wp:posOffset>
            </wp:positionV>
            <wp:extent cx="501650" cy="17018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4" w:right="47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Questions and Answers Relating to the Annual Meeting</w:t>
      </w:r>
    </w:p>
    <w:p>
      <w:pPr>
        <w:spacing w:after="0" w:line="143" w:lineRule="exact"/>
        <w:rPr>
          <w:sz w:val="20"/>
          <w:szCs w:val="20"/>
          <w:color w:val="auto"/>
        </w:rPr>
      </w:pPr>
    </w:p>
    <w:p>
      <w:pPr>
        <w:spacing w:after="0"/>
        <w:rPr>
          <w:sz w:val="20"/>
          <w:szCs w:val="20"/>
          <w:color w:val="auto"/>
        </w:rPr>
      </w:pPr>
      <w:r>
        <w:rPr>
          <w:rFonts w:ascii="Arial" w:cs="Arial" w:eastAsia="Arial" w:hAnsi="Arial"/>
          <w:sz w:val="23"/>
          <w:szCs w:val="23"/>
          <w:color w:val="0C426A"/>
        </w:rPr>
        <w:t>Can I change my vote?</w:t>
      </w:r>
    </w:p>
    <w:p>
      <w:pPr>
        <w:spacing w:after="0" w:line="181" w:lineRule="exact"/>
        <w:rPr>
          <w:sz w:val="20"/>
          <w:szCs w:val="20"/>
          <w:color w:val="auto"/>
        </w:rPr>
      </w:pPr>
    </w:p>
    <w:p>
      <w:pPr>
        <w:ind w:right="819"/>
        <w:spacing w:after="0" w:line="282" w:lineRule="auto"/>
        <w:rPr>
          <w:sz w:val="20"/>
          <w:szCs w:val="20"/>
          <w:color w:val="auto"/>
        </w:rPr>
      </w:pPr>
      <w:r>
        <w:rPr>
          <w:rFonts w:ascii="Arial" w:cs="Arial" w:eastAsia="Arial" w:hAnsi="Arial"/>
          <w:sz w:val="16"/>
          <w:szCs w:val="16"/>
          <w:b w:val="1"/>
          <w:bCs w:val="1"/>
          <w:color w:val="auto"/>
        </w:rPr>
        <w:t xml:space="preserve">Yes. </w:t>
      </w:r>
      <w:r>
        <w:rPr>
          <w:rFonts w:ascii="Arial" w:cs="Arial" w:eastAsia="Arial" w:hAnsi="Arial"/>
          <w:sz w:val="16"/>
          <w:szCs w:val="16"/>
          <w:color w:val="auto"/>
        </w:rPr>
        <w:t>If you are a registered stockholder, you can change your vote or revoke your proxy any time before the Annual</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by:</w:t>
      </w:r>
    </w:p>
    <w:p>
      <w:pPr>
        <w:spacing w:after="0" w:line="130" w:lineRule="exact"/>
        <w:rPr>
          <w:sz w:val="20"/>
          <w:szCs w:val="20"/>
          <w:color w:val="auto"/>
        </w:rPr>
      </w:pPr>
    </w:p>
    <w:p>
      <w:pPr>
        <w:ind w:left="180" w:hanging="175"/>
        <w:spacing w:after="0"/>
        <w:tabs>
          <w:tab w:leader="none" w:pos="180" w:val="left"/>
        </w:tabs>
        <w:numPr>
          <w:ilvl w:val="0"/>
          <w:numId w:val="93"/>
        </w:numPr>
        <w:rPr>
          <w:rFonts w:ascii="Arial" w:cs="Arial" w:eastAsia="Arial" w:hAnsi="Arial"/>
          <w:sz w:val="16"/>
          <w:szCs w:val="16"/>
          <w:color w:val="4297CB"/>
        </w:rPr>
      </w:pPr>
      <w:r>
        <w:rPr>
          <w:rFonts w:ascii="Arial" w:cs="Arial" w:eastAsia="Arial" w:hAnsi="Arial"/>
          <w:sz w:val="16"/>
          <w:szCs w:val="16"/>
          <w:color w:val="auto"/>
        </w:rPr>
        <w:t>notifying our Corporate Secretary, in writing, at Wabtec Corporation, 30 Isabella Street, Pittsburgh, PA 15212;</w:t>
      </w:r>
    </w:p>
    <w:p>
      <w:pPr>
        <w:spacing w:after="0" w:line="70" w:lineRule="exact"/>
        <w:rPr>
          <w:rFonts w:ascii="Arial" w:cs="Arial" w:eastAsia="Arial" w:hAnsi="Arial"/>
          <w:sz w:val="16"/>
          <w:szCs w:val="16"/>
          <w:color w:val="4297CB"/>
        </w:rPr>
      </w:pPr>
    </w:p>
    <w:p>
      <w:pPr>
        <w:ind w:left="180" w:right="139" w:hanging="175"/>
        <w:spacing w:after="0" w:line="263" w:lineRule="auto"/>
        <w:tabs>
          <w:tab w:leader="none" w:pos="180" w:val="left"/>
        </w:tabs>
        <w:numPr>
          <w:ilvl w:val="0"/>
          <w:numId w:val="93"/>
        </w:numPr>
        <w:rPr>
          <w:rFonts w:ascii="Arial" w:cs="Arial" w:eastAsia="Arial" w:hAnsi="Arial"/>
          <w:sz w:val="16"/>
          <w:szCs w:val="16"/>
          <w:color w:val="4297CB"/>
        </w:rPr>
      </w:pPr>
      <w:r>
        <w:rPr>
          <w:rFonts w:ascii="Arial" w:cs="Arial" w:eastAsia="Arial" w:hAnsi="Arial"/>
          <w:sz w:val="16"/>
          <w:szCs w:val="16"/>
          <w:color w:val="auto"/>
        </w:rPr>
        <w:t>voting again using the telephone or Internet before 11:59 p.m. Eastern Time on May 15, 2024 or before 11:59 p.m. Eastern Time on May 13, 2024 if you hold your shares in a Plan (your latest telephone or Internet proxy is the one that will be counted); or</w:t>
      </w:r>
    </w:p>
    <w:p>
      <w:pPr>
        <w:spacing w:after="0" w:line="24" w:lineRule="exact"/>
        <w:rPr>
          <w:rFonts w:ascii="Arial" w:cs="Arial" w:eastAsia="Arial" w:hAnsi="Arial"/>
          <w:sz w:val="16"/>
          <w:szCs w:val="16"/>
          <w:color w:val="4297CB"/>
        </w:rPr>
      </w:pPr>
    </w:p>
    <w:p>
      <w:pPr>
        <w:ind w:left="180" w:right="119" w:hanging="175"/>
        <w:spacing w:after="0" w:line="282" w:lineRule="auto"/>
        <w:tabs>
          <w:tab w:leader="none" w:pos="180" w:val="left"/>
        </w:tabs>
        <w:numPr>
          <w:ilvl w:val="0"/>
          <w:numId w:val="93"/>
        </w:numPr>
        <w:rPr>
          <w:rFonts w:ascii="Arial" w:cs="Arial" w:eastAsia="Arial" w:hAnsi="Arial"/>
          <w:sz w:val="16"/>
          <w:szCs w:val="16"/>
          <w:color w:val="4297CB"/>
        </w:rPr>
      </w:pPr>
      <w:r>
        <w:rPr>
          <w:rFonts w:ascii="Arial" w:cs="Arial" w:eastAsia="Arial" w:hAnsi="Arial"/>
          <w:sz w:val="16"/>
          <w:szCs w:val="16"/>
          <w:color w:val="auto"/>
        </w:rPr>
        <w:t>attending the virtual Annual Meeting and voting with the ballot provided in the virtual meeting portal. Simply logging into the Annual Meeting online will not, by itself, revoke your proxy.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If you are a beneficial owner, you may revoke any prior voting instructions by contacting your broker, bank or nominee.</w:t>
      </w:r>
    </w:p>
    <w:p>
      <w:pPr>
        <w:spacing w:after="0" w:line="375" w:lineRule="exact"/>
        <w:rPr>
          <w:sz w:val="20"/>
          <w:szCs w:val="20"/>
          <w:color w:val="auto"/>
        </w:rPr>
      </w:pPr>
    </w:p>
    <w:p>
      <w:pPr>
        <w:spacing w:after="0"/>
        <w:rPr>
          <w:sz w:val="20"/>
          <w:szCs w:val="20"/>
          <w:color w:val="auto"/>
        </w:rPr>
      </w:pPr>
      <w:r>
        <w:rPr>
          <w:rFonts w:ascii="Arial" w:cs="Arial" w:eastAsia="Arial" w:hAnsi="Arial"/>
          <w:sz w:val="23"/>
          <w:szCs w:val="23"/>
          <w:color w:val="0C426A"/>
        </w:rPr>
        <w:t>What is the effect of giving a proxy?</w:t>
      </w:r>
    </w:p>
    <w:p>
      <w:pPr>
        <w:spacing w:after="0" w:line="181" w:lineRule="exact"/>
        <w:rPr>
          <w:sz w:val="20"/>
          <w:szCs w:val="20"/>
          <w:color w:val="auto"/>
        </w:rPr>
      </w:pPr>
    </w:p>
    <w:p>
      <w:pPr>
        <w:ind w:right="39"/>
        <w:spacing w:after="0" w:line="250" w:lineRule="auto"/>
        <w:rPr>
          <w:sz w:val="20"/>
          <w:szCs w:val="20"/>
          <w:color w:val="auto"/>
        </w:rPr>
      </w:pPr>
      <w:r>
        <w:rPr>
          <w:rFonts w:ascii="Arial" w:cs="Arial" w:eastAsia="Arial" w:hAnsi="Arial"/>
          <w:sz w:val="16"/>
          <w:szCs w:val="16"/>
          <w:color w:val="auto"/>
        </w:rPr>
        <w:t>Proxies are solicited by and on behalf of our Board. Mr. Neupaver and Mr. DeNinno have been designated as proxy holders by our Board. When proxies are properly dated, executed and returned, the shares represented by such proxies will be voted at the Annual Meeting in accordance with the instructions of the stockholder. If no specific instructions are given, however, the shares will be voted in accordance with the recommendations of our Board as described above. If any matters not described in this Proxy Statement are properly presented at the Annual Meeting, the proxy holders will use their own judgment to determine how to vote the shares. If the Annual Meeting is adjourned, the proxy holders can vote the shares on the new Annual Meeting date as well, unless you have properly revoked your proxy instructions, as described above.</w:t>
      </w:r>
    </w:p>
    <w:p>
      <w:pPr>
        <w:spacing w:after="0" w:line="355" w:lineRule="exact"/>
        <w:rPr>
          <w:sz w:val="20"/>
          <w:szCs w:val="20"/>
          <w:color w:val="auto"/>
        </w:rPr>
      </w:pPr>
    </w:p>
    <w:p>
      <w:pPr>
        <w:spacing w:after="0"/>
        <w:rPr>
          <w:sz w:val="20"/>
          <w:szCs w:val="20"/>
          <w:color w:val="auto"/>
        </w:rPr>
      </w:pPr>
      <w:r>
        <w:rPr>
          <w:rFonts w:ascii="Arial" w:cs="Arial" w:eastAsia="Arial" w:hAnsi="Arial"/>
          <w:sz w:val="23"/>
          <w:szCs w:val="23"/>
          <w:color w:val="0C426A"/>
        </w:rPr>
        <w:t>What is the effect of abstentions and broker non-votes?</w:t>
      </w:r>
    </w:p>
    <w:p>
      <w:pPr>
        <w:spacing w:after="0" w:line="181" w:lineRule="exact"/>
        <w:rPr>
          <w:sz w:val="20"/>
          <w:szCs w:val="20"/>
          <w:color w:val="auto"/>
        </w:rPr>
      </w:pPr>
    </w:p>
    <w:p>
      <w:pPr>
        <w:ind w:right="19"/>
        <w:spacing w:after="0" w:line="250" w:lineRule="auto"/>
        <w:rPr>
          <w:sz w:val="20"/>
          <w:szCs w:val="20"/>
          <w:color w:val="auto"/>
        </w:rPr>
      </w:pPr>
      <w:r>
        <w:rPr>
          <w:rFonts w:ascii="Arial" w:cs="Arial" w:eastAsia="Arial" w:hAnsi="Arial"/>
          <w:sz w:val="16"/>
          <w:szCs w:val="16"/>
          <w:color w:val="auto"/>
        </w:rPr>
        <w:t>A “broker non-vote” occurs where a broker has not received voting instructions from the beneficial owner and for which the broker does not have discretionary power to vote on a particular matter. Brokerage firms and other intermediaries holding shares of our common stock in street name for their customers are generally required to vote such shares in the manner directed by their customers. In the absence of timely directions, your broker will have discretion to vote your shares on our sole “routine” matter, the proposal to ratify the appointment of Ernst &amp; Young LLP as our independent registered public accounting firm for our fiscal year ending December 31, 2024. Absent direction from you, your broker will not have discretion to vote on Proposal 1 (election of directors) or Proposal 2 (Say-On-Pay Advisory Vote), which are “non-routine” matters.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Abstentions and broker non-votes are counted as shares present and entitled to vote for purposes of determining a quorum.</w:t>
      </w:r>
    </w:p>
    <w:p>
      <w:pPr>
        <w:spacing w:after="0" w:line="164" w:lineRule="exact"/>
        <w:rPr>
          <w:sz w:val="20"/>
          <w:szCs w:val="20"/>
          <w:color w:val="auto"/>
        </w:rPr>
      </w:pPr>
    </w:p>
    <w:p>
      <w:pPr>
        <w:ind w:right="379"/>
        <w:spacing w:after="0" w:line="282" w:lineRule="auto"/>
        <w:rPr>
          <w:sz w:val="20"/>
          <w:szCs w:val="20"/>
          <w:color w:val="auto"/>
        </w:rPr>
      </w:pPr>
      <w:r>
        <w:rPr>
          <w:rFonts w:ascii="Arial" w:cs="Arial" w:eastAsia="Arial" w:hAnsi="Arial"/>
          <w:sz w:val="16"/>
          <w:szCs w:val="16"/>
          <w:color w:val="auto"/>
        </w:rPr>
        <w:t>With regards to Proposal 1 (election of directors), abstentions and broker non-votes are not considered votes cast and will have no effect on the outcome of the vote.</w:t>
      </w:r>
    </w:p>
    <w:p>
      <w:pPr>
        <w:spacing w:after="0" w:line="103" w:lineRule="exact"/>
        <w:rPr>
          <w:sz w:val="20"/>
          <w:szCs w:val="20"/>
          <w:color w:val="auto"/>
        </w:rPr>
      </w:pPr>
    </w:p>
    <w:p>
      <w:pPr>
        <w:ind w:right="399"/>
        <w:spacing w:after="0" w:line="282" w:lineRule="auto"/>
        <w:rPr>
          <w:sz w:val="20"/>
          <w:szCs w:val="20"/>
          <w:color w:val="auto"/>
        </w:rPr>
      </w:pPr>
      <w:r>
        <w:rPr>
          <w:rFonts w:ascii="Arial" w:cs="Arial" w:eastAsia="Arial" w:hAnsi="Arial"/>
          <w:sz w:val="16"/>
          <w:szCs w:val="16"/>
          <w:color w:val="auto"/>
        </w:rPr>
        <w:t>For Proposal 2 and Proposal 3, an abstention will have the same effect as a vote against each applicable proposal. For Proposal 2 and Proposal 3 broker non-votes will have no effect on the outcome of the vote with respect to each Proposal.</w:t>
      </w:r>
    </w:p>
    <w:p>
      <w:pPr>
        <w:spacing w:after="0" w:line="287" w:lineRule="exact"/>
        <w:rPr>
          <w:sz w:val="20"/>
          <w:szCs w:val="20"/>
          <w:color w:val="auto"/>
        </w:rPr>
      </w:pPr>
    </w:p>
    <w:p>
      <w:pPr>
        <w:ind w:right="139"/>
        <w:spacing w:after="0" w:line="292" w:lineRule="auto"/>
        <w:rPr>
          <w:sz w:val="20"/>
          <w:szCs w:val="20"/>
          <w:color w:val="auto"/>
        </w:rPr>
      </w:pPr>
      <w:r>
        <w:rPr>
          <w:rFonts w:ascii="Arial" w:cs="Arial" w:eastAsia="Arial" w:hAnsi="Arial"/>
          <w:sz w:val="23"/>
          <w:szCs w:val="23"/>
          <w:color w:val="0C426A"/>
        </w:rPr>
        <w:t>Why did I receive a Notice of Internet Availability of Proxy Materials instead of a full set of proxy materials?</w:t>
      </w:r>
    </w:p>
    <w:p>
      <w:pPr>
        <w:spacing w:after="0" w:line="83" w:lineRule="exact"/>
        <w:rPr>
          <w:sz w:val="20"/>
          <w:szCs w:val="20"/>
          <w:color w:val="auto"/>
        </w:rPr>
      </w:pPr>
    </w:p>
    <w:p>
      <w:pPr>
        <w:ind w:right="79"/>
        <w:spacing w:after="0" w:line="250" w:lineRule="auto"/>
        <w:rPr>
          <w:sz w:val="20"/>
          <w:szCs w:val="20"/>
          <w:color w:val="auto"/>
        </w:rPr>
      </w:pPr>
      <w:r>
        <w:rPr>
          <w:rFonts w:ascii="Arial" w:cs="Arial" w:eastAsia="Arial" w:hAnsi="Arial"/>
          <w:sz w:val="16"/>
          <w:szCs w:val="16"/>
          <w:color w:val="auto"/>
        </w:rPr>
        <w:t>In accordance with the rules of the U.S. Securities and Exchange Commission (the “SEC”), we have elected to furnish our proxy materials, including this Proxy Statement and our 2023 Annual Report, primarily via the Internet. On April 4, 2024, we mailed to our stockholders a Notice that contains instructions on how to access our proxy materials on the Internet, how to vote at the meeting and how to request printed copies of the proxy materials and 2023 Annual Report. Stockholders may request to receive all future proxy materials in printed form by mail or electronically by e-mail by following the instructions contained in the Notice. We encourage stockholders to take advantage of the availability of our proxy materials on the Internet to help reduce the environmental impact and cost of our annual meetings of stockholders.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760" w:type="dxa"/>
            <w:vAlign w:val="bottom"/>
          </w:tcPr>
          <w:p>
            <w:pPr>
              <w:jc w:val="right"/>
              <w:ind w:right="529"/>
              <w:spacing w:after="0"/>
              <w:rPr>
                <w:sz w:val="20"/>
                <w:szCs w:val="20"/>
                <w:color w:val="auto"/>
              </w:rPr>
            </w:pPr>
            <w:r>
              <w:rPr>
                <w:rFonts w:ascii="Arial" w:cs="Arial" w:eastAsia="Arial" w:hAnsi="Arial"/>
                <w:sz w:val="14"/>
                <w:szCs w:val="14"/>
                <w:b w:val="1"/>
                <w:bCs w:val="1"/>
                <w:color w:val="auto"/>
                <w:w w:val="89"/>
              </w:rPr>
              <w:t>82</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170180</wp:posOffset>
            </wp:positionV>
            <wp:extent cx="693801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5" w:name="page86"/>
    <w:bookmarkEnd w:id="85"/>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1" w:lineRule="exact"/>
        <w:rPr>
          <w:sz w:val="20"/>
          <w:szCs w:val="20"/>
          <w:color w:val="auto"/>
        </w:rPr>
      </w:pPr>
    </w:p>
    <w:p>
      <w:pPr>
        <w:ind w:left="6900"/>
        <w:spacing w:after="0"/>
        <w:rPr>
          <w:sz w:val="20"/>
          <w:szCs w:val="20"/>
          <w:color w:val="auto"/>
        </w:rPr>
      </w:pPr>
      <w:r>
        <w:rPr>
          <w:rFonts w:ascii="Arial" w:cs="Arial" w:eastAsia="Arial" w:hAnsi="Arial"/>
          <w:sz w:val="12"/>
          <w:szCs w:val="12"/>
          <w:color w:val="auto"/>
        </w:rPr>
        <w:t>Questions and Answers Relating to the Annual Meeting</w:t>
      </w:r>
    </w:p>
    <w:p>
      <w:pPr>
        <w:spacing w:after="0" w:line="143" w:lineRule="exact"/>
        <w:rPr>
          <w:sz w:val="20"/>
          <w:szCs w:val="20"/>
          <w:color w:val="auto"/>
        </w:rPr>
      </w:pPr>
    </w:p>
    <w:p>
      <w:pPr>
        <w:ind w:left="960"/>
        <w:spacing w:after="0"/>
        <w:rPr>
          <w:sz w:val="20"/>
          <w:szCs w:val="20"/>
          <w:color w:val="auto"/>
        </w:rPr>
      </w:pPr>
      <w:r>
        <w:rPr>
          <w:rFonts w:ascii="Arial" w:cs="Arial" w:eastAsia="Arial" w:hAnsi="Arial"/>
          <w:sz w:val="23"/>
          <w:szCs w:val="23"/>
          <w:color w:val="0C426A"/>
        </w:rPr>
        <w:t>Where can I find the voting results of the Annual Meeting?</w:t>
      </w:r>
    </w:p>
    <w:p>
      <w:pPr>
        <w:spacing w:after="0" w:line="181" w:lineRule="exact"/>
        <w:rPr>
          <w:sz w:val="20"/>
          <w:szCs w:val="20"/>
          <w:color w:val="auto"/>
        </w:rPr>
      </w:pPr>
    </w:p>
    <w:p>
      <w:pPr>
        <w:ind w:left="960" w:right="1060"/>
        <w:spacing w:after="0" w:line="254" w:lineRule="auto"/>
        <w:rPr>
          <w:sz w:val="20"/>
          <w:szCs w:val="20"/>
          <w:color w:val="auto"/>
        </w:rPr>
      </w:pPr>
      <w:r>
        <w:rPr>
          <w:rFonts w:ascii="Arial" w:cs="Arial" w:eastAsia="Arial" w:hAnsi="Arial"/>
          <w:sz w:val="16"/>
          <w:szCs w:val="16"/>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within four business days after the Annual Meeting, we will provide preliminary voting results in the Current Report on Form 8-K and will provide the final results in an amendment to the Current Report on Form 8-K as soon as they become available.</w:t>
      </w:r>
    </w:p>
    <w:p>
      <w:pPr>
        <w:spacing w:after="0" w:line="348" w:lineRule="exact"/>
        <w:rPr>
          <w:sz w:val="20"/>
          <w:szCs w:val="20"/>
          <w:color w:val="auto"/>
        </w:rPr>
      </w:pPr>
    </w:p>
    <w:p>
      <w:pPr>
        <w:ind w:left="960"/>
        <w:spacing w:after="0"/>
        <w:rPr>
          <w:sz w:val="20"/>
          <w:szCs w:val="20"/>
          <w:color w:val="auto"/>
        </w:rPr>
      </w:pPr>
      <w:r>
        <w:rPr>
          <w:rFonts w:ascii="Arial" w:cs="Arial" w:eastAsia="Arial" w:hAnsi="Arial"/>
          <w:sz w:val="23"/>
          <w:szCs w:val="23"/>
          <w:color w:val="0C426A"/>
        </w:rPr>
        <w:t>Why is the Annual Meeting being held virtually?</w:t>
      </w:r>
    </w:p>
    <w:p>
      <w:pPr>
        <w:spacing w:after="0" w:line="181" w:lineRule="exact"/>
        <w:rPr>
          <w:sz w:val="20"/>
          <w:szCs w:val="20"/>
          <w:color w:val="auto"/>
        </w:rPr>
      </w:pPr>
    </w:p>
    <w:p>
      <w:pPr>
        <w:ind w:left="960" w:right="1100"/>
        <w:spacing w:after="0" w:line="257" w:lineRule="auto"/>
        <w:rPr>
          <w:sz w:val="20"/>
          <w:szCs w:val="20"/>
          <w:color w:val="auto"/>
        </w:rPr>
      </w:pPr>
      <w:r>
        <w:rPr>
          <w:rFonts w:ascii="Arial" w:cs="Arial" w:eastAsia="Arial" w:hAnsi="Arial"/>
          <w:sz w:val="16"/>
          <w:szCs w:val="16"/>
          <w:color w:val="auto"/>
        </w:rPr>
        <w:t>The Annual Meeting will be held entirely online this year. We have embraced the latest technology to provide ease of access, real-time communication and cost savings for our stockholders and our Company. Hosting a virtual meeting provides easy access for our stockholders and facilitates participation because stockholders can participate from any location around the world.</w:t>
      </w:r>
    </w:p>
    <w:p>
      <w:pPr>
        <w:spacing w:after="0" w:line="346" w:lineRule="exact"/>
        <w:rPr>
          <w:sz w:val="20"/>
          <w:szCs w:val="20"/>
          <w:color w:val="auto"/>
        </w:rPr>
      </w:pPr>
    </w:p>
    <w:p>
      <w:pPr>
        <w:ind w:left="960"/>
        <w:spacing w:after="0"/>
        <w:rPr>
          <w:sz w:val="20"/>
          <w:szCs w:val="20"/>
          <w:color w:val="auto"/>
        </w:rPr>
      </w:pPr>
      <w:r>
        <w:rPr>
          <w:rFonts w:ascii="Arial" w:cs="Arial" w:eastAsia="Arial" w:hAnsi="Arial"/>
          <w:sz w:val="23"/>
          <w:szCs w:val="23"/>
          <w:color w:val="0C426A"/>
        </w:rPr>
        <w:t>How are proxies solicited for the Annual Meeting?</w:t>
      </w:r>
    </w:p>
    <w:p>
      <w:pPr>
        <w:spacing w:after="0" w:line="181" w:lineRule="exact"/>
        <w:rPr>
          <w:sz w:val="20"/>
          <w:szCs w:val="20"/>
          <w:color w:val="auto"/>
        </w:rPr>
      </w:pPr>
    </w:p>
    <w:p>
      <w:pPr>
        <w:jc w:val="both"/>
        <w:ind w:left="960" w:right="980"/>
        <w:spacing w:after="0" w:line="254" w:lineRule="auto"/>
        <w:rPr>
          <w:sz w:val="20"/>
          <w:szCs w:val="20"/>
          <w:color w:val="auto"/>
        </w:rPr>
      </w:pPr>
      <w:r>
        <w:rPr>
          <w:rFonts w:ascii="Arial" w:cs="Arial" w:eastAsia="Arial" w:hAnsi="Arial"/>
          <w:sz w:val="16"/>
          <w:szCs w:val="16"/>
          <w:color w:val="auto"/>
        </w:rPr>
        <w:t>Our Board is soliciting proxies for use at the Annual Meeting. All expenses associated with this solicitation will be borne by us. We will reimburse brokers or other nominees for reasonable expenses that they incur in sending our proxy materials to you if a broker, bank or other nominee holds shares of our common stock on your behalf. In addition, our directors and employees may also solicit proxies in person, by telephone or by other means of communication. Our directors and employees will not be paid any additional compensation for soliciting proxies.</w:t>
      </w:r>
    </w:p>
    <w:p>
      <w:pPr>
        <w:spacing w:after="0" w:line="335" w:lineRule="exact"/>
        <w:rPr>
          <w:sz w:val="20"/>
          <w:szCs w:val="20"/>
          <w:color w:val="auto"/>
        </w:rPr>
      </w:pPr>
    </w:p>
    <w:p>
      <w:pPr>
        <w:ind w:left="960"/>
        <w:spacing w:after="0"/>
        <w:rPr>
          <w:sz w:val="20"/>
          <w:szCs w:val="20"/>
          <w:color w:val="auto"/>
        </w:rPr>
      </w:pPr>
      <w:r>
        <w:rPr>
          <w:rFonts w:ascii="Arial" w:cs="Arial" w:eastAsia="Arial" w:hAnsi="Arial"/>
          <w:sz w:val="23"/>
          <w:szCs w:val="23"/>
          <w:color w:val="0C426A"/>
        </w:rPr>
        <w:t>How does the Board recommend that you vote your shares?</w:t>
      </w:r>
    </w:p>
    <w:p>
      <w:pPr>
        <w:spacing w:after="0" w:line="19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The Board recommends that you vote:</w:t>
      </w:r>
    </w:p>
    <w:p>
      <w:pPr>
        <w:sectPr>
          <w:pgSz w:w="11900" w:h="16838" w:orient="portrait"/>
          <w:cols w:equalWidth="0" w:num="1">
            <w:col w:w="10940"/>
          </w:cols>
          <w:pgMar w:left="480" w:top="114" w:right="479" w:bottom="1440" w:gutter="0" w:footer="0" w:header="0"/>
        </w:sectPr>
      </w:pPr>
    </w:p>
    <w:p>
      <w:pPr>
        <w:spacing w:after="0" w:line="178"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0C426A"/>
        </w:rPr>
        <w:t>FOR PROPOSAL 1</w:t>
      </w:r>
    </w:p>
    <w:p>
      <w:pPr>
        <w:spacing w:after="0" w:line="365"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0C426A"/>
        </w:rPr>
        <w:t>FOR PROPOSAL 2</w:t>
      </w:r>
    </w:p>
    <w:p>
      <w:pPr>
        <w:spacing w:after="0" w:line="200" w:lineRule="exact"/>
        <w:rPr>
          <w:sz w:val="20"/>
          <w:szCs w:val="20"/>
          <w:color w:val="auto"/>
        </w:rPr>
      </w:pPr>
    </w:p>
    <w:p>
      <w:pPr>
        <w:spacing w:after="0" w:line="259"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0C426A"/>
        </w:rPr>
        <w:t>FOR PROPOSAL 3</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tabs>
          <w:tab w:leader="none" w:pos="6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200" w:lineRule="exact"/>
        <w:rPr>
          <w:sz w:val="20"/>
          <w:szCs w:val="20"/>
          <w:color w:val="auto"/>
        </w:rPr>
      </w:pPr>
    </w:p>
    <w:p>
      <w:pPr>
        <w:spacing w:after="0" w:line="303" w:lineRule="exact"/>
        <w:rPr>
          <w:sz w:val="20"/>
          <w:szCs w:val="20"/>
          <w:color w:val="auto"/>
        </w:rPr>
      </w:pPr>
    </w:p>
    <w:p>
      <w:pPr>
        <w:spacing w:after="0"/>
        <w:tabs>
          <w:tab w:leader="none" w:pos="6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200" w:lineRule="exact"/>
        <w:rPr>
          <w:sz w:val="20"/>
          <w:szCs w:val="20"/>
          <w:color w:val="auto"/>
        </w:rPr>
      </w:pPr>
    </w:p>
    <w:p>
      <w:pPr>
        <w:spacing w:after="0" w:line="397" w:lineRule="exact"/>
        <w:rPr>
          <w:sz w:val="20"/>
          <w:szCs w:val="20"/>
          <w:color w:val="auto"/>
        </w:rPr>
      </w:pPr>
    </w:p>
    <w:p>
      <w:pPr>
        <w:spacing w:after="0"/>
        <w:tabs>
          <w:tab w:leader="none" w:pos="6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ELECTION OF LINDA A. HARTY, BRIAN P. HEHIR, AND BEVERLEY A. BABCOCK</w:t>
      </w:r>
    </w:p>
    <w:p>
      <w:pPr>
        <w:spacing w:after="0" w:line="271" w:lineRule="exact"/>
        <w:rPr>
          <w:sz w:val="20"/>
          <w:szCs w:val="20"/>
          <w:color w:val="auto"/>
        </w:rPr>
      </w:pPr>
    </w:p>
    <w:p>
      <w:pPr>
        <w:ind w:right="1560"/>
        <w:spacing w:after="0" w:line="293" w:lineRule="auto"/>
        <w:rPr>
          <w:sz w:val="20"/>
          <w:szCs w:val="20"/>
          <w:color w:val="auto"/>
        </w:rPr>
      </w:pPr>
      <w:r>
        <w:rPr>
          <w:rFonts w:ascii="Arial" w:cs="Arial" w:eastAsia="Arial" w:hAnsi="Arial"/>
          <w:sz w:val="16"/>
          <w:szCs w:val="16"/>
          <w:b w:val="1"/>
          <w:bCs w:val="1"/>
          <w:color w:val="auto"/>
        </w:rPr>
        <w:t>APPROVAL OF AN ADVISORY (NON-BINDING) RESOLUTION TO APPROVE THE 2023 NAMED EXECUTIVE OFFICER COMPENSATION</w:t>
      </w:r>
    </w:p>
    <w:p>
      <w:pPr>
        <w:spacing w:after="0" w:line="193" w:lineRule="exact"/>
        <w:rPr>
          <w:sz w:val="20"/>
          <w:szCs w:val="20"/>
          <w:color w:val="auto"/>
        </w:rPr>
      </w:pPr>
    </w:p>
    <w:p>
      <w:pPr>
        <w:ind w:right="2060"/>
        <w:spacing w:after="0" w:line="293" w:lineRule="auto"/>
        <w:rPr>
          <w:sz w:val="20"/>
          <w:szCs w:val="20"/>
          <w:color w:val="auto"/>
        </w:rPr>
      </w:pPr>
      <w:r>
        <w:rPr>
          <w:rFonts w:ascii="Arial" w:cs="Arial" w:eastAsia="Arial" w:hAnsi="Arial"/>
          <w:sz w:val="16"/>
          <w:szCs w:val="16"/>
          <w:b w:val="1"/>
          <w:bCs w:val="1"/>
          <w:color w:val="auto"/>
        </w:rPr>
        <w:t>RATIFY THE APPOINTMENT OF ERNST &amp; YOUNG LLP AS OUR INDEPENDENT REGISTERED PUBLIC ACCOUNTING FIRM FOR THE 2024 FISCAL YEAR</w:t>
      </w:r>
    </w:p>
    <w:p>
      <w:pPr>
        <w:spacing w:after="0" w:line="200" w:lineRule="exact"/>
        <w:rPr>
          <w:sz w:val="20"/>
          <w:szCs w:val="20"/>
          <w:color w:val="auto"/>
        </w:rPr>
      </w:pPr>
    </w:p>
    <w:p>
      <w:pPr>
        <w:sectPr>
          <w:pgSz w:w="11900" w:h="16838" w:orient="portrait"/>
          <w:cols w:equalWidth="0" w:num="3">
            <w:col w:w="2380" w:space="320"/>
            <w:col w:w="100" w:space="60"/>
            <w:col w:w="8080"/>
          </w:cols>
          <w:pgMar w:left="480" w:top="114" w:right="479" w:bottom="1440" w:gutter="0" w:footer="0" w:header="0"/>
          <w:type w:val="continuous"/>
        </w:sectPr>
      </w:pPr>
    </w:p>
    <w:p>
      <w:pPr>
        <w:spacing w:after="0" w:line="177" w:lineRule="exact"/>
        <w:rPr>
          <w:sz w:val="20"/>
          <w:szCs w:val="20"/>
          <w:color w:val="auto"/>
        </w:rPr>
      </w:pPr>
    </w:p>
    <w:p>
      <w:pPr>
        <w:ind w:left="960"/>
        <w:spacing w:after="0"/>
        <w:rPr>
          <w:sz w:val="20"/>
          <w:szCs w:val="20"/>
          <w:color w:val="auto"/>
        </w:rPr>
      </w:pPr>
      <w:r>
        <w:rPr>
          <w:rFonts w:ascii="Arial" w:cs="Arial" w:eastAsia="Arial" w:hAnsi="Arial"/>
          <w:sz w:val="23"/>
          <w:szCs w:val="23"/>
          <w:color w:val="0C426A"/>
        </w:rPr>
        <w:t>Householding</w:t>
      </w:r>
    </w:p>
    <w:p>
      <w:pPr>
        <w:spacing w:after="0" w:line="181" w:lineRule="exact"/>
        <w:rPr>
          <w:sz w:val="20"/>
          <w:szCs w:val="20"/>
          <w:color w:val="auto"/>
        </w:rPr>
      </w:pPr>
    </w:p>
    <w:p>
      <w:pPr>
        <w:ind w:left="960" w:right="980"/>
        <w:spacing w:after="0" w:line="247" w:lineRule="auto"/>
        <w:rPr>
          <w:sz w:val="20"/>
          <w:szCs w:val="20"/>
          <w:color w:val="auto"/>
        </w:rPr>
      </w:pPr>
      <w:r>
        <w:rPr>
          <w:rFonts w:ascii="Arial" w:cs="Arial" w:eastAsia="Arial" w:hAnsi="Arial"/>
          <w:sz w:val="16"/>
          <w:szCs w:val="16"/>
          <w:color w:val="auto"/>
        </w:rPr>
        <w:t>The SEC has adopted rules that permit companies and intermediaries such as brokers to satisfy delivery requirements for Notices and other proxy materials with respect to two or more stockholders sharing the same address by delivering a single Notice and set of proxy materials addressed to those stockholders. This process, which is commonly referred to as “householding,” potentially provides extra convenience for stockholders and cost savings for companies. We and some brokers household proxy materials, delivering a single copy of our Notice and proxy materials to multiple stockholders sharing an address unless contrary instructions have been received from the affected stockholders. Once stockholders have received notice from their broker or us that materials will be sent in the householding manner to the stockholder’s address, householding will continue until we or the broker are otherwise notified or until the stockholder revokes such consent. If, at any time, (i) stockholders sharing an address and receiving multiple copies of our Notice and other proxy materials wish to opt in to householding and receive a single copy of our proxy materials or (ii) stockholders no longer wish to participate in householding and would prefer to receive a separate Notice or other proxy materials in the future, they should notify their broker if shares are held in a brokerage account; if holding registered shares, they should call (866) 540-7095 or write to the following address: 51 Mercedes Way, Edgewood, NY 11717 .</w:t>
      </w:r>
    </w:p>
    <w:p>
      <w:pPr>
        <w:spacing w:after="0" w:line="136" w:lineRule="exact"/>
        <w:rPr>
          <w:sz w:val="20"/>
          <w:szCs w:val="20"/>
          <w:color w:val="auto"/>
        </w:rPr>
      </w:pPr>
    </w:p>
    <w:p>
      <w:pPr>
        <w:ind w:left="960" w:right="1100"/>
        <w:spacing w:after="0" w:line="254" w:lineRule="auto"/>
        <w:rPr>
          <w:sz w:val="20"/>
          <w:szCs w:val="20"/>
          <w:color w:val="auto"/>
        </w:rPr>
      </w:pPr>
      <w:r>
        <w:rPr>
          <w:rFonts w:ascii="Arial" w:cs="Arial" w:eastAsia="Arial" w:hAnsi="Arial"/>
          <w:sz w:val="16"/>
          <w:szCs w:val="16"/>
          <w:color w:val="auto"/>
        </w:rPr>
        <w:t>Any beneficial owner who has received a single copy of a Notice or other proxy materials at a shared address can request to receive a separate copy of such materials for this 2024 Annual Meeting by written or oral request and we will promptly deliver a separate copy in the format requested. To receive separate copies of those materials for this or for future meetings, please request by telephone, internet, e-mail or mail by following the instructions found on the Notice that you have received or by making your request in writing to your broker or to us, as appropriate.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9140" w:type="dxa"/>
            <w:vAlign w:val="bottom"/>
          </w:tcPr>
          <w:p>
            <w:pPr>
              <w:ind w:left="636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24"/>
                <w:szCs w:val="24"/>
                <w:color w:val="636466"/>
              </w:rPr>
              <w:t xml:space="preserve">   /</w:t>
            </w:r>
            <w:r>
              <w:rPr>
                <w:rFonts w:ascii="Arial" w:cs="Arial" w:eastAsia="Arial" w:hAnsi="Arial"/>
                <w:sz w:val="24"/>
                <w:szCs w:val="24"/>
                <w:color w:val="auto"/>
              </w:rPr>
              <w:t xml:space="preserve"> </w:t>
            </w:r>
          </w:p>
        </w:tc>
        <w:tc>
          <w:tcPr>
            <w:tcW w:w="1800" w:type="dxa"/>
            <w:vAlign w:val="bottom"/>
          </w:tcPr>
          <w:p>
            <w:pPr>
              <w:jc w:val="right"/>
              <w:ind w:right="909"/>
              <w:spacing w:after="0"/>
              <w:rPr>
                <w:sz w:val="20"/>
                <w:szCs w:val="20"/>
                <w:color w:val="auto"/>
              </w:rPr>
            </w:pPr>
            <w:r>
              <w:rPr>
                <w:rFonts w:ascii="Arial" w:cs="Arial" w:eastAsia="Arial" w:hAnsi="Arial"/>
                <w:sz w:val="14"/>
                <w:szCs w:val="14"/>
                <w:b w:val="1"/>
                <w:bCs w:val="1"/>
                <w:color w:val="auto"/>
              </w:rPr>
              <w:t>83</w:t>
            </w:r>
          </w:p>
        </w:tc>
      </w:tr>
      <w:tr>
        <w:trPr>
          <w:trHeight w:val="355"/>
        </w:trPr>
        <w:tc>
          <w:tcPr>
            <w:tcW w:w="9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-407670</wp:posOffset>
            </wp:positionV>
            <wp:extent cx="501650" cy="17018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4" w:right="47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Questions and Answers Relating to the Annual Meeting</w:t>
      </w:r>
    </w:p>
    <w:p>
      <w:pPr>
        <w:spacing w:after="0" w:line="143" w:lineRule="exact"/>
        <w:rPr>
          <w:sz w:val="20"/>
          <w:szCs w:val="20"/>
          <w:color w:val="auto"/>
        </w:rPr>
      </w:pPr>
    </w:p>
    <w:p>
      <w:pPr>
        <w:spacing w:after="0"/>
        <w:rPr>
          <w:sz w:val="20"/>
          <w:szCs w:val="20"/>
          <w:color w:val="auto"/>
        </w:rPr>
      </w:pPr>
      <w:r>
        <w:rPr>
          <w:rFonts w:ascii="Arial" w:cs="Arial" w:eastAsia="Arial" w:hAnsi="Arial"/>
          <w:sz w:val="23"/>
          <w:szCs w:val="23"/>
          <w:color w:val="0C426A"/>
        </w:rPr>
        <w:t>Other Business</w:t>
      </w:r>
    </w:p>
    <w:p>
      <w:pPr>
        <w:spacing w:after="0" w:line="181" w:lineRule="exact"/>
        <w:rPr>
          <w:sz w:val="20"/>
          <w:szCs w:val="20"/>
          <w:color w:val="auto"/>
        </w:rPr>
      </w:pPr>
    </w:p>
    <w:p>
      <w:pPr>
        <w:ind w:right="519"/>
        <w:spacing w:after="0" w:line="282" w:lineRule="auto"/>
        <w:rPr>
          <w:sz w:val="20"/>
          <w:szCs w:val="20"/>
          <w:color w:val="auto"/>
        </w:rPr>
      </w:pPr>
      <w:r>
        <w:rPr>
          <w:rFonts w:ascii="Arial" w:cs="Arial" w:eastAsia="Arial" w:hAnsi="Arial"/>
          <w:sz w:val="16"/>
          <w:szCs w:val="16"/>
          <w:color w:val="auto"/>
        </w:rPr>
        <w:t>We do not expect any business to come before the Annual Meeting other than the proposals described in this Proxy Statement. If other business is properly raised, your proxy authorizes its holder to vote according to their best judgment.</w:t>
      </w:r>
    </w:p>
    <w:p>
      <w:pPr>
        <w:spacing w:after="0" w:line="140" w:lineRule="exact"/>
        <w:rPr>
          <w:sz w:val="20"/>
          <w:szCs w:val="20"/>
          <w:color w:val="auto"/>
        </w:rPr>
      </w:pPr>
    </w:p>
    <w:p>
      <w:pPr>
        <w:spacing w:after="0"/>
        <w:rPr>
          <w:sz w:val="20"/>
          <w:szCs w:val="20"/>
          <w:color w:val="auto"/>
        </w:rPr>
      </w:pPr>
      <w:r>
        <w:rPr>
          <w:rFonts w:ascii="Arial" w:cs="Arial" w:eastAsia="Arial" w:hAnsi="Arial"/>
          <w:sz w:val="23"/>
          <w:szCs w:val="23"/>
          <w:color w:val="0C426A"/>
        </w:rPr>
        <w:t>Expenses of Solicitation</w:t>
      </w:r>
    </w:p>
    <w:p>
      <w:pPr>
        <w:spacing w:after="0" w:line="181" w:lineRule="exact"/>
        <w:rPr>
          <w:sz w:val="20"/>
          <w:szCs w:val="20"/>
          <w:color w:val="auto"/>
        </w:rPr>
      </w:pPr>
    </w:p>
    <w:p>
      <w:pPr>
        <w:ind w:right="139"/>
        <w:spacing w:after="0" w:line="254" w:lineRule="auto"/>
        <w:rPr>
          <w:sz w:val="20"/>
          <w:szCs w:val="20"/>
          <w:color w:val="auto"/>
        </w:rPr>
      </w:pPr>
      <w:r>
        <w:rPr>
          <w:rFonts w:ascii="Arial" w:cs="Arial" w:eastAsia="Arial" w:hAnsi="Arial"/>
          <w:sz w:val="16"/>
          <w:szCs w:val="16"/>
          <w:color w:val="auto"/>
        </w:rPr>
        <w:t>Officers and employees may solicit proxies in person by telephone or facsimile. Wabtec pays no costs for proxy solicitation to any third party. Wabtec will pay approximately $50,000 to Broadridge Financial Solutions, Inc. (exclusive of mailing fees) for sending the Notice, providing the Internet site for our proxy materials and providing proxy materials to any stockholder who requests them. We will also reimburse other nominees, custodians or fiduciaries who forward these materials to stockholders for their reasonable expenses in doing so.</w:t>
      </w:r>
    </w:p>
    <w:p>
      <w:pPr>
        <w:spacing w:after="0" w:line="161" w:lineRule="exact"/>
        <w:rPr>
          <w:sz w:val="20"/>
          <w:szCs w:val="20"/>
          <w:color w:val="auto"/>
        </w:rPr>
      </w:pPr>
    </w:p>
    <w:p>
      <w:pPr>
        <w:spacing w:after="0"/>
        <w:rPr>
          <w:sz w:val="20"/>
          <w:szCs w:val="20"/>
          <w:color w:val="auto"/>
        </w:rPr>
      </w:pPr>
      <w:r>
        <w:rPr>
          <w:rFonts w:ascii="Arial" w:cs="Arial" w:eastAsia="Arial" w:hAnsi="Arial"/>
          <w:sz w:val="23"/>
          <w:szCs w:val="23"/>
          <w:color w:val="0C426A"/>
        </w:rPr>
        <w:t>How to Submit Stockholder Proposals and Nominations for Next Year?</w:t>
      </w:r>
    </w:p>
    <w:p>
      <w:pPr>
        <w:spacing w:after="0" w:line="181" w:lineRule="exact"/>
        <w:rPr>
          <w:sz w:val="20"/>
          <w:szCs w:val="20"/>
          <w:color w:val="auto"/>
        </w:rPr>
      </w:pPr>
    </w:p>
    <w:p>
      <w:pPr>
        <w:ind w:right="39"/>
        <w:spacing w:after="0" w:line="282" w:lineRule="auto"/>
        <w:rPr>
          <w:sz w:val="20"/>
          <w:szCs w:val="20"/>
          <w:color w:val="auto"/>
        </w:rPr>
      </w:pPr>
      <w:r>
        <w:rPr>
          <w:rFonts w:ascii="Arial" w:cs="Arial" w:eastAsia="Arial" w:hAnsi="Arial"/>
          <w:sz w:val="16"/>
          <w:szCs w:val="16"/>
          <w:color w:val="auto"/>
        </w:rPr>
        <w:t>To be included in the proxy for the 2025 annual meeting, stockholder proposals must be submitted by December 5, 2024. Only proposals submitted on time may be eligible for inclusion in our Proxy Statement.</w:t>
      </w:r>
    </w:p>
    <w:p>
      <w:pPr>
        <w:spacing w:after="0" w:line="103" w:lineRule="exact"/>
        <w:rPr>
          <w:sz w:val="20"/>
          <w:szCs w:val="20"/>
          <w:color w:val="auto"/>
        </w:rPr>
      </w:pPr>
    </w:p>
    <w:p>
      <w:pPr>
        <w:ind w:right="199"/>
        <w:spacing w:after="0" w:line="263" w:lineRule="auto"/>
        <w:rPr>
          <w:sz w:val="20"/>
          <w:szCs w:val="20"/>
          <w:color w:val="auto"/>
        </w:rPr>
      </w:pPr>
      <w:r>
        <w:rPr>
          <w:rFonts w:ascii="Arial" w:cs="Arial" w:eastAsia="Arial" w:hAnsi="Arial"/>
          <w:sz w:val="16"/>
          <w:szCs w:val="16"/>
          <w:color w:val="auto"/>
        </w:rPr>
        <w:t>Our amended and restated by-laws require that notice of business to be properly brought before the 2025 Annual Meeting of stockholders must be submitted to us between January 4, 2025 and February 3, 2025. Only matters for which we receive timely notice and in accordance with our amended and restated by-laws may be brought before the 2025 Annual Meeting.</w:t>
      </w:r>
    </w:p>
    <w:p>
      <w:pPr>
        <w:spacing w:after="0" w:line="118" w:lineRule="exact"/>
        <w:rPr>
          <w:sz w:val="20"/>
          <w:szCs w:val="20"/>
          <w:color w:val="auto"/>
        </w:rPr>
      </w:pPr>
    </w:p>
    <w:p>
      <w:pPr>
        <w:ind w:right="19"/>
        <w:spacing w:after="0" w:line="250" w:lineRule="auto"/>
        <w:rPr>
          <w:sz w:val="20"/>
          <w:szCs w:val="20"/>
          <w:color w:val="auto"/>
        </w:rPr>
      </w:pPr>
      <w:r>
        <w:rPr>
          <w:rFonts w:ascii="Arial" w:cs="Arial" w:eastAsia="Arial" w:hAnsi="Arial"/>
          <w:sz w:val="16"/>
          <w:szCs w:val="16"/>
          <w:color w:val="auto"/>
        </w:rPr>
        <w:t>The Governance Committee will consider director nominees recommended by stockholders. Stockholders wishing to recommend a director candidate for consideration by the Governance Committee can do so by writing the Secretary of Wabtec at 30 Isabella Street, Pittsburgh, PA 15212 and providing the information required under our amended and restated by-laws, including, but not limited to the candidate’s name, biographical data and qualifications. Any such recommendation should be accompanied by a written statement from the individual of their consent to be named as a candidate and, if nominated and elected, to serve as a director. No candidates for Board membership have been put forward by stockholders for election at the 2024 Annual Meeting of stockholders.</w:t>
      </w:r>
    </w:p>
    <w:p>
      <w:pPr>
        <w:spacing w:after="0" w:line="131" w:lineRule="exact"/>
        <w:rPr>
          <w:sz w:val="20"/>
          <w:szCs w:val="20"/>
          <w:color w:val="auto"/>
        </w:rPr>
      </w:pPr>
    </w:p>
    <w:p>
      <w:pPr>
        <w:ind w:right="79"/>
        <w:spacing w:after="0" w:line="250" w:lineRule="auto"/>
        <w:rPr>
          <w:sz w:val="20"/>
          <w:szCs w:val="20"/>
          <w:color w:val="auto"/>
        </w:rPr>
      </w:pPr>
      <w:r>
        <w:rPr>
          <w:rFonts w:ascii="Arial" w:cs="Arial" w:eastAsia="Arial" w:hAnsi="Arial"/>
          <w:sz w:val="16"/>
          <w:szCs w:val="16"/>
          <w:color w:val="auto"/>
        </w:rPr>
        <w:t>Our amended and restated by-laws require that for a stockholder to recommend a director nominee, notice in writing must be delivered to the Secretary of Wabtec no later than the 60th day and no earlier than the 90th day prior to the first anniversary of the previous year’s annual meeting proxy statement. Our amended and restated by-laws also permit a stockholder, or a group of up to 20 stockholders, that has owned at least three percent of our outstanding Common Stock continuously for at least three years to nominate and include in our proxy statement candidates for our Board, subject to certain requirements set forth in our amended and restated by-laws. Each stockholder, or group of stockholders, may nominate candidates for director, up to a limit of the greater of two or 20 percent of the number of directors on the Board. Any nominee must meet the qualification standards listed in our amended and restated by-laws.</w:t>
      </w:r>
    </w:p>
    <w:p>
      <w:pPr>
        <w:spacing w:after="0" w:line="127" w:lineRule="exact"/>
        <w:rPr>
          <w:sz w:val="20"/>
          <w:szCs w:val="20"/>
          <w:color w:val="auto"/>
        </w:rPr>
      </w:pPr>
    </w:p>
    <w:p>
      <w:pPr>
        <w:ind w:right="39"/>
        <w:spacing w:after="0" w:line="250" w:lineRule="auto"/>
        <w:rPr>
          <w:sz w:val="20"/>
          <w:szCs w:val="20"/>
          <w:color w:val="auto"/>
        </w:rPr>
      </w:pPr>
      <w:r>
        <w:rPr>
          <w:rFonts w:ascii="Arial" w:cs="Arial" w:eastAsia="Arial" w:hAnsi="Arial"/>
          <w:sz w:val="16"/>
          <w:szCs w:val="16"/>
          <w:color w:val="auto"/>
        </w:rPr>
        <w:t>An eligible stockholder, or eligible group of stockholders, that wants to nominate a candidate for election to the Board pursuant to the proxy access provisions of our amended and restated by-laws must follow the procedures stated in Article II, Section 10 of our amended and restated by-laws. These procedures include the requirement that your nomination must be delivered to Wabtec’s Secretary not later than the close of business on the 120th day or earlier than the close of business on the 150th day prior to the first anniversary of the preceding year’s annual meeting. If the date of the annual meeting is more than 30 days before or more than 60 days after such anniversary date, your notice must be delivered not later than the 120th day prior to such annual meeting or, if later, the 10th day following the day we publicly announce the date of the 2025 annual meeting of stockholders.</w:t>
      </w:r>
    </w:p>
    <w:p>
      <w:pPr>
        <w:spacing w:after="0" w:line="127" w:lineRule="exact"/>
        <w:rPr>
          <w:sz w:val="20"/>
          <w:szCs w:val="20"/>
          <w:color w:val="auto"/>
        </w:rPr>
      </w:pPr>
    </w:p>
    <w:p>
      <w:pPr>
        <w:ind w:right="79"/>
        <w:spacing w:after="0" w:line="248" w:lineRule="auto"/>
        <w:rPr>
          <w:sz w:val="20"/>
          <w:szCs w:val="20"/>
          <w:color w:val="auto"/>
        </w:rPr>
      </w:pPr>
      <w:r>
        <w:rPr>
          <w:rFonts w:ascii="Arial" w:cs="Arial" w:eastAsia="Arial" w:hAnsi="Arial"/>
          <w:sz w:val="16"/>
          <w:szCs w:val="16"/>
          <w:color w:val="auto"/>
        </w:rPr>
        <w:t>In addition to satisfying the foregoing requirements under amended and restated by-laws, to comply with the universal proxy rules, stockholders who intend to solicit proxies in support of director nominees other than Wabtec’s nominees must provide notice that sets forth the information required by Rule 14a-19 under the Exchange Act (including a statement that such stockholder intends to solicit the holders of shares representing at least 67% of the voting power of the Company’s shares entitled to vote on the election of directors in support of director nominees other than Wabtec’s nominees), which notice must be postmarked or transmitted electronically to Wabtec at its principal executive offices no later than 60 calendar days prior to the anniversary date of the 2024 Annual Meeting (for the 2025 Annual Meeting, no later than March 18, 2025). However, if the date of the 2025 Annual Meeting is changed by more than 30 calendar days from such anniversary date, then notice must be provided by the later of 60 calendar days prior to the date of the 2025 Annual Meeting or the 10th calendar day following the day on which public announcement of the date of the 2025 Annual Meeting is first made by Wabtec.</w:t>
      </w:r>
    </w:p>
    <w:p>
      <w:pPr>
        <w:spacing w:after="0" w:line="134" w:lineRule="exact"/>
        <w:rPr>
          <w:sz w:val="20"/>
          <w:szCs w:val="20"/>
          <w:color w:val="auto"/>
        </w:rPr>
      </w:pPr>
    </w:p>
    <w:p>
      <w:pPr>
        <w:ind w:right="179"/>
        <w:spacing w:after="0" w:line="282" w:lineRule="auto"/>
        <w:rPr>
          <w:sz w:val="20"/>
          <w:szCs w:val="20"/>
          <w:color w:val="auto"/>
        </w:rPr>
      </w:pPr>
      <w:r>
        <w:rPr>
          <w:rFonts w:ascii="Arial" w:cs="Arial" w:eastAsia="Arial" w:hAnsi="Arial"/>
          <w:sz w:val="16"/>
          <w:szCs w:val="16"/>
          <w:color w:val="auto"/>
        </w:rPr>
        <w:t>Stockholders are urged to review all applicable rules and consult legal counsel before submitting a nomination or proposal to Wabtec.</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760" w:type="dxa"/>
            <w:vAlign w:val="bottom"/>
          </w:tcPr>
          <w:p>
            <w:pPr>
              <w:jc w:val="right"/>
              <w:ind w:right="529"/>
              <w:spacing w:after="0"/>
              <w:rPr>
                <w:sz w:val="20"/>
                <w:szCs w:val="20"/>
                <w:color w:val="auto"/>
              </w:rPr>
            </w:pPr>
            <w:r>
              <w:rPr>
                <w:rFonts w:ascii="Arial" w:cs="Arial" w:eastAsia="Arial" w:hAnsi="Arial"/>
                <w:sz w:val="14"/>
                <w:szCs w:val="14"/>
                <w:b w:val="1"/>
                <w:bCs w:val="1"/>
                <w:color w:val="auto"/>
                <w:w w:val="89"/>
              </w:rPr>
              <w:t>84</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 xml:space="preserve">    </w:t>
            </w:r>
          </w:p>
        </w:tc>
        <w:tc>
          <w:tcPr>
            <w:tcW w:w="1820" w:type="dxa"/>
            <w:vAlign w:val="bottom"/>
            <w:vMerge w:val="restart"/>
          </w:tcPr>
          <w:p>
            <w:pPr>
              <w:ind w:left="60"/>
              <w:spacing w:after="0"/>
              <w:rPr>
                <w:sz w:val="20"/>
                <w:szCs w:val="20"/>
                <w:color w:val="auto"/>
              </w:rPr>
            </w:pPr>
            <w:r>
              <w:rPr>
                <w:rFonts w:ascii="Arial" w:cs="Arial" w:eastAsia="Arial" w:hAnsi="Arial"/>
                <w:sz w:val="25"/>
                <w:szCs w:val="25"/>
                <w:color w:val="636466"/>
                <w:w w:val="96"/>
              </w:rPr>
              <w:t>/</w:t>
            </w:r>
            <w:r>
              <w:rPr>
                <w:rFonts w:ascii="Arial" w:cs="Arial" w:eastAsia="Arial" w:hAnsi="Arial"/>
                <w:sz w:val="28"/>
                <w:szCs w:val="28"/>
                <w:color w:val="000000"/>
                <w:w w:val="96"/>
                <w:vertAlign w:val="subscript"/>
              </w:rPr>
              <w:t xml:space="preserve">    </w:t>
            </w:r>
            <w:r>
              <w:rPr>
                <w:rFonts w:ascii="Arial" w:cs="Arial" w:eastAsia="Arial" w:hAnsi="Arial"/>
                <w:sz w:val="25"/>
                <w:szCs w:val="25"/>
                <w:color w:val="636466"/>
                <w:w w:val="96"/>
              </w:rPr>
              <w:t xml:space="preserve">  </w:t>
            </w:r>
            <w:r>
              <w:rPr>
                <w:rFonts w:ascii="Arial" w:cs="Arial" w:eastAsia="Arial" w:hAnsi="Arial"/>
                <w:sz w:val="14"/>
                <w:szCs w:val="14"/>
                <w:color w:val="000000"/>
                <w:w w:val="96"/>
              </w:rPr>
              <w:t>2024 Proxy Statement</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170180</wp:posOffset>
            </wp:positionV>
            <wp:extent cx="693801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-220345</wp:posOffset>
            </wp:positionV>
            <wp:extent cx="501650" cy="17018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87" w:name="page88"/>
    <w:bookmarkEnd w:id="87"/>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p>
      <w:pPr>
        <w:ind w:left="960"/>
        <w:spacing w:after="0"/>
        <w:rPr>
          <w:sz w:val="20"/>
          <w:szCs w:val="20"/>
          <w:color w:val="auto"/>
        </w:rPr>
      </w:pPr>
      <w:r>
        <w:rPr>
          <w:rFonts w:ascii="Arial" w:cs="Arial" w:eastAsia="Arial" w:hAnsi="Arial"/>
          <w:sz w:val="43"/>
          <w:szCs w:val="43"/>
          <w:color w:val="E02826"/>
        </w:rPr>
        <w:t>Appendix</w:t>
      </w:r>
    </w:p>
    <w:p>
      <w:pPr>
        <w:spacing w:after="0" w:line="243" w:lineRule="exact"/>
        <w:rPr>
          <w:sz w:val="20"/>
          <w:szCs w:val="20"/>
          <w:color w:val="auto"/>
        </w:rPr>
      </w:pPr>
    </w:p>
    <w:p>
      <w:pPr>
        <w:ind w:left="960" w:right="1160"/>
        <w:spacing w:after="0" w:line="250" w:lineRule="auto"/>
        <w:rPr>
          <w:sz w:val="20"/>
          <w:szCs w:val="20"/>
          <w:color w:val="auto"/>
        </w:rPr>
      </w:pPr>
      <w:r>
        <w:rPr>
          <w:rFonts w:ascii="Arial" w:cs="Arial" w:eastAsia="Arial" w:hAnsi="Arial"/>
          <w:sz w:val="16"/>
          <w:szCs w:val="16"/>
          <w:color w:val="auto"/>
        </w:rPr>
        <w:t>Set forth below is the calculation of the non-GAAP performance measures included in this proxy statement. We believe that these measures provide useful supplemental information to assess our operating performance and to evaluate period-to-period comparisons. Non-GAAP financial measures should be viewed in addition to, and not as an alternative for, Wabtec’s reported results prepared in accordance with GAAP. Non-GAAP financial measures have inherent material limitations as performance measures because they add back certain expenses incurred by us to GAAP financial measures, resulting in those expenses not being taken into account in the applicable non-GAAP financial measure. Because not all companies use identical calculations, our presentation of non- GAAP financial measures may not be comparable to other similarly titled measures of other companies.</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Wabtec Corporation Reconciliation of Reported Results to Adjusted Results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5"/>
          </w:tcPr>
          <w:p>
            <w:pPr>
              <w:ind w:left="140"/>
              <w:spacing w:after="0"/>
              <w:rPr>
                <w:sz w:val="20"/>
                <w:szCs w:val="20"/>
                <w:color w:val="auto"/>
              </w:rPr>
            </w:pPr>
            <w:r>
              <w:rPr>
                <w:rFonts w:ascii="Arial" w:cs="Arial" w:eastAsia="Arial" w:hAnsi="Arial"/>
                <w:sz w:val="12"/>
                <w:szCs w:val="12"/>
                <w:b w:val="1"/>
                <w:bCs w:val="1"/>
                <w:color w:val="auto"/>
              </w:rPr>
              <w:t>2023 Actual Results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0C426A"/>
            </w:tcBorders>
          </w:tcPr>
          <w:p>
            <w:pPr>
              <w:spacing w:after="0"/>
              <w:rPr>
                <w:sz w:val="14"/>
                <w:szCs w:val="14"/>
                <w:color w:val="auto"/>
              </w:rPr>
            </w:pPr>
          </w:p>
        </w:tc>
        <w:tc>
          <w:tcPr>
            <w:tcW w:w="460" w:type="dxa"/>
            <w:vAlign w:val="bottom"/>
            <w:tcBorders>
              <w:bottom w:val="single" w:sz="8" w:color="0C426A"/>
            </w:tcBorders>
          </w:tcPr>
          <w:p>
            <w:pPr>
              <w:spacing w:after="0"/>
              <w:rPr>
                <w:sz w:val="14"/>
                <w:szCs w:val="14"/>
                <w:color w:val="auto"/>
              </w:rPr>
            </w:pPr>
          </w:p>
        </w:tc>
        <w:tc>
          <w:tcPr>
            <w:tcW w:w="60" w:type="dxa"/>
            <w:vAlign w:val="bottom"/>
            <w:tcBorders>
              <w:bottom w:val="single" w:sz="8" w:color="0C426A"/>
            </w:tcBorders>
          </w:tcPr>
          <w:p>
            <w:pPr>
              <w:spacing w:after="0"/>
              <w:rPr>
                <w:sz w:val="14"/>
                <w:szCs w:val="14"/>
                <w:color w:val="auto"/>
              </w:rPr>
            </w:pPr>
          </w:p>
        </w:tc>
        <w:tc>
          <w:tcPr>
            <w:tcW w:w="120" w:type="dxa"/>
            <w:vAlign w:val="bottom"/>
            <w:tcBorders>
              <w:bottom w:val="single" w:sz="8" w:color="0C426A"/>
            </w:tcBorders>
          </w:tcPr>
          <w:p>
            <w:pPr>
              <w:spacing w:after="0"/>
              <w:rPr>
                <w:sz w:val="14"/>
                <w:szCs w:val="14"/>
                <w:color w:val="auto"/>
              </w:rPr>
            </w:pPr>
          </w:p>
        </w:tc>
        <w:tc>
          <w:tcPr>
            <w:tcW w:w="440" w:type="dxa"/>
            <w:vAlign w:val="bottom"/>
            <w:tcBorders>
              <w:bottom w:val="single" w:sz="8" w:color="0C426A"/>
            </w:tcBorders>
          </w:tcPr>
          <w:p>
            <w:pPr>
              <w:spacing w:after="0"/>
              <w:rPr>
                <w:sz w:val="14"/>
                <w:szCs w:val="14"/>
                <w:color w:val="auto"/>
              </w:rPr>
            </w:pPr>
          </w:p>
        </w:tc>
        <w:tc>
          <w:tcPr>
            <w:tcW w:w="60" w:type="dxa"/>
            <w:vAlign w:val="bottom"/>
            <w:tcBorders>
              <w:bottom w:val="single" w:sz="8" w:color="0C426A"/>
            </w:tcBorders>
          </w:tcPr>
          <w:p>
            <w:pPr>
              <w:spacing w:after="0"/>
              <w:rPr>
                <w:sz w:val="14"/>
                <w:szCs w:val="14"/>
                <w:color w:val="auto"/>
              </w:rPr>
            </w:pPr>
          </w:p>
        </w:tc>
        <w:tc>
          <w:tcPr>
            <w:tcW w:w="120" w:type="dxa"/>
            <w:vAlign w:val="bottom"/>
            <w:tcBorders>
              <w:bottom w:val="single" w:sz="8" w:color="0C426A"/>
            </w:tcBorders>
          </w:tcPr>
          <w:p>
            <w:pPr>
              <w:spacing w:after="0"/>
              <w:rPr>
                <w:sz w:val="14"/>
                <w:szCs w:val="14"/>
                <w:color w:val="auto"/>
              </w:rPr>
            </w:pPr>
          </w:p>
        </w:tc>
        <w:tc>
          <w:tcPr>
            <w:tcW w:w="640" w:type="dxa"/>
            <w:vAlign w:val="bottom"/>
            <w:tcBorders>
              <w:bottom w:val="single" w:sz="8" w:color="0C426A"/>
            </w:tcBorders>
          </w:tcPr>
          <w:p>
            <w:pPr>
              <w:spacing w:after="0"/>
              <w:rPr>
                <w:sz w:val="14"/>
                <w:szCs w:val="14"/>
                <w:color w:val="auto"/>
              </w:rPr>
            </w:pPr>
          </w:p>
        </w:tc>
        <w:tc>
          <w:tcPr>
            <w:tcW w:w="60" w:type="dxa"/>
            <w:vAlign w:val="bottom"/>
            <w:tcBorders>
              <w:bottom w:val="single" w:sz="8" w:color="0C426A"/>
            </w:tcBorders>
          </w:tcPr>
          <w:p>
            <w:pPr>
              <w:spacing w:after="0"/>
              <w:rPr>
                <w:sz w:val="14"/>
                <w:szCs w:val="14"/>
                <w:color w:val="auto"/>
              </w:rPr>
            </w:pPr>
          </w:p>
        </w:tc>
        <w:tc>
          <w:tcPr>
            <w:tcW w:w="120" w:type="dxa"/>
            <w:vAlign w:val="bottom"/>
            <w:tcBorders>
              <w:bottom w:val="single" w:sz="8" w:color="0C426A"/>
            </w:tcBorders>
          </w:tcPr>
          <w:p>
            <w:pPr>
              <w:spacing w:after="0"/>
              <w:rPr>
                <w:sz w:val="14"/>
                <w:szCs w:val="14"/>
                <w:color w:val="auto"/>
              </w:rPr>
            </w:pPr>
          </w:p>
        </w:tc>
        <w:tc>
          <w:tcPr>
            <w:tcW w:w="760" w:type="dxa"/>
            <w:vAlign w:val="bottom"/>
            <w:tcBorders>
              <w:bottom w:val="single" w:sz="8" w:color="0C426A"/>
            </w:tcBorders>
          </w:tcPr>
          <w:p>
            <w:pPr>
              <w:spacing w:after="0"/>
              <w:rPr>
                <w:sz w:val="14"/>
                <w:szCs w:val="14"/>
                <w:color w:val="auto"/>
              </w:rPr>
            </w:pPr>
          </w:p>
        </w:tc>
        <w:tc>
          <w:tcPr>
            <w:tcW w:w="160" w:type="dxa"/>
            <w:vAlign w:val="bottom"/>
            <w:tcBorders>
              <w:bottom w:val="single" w:sz="8" w:color="0C426A"/>
            </w:tcBorders>
          </w:tcPr>
          <w:p>
            <w:pPr>
              <w:spacing w:after="0"/>
              <w:rPr>
                <w:sz w:val="14"/>
                <w:szCs w:val="14"/>
                <w:color w:val="auto"/>
              </w:rPr>
            </w:pPr>
          </w:p>
        </w:tc>
        <w:tc>
          <w:tcPr>
            <w:tcW w:w="540" w:type="dxa"/>
            <w:vAlign w:val="bottom"/>
            <w:tcBorders>
              <w:bottom w:val="single" w:sz="8" w:color="0C426A"/>
            </w:tcBorders>
          </w:tcPr>
          <w:p>
            <w:pPr>
              <w:spacing w:after="0"/>
              <w:rPr>
                <w:sz w:val="14"/>
                <w:szCs w:val="14"/>
                <w:color w:val="auto"/>
              </w:rPr>
            </w:pPr>
          </w:p>
        </w:tc>
        <w:tc>
          <w:tcPr>
            <w:tcW w:w="60" w:type="dxa"/>
            <w:vAlign w:val="bottom"/>
            <w:tcBorders>
              <w:bottom w:val="single" w:sz="8" w:color="0C426A"/>
            </w:tcBorders>
          </w:tcPr>
          <w:p>
            <w:pPr>
              <w:spacing w:after="0"/>
              <w:rPr>
                <w:sz w:val="14"/>
                <w:szCs w:val="14"/>
                <w:color w:val="auto"/>
              </w:rPr>
            </w:pPr>
          </w:p>
        </w:tc>
        <w:tc>
          <w:tcPr>
            <w:tcW w:w="120" w:type="dxa"/>
            <w:vAlign w:val="bottom"/>
            <w:tcBorders>
              <w:bottom w:val="single" w:sz="8" w:color="0C426A"/>
            </w:tcBorders>
          </w:tcPr>
          <w:p>
            <w:pPr>
              <w:spacing w:after="0"/>
              <w:rPr>
                <w:sz w:val="14"/>
                <w:szCs w:val="14"/>
                <w:color w:val="auto"/>
              </w:rPr>
            </w:pPr>
          </w:p>
        </w:tc>
        <w:tc>
          <w:tcPr>
            <w:tcW w:w="500" w:type="dxa"/>
            <w:vAlign w:val="bottom"/>
            <w:tcBorders>
              <w:bottom w:val="single" w:sz="8" w:color="0C426A"/>
            </w:tcBorders>
          </w:tcPr>
          <w:p>
            <w:pPr>
              <w:spacing w:after="0"/>
              <w:rPr>
                <w:sz w:val="14"/>
                <w:szCs w:val="14"/>
                <w:color w:val="auto"/>
              </w:rPr>
            </w:pPr>
          </w:p>
        </w:tc>
        <w:tc>
          <w:tcPr>
            <w:tcW w:w="140" w:type="dxa"/>
            <w:vAlign w:val="bottom"/>
            <w:tcBorders>
              <w:bottom w:val="single" w:sz="8" w:color="0C426A"/>
            </w:tcBorders>
          </w:tcPr>
          <w:p>
            <w:pPr>
              <w:spacing w:after="0"/>
              <w:rPr>
                <w:sz w:val="14"/>
                <w:szCs w:val="14"/>
                <w:color w:val="auto"/>
              </w:rPr>
            </w:pPr>
          </w:p>
        </w:tc>
        <w:tc>
          <w:tcPr>
            <w:tcW w:w="220" w:type="dxa"/>
            <w:vAlign w:val="bottom"/>
            <w:tcBorders>
              <w:bottom w:val="single" w:sz="8" w:color="0C426A"/>
            </w:tcBorders>
          </w:tcPr>
          <w:p>
            <w:pPr>
              <w:spacing w:after="0"/>
              <w:rPr>
                <w:sz w:val="14"/>
                <w:szCs w:val="14"/>
                <w:color w:val="auto"/>
              </w:rPr>
            </w:pPr>
          </w:p>
        </w:tc>
        <w:tc>
          <w:tcPr>
            <w:tcW w:w="260" w:type="dxa"/>
            <w:vAlign w:val="bottom"/>
            <w:tcBorders>
              <w:bottom w:val="single" w:sz="8" w:color="0C426A"/>
            </w:tcBorders>
          </w:tcPr>
          <w:p>
            <w:pPr>
              <w:spacing w:after="0"/>
              <w:rPr>
                <w:sz w:val="14"/>
                <w:szCs w:val="14"/>
                <w:color w:val="auto"/>
              </w:rPr>
            </w:pPr>
          </w:p>
        </w:tc>
        <w:tc>
          <w:tcPr>
            <w:tcW w:w="60" w:type="dxa"/>
            <w:vAlign w:val="bottom"/>
            <w:tcBorders>
              <w:bottom w:val="single" w:sz="8" w:color="0C426A"/>
            </w:tcBorders>
          </w:tcPr>
          <w:p>
            <w:pPr>
              <w:spacing w:after="0"/>
              <w:rPr>
                <w:sz w:val="14"/>
                <w:szCs w:val="14"/>
                <w:color w:val="auto"/>
              </w:rPr>
            </w:pPr>
          </w:p>
        </w:tc>
        <w:tc>
          <w:tcPr>
            <w:tcW w:w="560" w:type="dxa"/>
            <w:vAlign w:val="bottom"/>
            <w:tcBorders>
              <w:bottom w:val="single" w:sz="8" w:color="0C426A"/>
            </w:tcBorders>
          </w:tcPr>
          <w:p>
            <w:pPr>
              <w:spacing w:after="0"/>
              <w:rPr>
                <w:sz w:val="14"/>
                <w:szCs w:val="14"/>
                <w:color w:val="auto"/>
              </w:rPr>
            </w:pPr>
          </w:p>
        </w:tc>
        <w:tc>
          <w:tcPr>
            <w:tcW w:w="520" w:type="dxa"/>
            <w:vAlign w:val="bottom"/>
            <w:tcBorders>
              <w:bottom w:val="single" w:sz="8" w:color="0C426A"/>
            </w:tcBorders>
          </w:tcPr>
          <w:p>
            <w:pPr>
              <w:spacing w:after="0"/>
              <w:rPr>
                <w:sz w:val="14"/>
                <w:szCs w:val="14"/>
                <w:color w:val="auto"/>
              </w:rPr>
            </w:pPr>
          </w:p>
        </w:tc>
        <w:tc>
          <w:tcPr>
            <w:tcW w:w="60" w:type="dxa"/>
            <w:vAlign w:val="bottom"/>
            <w:tcBorders>
              <w:bottom w:val="single" w:sz="8" w:color="0C426A"/>
            </w:tcBorders>
          </w:tcPr>
          <w:p>
            <w:pPr>
              <w:spacing w:after="0"/>
              <w:rPr>
                <w:sz w:val="14"/>
                <w:szCs w:val="14"/>
                <w:color w:val="auto"/>
              </w:rPr>
            </w:pPr>
          </w:p>
        </w:tc>
        <w:tc>
          <w:tcPr>
            <w:tcW w:w="120" w:type="dxa"/>
            <w:vAlign w:val="bottom"/>
            <w:tcBorders>
              <w:bottom w:val="single" w:sz="8" w:color="0C426A"/>
            </w:tcBorders>
          </w:tcPr>
          <w:p>
            <w:pPr>
              <w:spacing w:after="0"/>
              <w:rPr>
                <w:sz w:val="14"/>
                <w:szCs w:val="14"/>
                <w:color w:val="auto"/>
              </w:rPr>
            </w:pPr>
          </w:p>
        </w:tc>
        <w:tc>
          <w:tcPr>
            <w:tcW w:w="240" w:type="dxa"/>
            <w:vAlign w:val="bottom"/>
            <w:tcBorders>
              <w:bottom w:val="single" w:sz="8" w:color="0C426A"/>
            </w:tcBorders>
          </w:tcPr>
          <w:p>
            <w:pPr>
              <w:spacing w:after="0"/>
              <w:rPr>
                <w:sz w:val="14"/>
                <w:szCs w:val="14"/>
                <w:color w:val="auto"/>
              </w:rPr>
            </w:pPr>
          </w:p>
        </w:tc>
        <w:tc>
          <w:tcPr>
            <w:tcW w:w="260" w:type="dxa"/>
            <w:vAlign w:val="bottom"/>
            <w:tcBorders>
              <w:bottom w:val="single" w:sz="8" w:color="0C426A"/>
            </w:tcBorders>
          </w:tcPr>
          <w:p>
            <w:pPr>
              <w:spacing w:after="0"/>
              <w:rPr>
                <w:sz w:val="14"/>
                <w:szCs w:val="14"/>
                <w:color w:val="auto"/>
              </w:rPr>
            </w:pPr>
          </w:p>
        </w:tc>
        <w:tc>
          <w:tcPr>
            <w:tcW w:w="60" w:type="dxa"/>
            <w:vAlign w:val="bottom"/>
            <w:tcBorders>
              <w:bottom w:val="single" w:sz="8" w:color="0C426A"/>
            </w:tcBorders>
          </w:tcPr>
          <w:p>
            <w:pPr>
              <w:spacing w:after="0"/>
              <w:rPr>
                <w:sz w:val="14"/>
                <w:szCs w:val="14"/>
                <w:color w:val="auto"/>
              </w:rPr>
            </w:pPr>
          </w:p>
        </w:tc>
        <w:tc>
          <w:tcPr>
            <w:tcW w:w="160" w:type="dxa"/>
            <w:vAlign w:val="bottom"/>
            <w:tcBorders>
              <w:bottom w:val="single" w:sz="8" w:color="0C426A"/>
            </w:tcBorders>
          </w:tcPr>
          <w:p>
            <w:pPr>
              <w:spacing w:after="0"/>
              <w:rPr>
                <w:sz w:val="14"/>
                <w:szCs w:val="14"/>
                <w:color w:val="auto"/>
              </w:rPr>
            </w:pPr>
          </w:p>
        </w:tc>
        <w:tc>
          <w:tcPr>
            <w:tcW w:w="240" w:type="dxa"/>
            <w:vAlign w:val="bottom"/>
            <w:tcBorders>
              <w:bottom w:val="single" w:sz="8" w:color="0C426A"/>
            </w:tcBorders>
          </w:tcPr>
          <w:p>
            <w:pPr>
              <w:spacing w:after="0"/>
              <w:rPr>
                <w:sz w:val="14"/>
                <w:szCs w:val="14"/>
                <w:color w:val="auto"/>
              </w:rPr>
            </w:pPr>
          </w:p>
        </w:tc>
        <w:tc>
          <w:tcPr>
            <w:tcW w:w="280" w:type="dxa"/>
            <w:vAlign w:val="bottom"/>
            <w:tcBorders>
              <w:bottom w:val="single" w:sz="8" w:color="0C426A"/>
            </w:tcBorders>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Interest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980" w:type="dxa"/>
            <w:vAlign w:val="bottom"/>
          </w:tcPr>
          <w:p>
            <w:pPr>
              <w:spacing w:after="0"/>
              <w:rPr>
                <w:sz w:val="23"/>
                <w:szCs w:val="23"/>
                <w:color w:val="auto"/>
              </w:rPr>
            </w:pPr>
          </w:p>
        </w:tc>
        <w:tc>
          <w:tcPr>
            <w:tcW w:w="1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 in millions)</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gridSpan w:val="2"/>
          </w:tcPr>
          <w:p>
            <w:pPr>
              <w:jc w:val="right"/>
              <w:ind w:right="42"/>
              <w:spacing w:after="0"/>
              <w:rPr>
                <w:sz w:val="20"/>
                <w:szCs w:val="20"/>
                <w:color w:val="auto"/>
              </w:rPr>
            </w:pPr>
            <w:r>
              <w:rPr>
                <w:rFonts w:ascii="Arial" w:cs="Arial" w:eastAsia="Arial" w:hAnsi="Arial"/>
                <w:sz w:val="12"/>
                <w:szCs w:val="12"/>
                <w:b w:val="1"/>
                <w:bCs w:val="1"/>
                <w:color w:val="auto"/>
              </w:rPr>
              <w:t xml:space="preserve">Net </w:t>
            </w:r>
            <w:r>
              <w:rPr>
                <w:rFonts w:ascii="Times New Roman" w:cs="Times New Roman" w:eastAsia="Times New Roman" w:hAnsi="Times New Roman"/>
                <w:sz w:val="7"/>
                <w:szCs w:val="7"/>
                <w:color w:val="auto"/>
                <w:vertAlign w:val="superscript"/>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gridSpan w:val="2"/>
          </w:tcPr>
          <w:p>
            <w:pPr>
              <w:jc w:val="right"/>
              <w:ind w:right="31"/>
              <w:spacing w:after="0"/>
              <w:rPr>
                <w:sz w:val="20"/>
                <w:szCs w:val="20"/>
                <w:color w:val="auto"/>
              </w:rPr>
            </w:pPr>
            <w:r>
              <w:rPr>
                <w:rFonts w:ascii="Arial" w:cs="Arial" w:eastAsia="Arial" w:hAnsi="Arial"/>
                <w:sz w:val="12"/>
                <w:szCs w:val="12"/>
                <w:b w:val="1"/>
                <w:bCs w:val="1"/>
                <w:color w:val="auto"/>
              </w:rPr>
              <w:t>Gross</w:t>
            </w:r>
            <w:r>
              <w:rPr>
                <w:rFonts w:ascii="Times New Roman" w:cs="Times New Roman" w:eastAsia="Times New Roman" w:hAnsi="Times New Roman"/>
                <w:sz w:val="7"/>
                <w:szCs w:val="7"/>
                <w:color w:val="auto"/>
                <w:vertAlign w:val="superscript"/>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Operating</w:t>
            </w:r>
            <w:r>
              <w:rPr>
                <w:rFonts w:ascii="Times New Roman" w:cs="Times New Roman" w:eastAsia="Times New Roman" w:hAnsi="Times New Roman"/>
                <w:sz w:val="7"/>
                <w:szCs w:val="7"/>
                <w:color w:val="auto"/>
                <w:vertAlign w:val="superscript"/>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spacing w:after="0" w:line="267" w:lineRule="exact"/>
              <w:rPr>
                <w:sz w:val="20"/>
                <w:szCs w:val="20"/>
                <w:color w:val="auto"/>
              </w:rPr>
            </w:pPr>
            <w:r>
              <w:rPr>
                <w:rFonts w:ascii="Arial" w:cs="Arial" w:eastAsia="Arial" w:hAnsi="Arial"/>
                <w:sz w:val="24"/>
                <w:szCs w:val="24"/>
                <w:b w:val="1"/>
                <w:bCs w:val="1"/>
                <w:color w:val="auto"/>
                <w:w w:val="76"/>
                <w:vertAlign w:val="superscript"/>
              </w:rPr>
              <w:t>Income</w:t>
            </w:r>
            <w:r>
              <w:rPr>
                <w:rFonts w:ascii="Arial" w:cs="Arial" w:eastAsia="Arial" w:hAnsi="Arial"/>
                <w:sz w:val="24"/>
                <w:szCs w:val="24"/>
                <w:b w:val="1"/>
                <w:bCs w:val="1"/>
                <w:color w:val="auto"/>
                <w:w w:val="76"/>
                <w:vertAlign w:val="subscript"/>
              </w:rPr>
              <w:t>from</w:t>
            </w:r>
            <w:r>
              <w:rPr>
                <w:rFonts w:ascii="Times New Roman" w:cs="Times New Roman" w:eastAsia="Times New Roman" w:hAnsi="Times New Roman"/>
                <w:sz w:val="4"/>
                <w:szCs w:val="4"/>
                <w:color w:val="auto"/>
                <w:w w:val="76"/>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tcPr>
          <w:p>
            <w:pPr>
              <w:jc w:val="right"/>
              <w:ind w:right="42"/>
              <w:spacing w:after="0" w:line="267" w:lineRule="exact"/>
              <w:rPr>
                <w:sz w:val="20"/>
                <w:szCs w:val="20"/>
                <w:color w:val="auto"/>
              </w:rPr>
            </w:pPr>
            <w:r>
              <w:rPr>
                <w:rFonts w:ascii="Arial" w:cs="Arial" w:eastAsia="Arial" w:hAnsi="Arial"/>
                <w:sz w:val="12"/>
                <w:szCs w:val="12"/>
                <w:b w:val="1"/>
                <w:bCs w:val="1"/>
                <w:color w:val="auto"/>
              </w:rPr>
              <w:t>Other</w:t>
            </w:r>
            <w:r>
              <w:rPr>
                <w:rFonts w:ascii="Arial" w:cs="Arial" w:eastAsia="Arial" w:hAnsi="Arial"/>
                <w:sz w:val="24"/>
                <w:szCs w:val="24"/>
                <w:b w:val="1"/>
                <w:bCs w:val="1"/>
                <w:color w:val="auto"/>
                <w:vertAlign w:val="superscript"/>
              </w:rPr>
              <w:t>&amp;</w:t>
            </w:r>
            <w:r>
              <w:rPr>
                <w:rFonts w:ascii="Times New Roman" w:cs="Times New Roman" w:eastAsia="Times New Roman" w:hAnsi="Times New Roman"/>
                <w:sz w:val="7"/>
                <w:szCs w:val="7"/>
                <w:color w:val="auto"/>
                <w:vertAlign w:val="superscript"/>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jc w:val="right"/>
              <w:ind w:right="17"/>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spacing w:after="0"/>
              <w:rPr>
                <w:sz w:val="23"/>
                <w:szCs w:val="23"/>
                <w:color w:val="auto"/>
              </w:rPr>
            </w:pPr>
          </w:p>
        </w:tc>
        <w:tc>
          <w:tcPr>
            <w:tcW w:w="1460" w:type="dxa"/>
            <w:vAlign w:val="bottom"/>
            <w:gridSpan w:val="5"/>
          </w:tcPr>
          <w:p>
            <w:pPr>
              <w:ind w:left="60"/>
              <w:spacing w:after="0"/>
              <w:rPr>
                <w:sz w:val="20"/>
                <w:szCs w:val="20"/>
                <w:color w:val="auto"/>
              </w:rPr>
            </w:pPr>
            <w:r>
              <w:rPr>
                <w:rFonts w:ascii="Arial" w:cs="Arial" w:eastAsia="Arial" w:hAnsi="Arial"/>
                <w:sz w:val="12"/>
                <w:szCs w:val="12"/>
                <w:b w:val="1"/>
                <w:bCs w:val="1"/>
                <w:color w:val="auto"/>
              </w:rPr>
              <w:t>Net</w:t>
            </w:r>
            <w:r>
              <w:rPr>
                <w:rFonts w:ascii="Times New Roman" w:cs="Times New Roman" w:eastAsia="Times New Roman" w:hAnsi="Times New Roman"/>
                <w:sz w:val="7"/>
                <w:szCs w:val="7"/>
                <w:color w:val="auto"/>
                <w:vertAlign w:val="superscript"/>
              </w:rPr>
              <w:t>​      ​</w:t>
            </w:r>
            <w:r>
              <w:rPr>
                <w:rFonts w:ascii="Arial" w:cs="Arial" w:eastAsia="Arial" w:hAnsi="Arial"/>
                <w:sz w:val="12"/>
                <w:szCs w:val="12"/>
                <w:b w:val="1"/>
                <w:bCs w:val="1"/>
                <w:color w:val="auto"/>
              </w:rPr>
              <w:t xml:space="preserve">       Noncontrolling</w:t>
            </w:r>
            <w:r>
              <w:rPr>
                <w:rFonts w:ascii="Times New Roman" w:cs="Times New Roman" w:eastAsia="Times New Roman" w:hAnsi="Times New Roman"/>
                <w:sz w:val="7"/>
                <w:szCs w:val="7"/>
                <w:color w:val="auto"/>
                <w:vertAlign w:val="superscript"/>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3"/>
          </w:tcPr>
          <w:p>
            <w:pPr>
              <w:ind w:left="60"/>
              <w:spacing w:after="0"/>
              <w:rPr>
                <w:sz w:val="20"/>
                <w:szCs w:val="20"/>
                <w:color w:val="auto"/>
              </w:rPr>
            </w:pPr>
            <w:r>
              <w:rPr>
                <w:rFonts w:ascii="Arial" w:cs="Arial" w:eastAsia="Arial" w:hAnsi="Arial"/>
                <w:sz w:val="19"/>
                <w:szCs w:val="19"/>
                <w:b w:val="1"/>
                <w:bCs w:val="1"/>
                <w:color w:val="auto"/>
                <w:w w:val="73"/>
                <w:vertAlign w:val="superscript"/>
              </w:rPr>
              <w:t>Wabtec</w:t>
            </w:r>
            <w:r>
              <w:rPr>
                <w:rFonts w:ascii="Arial" w:cs="Arial" w:eastAsia="Arial" w:hAnsi="Arial"/>
                <w:sz w:val="19"/>
                <w:szCs w:val="19"/>
                <w:b w:val="1"/>
                <w:bCs w:val="1"/>
                <w:color w:val="auto"/>
                <w:w w:val="73"/>
                <w:vertAlign w:val="subscript"/>
              </w:rPr>
              <w:t>Net</w:t>
            </w:r>
            <w:r>
              <w:rPr>
                <w:rFonts w:ascii="Times New Roman" w:cs="Times New Roman" w:eastAsia="Times New Roman" w:hAnsi="Times New Roman"/>
                <w:sz w:val="3"/>
                <w:szCs w:val="3"/>
                <w:color w:val="auto"/>
                <w:w w:val="73"/>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spacing w:after="0"/>
              <w:rPr>
                <w:sz w:val="23"/>
                <w:szCs w:val="23"/>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EPS</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Sales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rPr>
              <w:t>Profit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w w:val="99"/>
              </w:rPr>
              <w:t>Expenses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b w:val="1"/>
                <w:bCs w:val="1"/>
                <w:color w:val="auto"/>
              </w:rPr>
              <w:t>Operations</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Exp</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2"/>
                <w:szCs w:val="12"/>
                <w:b w:val="1"/>
                <w:bCs w:val="1"/>
                <w:color w:val="auto"/>
              </w:rPr>
              <w:t>Tax</w:t>
            </w:r>
          </w:p>
        </w:tc>
        <w:tc>
          <w:tcPr>
            <w:tcW w:w="14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b w:val="1"/>
                <w:bCs w:val="1"/>
                <w:color w:val="auto"/>
              </w:rPr>
              <w:t>Income</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Interest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income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980" w:type="dxa"/>
            <w:vAlign w:val="bottom"/>
          </w:tcPr>
          <w:p>
            <w:pPr>
              <w:spacing w:after="0"/>
              <w:rPr>
                <w:sz w:val="7"/>
                <w:szCs w:val="7"/>
                <w:color w:val="auto"/>
              </w:rPr>
            </w:pPr>
          </w:p>
        </w:tc>
        <w:tc>
          <w:tcPr>
            <w:tcW w:w="1340" w:type="dxa"/>
            <w:vAlign w:val="bottom"/>
            <w:tcBorders>
              <w:bottom w:val="single" w:sz="8" w:color="0C426A"/>
            </w:tcBorders>
          </w:tcPr>
          <w:p>
            <w:pPr>
              <w:spacing w:after="0"/>
              <w:rPr>
                <w:sz w:val="7"/>
                <w:szCs w:val="7"/>
                <w:color w:val="auto"/>
              </w:rPr>
            </w:pPr>
          </w:p>
        </w:tc>
        <w:tc>
          <w:tcPr>
            <w:tcW w:w="120" w:type="dxa"/>
            <w:vAlign w:val="bottom"/>
            <w:tcBorders>
              <w:bottom w:val="single" w:sz="8" w:color="0C426A"/>
            </w:tcBorders>
          </w:tcPr>
          <w:p>
            <w:pPr>
              <w:spacing w:after="0"/>
              <w:rPr>
                <w:sz w:val="7"/>
                <w:szCs w:val="7"/>
                <w:color w:val="auto"/>
              </w:rPr>
            </w:pPr>
          </w:p>
        </w:tc>
        <w:tc>
          <w:tcPr>
            <w:tcW w:w="60" w:type="dxa"/>
            <w:vAlign w:val="bottom"/>
            <w:tcBorders>
              <w:bottom w:val="single" w:sz="8" w:color="0C426A"/>
            </w:tcBorders>
          </w:tcPr>
          <w:p>
            <w:pPr>
              <w:spacing w:after="0"/>
              <w:rPr>
                <w:sz w:val="7"/>
                <w:szCs w:val="7"/>
                <w:color w:val="auto"/>
              </w:rPr>
            </w:pPr>
          </w:p>
        </w:tc>
        <w:tc>
          <w:tcPr>
            <w:tcW w:w="60" w:type="dxa"/>
            <w:vAlign w:val="bottom"/>
            <w:tcBorders>
              <w:bottom w:val="single" w:sz="8" w:color="0C426A"/>
            </w:tcBorders>
          </w:tcPr>
          <w:p>
            <w:pPr>
              <w:spacing w:after="0"/>
              <w:rPr>
                <w:sz w:val="7"/>
                <w:szCs w:val="7"/>
                <w:color w:val="auto"/>
              </w:rPr>
            </w:pPr>
          </w:p>
        </w:tc>
        <w:tc>
          <w:tcPr>
            <w:tcW w:w="520" w:type="dxa"/>
            <w:vAlign w:val="bottom"/>
            <w:tcBorders>
              <w:bottom w:val="single" w:sz="8" w:color="0C426A"/>
            </w:tcBorders>
            <w:gridSpan w:val="2"/>
          </w:tcPr>
          <w:p>
            <w:pPr>
              <w:spacing w:after="0"/>
              <w:rPr>
                <w:sz w:val="7"/>
                <w:szCs w:val="7"/>
                <w:color w:val="auto"/>
              </w:rPr>
            </w:pPr>
          </w:p>
        </w:tc>
        <w:tc>
          <w:tcPr>
            <w:tcW w:w="120" w:type="dxa"/>
            <w:vAlign w:val="bottom"/>
            <w:tcBorders>
              <w:bottom w:val="single" w:sz="8" w:color="0C426A"/>
            </w:tcBorders>
          </w:tcPr>
          <w:p>
            <w:pPr>
              <w:spacing w:after="0"/>
              <w:rPr>
                <w:sz w:val="7"/>
                <w:szCs w:val="7"/>
                <w:color w:val="auto"/>
              </w:rPr>
            </w:pPr>
          </w:p>
        </w:tc>
        <w:tc>
          <w:tcPr>
            <w:tcW w:w="500" w:type="dxa"/>
            <w:vAlign w:val="bottom"/>
            <w:tcBorders>
              <w:bottom w:val="single" w:sz="8" w:color="0C426A"/>
            </w:tcBorders>
            <w:gridSpan w:val="2"/>
          </w:tcPr>
          <w:p>
            <w:pPr>
              <w:spacing w:after="0"/>
              <w:rPr>
                <w:sz w:val="7"/>
                <w:szCs w:val="7"/>
                <w:color w:val="auto"/>
              </w:rPr>
            </w:pPr>
          </w:p>
        </w:tc>
        <w:tc>
          <w:tcPr>
            <w:tcW w:w="120" w:type="dxa"/>
            <w:vAlign w:val="bottom"/>
            <w:tcBorders>
              <w:bottom w:val="single" w:sz="8" w:color="0C426A"/>
            </w:tcBorders>
          </w:tcPr>
          <w:p>
            <w:pPr>
              <w:spacing w:after="0"/>
              <w:rPr>
                <w:sz w:val="7"/>
                <w:szCs w:val="7"/>
                <w:color w:val="auto"/>
              </w:rPr>
            </w:pPr>
          </w:p>
        </w:tc>
        <w:tc>
          <w:tcPr>
            <w:tcW w:w="700" w:type="dxa"/>
            <w:vAlign w:val="bottom"/>
            <w:tcBorders>
              <w:bottom w:val="single" w:sz="8" w:color="0C426A"/>
            </w:tcBorders>
            <w:gridSpan w:val="2"/>
          </w:tcPr>
          <w:p>
            <w:pPr>
              <w:spacing w:after="0"/>
              <w:rPr>
                <w:sz w:val="7"/>
                <w:szCs w:val="7"/>
                <w:color w:val="auto"/>
              </w:rPr>
            </w:pPr>
          </w:p>
        </w:tc>
        <w:tc>
          <w:tcPr>
            <w:tcW w:w="120" w:type="dxa"/>
            <w:vAlign w:val="bottom"/>
            <w:tcBorders>
              <w:bottom w:val="single" w:sz="8" w:color="0C426A"/>
            </w:tcBorders>
          </w:tcPr>
          <w:p>
            <w:pPr>
              <w:spacing w:after="0"/>
              <w:rPr>
                <w:sz w:val="7"/>
                <w:szCs w:val="7"/>
                <w:color w:val="auto"/>
              </w:rPr>
            </w:pPr>
          </w:p>
        </w:tc>
        <w:tc>
          <w:tcPr>
            <w:tcW w:w="760" w:type="dxa"/>
            <w:vAlign w:val="bottom"/>
            <w:tcBorders>
              <w:bottom w:val="single" w:sz="8" w:color="0C426A"/>
            </w:tcBorders>
          </w:tcPr>
          <w:p>
            <w:pPr>
              <w:spacing w:after="0"/>
              <w:rPr>
                <w:sz w:val="7"/>
                <w:szCs w:val="7"/>
                <w:color w:val="auto"/>
              </w:rPr>
            </w:pPr>
          </w:p>
        </w:tc>
        <w:tc>
          <w:tcPr>
            <w:tcW w:w="160" w:type="dxa"/>
            <w:vAlign w:val="bottom"/>
            <w:tcBorders>
              <w:bottom w:val="single" w:sz="8" w:color="0C426A"/>
            </w:tcBorders>
          </w:tcPr>
          <w:p>
            <w:pPr>
              <w:spacing w:after="0"/>
              <w:rPr>
                <w:sz w:val="7"/>
                <w:szCs w:val="7"/>
                <w:color w:val="auto"/>
              </w:rPr>
            </w:pPr>
          </w:p>
        </w:tc>
        <w:tc>
          <w:tcPr>
            <w:tcW w:w="600" w:type="dxa"/>
            <w:vAlign w:val="bottom"/>
            <w:tcBorders>
              <w:bottom w:val="single" w:sz="8" w:color="0C426A"/>
            </w:tcBorders>
            <w:gridSpan w:val="2"/>
          </w:tcPr>
          <w:p>
            <w:pPr>
              <w:spacing w:after="0"/>
              <w:rPr>
                <w:sz w:val="7"/>
                <w:szCs w:val="7"/>
                <w:color w:val="auto"/>
              </w:rPr>
            </w:pPr>
          </w:p>
        </w:tc>
        <w:tc>
          <w:tcPr>
            <w:tcW w:w="120" w:type="dxa"/>
            <w:vAlign w:val="bottom"/>
            <w:tcBorders>
              <w:bottom w:val="single" w:sz="8" w:color="0C426A"/>
            </w:tcBorders>
          </w:tcPr>
          <w:p>
            <w:pPr>
              <w:spacing w:after="0"/>
              <w:rPr>
                <w:sz w:val="7"/>
                <w:szCs w:val="7"/>
                <w:color w:val="auto"/>
              </w:rPr>
            </w:pPr>
          </w:p>
        </w:tc>
        <w:tc>
          <w:tcPr>
            <w:tcW w:w="500" w:type="dxa"/>
            <w:vAlign w:val="bottom"/>
            <w:tcBorders>
              <w:bottom w:val="single" w:sz="8" w:color="0C426A"/>
            </w:tcBorders>
          </w:tcPr>
          <w:p>
            <w:pPr>
              <w:spacing w:after="0"/>
              <w:rPr>
                <w:sz w:val="7"/>
                <w:szCs w:val="7"/>
                <w:color w:val="auto"/>
              </w:rPr>
            </w:pPr>
          </w:p>
        </w:tc>
        <w:tc>
          <w:tcPr>
            <w:tcW w:w="140" w:type="dxa"/>
            <w:vAlign w:val="bottom"/>
            <w:tcBorders>
              <w:bottom w:val="single" w:sz="8" w:color="0C426A"/>
            </w:tcBorders>
          </w:tcPr>
          <w:p>
            <w:pPr>
              <w:spacing w:after="0"/>
              <w:rPr>
                <w:sz w:val="7"/>
                <w:szCs w:val="7"/>
                <w:color w:val="auto"/>
              </w:rPr>
            </w:pPr>
          </w:p>
        </w:tc>
        <w:tc>
          <w:tcPr>
            <w:tcW w:w="220" w:type="dxa"/>
            <w:vAlign w:val="bottom"/>
            <w:tcBorders>
              <w:bottom w:val="single" w:sz="8" w:color="0C426A"/>
            </w:tcBorders>
          </w:tcPr>
          <w:p>
            <w:pPr>
              <w:spacing w:after="0"/>
              <w:rPr>
                <w:sz w:val="7"/>
                <w:szCs w:val="7"/>
                <w:color w:val="auto"/>
              </w:rPr>
            </w:pPr>
          </w:p>
        </w:tc>
        <w:tc>
          <w:tcPr>
            <w:tcW w:w="320" w:type="dxa"/>
            <w:vAlign w:val="bottom"/>
            <w:tcBorders>
              <w:bottom w:val="single" w:sz="8" w:color="0C426A"/>
            </w:tcBorders>
            <w:gridSpan w:val="2"/>
          </w:tcPr>
          <w:p>
            <w:pPr>
              <w:spacing w:after="0"/>
              <w:rPr>
                <w:sz w:val="7"/>
                <w:szCs w:val="7"/>
                <w:color w:val="auto"/>
              </w:rPr>
            </w:pPr>
          </w:p>
        </w:tc>
        <w:tc>
          <w:tcPr>
            <w:tcW w:w="560" w:type="dxa"/>
            <w:vAlign w:val="bottom"/>
            <w:tcBorders>
              <w:bottom w:val="single" w:sz="8" w:color="0C426A"/>
            </w:tcBorders>
          </w:tcPr>
          <w:p>
            <w:pPr>
              <w:spacing w:after="0"/>
              <w:rPr>
                <w:sz w:val="7"/>
                <w:szCs w:val="7"/>
                <w:color w:val="auto"/>
              </w:rPr>
            </w:pPr>
          </w:p>
        </w:tc>
        <w:tc>
          <w:tcPr>
            <w:tcW w:w="580" w:type="dxa"/>
            <w:vAlign w:val="bottom"/>
            <w:tcBorders>
              <w:bottom w:val="single" w:sz="8" w:color="0C426A"/>
            </w:tcBorders>
            <w:gridSpan w:val="2"/>
          </w:tcPr>
          <w:p>
            <w:pPr>
              <w:spacing w:after="0"/>
              <w:rPr>
                <w:sz w:val="7"/>
                <w:szCs w:val="7"/>
                <w:color w:val="auto"/>
              </w:rPr>
            </w:pPr>
          </w:p>
        </w:tc>
        <w:tc>
          <w:tcPr>
            <w:tcW w:w="120" w:type="dxa"/>
            <w:vAlign w:val="bottom"/>
            <w:tcBorders>
              <w:bottom w:val="single" w:sz="8" w:color="0C426A"/>
            </w:tcBorders>
          </w:tcPr>
          <w:p>
            <w:pPr>
              <w:spacing w:after="0"/>
              <w:rPr>
                <w:sz w:val="7"/>
                <w:szCs w:val="7"/>
                <w:color w:val="auto"/>
              </w:rPr>
            </w:pPr>
          </w:p>
        </w:tc>
        <w:tc>
          <w:tcPr>
            <w:tcW w:w="240" w:type="dxa"/>
            <w:vAlign w:val="bottom"/>
            <w:tcBorders>
              <w:bottom w:val="single" w:sz="8" w:color="0C426A"/>
            </w:tcBorders>
          </w:tcPr>
          <w:p>
            <w:pPr>
              <w:spacing w:after="0"/>
              <w:rPr>
                <w:sz w:val="7"/>
                <w:szCs w:val="7"/>
                <w:color w:val="auto"/>
              </w:rPr>
            </w:pPr>
          </w:p>
        </w:tc>
        <w:tc>
          <w:tcPr>
            <w:tcW w:w="320" w:type="dxa"/>
            <w:vAlign w:val="bottom"/>
            <w:tcBorders>
              <w:bottom w:val="single" w:sz="8" w:color="0C426A"/>
            </w:tcBorders>
            <w:gridSpan w:val="2"/>
          </w:tcPr>
          <w:p>
            <w:pPr>
              <w:spacing w:after="0"/>
              <w:rPr>
                <w:sz w:val="7"/>
                <w:szCs w:val="7"/>
                <w:color w:val="auto"/>
              </w:rPr>
            </w:pPr>
          </w:p>
        </w:tc>
        <w:tc>
          <w:tcPr>
            <w:tcW w:w="160" w:type="dxa"/>
            <w:vAlign w:val="bottom"/>
            <w:tcBorders>
              <w:bottom w:val="single" w:sz="8" w:color="0C426A"/>
            </w:tcBorders>
          </w:tcPr>
          <w:p>
            <w:pPr>
              <w:spacing w:after="0"/>
              <w:rPr>
                <w:sz w:val="7"/>
                <w:szCs w:val="7"/>
                <w:color w:val="auto"/>
              </w:rPr>
            </w:pPr>
          </w:p>
        </w:tc>
        <w:tc>
          <w:tcPr>
            <w:tcW w:w="240" w:type="dxa"/>
            <w:vAlign w:val="bottom"/>
            <w:tcBorders>
              <w:bottom w:val="single" w:sz="8" w:color="0C426A"/>
            </w:tcBorders>
          </w:tcPr>
          <w:p>
            <w:pPr>
              <w:spacing w:after="0"/>
              <w:rPr>
                <w:sz w:val="7"/>
                <w:szCs w:val="7"/>
                <w:color w:val="auto"/>
              </w:rPr>
            </w:pPr>
          </w:p>
        </w:tc>
        <w:tc>
          <w:tcPr>
            <w:tcW w:w="280" w:type="dxa"/>
            <w:vAlign w:val="bottom"/>
            <w:tcBorders>
              <w:bottom w:val="single" w:sz="8" w:color="0C426A"/>
            </w:tcBorders>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980" w:type="dxa"/>
            <w:vAlign w:val="bottom"/>
          </w:tcPr>
          <w:p>
            <w:pPr>
              <w:spacing w:after="0"/>
              <w:rPr>
                <w:sz w:val="22"/>
                <w:szCs w:val="22"/>
                <w:color w:val="auto"/>
              </w:rPr>
            </w:pPr>
          </w:p>
        </w:tc>
        <w:tc>
          <w:tcPr>
            <w:tcW w:w="1340" w:type="dxa"/>
            <w:vAlign w:val="bottom"/>
          </w:tcPr>
          <w:p>
            <w:pPr>
              <w:ind w:left="20"/>
              <w:spacing w:after="0"/>
              <w:rPr>
                <w:sz w:val="20"/>
                <w:szCs w:val="20"/>
                <w:color w:val="auto"/>
              </w:rPr>
            </w:pPr>
            <w:r>
              <w:rPr>
                <w:rFonts w:ascii="Arial" w:cs="Arial" w:eastAsia="Arial" w:hAnsi="Arial"/>
                <w:sz w:val="12"/>
                <w:szCs w:val="12"/>
                <w:b w:val="1"/>
                <w:bCs w:val="1"/>
                <w:color w:val="auto"/>
              </w:rPr>
              <w:t>Reported Results</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gridSpan w:val="2"/>
          </w:tcPr>
          <w:p>
            <w:pPr>
              <w:jc w:val="right"/>
              <w:ind w:right="42"/>
              <w:spacing w:after="0"/>
              <w:rPr>
                <w:sz w:val="20"/>
                <w:szCs w:val="20"/>
                <w:color w:val="auto"/>
              </w:rPr>
            </w:pPr>
            <w:r>
              <w:rPr>
                <w:rFonts w:ascii="Arial" w:cs="Arial" w:eastAsia="Arial" w:hAnsi="Arial"/>
                <w:sz w:val="12"/>
                <w:szCs w:val="12"/>
                <w:b w:val="1"/>
                <w:bCs w:val="1"/>
                <w:color w:val="auto"/>
              </w:rPr>
              <w:t>$9,677</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gridSpan w:val="2"/>
          </w:tcPr>
          <w:p>
            <w:pPr>
              <w:jc w:val="right"/>
              <w:ind w:right="31"/>
              <w:spacing w:after="0"/>
              <w:rPr>
                <w:sz w:val="20"/>
                <w:szCs w:val="20"/>
                <w:color w:val="auto"/>
              </w:rPr>
            </w:pPr>
            <w:r>
              <w:rPr>
                <w:rFonts w:ascii="Arial" w:cs="Arial" w:eastAsia="Arial" w:hAnsi="Arial"/>
                <w:sz w:val="12"/>
                <w:szCs w:val="12"/>
                <w:b w:val="1"/>
                <w:bCs w:val="1"/>
                <w:color w:val="auto"/>
              </w:rPr>
              <w:t>$2,944</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gridSpan w:val="2"/>
          </w:tcPr>
          <w:p>
            <w:pPr>
              <w:jc w:val="right"/>
              <w:ind w:right="42"/>
              <w:spacing w:after="0"/>
              <w:rPr>
                <w:sz w:val="20"/>
                <w:szCs w:val="20"/>
                <w:color w:val="auto"/>
              </w:rPr>
            </w:pPr>
            <w:r>
              <w:rPr>
                <w:rFonts w:ascii="Arial" w:cs="Arial" w:eastAsia="Arial" w:hAnsi="Arial"/>
                <w:sz w:val="12"/>
                <w:szCs w:val="12"/>
                <w:b w:val="1"/>
                <w:bCs w:val="1"/>
                <w:color w:val="auto"/>
              </w:rPr>
              <w:t>$(1,678)</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$1,266</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tcPr>
          <w:p>
            <w:pPr>
              <w:jc w:val="right"/>
              <w:ind w:right="42"/>
              <w:spacing w:after="0"/>
              <w:rPr>
                <w:sz w:val="20"/>
                <w:szCs w:val="20"/>
                <w:color w:val="auto"/>
              </w:rPr>
            </w:pPr>
            <w:r>
              <w:rPr>
                <w:rFonts w:ascii="Arial" w:cs="Arial" w:eastAsia="Arial" w:hAnsi="Arial"/>
                <w:sz w:val="12"/>
                <w:szCs w:val="12"/>
                <w:b w:val="1"/>
                <w:bCs w:val="1"/>
                <w:color w:val="auto"/>
              </w:rPr>
              <w:t>$(174)</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jc w:val="right"/>
              <w:ind w:right="17"/>
              <w:spacing w:after="0"/>
              <w:rPr>
                <w:sz w:val="20"/>
                <w:szCs w:val="20"/>
                <w:color w:val="auto"/>
              </w:rPr>
            </w:pPr>
            <w:r>
              <w:rPr>
                <w:rFonts w:ascii="Arial" w:cs="Arial" w:eastAsia="Arial" w:hAnsi="Arial"/>
                <w:sz w:val="12"/>
                <w:szCs w:val="12"/>
                <w:b w:val="1"/>
                <w:bCs w:val="1"/>
                <w:color w:val="auto"/>
              </w:rPr>
              <w:t>$(267)</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320" w:type="dxa"/>
            <w:vAlign w:val="bottom"/>
            <w:gridSpan w:val="2"/>
          </w:tcPr>
          <w:p>
            <w:pPr>
              <w:jc w:val="right"/>
              <w:ind w:right="42"/>
              <w:spacing w:after="0"/>
              <w:rPr>
                <w:sz w:val="20"/>
                <w:szCs w:val="20"/>
                <w:color w:val="auto"/>
              </w:rPr>
            </w:pPr>
            <w:r>
              <w:rPr>
                <w:rFonts w:ascii="Arial" w:cs="Arial" w:eastAsia="Arial" w:hAnsi="Arial"/>
                <w:sz w:val="12"/>
                <w:szCs w:val="12"/>
                <w:b w:val="1"/>
                <w:bCs w:val="1"/>
                <w:color w:val="auto"/>
              </w:rPr>
              <w:t>825</w:t>
            </w:r>
            <w:r>
              <w:rPr>
                <w:rFonts w:ascii="Times New Roman" w:cs="Times New Roman" w:eastAsia="Times New Roman" w:hAnsi="Times New Roman"/>
                <w:sz w:val="3"/>
                <w:szCs w:val="3"/>
                <w:color w:val="auto"/>
              </w:rPr>
              <w:t>​</w:t>
            </w:r>
          </w:p>
        </w:tc>
        <w:tc>
          <w:tcPr>
            <w:tcW w:w="5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gridSpan w:val="2"/>
          </w:tcPr>
          <w:p>
            <w:pPr>
              <w:jc w:val="right"/>
              <w:ind w:right="42"/>
              <w:spacing w:after="0"/>
              <w:rPr>
                <w:sz w:val="20"/>
                <w:szCs w:val="20"/>
                <w:color w:val="auto"/>
              </w:rPr>
            </w:pPr>
            <w:r>
              <w:rPr>
                <w:rFonts w:ascii="Arial" w:cs="Arial" w:eastAsia="Arial" w:hAnsi="Arial"/>
                <w:sz w:val="12"/>
                <w:szCs w:val="12"/>
                <w:b w:val="1"/>
                <w:bCs w:val="1"/>
                <w:color w:val="auto"/>
              </w:rPr>
              <w:t>$(10)</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320" w:type="dxa"/>
            <w:vAlign w:val="bottom"/>
            <w:gridSpan w:val="2"/>
          </w:tcPr>
          <w:p>
            <w:pPr>
              <w:jc w:val="right"/>
              <w:ind w:right="42"/>
              <w:spacing w:after="0"/>
              <w:rPr>
                <w:sz w:val="20"/>
                <w:szCs w:val="20"/>
                <w:color w:val="auto"/>
              </w:rPr>
            </w:pPr>
            <w:r>
              <w:rPr>
                <w:rFonts w:ascii="Arial" w:cs="Arial" w:eastAsia="Arial" w:hAnsi="Arial"/>
                <w:sz w:val="12"/>
                <w:szCs w:val="12"/>
                <w:b w:val="1"/>
                <w:bCs w:val="1"/>
                <w:color w:val="auto"/>
              </w:rPr>
              <w:t>815</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4.53</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13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980" w:type="dxa"/>
            <w:vAlign w:val="bottom"/>
          </w:tcPr>
          <w:p>
            <w:pPr>
              <w:spacing w:after="0"/>
              <w:rPr>
                <w:sz w:val="15"/>
                <w:szCs w:val="15"/>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Restructuring and</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1340" w:type="dxa"/>
            <w:vAlign w:val="bottom"/>
          </w:tcPr>
          <w:p>
            <w:pPr>
              <w:ind w:left="20"/>
              <w:spacing w:after="0" w:line="85" w:lineRule="exact"/>
              <w:rPr>
                <w:sz w:val="20"/>
                <w:szCs w:val="20"/>
                <w:color w:val="auto"/>
              </w:rPr>
            </w:pPr>
            <w:r>
              <w:rPr>
                <w:rFonts w:ascii="Arial" w:cs="Arial" w:eastAsia="Arial" w:hAnsi="Arial"/>
                <w:sz w:val="9"/>
                <w:szCs w:val="9"/>
                <w:color w:val="auto"/>
              </w:rPr>
              <w:t>Portfolio Optimization</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spacing w:after="0"/>
              <w:rPr>
                <w:sz w:val="8"/>
                <w:szCs w:val="8"/>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Pr>
          <w:p>
            <w:pPr>
              <w:spacing w:after="0"/>
              <w:rPr>
                <w:sz w:val="8"/>
                <w:szCs w:val="8"/>
                <w:color w:val="auto"/>
              </w:rPr>
            </w:pP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spacing w:after="0"/>
              <w:rPr>
                <w:sz w:val="8"/>
                <w:szCs w:val="8"/>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spacing w:after="0"/>
              <w:rPr>
                <w:sz w:val="8"/>
                <w:szCs w:val="8"/>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jc w:val="right"/>
              <w:ind w:right="17"/>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spacing w:after="0"/>
              <w:rPr>
                <w:sz w:val="8"/>
                <w:szCs w:val="8"/>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980" w:type="dxa"/>
            <w:vAlign w:val="bottom"/>
          </w:tcPr>
          <w:p>
            <w:pPr>
              <w:spacing w:after="0"/>
              <w:rPr>
                <w:sz w:val="17"/>
                <w:szCs w:val="17"/>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costs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79</w:t>
            </w: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37"/>
              <w:spacing w:after="0"/>
              <w:rPr>
                <w:sz w:val="20"/>
                <w:szCs w:val="20"/>
                <w:color w:val="auto"/>
              </w:rPr>
            </w:pPr>
            <w:r>
              <w:rPr>
                <w:rFonts w:ascii="Arial" w:cs="Arial" w:eastAsia="Arial" w:hAnsi="Arial"/>
                <w:sz w:val="12"/>
                <w:szCs w:val="12"/>
                <w:color w:val="auto"/>
              </w:rPr>
              <w:t>(17)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62</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62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jc w:val="right"/>
              <w:spacing w:after="0"/>
              <w:rPr>
                <w:sz w:val="20"/>
                <w:szCs w:val="20"/>
                <w:color w:val="auto"/>
              </w:rPr>
            </w:pPr>
            <w:r>
              <w:rPr>
                <w:rFonts w:ascii="Arial" w:cs="Arial" w:eastAsia="Arial" w:hAnsi="Arial"/>
                <w:sz w:val="12"/>
                <w:szCs w:val="12"/>
                <w:color w:val="auto"/>
              </w:rPr>
              <w:t>0.34</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980" w:type="dxa"/>
            <w:vAlign w:val="bottom"/>
          </w:tcPr>
          <w:p>
            <w:pPr>
              <w:spacing w:after="0"/>
              <w:rPr>
                <w:sz w:val="4"/>
                <w:szCs w:val="4"/>
                <w:color w:val="auto"/>
              </w:rPr>
            </w:pPr>
          </w:p>
        </w:tc>
        <w:tc>
          <w:tcPr>
            <w:tcW w:w="1460" w:type="dxa"/>
            <w:vAlign w:val="bottom"/>
            <w:tcBorders>
              <w:bottom w:val="single" w:sz="8" w:color="808080"/>
            </w:tcBorders>
            <w:gridSpan w:val="2"/>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gridSpan w:val="2"/>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gridSpan w:val="2"/>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gridSpan w:val="2"/>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gridSpan w:val="2"/>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gridSpan w:val="2"/>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gridSpan w:val="2"/>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gridSpan w:val="2"/>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gridSpan w:val="2"/>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98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Arial" w:cs="Arial" w:eastAsia="Arial" w:hAnsi="Arial"/>
                <w:sz w:val="12"/>
                <w:szCs w:val="12"/>
                <w:color w:val="auto"/>
              </w:rPr>
              <w:t xml:space="preserve">Gain on LKZ Investment </w:t>
            </w:r>
            <w:r>
              <w:rPr>
                <w:rFonts w:ascii="Times New Roman" w:cs="Times New Roman" w:eastAsia="Times New Roman" w:hAnsi="Times New Roman"/>
                <w:sz w:val="3"/>
                <w:szCs w:val="3"/>
                <w:color w:val="auto"/>
              </w:rPr>
              <w:t>​</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gridSpan w:val="2"/>
          </w:tcPr>
          <w:p>
            <w:pPr>
              <w:jc w:val="right"/>
              <w:ind w:right="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7"/>
                <w:szCs w:val="7"/>
                <w:color w:val="auto"/>
                <w:vertAlign w:val="superscript"/>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gridSpan w:val="2"/>
          </w:tcPr>
          <w:p>
            <w:pPr>
              <w:jc w:val="right"/>
              <w:ind w:right="3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7"/>
                <w:szCs w:val="7"/>
                <w:color w:val="auto"/>
                <w:vertAlign w:val="superscript"/>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gridSpan w:val="2"/>
          </w:tcPr>
          <w:p>
            <w:pPr>
              <w:jc w:val="right"/>
              <w:ind w:right="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7"/>
                <w:szCs w:val="7"/>
                <w:color w:val="auto"/>
                <w:vertAlign w:val="superscript"/>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7"/>
                <w:szCs w:val="7"/>
                <w:color w:val="auto"/>
                <w:vertAlign w:val="superscript"/>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tcPr>
          <w:p>
            <w:pPr>
              <w:jc w:val="right"/>
              <w:ind w:right="42"/>
              <w:spacing w:after="0"/>
              <w:rPr>
                <w:sz w:val="20"/>
                <w:szCs w:val="20"/>
                <w:color w:val="auto"/>
              </w:rPr>
            </w:pPr>
            <w:r>
              <w:rPr>
                <w:rFonts w:ascii="Arial" w:cs="Arial" w:eastAsia="Arial" w:hAnsi="Arial"/>
                <w:sz w:val="12"/>
                <w:szCs w:val="12"/>
                <w:color w:val="auto"/>
              </w:rPr>
              <w:t>(35)</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jc w:val="right"/>
              <w:ind w:right="17"/>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7"/>
                <w:szCs w:val="7"/>
                <w:color w:val="auto"/>
                <w:vertAlign w:val="superscript"/>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spacing w:after="0"/>
              <w:rPr>
                <w:sz w:val="18"/>
                <w:szCs w:val="18"/>
                <w:color w:val="auto"/>
              </w:rPr>
            </w:pPr>
          </w:p>
        </w:tc>
        <w:tc>
          <w:tcPr>
            <w:tcW w:w="320" w:type="dxa"/>
            <w:vAlign w:val="bottom"/>
            <w:gridSpan w:val="2"/>
          </w:tcPr>
          <w:p>
            <w:pPr>
              <w:jc w:val="right"/>
              <w:ind w:right="42"/>
              <w:spacing w:after="0"/>
              <w:rPr>
                <w:sz w:val="20"/>
                <w:szCs w:val="20"/>
                <w:color w:val="auto"/>
              </w:rPr>
            </w:pPr>
            <w:r>
              <w:rPr>
                <w:rFonts w:ascii="Arial" w:cs="Arial" w:eastAsia="Arial" w:hAnsi="Arial"/>
                <w:sz w:val="12"/>
                <w:szCs w:val="12"/>
                <w:color w:val="auto"/>
              </w:rPr>
              <w:t>(35)</w:t>
            </w:r>
            <w:r>
              <w:rPr>
                <w:rFonts w:ascii="Times New Roman" w:cs="Times New Roman" w:eastAsia="Times New Roman" w:hAnsi="Times New Roman"/>
                <w:sz w:val="3"/>
                <w:szCs w:val="3"/>
                <w:color w:val="auto"/>
              </w:rPr>
              <w:t>​</w:t>
            </w:r>
          </w:p>
        </w:tc>
        <w:tc>
          <w:tcPr>
            <w:tcW w:w="5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gridSpan w:val="2"/>
          </w:tcPr>
          <w:p>
            <w:pPr>
              <w:jc w:val="right"/>
              <w:ind w:right="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7"/>
                <w:szCs w:val="7"/>
                <w:color w:val="auto"/>
                <w:vertAlign w:val="superscript"/>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spacing w:after="0"/>
              <w:rPr>
                <w:sz w:val="18"/>
                <w:szCs w:val="18"/>
                <w:color w:val="auto"/>
              </w:rPr>
            </w:pPr>
          </w:p>
        </w:tc>
        <w:tc>
          <w:tcPr>
            <w:tcW w:w="320" w:type="dxa"/>
            <w:vAlign w:val="bottom"/>
            <w:gridSpan w:val="2"/>
          </w:tcPr>
          <w:p>
            <w:pPr>
              <w:jc w:val="right"/>
              <w:ind w:right="42"/>
              <w:spacing w:after="0"/>
              <w:rPr>
                <w:sz w:val="20"/>
                <w:szCs w:val="20"/>
                <w:color w:val="auto"/>
              </w:rPr>
            </w:pPr>
            <w:r>
              <w:rPr>
                <w:rFonts w:ascii="Arial" w:cs="Arial" w:eastAsia="Arial" w:hAnsi="Arial"/>
                <w:sz w:val="12"/>
                <w:szCs w:val="12"/>
                <w:color w:val="auto"/>
              </w:rPr>
              <w:t>(35)</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 (0.19)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980" w:type="dxa"/>
            <w:vAlign w:val="bottom"/>
          </w:tcPr>
          <w:p>
            <w:pPr>
              <w:spacing w:after="0"/>
              <w:rPr>
                <w:sz w:val="4"/>
                <w:szCs w:val="4"/>
                <w:color w:val="auto"/>
              </w:rPr>
            </w:pPr>
          </w:p>
        </w:tc>
        <w:tc>
          <w:tcPr>
            <w:tcW w:w="13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98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Non-cash Amortization</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298</w:t>
            </w: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jc w:val="right"/>
              <w:ind w:right="17"/>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spacing w:after="0"/>
              <w:rPr>
                <w:sz w:val="16"/>
                <w:szCs w:val="16"/>
                <w:color w:val="auto"/>
              </w:rPr>
            </w:pPr>
          </w:p>
        </w:tc>
        <w:tc>
          <w:tcPr>
            <w:tcW w:w="260" w:type="dxa"/>
            <w:vAlign w:val="bottom"/>
            <w:vMerge w:val="restart"/>
          </w:tcPr>
          <w:p>
            <w:pPr>
              <w:jc w:val="right"/>
              <w:spacing w:after="0"/>
              <w:rPr>
                <w:sz w:val="20"/>
                <w:szCs w:val="20"/>
                <w:color w:val="auto"/>
              </w:rPr>
            </w:pPr>
            <w:r>
              <w:rPr>
                <w:rFonts w:ascii="Arial" w:cs="Arial" w:eastAsia="Arial" w:hAnsi="Arial"/>
                <w:sz w:val="12"/>
                <w:szCs w:val="12"/>
                <w:color w:val="auto"/>
              </w:rPr>
              <w:t>224</w:t>
            </w: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spacing w:after="0"/>
              <w:rPr>
                <w:sz w:val="16"/>
                <w:szCs w:val="16"/>
                <w:color w:val="auto"/>
              </w:rPr>
            </w:pPr>
          </w:p>
        </w:tc>
        <w:tc>
          <w:tcPr>
            <w:tcW w:w="260" w:type="dxa"/>
            <w:vAlign w:val="bottom"/>
            <w:vMerge w:val="restart"/>
          </w:tcPr>
          <w:p>
            <w:pPr>
              <w:jc w:val="right"/>
              <w:spacing w:after="0"/>
              <w:rPr>
                <w:sz w:val="20"/>
                <w:szCs w:val="20"/>
                <w:color w:val="auto"/>
              </w:rPr>
            </w:pPr>
            <w:r>
              <w:rPr>
                <w:rFonts w:ascii="Arial" w:cs="Arial" w:eastAsia="Arial" w:hAnsi="Arial"/>
                <w:sz w:val="12"/>
                <w:szCs w:val="12"/>
                <w:color w:val="auto"/>
              </w:rPr>
              <w:t>224</w:t>
            </w: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1.24</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expense</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298</w:t>
            </w: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2"/>
                <w:szCs w:val="12"/>
                <w:color w:val="auto"/>
              </w:rPr>
              <w:t>(74)</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980" w:type="dxa"/>
            <w:vAlign w:val="bottom"/>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gridSpan w:val="2"/>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gridSpan w:val="2"/>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gridSpan w:val="2"/>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gridSpan w:val="2"/>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gridSpan w:val="3"/>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gridSpan w:val="2"/>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gridSpan w:val="3"/>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9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2"/>
                <w:szCs w:val="12"/>
                <w:b w:val="1"/>
                <w:bCs w:val="1"/>
                <w:color w:val="auto"/>
              </w:rPr>
              <w:t>Adjusted Results</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gridSpan w:val="2"/>
          </w:tcPr>
          <w:p>
            <w:pPr>
              <w:jc w:val="right"/>
              <w:ind w:right="42"/>
              <w:spacing w:after="0"/>
              <w:rPr>
                <w:sz w:val="20"/>
                <w:szCs w:val="20"/>
                <w:color w:val="auto"/>
              </w:rPr>
            </w:pPr>
            <w:r>
              <w:rPr>
                <w:rFonts w:ascii="Arial" w:cs="Arial" w:eastAsia="Arial" w:hAnsi="Arial"/>
                <w:sz w:val="12"/>
                <w:szCs w:val="12"/>
                <w:b w:val="1"/>
                <w:bCs w:val="1"/>
                <w:color w:val="auto"/>
              </w:rPr>
              <w:t>$9,677</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gridSpan w:val="2"/>
          </w:tcPr>
          <w:p>
            <w:pPr>
              <w:jc w:val="right"/>
              <w:ind w:right="31"/>
              <w:spacing w:after="0"/>
              <w:rPr>
                <w:sz w:val="20"/>
                <w:szCs w:val="20"/>
                <w:color w:val="auto"/>
              </w:rPr>
            </w:pPr>
            <w:r>
              <w:rPr>
                <w:rFonts w:ascii="Arial" w:cs="Arial" w:eastAsia="Arial" w:hAnsi="Arial"/>
                <w:sz w:val="12"/>
                <w:szCs w:val="12"/>
                <w:b w:val="1"/>
                <w:bCs w:val="1"/>
                <w:color w:val="auto"/>
              </w:rPr>
              <w:t>$2,982</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gridSpan w:val="2"/>
          </w:tcPr>
          <w:p>
            <w:pPr>
              <w:jc w:val="right"/>
              <w:ind w:right="42"/>
              <w:spacing w:after="0"/>
              <w:rPr>
                <w:sz w:val="20"/>
                <w:szCs w:val="20"/>
                <w:color w:val="auto"/>
              </w:rPr>
            </w:pPr>
            <w:r>
              <w:rPr>
                <w:rFonts w:ascii="Arial" w:cs="Arial" w:eastAsia="Arial" w:hAnsi="Arial"/>
                <w:sz w:val="12"/>
                <w:szCs w:val="12"/>
                <w:b w:val="1"/>
                <w:bCs w:val="1"/>
                <w:color w:val="auto"/>
              </w:rPr>
              <w:t>$(1,339)</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$1,643</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tcPr>
          <w:p>
            <w:pPr>
              <w:jc w:val="right"/>
              <w:ind w:right="42"/>
              <w:spacing w:after="0"/>
              <w:rPr>
                <w:sz w:val="20"/>
                <w:szCs w:val="20"/>
                <w:color w:val="auto"/>
              </w:rPr>
            </w:pPr>
            <w:r>
              <w:rPr>
                <w:rFonts w:ascii="Arial" w:cs="Arial" w:eastAsia="Arial" w:hAnsi="Arial"/>
                <w:sz w:val="12"/>
                <w:szCs w:val="12"/>
                <w:b w:val="1"/>
                <w:bCs w:val="1"/>
                <w:color w:val="auto"/>
              </w:rPr>
              <w:t>$(209)</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jc w:val="right"/>
              <w:ind w:right="17"/>
              <w:spacing w:after="0"/>
              <w:rPr>
                <w:sz w:val="20"/>
                <w:szCs w:val="20"/>
                <w:color w:val="auto"/>
              </w:rPr>
            </w:pPr>
            <w:r>
              <w:rPr>
                <w:rFonts w:ascii="Arial" w:cs="Arial" w:eastAsia="Arial" w:hAnsi="Arial"/>
                <w:sz w:val="12"/>
                <w:szCs w:val="12"/>
                <w:b w:val="1"/>
                <w:bCs w:val="1"/>
                <w:color w:val="auto"/>
              </w:rPr>
              <w:t>$(358)</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3"/>
          </w:tcPr>
          <w:p>
            <w:pPr>
              <w:jc w:val="right"/>
              <w:ind w:right="42"/>
              <w:spacing w:after="0"/>
              <w:rPr>
                <w:sz w:val="20"/>
                <w:szCs w:val="20"/>
                <w:color w:val="auto"/>
              </w:rPr>
            </w:pPr>
            <w:r>
              <w:rPr>
                <w:rFonts w:ascii="Arial" w:cs="Arial" w:eastAsia="Arial" w:hAnsi="Arial"/>
                <w:sz w:val="12"/>
                <w:szCs w:val="12"/>
                <w:b w:val="1"/>
                <w:bCs w:val="1"/>
                <w:color w:val="auto"/>
              </w:rPr>
              <w:t>$1,076</w:t>
            </w:r>
            <w:r>
              <w:rPr>
                <w:rFonts w:ascii="Times New Roman" w:cs="Times New Roman" w:eastAsia="Times New Roman" w:hAnsi="Times New Roman"/>
                <w:sz w:val="3"/>
                <w:szCs w:val="3"/>
                <w:color w:val="auto"/>
              </w:rPr>
              <w:t>​</w:t>
            </w:r>
          </w:p>
        </w:tc>
        <w:tc>
          <w:tcPr>
            <w:tcW w:w="5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gridSpan w:val="2"/>
          </w:tcPr>
          <w:p>
            <w:pPr>
              <w:jc w:val="right"/>
              <w:ind w:right="42"/>
              <w:spacing w:after="0"/>
              <w:rPr>
                <w:sz w:val="20"/>
                <w:szCs w:val="20"/>
                <w:color w:val="auto"/>
              </w:rPr>
            </w:pPr>
            <w:r>
              <w:rPr>
                <w:rFonts w:ascii="Arial" w:cs="Arial" w:eastAsia="Arial" w:hAnsi="Arial"/>
                <w:sz w:val="12"/>
                <w:szCs w:val="12"/>
                <w:b w:val="1"/>
                <w:bCs w:val="1"/>
                <w:color w:val="auto"/>
              </w:rPr>
              <w:t>$(10)</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3"/>
          </w:tcPr>
          <w:p>
            <w:pPr>
              <w:jc w:val="right"/>
              <w:ind w:right="42"/>
              <w:spacing w:after="0"/>
              <w:rPr>
                <w:sz w:val="20"/>
                <w:szCs w:val="20"/>
                <w:color w:val="auto"/>
              </w:rPr>
            </w:pPr>
            <w:r>
              <w:rPr>
                <w:rFonts w:ascii="Arial" w:cs="Arial" w:eastAsia="Arial" w:hAnsi="Arial"/>
                <w:sz w:val="12"/>
                <w:szCs w:val="12"/>
                <w:b w:val="1"/>
                <w:bCs w:val="1"/>
                <w:color w:val="auto"/>
              </w:rPr>
              <w:t>$1,066</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5.92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980" w:type="dxa"/>
            <w:vAlign w:val="bottom"/>
          </w:tcPr>
          <w:p>
            <w:pPr>
              <w:spacing w:after="0"/>
              <w:rPr>
                <w:sz w:val="7"/>
                <w:szCs w:val="7"/>
                <w:color w:val="auto"/>
              </w:rPr>
            </w:pPr>
          </w:p>
        </w:tc>
        <w:tc>
          <w:tcPr>
            <w:tcW w:w="1340" w:type="dxa"/>
            <w:vAlign w:val="bottom"/>
            <w:tcBorders>
              <w:bottom w:val="single" w:sz="8" w:color="0C426A"/>
            </w:tcBorders>
          </w:tcPr>
          <w:p>
            <w:pPr>
              <w:spacing w:after="0"/>
              <w:rPr>
                <w:sz w:val="7"/>
                <w:szCs w:val="7"/>
                <w:color w:val="auto"/>
              </w:rPr>
            </w:pPr>
          </w:p>
        </w:tc>
        <w:tc>
          <w:tcPr>
            <w:tcW w:w="120" w:type="dxa"/>
            <w:vAlign w:val="bottom"/>
            <w:tcBorders>
              <w:bottom w:val="single" w:sz="8" w:color="0C426A"/>
            </w:tcBorders>
          </w:tcPr>
          <w:p>
            <w:pPr>
              <w:spacing w:after="0"/>
              <w:rPr>
                <w:sz w:val="7"/>
                <w:szCs w:val="7"/>
                <w:color w:val="auto"/>
              </w:rPr>
            </w:pPr>
          </w:p>
        </w:tc>
        <w:tc>
          <w:tcPr>
            <w:tcW w:w="60" w:type="dxa"/>
            <w:vAlign w:val="bottom"/>
            <w:tcBorders>
              <w:bottom w:val="single" w:sz="8" w:color="0C426A"/>
            </w:tcBorders>
          </w:tcPr>
          <w:p>
            <w:pPr>
              <w:spacing w:after="0"/>
              <w:rPr>
                <w:sz w:val="7"/>
                <w:szCs w:val="7"/>
                <w:color w:val="auto"/>
              </w:rPr>
            </w:pPr>
          </w:p>
        </w:tc>
        <w:tc>
          <w:tcPr>
            <w:tcW w:w="60" w:type="dxa"/>
            <w:vAlign w:val="bottom"/>
            <w:tcBorders>
              <w:bottom w:val="single" w:sz="8" w:color="0C426A"/>
            </w:tcBorders>
          </w:tcPr>
          <w:p>
            <w:pPr>
              <w:spacing w:after="0"/>
              <w:rPr>
                <w:sz w:val="7"/>
                <w:szCs w:val="7"/>
                <w:color w:val="auto"/>
              </w:rPr>
            </w:pPr>
          </w:p>
        </w:tc>
        <w:tc>
          <w:tcPr>
            <w:tcW w:w="460" w:type="dxa"/>
            <w:vAlign w:val="bottom"/>
            <w:tcBorders>
              <w:bottom w:val="single" w:sz="8" w:color="0C426A"/>
            </w:tcBorders>
          </w:tcPr>
          <w:p>
            <w:pPr>
              <w:spacing w:after="0"/>
              <w:rPr>
                <w:sz w:val="7"/>
                <w:szCs w:val="7"/>
                <w:color w:val="auto"/>
              </w:rPr>
            </w:pPr>
          </w:p>
        </w:tc>
        <w:tc>
          <w:tcPr>
            <w:tcW w:w="60" w:type="dxa"/>
            <w:vAlign w:val="bottom"/>
            <w:tcBorders>
              <w:bottom w:val="single" w:sz="8" w:color="0C426A"/>
            </w:tcBorders>
          </w:tcPr>
          <w:p>
            <w:pPr>
              <w:spacing w:after="0"/>
              <w:rPr>
                <w:sz w:val="7"/>
                <w:szCs w:val="7"/>
                <w:color w:val="auto"/>
              </w:rPr>
            </w:pPr>
          </w:p>
        </w:tc>
        <w:tc>
          <w:tcPr>
            <w:tcW w:w="120" w:type="dxa"/>
            <w:vAlign w:val="bottom"/>
            <w:tcBorders>
              <w:bottom w:val="single" w:sz="8" w:color="0C426A"/>
            </w:tcBorders>
          </w:tcPr>
          <w:p>
            <w:pPr>
              <w:spacing w:after="0"/>
              <w:rPr>
                <w:sz w:val="7"/>
                <w:szCs w:val="7"/>
                <w:color w:val="auto"/>
              </w:rPr>
            </w:pPr>
          </w:p>
        </w:tc>
        <w:tc>
          <w:tcPr>
            <w:tcW w:w="440" w:type="dxa"/>
            <w:vAlign w:val="bottom"/>
            <w:tcBorders>
              <w:bottom w:val="single" w:sz="8" w:color="0C426A"/>
            </w:tcBorders>
          </w:tcPr>
          <w:p>
            <w:pPr>
              <w:spacing w:after="0"/>
              <w:rPr>
                <w:sz w:val="7"/>
                <w:szCs w:val="7"/>
                <w:color w:val="auto"/>
              </w:rPr>
            </w:pPr>
          </w:p>
        </w:tc>
        <w:tc>
          <w:tcPr>
            <w:tcW w:w="60" w:type="dxa"/>
            <w:vAlign w:val="bottom"/>
            <w:tcBorders>
              <w:bottom w:val="single" w:sz="8" w:color="0C426A"/>
            </w:tcBorders>
          </w:tcPr>
          <w:p>
            <w:pPr>
              <w:spacing w:after="0"/>
              <w:rPr>
                <w:sz w:val="7"/>
                <w:szCs w:val="7"/>
                <w:color w:val="auto"/>
              </w:rPr>
            </w:pPr>
          </w:p>
        </w:tc>
        <w:tc>
          <w:tcPr>
            <w:tcW w:w="120" w:type="dxa"/>
            <w:vAlign w:val="bottom"/>
            <w:tcBorders>
              <w:bottom w:val="single" w:sz="8" w:color="0C426A"/>
            </w:tcBorders>
          </w:tcPr>
          <w:p>
            <w:pPr>
              <w:spacing w:after="0"/>
              <w:rPr>
                <w:sz w:val="7"/>
                <w:szCs w:val="7"/>
                <w:color w:val="auto"/>
              </w:rPr>
            </w:pPr>
          </w:p>
        </w:tc>
        <w:tc>
          <w:tcPr>
            <w:tcW w:w="640" w:type="dxa"/>
            <w:vAlign w:val="bottom"/>
            <w:tcBorders>
              <w:bottom w:val="single" w:sz="8" w:color="0C426A"/>
            </w:tcBorders>
          </w:tcPr>
          <w:p>
            <w:pPr>
              <w:spacing w:after="0"/>
              <w:rPr>
                <w:sz w:val="7"/>
                <w:szCs w:val="7"/>
                <w:color w:val="auto"/>
              </w:rPr>
            </w:pPr>
          </w:p>
        </w:tc>
        <w:tc>
          <w:tcPr>
            <w:tcW w:w="60" w:type="dxa"/>
            <w:vAlign w:val="bottom"/>
            <w:tcBorders>
              <w:bottom w:val="single" w:sz="8" w:color="0C426A"/>
            </w:tcBorders>
          </w:tcPr>
          <w:p>
            <w:pPr>
              <w:spacing w:after="0"/>
              <w:rPr>
                <w:sz w:val="7"/>
                <w:szCs w:val="7"/>
                <w:color w:val="auto"/>
              </w:rPr>
            </w:pPr>
          </w:p>
        </w:tc>
        <w:tc>
          <w:tcPr>
            <w:tcW w:w="120" w:type="dxa"/>
            <w:vAlign w:val="bottom"/>
            <w:tcBorders>
              <w:bottom w:val="single" w:sz="8" w:color="0C426A"/>
            </w:tcBorders>
          </w:tcPr>
          <w:p>
            <w:pPr>
              <w:spacing w:after="0"/>
              <w:rPr>
                <w:sz w:val="7"/>
                <w:szCs w:val="7"/>
                <w:color w:val="auto"/>
              </w:rPr>
            </w:pPr>
          </w:p>
        </w:tc>
        <w:tc>
          <w:tcPr>
            <w:tcW w:w="760" w:type="dxa"/>
            <w:vAlign w:val="bottom"/>
            <w:tcBorders>
              <w:bottom w:val="single" w:sz="8" w:color="0C426A"/>
            </w:tcBorders>
          </w:tcPr>
          <w:p>
            <w:pPr>
              <w:spacing w:after="0"/>
              <w:rPr>
                <w:sz w:val="7"/>
                <w:szCs w:val="7"/>
                <w:color w:val="auto"/>
              </w:rPr>
            </w:pPr>
          </w:p>
        </w:tc>
        <w:tc>
          <w:tcPr>
            <w:tcW w:w="160" w:type="dxa"/>
            <w:vAlign w:val="bottom"/>
            <w:tcBorders>
              <w:bottom w:val="single" w:sz="8" w:color="0C426A"/>
            </w:tcBorders>
          </w:tcPr>
          <w:p>
            <w:pPr>
              <w:spacing w:after="0"/>
              <w:rPr>
                <w:sz w:val="7"/>
                <w:szCs w:val="7"/>
                <w:color w:val="auto"/>
              </w:rPr>
            </w:pPr>
          </w:p>
        </w:tc>
        <w:tc>
          <w:tcPr>
            <w:tcW w:w="540" w:type="dxa"/>
            <w:vAlign w:val="bottom"/>
            <w:tcBorders>
              <w:bottom w:val="single" w:sz="8" w:color="0C426A"/>
            </w:tcBorders>
          </w:tcPr>
          <w:p>
            <w:pPr>
              <w:spacing w:after="0"/>
              <w:rPr>
                <w:sz w:val="7"/>
                <w:szCs w:val="7"/>
                <w:color w:val="auto"/>
              </w:rPr>
            </w:pPr>
          </w:p>
        </w:tc>
        <w:tc>
          <w:tcPr>
            <w:tcW w:w="60" w:type="dxa"/>
            <w:vAlign w:val="bottom"/>
            <w:tcBorders>
              <w:bottom w:val="single" w:sz="8" w:color="0C426A"/>
            </w:tcBorders>
          </w:tcPr>
          <w:p>
            <w:pPr>
              <w:spacing w:after="0"/>
              <w:rPr>
                <w:sz w:val="7"/>
                <w:szCs w:val="7"/>
                <w:color w:val="auto"/>
              </w:rPr>
            </w:pPr>
          </w:p>
        </w:tc>
        <w:tc>
          <w:tcPr>
            <w:tcW w:w="120" w:type="dxa"/>
            <w:vAlign w:val="bottom"/>
            <w:tcBorders>
              <w:bottom w:val="single" w:sz="8" w:color="0C426A"/>
            </w:tcBorders>
          </w:tcPr>
          <w:p>
            <w:pPr>
              <w:spacing w:after="0"/>
              <w:rPr>
                <w:sz w:val="7"/>
                <w:szCs w:val="7"/>
                <w:color w:val="auto"/>
              </w:rPr>
            </w:pPr>
          </w:p>
        </w:tc>
        <w:tc>
          <w:tcPr>
            <w:tcW w:w="500" w:type="dxa"/>
            <w:vAlign w:val="bottom"/>
            <w:tcBorders>
              <w:bottom w:val="single" w:sz="8" w:color="0C426A"/>
            </w:tcBorders>
          </w:tcPr>
          <w:p>
            <w:pPr>
              <w:spacing w:after="0"/>
              <w:rPr>
                <w:sz w:val="7"/>
                <w:szCs w:val="7"/>
                <w:color w:val="auto"/>
              </w:rPr>
            </w:pPr>
          </w:p>
        </w:tc>
        <w:tc>
          <w:tcPr>
            <w:tcW w:w="140" w:type="dxa"/>
            <w:vAlign w:val="bottom"/>
            <w:tcBorders>
              <w:bottom w:val="single" w:sz="8" w:color="0C426A"/>
            </w:tcBorders>
          </w:tcPr>
          <w:p>
            <w:pPr>
              <w:spacing w:after="0"/>
              <w:rPr>
                <w:sz w:val="7"/>
                <w:szCs w:val="7"/>
                <w:color w:val="auto"/>
              </w:rPr>
            </w:pPr>
          </w:p>
        </w:tc>
        <w:tc>
          <w:tcPr>
            <w:tcW w:w="220" w:type="dxa"/>
            <w:vAlign w:val="bottom"/>
            <w:tcBorders>
              <w:bottom w:val="single" w:sz="8" w:color="0C426A"/>
            </w:tcBorders>
          </w:tcPr>
          <w:p>
            <w:pPr>
              <w:spacing w:after="0"/>
              <w:rPr>
                <w:sz w:val="7"/>
                <w:szCs w:val="7"/>
                <w:color w:val="auto"/>
              </w:rPr>
            </w:pPr>
          </w:p>
        </w:tc>
        <w:tc>
          <w:tcPr>
            <w:tcW w:w="260" w:type="dxa"/>
            <w:vAlign w:val="bottom"/>
            <w:tcBorders>
              <w:bottom w:val="single" w:sz="8" w:color="0C426A"/>
            </w:tcBorders>
          </w:tcPr>
          <w:p>
            <w:pPr>
              <w:spacing w:after="0"/>
              <w:rPr>
                <w:sz w:val="7"/>
                <w:szCs w:val="7"/>
                <w:color w:val="auto"/>
              </w:rPr>
            </w:pPr>
          </w:p>
        </w:tc>
        <w:tc>
          <w:tcPr>
            <w:tcW w:w="60" w:type="dxa"/>
            <w:vAlign w:val="bottom"/>
            <w:tcBorders>
              <w:bottom w:val="single" w:sz="8" w:color="0C426A"/>
            </w:tcBorders>
          </w:tcPr>
          <w:p>
            <w:pPr>
              <w:spacing w:after="0"/>
              <w:rPr>
                <w:sz w:val="7"/>
                <w:szCs w:val="7"/>
                <w:color w:val="auto"/>
              </w:rPr>
            </w:pPr>
          </w:p>
        </w:tc>
        <w:tc>
          <w:tcPr>
            <w:tcW w:w="560" w:type="dxa"/>
            <w:vAlign w:val="bottom"/>
            <w:tcBorders>
              <w:bottom w:val="single" w:sz="8" w:color="0C426A"/>
            </w:tcBorders>
          </w:tcPr>
          <w:p>
            <w:pPr>
              <w:spacing w:after="0"/>
              <w:rPr>
                <w:sz w:val="7"/>
                <w:szCs w:val="7"/>
                <w:color w:val="auto"/>
              </w:rPr>
            </w:pPr>
          </w:p>
        </w:tc>
        <w:tc>
          <w:tcPr>
            <w:tcW w:w="520" w:type="dxa"/>
            <w:vAlign w:val="bottom"/>
            <w:tcBorders>
              <w:bottom w:val="single" w:sz="8" w:color="0C426A"/>
            </w:tcBorders>
          </w:tcPr>
          <w:p>
            <w:pPr>
              <w:spacing w:after="0"/>
              <w:rPr>
                <w:sz w:val="7"/>
                <w:szCs w:val="7"/>
                <w:color w:val="auto"/>
              </w:rPr>
            </w:pPr>
          </w:p>
        </w:tc>
        <w:tc>
          <w:tcPr>
            <w:tcW w:w="60" w:type="dxa"/>
            <w:vAlign w:val="bottom"/>
            <w:tcBorders>
              <w:bottom w:val="single" w:sz="8" w:color="0C426A"/>
            </w:tcBorders>
          </w:tcPr>
          <w:p>
            <w:pPr>
              <w:spacing w:after="0"/>
              <w:rPr>
                <w:sz w:val="7"/>
                <w:szCs w:val="7"/>
                <w:color w:val="auto"/>
              </w:rPr>
            </w:pPr>
          </w:p>
        </w:tc>
        <w:tc>
          <w:tcPr>
            <w:tcW w:w="120" w:type="dxa"/>
            <w:vAlign w:val="bottom"/>
            <w:tcBorders>
              <w:bottom w:val="single" w:sz="8" w:color="0C426A"/>
            </w:tcBorders>
          </w:tcPr>
          <w:p>
            <w:pPr>
              <w:spacing w:after="0"/>
              <w:rPr>
                <w:sz w:val="7"/>
                <w:szCs w:val="7"/>
                <w:color w:val="auto"/>
              </w:rPr>
            </w:pPr>
          </w:p>
        </w:tc>
        <w:tc>
          <w:tcPr>
            <w:tcW w:w="240" w:type="dxa"/>
            <w:vAlign w:val="bottom"/>
            <w:tcBorders>
              <w:bottom w:val="single" w:sz="8" w:color="0C426A"/>
            </w:tcBorders>
          </w:tcPr>
          <w:p>
            <w:pPr>
              <w:spacing w:after="0"/>
              <w:rPr>
                <w:sz w:val="7"/>
                <w:szCs w:val="7"/>
                <w:color w:val="auto"/>
              </w:rPr>
            </w:pPr>
          </w:p>
        </w:tc>
        <w:tc>
          <w:tcPr>
            <w:tcW w:w="260" w:type="dxa"/>
            <w:vAlign w:val="bottom"/>
            <w:tcBorders>
              <w:bottom w:val="single" w:sz="8" w:color="0C426A"/>
            </w:tcBorders>
          </w:tcPr>
          <w:p>
            <w:pPr>
              <w:spacing w:after="0"/>
              <w:rPr>
                <w:sz w:val="7"/>
                <w:szCs w:val="7"/>
                <w:color w:val="auto"/>
              </w:rPr>
            </w:pPr>
          </w:p>
        </w:tc>
        <w:tc>
          <w:tcPr>
            <w:tcW w:w="60" w:type="dxa"/>
            <w:vAlign w:val="bottom"/>
            <w:tcBorders>
              <w:bottom w:val="single" w:sz="8" w:color="0C426A"/>
            </w:tcBorders>
          </w:tcPr>
          <w:p>
            <w:pPr>
              <w:spacing w:after="0"/>
              <w:rPr>
                <w:sz w:val="7"/>
                <w:szCs w:val="7"/>
                <w:color w:val="auto"/>
              </w:rPr>
            </w:pPr>
          </w:p>
        </w:tc>
        <w:tc>
          <w:tcPr>
            <w:tcW w:w="160" w:type="dxa"/>
            <w:vAlign w:val="bottom"/>
            <w:tcBorders>
              <w:bottom w:val="single" w:sz="8" w:color="0C426A"/>
            </w:tcBorders>
          </w:tcPr>
          <w:p>
            <w:pPr>
              <w:spacing w:after="0"/>
              <w:rPr>
                <w:sz w:val="7"/>
                <w:szCs w:val="7"/>
                <w:color w:val="auto"/>
              </w:rPr>
            </w:pPr>
          </w:p>
        </w:tc>
        <w:tc>
          <w:tcPr>
            <w:tcW w:w="240" w:type="dxa"/>
            <w:vAlign w:val="bottom"/>
            <w:tcBorders>
              <w:bottom w:val="single" w:sz="8" w:color="0C426A"/>
            </w:tcBorders>
          </w:tcPr>
          <w:p>
            <w:pPr>
              <w:spacing w:after="0"/>
              <w:rPr>
                <w:sz w:val="7"/>
                <w:szCs w:val="7"/>
                <w:color w:val="auto"/>
              </w:rPr>
            </w:pPr>
          </w:p>
        </w:tc>
        <w:tc>
          <w:tcPr>
            <w:tcW w:w="280" w:type="dxa"/>
            <w:vAlign w:val="bottom"/>
            <w:tcBorders>
              <w:bottom w:val="single" w:sz="8" w:color="0C426A"/>
            </w:tcBorders>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2"/>
                <w:szCs w:val="12"/>
                <w:b w:val="1"/>
                <w:bCs w:val="1"/>
                <w:color w:val="auto"/>
              </w:rPr>
              <w:t>Fully Diluted Shares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1340" w:type="dxa"/>
            <w:vAlign w:val="bottom"/>
          </w:tcPr>
          <w:p>
            <w:pPr>
              <w:ind w:left="20"/>
              <w:spacing w:after="0" w:line="85" w:lineRule="exact"/>
              <w:rPr>
                <w:sz w:val="20"/>
                <w:szCs w:val="20"/>
                <w:color w:val="auto"/>
              </w:rPr>
            </w:pPr>
            <w:r>
              <w:rPr>
                <w:rFonts w:ascii="Arial" w:cs="Arial" w:eastAsia="Arial" w:hAnsi="Arial"/>
                <w:sz w:val="9"/>
                <w:szCs w:val="9"/>
                <w:b w:val="1"/>
                <w:bCs w:val="1"/>
                <w:color w:val="auto"/>
              </w:rPr>
              <w:t>Outstanding (in</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spacing w:after="0"/>
              <w:rPr>
                <w:sz w:val="8"/>
                <w:szCs w:val="8"/>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Pr>
          <w:p>
            <w:pPr>
              <w:spacing w:after="0"/>
              <w:rPr>
                <w:sz w:val="8"/>
                <w:szCs w:val="8"/>
                <w:color w:val="auto"/>
              </w:rPr>
            </w:pP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spacing w:after="0"/>
              <w:rPr>
                <w:sz w:val="8"/>
                <w:szCs w:val="8"/>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spacing w:after="0"/>
              <w:rPr>
                <w:sz w:val="8"/>
                <w:szCs w:val="8"/>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jc w:val="right"/>
              <w:ind w:right="17"/>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spacing w:after="0"/>
              <w:rPr>
                <w:sz w:val="8"/>
                <w:szCs w:val="8"/>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2"/>
                <w:szCs w:val="12"/>
                <w:b w:val="1"/>
                <w:bCs w:val="1"/>
                <w:color w:val="auto"/>
              </w:rPr>
              <w:t>millions)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b w:val="1"/>
                <w:bCs w:val="1"/>
                <w:color w:val="auto"/>
              </w:rPr>
              <w:t>179.5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980" w:type="dxa"/>
            <w:vAlign w:val="bottom"/>
          </w:tcPr>
          <w:p>
            <w:pPr>
              <w:spacing w:after="0"/>
              <w:rPr>
                <w:sz w:val="7"/>
                <w:szCs w:val="7"/>
                <w:color w:val="auto"/>
              </w:rPr>
            </w:pPr>
          </w:p>
        </w:tc>
        <w:tc>
          <w:tcPr>
            <w:tcW w:w="1340" w:type="dxa"/>
            <w:vAlign w:val="bottom"/>
            <w:tcBorders>
              <w:bottom w:val="single" w:sz="8" w:color="0C426A"/>
            </w:tcBorders>
          </w:tcPr>
          <w:p>
            <w:pPr>
              <w:spacing w:after="0"/>
              <w:rPr>
                <w:sz w:val="7"/>
                <w:szCs w:val="7"/>
                <w:color w:val="auto"/>
              </w:rPr>
            </w:pPr>
          </w:p>
        </w:tc>
        <w:tc>
          <w:tcPr>
            <w:tcW w:w="120" w:type="dxa"/>
            <w:vAlign w:val="bottom"/>
            <w:tcBorders>
              <w:bottom w:val="single" w:sz="8" w:color="0C426A"/>
            </w:tcBorders>
          </w:tcPr>
          <w:p>
            <w:pPr>
              <w:spacing w:after="0"/>
              <w:rPr>
                <w:sz w:val="7"/>
                <w:szCs w:val="7"/>
                <w:color w:val="auto"/>
              </w:rPr>
            </w:pPr>
          </w:p>
        </w:tc>
        <w:tc>
          <w:tcPr>
            <w:tcW w:w="60" w:type="dxa"/>
            <w:vAlign w:val="bottom"/>
            <w:tcBorders>
              <w:bottom w:val="single" w:sz="8" w:color="0C426A"/>
            </w:tcBorders>
          </w:tcPr>
          <w:p>
            <w:pPr>
              <w:spacing w:after="0"/>
              <w:rPr>
                <w:sz w:val="7"/>
                <w:szCs w:val="7"/>
                <w:color w:val="auto"/>
              </w:rPr>
            </w:pPr>
          </w:p>
        </w:tc>
        <w:tc>
          <w:tcPr>
            <w:tcW w:w="60" w:type="dxa"/>
            <w:vAlign w:val="bottom"/>
            <w:tcBorders>
              <w:bottom w:val="single" w:sz="8" w:color="0C426A"/>
            </w:tcBorders>
          </w:tcPr>
          <w:p>
            <w:pPr>
              <w:spacing w:after="0"/>
              <w:rPr>
                <w:sz w:val="7"/>
                <w:szCs w:val="7"/>
                <w:color w:val="auto"/>
              </w:rPr>
            </w:pPr>
          </w:p>
        </w:tc>
        <w:tc>
          <w:tcPr>
            <w:tcW w:w="460" w:type="dxa"/>
            <w:vAlign w:val="bottom"/>
            <w:tcBorders>
              <w:bottom w:val="single" w:sz="8" w:color="0C426A"/>
            </w:tcBorders>
          </w:tcPr>
          <w:p>
            <w:pPr>
              <w:spacing w:after="0"/>
              <w:rPr>
                <w:sz w:val="7"/>
                <w:szCs w:val="7"/>
                <w:color w:val="auto"/>
              </w:rPr>
            </w:pPr>
          </w:p>
        </w:tc>
        <w:tc>
          <w:tcPr>
            <w:tcW w:w="60" w:type="dxa"/>
            <w:vAlign w:val="bottom"/>
            <w:tcBorders>
              <w:bottom w:val="single" w:sz="8" w:color="0C426A"/>
            </w:tcBorders>
          </w:tcPr>
          <w:p>
            <w:pPr>
              <w:spacing w:after="0"/>
              <w:rPr>
                <w:sz w:val="7"/>
                <w:szCs w:val="7"/>
                <w:color w:val="auto"/>
              </w:rPr>
            </w:pPr>
          </w:p>
        </w:tc>
        <w:tc>
          <w:tcPr>
            <w:tcW w:w="120" w:type="dxa"/>
            <w:vAlign w:val="bottom"/>
            <w:tcBorders>
              <w:bottom w:val="single" w:sz="8" w:color="0C426A"/>
            </w:tcBorders>
          </w:tcPr>
          <w:p>
            <w:pPr>
              <w:spacing w:after="0"/>
              <w:rPr>
                <w:sz w:val="7"/>
                <w:szCs w:val="7"/>
                <w:color w:val="auto"/>
              </w:rPr>
            </w:pPr>
          </w:p>
        </w:tc>
        <w:tc>
          <w:tcPr>
            <w:tcW w:w="440" w:type="dxa"/>
            <w:vAlign w:val="bottom"/>
            <w:tcBorders>
              <w:bottom w:val="single" w:sz="8" w:color="0C426A"/>
            </w:tcBorders>
          </w:tcPr>
          <w:p>
            <w:pPr>
              <w:spacing w:after="0"/>
              <w:rPr>
                <w:sz w:val="7"/>
                <w:szCs w:val="7"/>
                <w:color w:val="auto"/>
              </w:rPr>
            </w:pPr>
          </w:p>
        </w:tc>
        <w:tc>
          <w:tcPr>
            <w:tcW w:w="60" w:type="dxa"/>
            <w:vAlign w:val="bottom"/>
            <w:tcBorders>
              <w:bottom w:val="single" w:sz="8" w:color="0C426A"/>
            </w:tcBorders>
          </w:tcPr>
          <w:p>
            <w:pPr>
              <w:spacing w:after="0"/>
              <w:rPr>
                <w:sz w:val="7"/>
                <w:szCs w:val="7"/>
                <w:color w:val="auto"/>
              </w:rPr>
            </w:pPr>
          </w:p>
        </w:tc>
        <w:tc>
          <w:tcPr>
            <w:tcW w:w="120" w:type="dxa"/>
            <w:vAlign w:val="bottom"/>
            <w:tcBorders>
              <w:bottom w:val="single" w:sz="8" w:color="0C426A"/>
            </w:tcBorders>
          </w:tcPr>
          <w:p>
            <w:pPr>
              <w:spacing w:after="0"/>
              <w:rPr>
                <w:sz w:val="7"/>
                <w:szCs w:val="7"/>
                <w:color w:val="auto"/>
              </w:rPr>
            </w:pPr>
          </w:p>
        </w:tc>
        <w:tc>
          <w:tcPr>
            <w:tcW w:w="640" w:type="dxa"/>
            <w:vAlign w:val="bottom"/>
            <w:tcBorders>
              <w:bottom w:val="single" w:sz="8" w:color="0C426A"/>
            </w:tcBorders>
          </w:tcPr>
          <w:p>
            <w:pPr>
              <w:spacing w:after="0"/>
              <w:rPr>
                <w:sz w:val="7"/>
                <w:szCs w:val="7"/>
                <w:color w:val="auto"/>
              </w:rPr>
            </w:pPr>
          </w:p>
        </w:tc>
        <w:tc>
          <w:tcPr>
            <w:tcW w:w="60" w:type="dxa"/>
            <w:vAlign w:val="bottom"/>
            <w:tcBorders>
              <w:bottom w:val="single" w:sz="8" w:color="0C426A"/>
            </w:tcBorders>
          </w:tcPr>
          <w:p>
            <w:pPr>
              <w:spacing w:after="0"/>
              <w:rPr>
                <w:sz w:val="7"/>
                <w:szCs w:val="7"/>
                <w:color w:val="auto"/>
              </w:rPr>
            </w:pPr>
          </w:p>
        </w:tc>
        <w:tc>
          <w:tcPr>
            <w:tcW w:w="120" w:type="dxa"/>
            <w:vAlign w:val="bottom"/>
            <w:tcBorders>
              <w:bottom w:val="single" w:sz="8" w:color="0C426A"/>
            </w:tcBorders>
          </w:tcPr>
          <w:p>
            <w:pPr>
              <w:spacing w:after="0"/>
              <w:rPr>
                <w:sz w:val="7"/>
                <w:szCs w:val="7"/>
                <w:color w:val="auto"/>
              </w:rPr>
            </w:pPr>
          </w:p>
        </w:tc>
        <w:tc>
          <w:tcPr>
            <w:tcW w:w="760" w:type="dxa"/>
            <w:vAlign w:val="bottom"/>
            <w:tcBorders>
              <w:bottom w:val="single" w:sz="8" w:color="0C426A"/>
            </w:tcBorders>
          </w:tcPr>
          <w:p>
            <w:pPr>
              <w:spacing w:after="0"/>
              <w:rPr>
                <w:sz w:val="7"/>
                <w:szCs w:val="7"/>
                <w:color w:val="auto"/>
              </w:rPr>
            </w:pPr>
          </w:p>
        </w:tc>
        <w:tc>
          <w:tcPr>
            <w:tcW w:w="160" w:type="dxa"/>
            <w:vAlign w:val="bottom"/>
            <w:tcBorders>
              <w:bottom w:val="single" w:sz="8" w:color="0C426A"/>
            </w:tcBorders>
          </w:tcPr>
          <w:p>
            <w:pPr>
              <w:spacing w:after="0"/>
              <w:rPr>
                <w:sz w:val="7"/>
                <w:szCs w:val="7"/>
                <w:color w:val="auto"/>
              </w:rPr>
            </w:pPr>
          </w:p>
        </w:tc>
        <w:tc>
          <w:tcPr>
            <w:tcW w:w="540" w:type="dxa"/>
            <w:vAlign w:val="bottom"/>
            <w:tcBorders>
              <w:bottom w:val="single" w:sz="8" w:color="0C426A"/>
            </w:tcBorders>
          </w:tcPr>
          <w:p>
            <w:pPr>
              <w:spacing w:after="0"/>
              <w:rPr>
                <w:sz w:val="7"/>
                <w:szCs w:val="7"/>
                <w:color w:val="auto"/>
              </w:rPr>
            </w:pPr>
          </w:p>
        </w:tc>
        <w:tc>
          <w:tcPr>
            <w:tcW w:w="60" w:type="dxa"/>
            <w:vAlign w:val="bottom"/>
            <w:tcBorders>
              <w:bottom w:val="single" w:sz="8" w:color="0C426A"/>
            </w:tcBorders>
          </w:tcPr>
          <w:p>
            <w:pPr>
              <w:spacing w:after="0"/>
              <w:rPr>
                <w:sz w:val="7"/>
                <w:szCs w:val="7"/>
                <w:color w:val="auto"/>
              </w:rPr>
            </w:pPr>
          </w:p>
        </w:tc>
        <w:tc>
          <w:tcPr>
            <w:tcW w:w="120" w:type="dxa"/>
            <w:vAlign w:val="bottom"/>
            <w:tcBorders>
              <w:bottom w:val="single" w:sz="8" w:color="0C426A"/>
            </w:tcBorders>
          </w:tcPr>
          <w:p>
            <w:pPr>
              <w:spacing w:after="0"/>
              <w:rPr>
                <w:sz w:val="7"/>
                <w:szCs w:val="7"/>
                <w:color w:val="auto"/>
              </w:rPr>
            </w:pPr>
          </w:p>
        </w:tc>
        <w:tc>
          <w:tcPr>
            <w:tcW w:w="500" w:type="dxa"/>
            <w:vAlign w:val="bottom"/>
            <w:tcBorders>
              <w:bottom w:val="single" w:sz="8" w:color="0C426A"/>
            </w:tcBorders>
          </w:tcPr>
          <w:p>
            <w:pPr>
              <w:spacing w:after="0"/>
              <w:rPr>
                <w:sz w:val="7"/>
                <w:szCs w:val="7"/>
                <w:color w:val="auto"/>
              </w:rPr>
            </w:pPr>
          </w:p>
        </w:tc>
        <w:tc>
          <w:tcPr>
            <w:tcW w:w="140" w:type="dxa"/>
            <w:vAlign w:val="bottom"/>
            <w:tcBorders>
              <w:bottom w:val="single" w:sz="8" w:color="0C426A"/>
            </w:tcBorders>
          </w:tcPr>
          <w:p>
            <w:pPr>
              <w:spacing w:after="0"/>
              <w:rPr>
                <w:sz w:val="7"/>
                <w:szCs w:val="7"/>
                <w:color w:val="auto"/>
              </w:rPr>
            </w:pPr>
          </w:p>
        </w:tc>
        <w:tc>
          <w:tcPr>
            <w:tcW w:w="220" w:type="dxa"/>
            <w:vAlign w:val="bottom"/>
            <w:tcBorders>
              <w:bottom w:val="single" w:sz="8" w:color="0C426A"/>
            </w:tcBorders>
          </w:tcPr>
          <w:p>
            <w:pPr>
              <w:spacing w:after="0"/>
              <w:rPr>
                <w:sz w:val="7"/>
                <w:szCs w:val="7"/>
                <w:color w:val="auto"/>
              </w:rPr>
            </w:pPr>
          </w:p>
        </w:tc>
        <w:tc>
          <w:tcPr>
            <w:tcW w:w="260" w:type="dxa"/>
            <w:vAlign w:val="bottom"/>
            <w:tcBorders>
              <w:bottom w:val="single" w:sz="8" w:color="0C426A"/>
            </w:tcBorders>
          </w:tcPr>
          <w:p>
            <w:pPr>
              <w:spacing w:after="0"/>
              <w:rPr>
                <w:sz w:val="7"/>
                <w:szCs w:val="7"/>
                <w:color w:val="auto"/>
              </w:rPr>
            </w:pPr>
          </w:p>
        </w:tc>
        <w:tc>
          <w:tcPr>
            <w:tcW w:w="60" w:type="dxa"/>
            <w:vAlign w:val="bottom"/>
            <w:tcBorders>
              <w:bottom w:val="single" w:sz="8" w:color="0C426A"/>
            </w:tcBorders>
          </w:tcPr>
          <w:p>
            <w:pPr>
              <w:spacing w:after="0"/>
              <w:rPr>
                <w:sz w:val="7"/>
                <w:szCs w:val="7"/>
                <w:color w:val="auto"/>
              </w:rPr>
            </w:pPr>
          </w:p>
        </w:tc>
        <w:tc>
          <w:tcPr>
            <w:tcW w:w="560" w:type="dxa"/>
            <w:vAlign w:val="bottom"/>
            <w:tcBorders>
              <w:bottom w:val="single" w:sz="8" w:color="0C426A"/>
            </w:tcBorders>
          </w:tcPr>
          <w:p>
            <w:pPr>
              <w:spacing w:after="0"/>
              <w:rPr>
                <w:sz w:val="7"/>
                <w:szCs w:val="7"/>
                <w:color w:val="auto"/>
              </w:rPr>
            </w:pPr>
          </w:p>
        </w:tc>
        <w:tc>
          <w:tcPr>
            <w:tcW w:w="520" w:type="dxa"/>
            <w:vAlign w:val="bottom"/>
            <w:tcBorders>
              <w:bottom w:val="single" w:sz="8" w:color="0C426A"/>
            </w:tcBorders>
          </w:tcPr>
          <w:p>
            <w:pPr>
              <w:spacing w:after="0"/>
              <w:rPr>
                <w:sz w:val="7"/>
                <w:szCs w:val="7"/>
                <w:color w:val="auto"/>
              </w:rPr>
            </w:pPr>
          </w:p>
        </w:tc>
        <w:tc>
          <w:tcPr>
            <w:tcW w:w="60" w:type="dxa"/>
            <w:vAlign w:val="bottom"/>
            <w:tcBorders>
              <w:bottom w:val="single" w:sz="8" w:color="0C426A"/>
            </w:tcBorders>
          </w:tcPr>
          <w:p>
            <w:pPr>
              <w:spacing w:after="0"/>
              <w:rPr>
                <w:sz w:val="7"/>
                <w:szCs w:val="7"/>
                <w:color w:val="auto"/>
              </w:rPr>
            </w:pPr>
          </w:p>
        </w:tc>
        <w:tc>
          <w:tcPr>
            <w:tcW w:w="120" w:type="dxa"/>
            <w:vAlign w:val="bottom"/>
            <w:tcBorders>
              <w:bottom w:val="single" w:sz="8" w:color="0C426A"/>
            </w:tcBorders>
          </w:tcPr>
          <w:p>
            <w:pPr>
              <w:spacing w:after="0"/>
              <w:rPr>
                <w:sz w:val="7"/>
                <w:szCs w:val="7"/>
                <w:color w:val="auto"/>
              </w:rPr>
            </w:pPr>
          </w:p>
        </w:tc>
        <w:tc>
          <w:tcPr>
            <w:tcW w:w="240" w:type="dxa"/>
            <w:vAlign w:val="bottom"/>
            <w:tcBorders>
              <w:bottom w:val="single" w:sz="8" w:color="0C426A"/>
            </w:tcBorders>
          </w:tcPr>
          <w:p>
            <w:pPr>
              <w:spacing w:after="0"/>
              <w:rPr>
                <w:sz w:val="7"/>
                <w:szCs w:val="7"/>
                <w:color w:val="auto"/>
              </w:rPr>
            </w:pPr>
          </w:p>
        </w:tc>
        <w:tc>
          <w:tcPr>
            <w:tcW w:w="260" w:type="dxa"/>
            <w:vAlign w:val="bottom"/>
            <w:tcBorders>
              <w:bottom w:val="single" w:sz="8" w:color="0C426A"/>
            </w:tcBorders>
          </w:tcPr>
          <w:p>
            <w:pPr>
              <w:spacing w:after="0"/>
              <w:rPr>
                <w:sz w:val="7"/>
                <w:szCs w:val="7"/>
                <w:color w:val="auto"/>
              </w:rPr>
            </w:pPr>
          </w:p>
        </w:tc>
        <w:tc>
          <w:tcPr>
            <w:tcW w:w="60" w:type="dxa"/>
            <w:vAlign w:val="bottom"/>
            <w:tcBorders>
              <w:bottom w:val="single" w:sz="8" w:color="0C426A"/>
            </w:tcBorders>
          </w:tcPr>
          <w:p>
            <w:pPr>
              <w:spacing w:after="0"/>
              <w:rPr>
                <w:sz w:val="7"/>
                <w:szCs w:val="7"/>
                <w:color w:val="auto"/>
              </w:rPr>
            </w:pPr>
          </w:p>
        </w:tc>
        <w:tc>
          <w:tcPr>
            <w:tcW w:w="160" w:type="dxa"/>
            <w:vAlign w:val="bottom"/>
            <w:tcBorders>
              <w:bottom w:val="single" w:sz="8" w:color="0C426A"/>
            </w:tcBorders>
          </w:tcPr>
          <w:p>
            <w:pPr>
              <w:spacing w:after="0"/>
              <w:rPr>
                <w:sz w:val="7"/>
                <w:szCs w:val="7"/>
                <w:color w:val="auto"/>
              </w:rPr>
            </w:pPr>
          </w:p>
        </w:tc>
        <w:tc>
          <w:tcPr>
            <w:tcW w:w="520" w:type="dxa"/>
            <w:vAlign w:val="bottom"/>
            <w:tcBorders>
              <w:bottom w:val="single" w:sz="8" w:color="0C426A"/>
            </w:tcBorders>
            <w:gridSpan w:val="2"/>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980" w:type="dxa"/>
            <w:vAlign w:val="bottom"/>
          </w:tcPr>
          <w:p>
            <w:pPr>
              <w:spacing w:after="0"/>
              <w:rPr>
                <w:sz w:val="15"/>
                <w:szCs w:val="15"/>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Reported EBIT Margin</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spacing w:after="0"/>
              <w:rPr>
                <w:sz w:val="15"/>
                <w:szCs w:val="15"/>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Pr>
          <w:p>
            <w:pPr>
              <w:spacing w:after="0"/>
              <w:rPr>
                <w:sz w:val="15"/>
                <w:szCs w:val="15"/>
                <w:color w:val="auto"/>
              </w:rPr>
            </w:pP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spacing w:after="0"/>
              <w:rPr>
                <w:sz w:val="15"/>
                <w:szCs w:val="15"/>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spacing w:after="0"/>
              <w:rPr>
                <w:sz w:val="15"/>
                <w:szCs w:val="15"/>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jc w:val="right"/>
              <w:ind w:right="17"/>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spacing w:after="0"/>
              <w:rPr>
                <w:sz w:val="15"/>
                <w:szCs w:val="15"/>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13.1%</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980" w:type="dxa"/>
            <w:vAlign w:val="bottom"/>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Adjusted Operating</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spacing w:after="0"/>
              <w:rPr>
                <w:sz w:val="16"/>
                <w:szCs w:val="16"/>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Pr>
          <w:p>
            <w:pPr>
              <w:spacing w:after="0"/>
              <w:rPr>
                <w:sz w:val="16"/>
                <w:szCs w:val="16"/>
                <w:color w:val="auto"/>
              </w:rPr>
            </w:pP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spacing w:after="0"/>
              <w:rPr>
                <w:sz w:val="16"/>
                <w:szCs w:val="16"/>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spacing w:after="0"/>
              <w:rPr>
                <w:sz w:val="16"/>
                <w:szCs w:val="16"/>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jc w:val="right"/>
              <w:ind w:right="17"/>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spacing w:after="0"/>
              <w:rPr>
                <w:sz w:val="16"/>
                <w:szCs w:val="16"/>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gridSpan w:val="2"/>
            <w:vMerge w:val="restart"/>
          </w:tcPr>
          <w:p>
            <w:pPr>
              <w:jc w:val="right"/>
              <w:spacing w:after="0"/>
              <w:rPr>
                <w:sz w:val="20"/>
                <w:szCs w:val="20"/>
                <w:color w:val="auto"/>
              </w:rPr>
            </w:pPr>
            <w:r>
              <w:rPr>
                <w:rFonts w:ascii="Arial" w:cs="Arial" w:eastAsia="Arial" w:hAnsi="Arial"/>
                <w:sz w:val="12"/>
                <w:szCs w:val="12"/>
                <w:color w:val="auto"/>
              </w:rPr>
              <w:t>17.0%</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Margin</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1740" w:type="dxa"/>
            <w:vAlign w:val="bottom"/>
            <w:tcBorders>
              <w:bottom w:val="single" w:sz="8" w:color="808080"/>
            </w:tcBorders>
            <w:gridSpan w:val="6"/>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2"/>
        </w:trPr>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6"/>
          </w:tcPr>
          <w:p>
            <w:pPr>
              <w:ind w:left="80"/>
              <w:spacing w:after="0"/>
              <w:rPr>
                <w:sz w:val="20"/>
                <w:szCs w:val="20"/>
                <w:color w:val="auto"/>
              </w:rPr>
            </w:pPr>
            <w:r>
              <w:rPr>
                <w:rFonts w:ascii="Arial" w:cs="Arial" w:eastAsia="Arial" w:hAnsi="Arial"/>
                <w:sz w:val="14"/>
                <w:szCs w:val="14"/>
                <w:color w:val="auto"/>
              </w:rPr>
              <w:t xml:space="preserve">2024 Proxy Statement    </w:t>
            </w:r>
          </w:p>
        </w:tc>
        <w:tc>
          <w:tcPr>
            <w:tcW w:w="520" w:type="dxa"/>
            <w:vAlign w:val="bottom"/>
          </w:tcPr>
          <w:p>
            <w:pPr>
              <w:jc w:val="right"/>
              <w:ind w:right="9"/>
              <w:spacing w:after="0"/>
              <w:rPr>
                <w:sz w:val="20"/>
                <w:szCs w:val="20"/>
                <w:color w:val="auto"/>
              </w:rPr>
            </w:pPr>
            <w:r>
              <w:rPr>
                <w:rFonts w:ascii="Arial" w:cs="Arial" w:eastAsia="Arial" w:hAnsi="Arial"/>
                <w:sz w:val="25"/>
                <w:szCs w:val="25"/>
                <w:color w:val="636466"/>
                <w:w w:val="79"/>
              </w:rPr>
              <w:t>   /</w:t>
            </w:r>
            <w:r>
              <w:rPr>
                <w:rFonts w:ascii="Arial" w:cs="Arial" w:eastAsia="Arial" w:hAnsi="Arial"/>
                <w:sz w:val="25"/>
                <w:szCs w:val="25"/>
                <w:color w:val="000000"/>
                <w:w w:val="79"/>
              </w:rPr>
              <w:t xml:space="preserve"> </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A-1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9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-407670</wp:posOffset>
            </wp:positionV>
            <wp:extent cx="501650" cy="17018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01650" cy="170180"/>
                    </a:xfrm>
                    <a:prstGeom prst="rect">
                      <a:avLst/>
                    </a:prstGeom>
                    <a:noFill/>
                  </pic:spPr>
                </pic:pic>
              </a:graphicData>
            </a:graphic>
          </wp:anchor>
        </w:drawing>
      </w:r>
    </w:p>
    <w:p>
      <w:pPr>
        <w:sectPr>
          <w:pgSz w:w="11900" w:h="16838" w:orient="portrait"/>
          <w:cols w:equalWidth="0" w:num="1">
            <w:col w:w="10940"/>
          </w:cols>
          <w:pgMar w:left="480" w:top="114" w:right="4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101600</wp:posOffset>
            </wp:positionV>
            <wp:extent cx="6240780" cy="80772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240780" cy="8077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118745</wp:posOffset>
            </wp:positionV>
            <wp:extent cx="693801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38010" cy="17145"/>
                    </a:xfrm>
                    <a:prstGeom prst="rect">
                      <a:avLst/>
                    </a:prstGeom>
                    <a:noFill/>
                  </pic:spPr>
                </pic:pic>
              </a:graphicData>
            </a:graphic>
          </wp:anchor>
        </w:drawing>
      </w:r>
    </w:p>
    <w:p>
      <w:pPr>
        <w:sectPr>
          <w:pgSz w:w="11900" w:h="16838" w:orient="portrait"/>
          <w:cols w:equalWidth="0" w:num="1">
            <w:col w:w="9999"/>
          </w:cols>
          <w:pgMar w:left="460" w:top="114"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101600</wp:posOffset>
            </wp:positionV>
            <wp:extent cx="6240780" cy="80772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240780" cy="8077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9999"/>
      </w:cols>
      <w:pgMar w:left="46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1)"/>
      <w:numFmt w:val="decimal"/>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1"/>
      <w:numFmt w:val="bullet"/>
      <w:start w:val="1"/>
    </w:lvl>
  </w:abstractNum>
  <w:abstractNum w:abstractNumId="8">
    <w:nsid w:val="1BA026FA"/>
    <w:multiLevelType w:val="hybridMultilevel"/>
    <w:lvl w:ilvl="0">
      <w:lvlJc w:val="left"/>
      <w:lvlText w:val=" "/>
      <w:numFmt w:val="bullet"/>
      <w:start w:val="1"/>
    </w:lvl>
  </w:abstractNum>
  <w:abstractNum w:abstractNumId="9">
    <w:nsid w:val="79A1DEAA"/>
    <w:multiLevelType w:val="hybridMultilevel"/>
    <w:lvl w:ilvl="0">
      <w:lvlJc w:val="left"/>
      <w:lvlText w:val=" "/>
      <w:numFmt w:val="bullet"/>
      <w:start w:val="1"/>
    </w:lvl>
    <w:lvl w:ilvl="1">
      <w:lvlJc w:val="left"/>
      <w:lvlText w:val=" "/>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1"/>
      <w:numFmt w:val="bullet"/>
      <w:start w:val="1"/>
    </w:lvl>
  </w:abstractNum>
  <w:abstractNum w:abstractNumId="23">
    <w:nsid w:val="47398C89"/>
    <w:multiLevelType w:val="hybridMultilevel"/>
    <w:lvl w:ilvl="0">
      <w:lvlJc w:val="left"/>
      <w:lvlText w:val="2"/>
      <w:numFmt w:val="bullet"/>
      <w:start w:val="1"/>
    </w:lvl>
  </w:abstractNum>
  <w:abstractNum w:abstractNumId="24">
    <w:nsid w:val="354FE9F9"/>
    <w:multiLevelType w:val="hybridMultilevel"/>
    <w:lvl w:ilvl="0">
      <w:lvlJc w:val="left"/>
      <w:lvlText w:val="2"/>
      <w:numFmt w:val="bullet"/>
      <w:start w:val="1"/>
    </w:lvl>
  </w:abstractNum>
  <w:abstractNum w:abstractNumId="25">
    <w:nsid w:val="15B5AF5C"/>
    <w:multiLevelType w:val="hybridMultilevel"/>
    <w:lvl w:ilvl="0">
      <w:lvlJc w:val="left"/>
      <w:lvlText w:val="(%1)"/>
      <w:numFmt w:val="decimal"/>
      <w:start w:val="1"/>
    </w:lvl>
  </w:abstractNum>
  <w:abstractNum w:abstractNumId="26">
    <w:nsid w:val="741226BB"/>
    <w:multiLevelType w:val="hybridMultilevel"/>
    <w:lvl w:ilvl="0">
      <w:lvlJc w:val="left"/>
      <w:lvlText w:val="(%1)"/>
      <w:numFmt w:val="decimal"/>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
      <w:numFmt w:val="bullet"/>
      <w:start w:val="1"/>
    </w:lvl>
  </w:abstractNum>
  <w:abstractNum w:abstractNumId="30">
    <w:nsid w:val="61574095"/>
    <w:multiLevelType w:val="hybridMultilevel"/>
    <w:lvl w:ilvl="0">
      <w:lvlJc w:val="left"/>
      <w:lvlText w:val=" "/>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1)"/>
      <w:numFmt w:val="decimal"/>
      <w:start w:val="1"/>
    </w:lvl>
  </w:abstractNum>
  <w:abstractNum w:abstractNumId="34">
    <w:nsid w:val="310C50B3"/>
    <w:multiLevelType w:val="hybridMultilevel"/>
    <w:lvl w:ilvl="0">
      <w:lvlJc w:val="left"/>
      <w:lvlText w:val="1"/>
      <w:numFmt w:val="bullet"/>
      <w:start w:val="1"/>
    </w:lvl>
  </w:abstractNum>
  <w:abstractNum w:abstractNumId="35">
    <w:nsid w:val="5FF87E05"/>
    <w:multiLevelType w:val="hybridMultilevel"/>
    <w:lvl w:ilvl="0">
      <w:lvlJc w:val="left"/>
      <w:lvlText w:val="2"/>
      <w:numFmt w:val="bullet"/>
      <w:start w:val="1"/>
    </w:lvl>
  </w:abstractNum>
  <w:abstractNum w:abstractNumId="36">
    <w:nsid w:val="2F305DEF"/>
    <w:multiLevelType w:val="hybridMultilevel"/>
    <w:lvl w:ilvl="0">
      <w:lvlJc w:val="left"/>
      <w:lvlText w:val="1"/>
      <w:numFmt w:val="bullet"/>
      <w:start w:val="1"/>
    </w:lvl>
  </w:abstractNum>
  <w:abstractNum w:abstractNumId="37">
    <w:nsid w:val="25A70BF7"/>
    <w:multiLevelType w:val="hybridMultilevel"/>
    <w:lvl w:ilvl="0">
      <w:lvlJc w:val="left"/>
      <w:lvlText w:val="%1)"/>
      <w:numFmt w:val="decimal"/>
      <w:start w:val="1"/>
    </w:lvl>
  </w:abstractNum>
  <w:abstractNum w:abstractNumId="38">
    <w:nsid w:val="1DBABF00"/>
    <w:multiLevelType w:val="hybridMultilevel"/>
    <w:lvl w:ilvl="0">
      <w:lvlJc w:val="left"/>
      <w:lvlText w:val="(%1)"/>
      <w:numFmt w:val="lowerRoman"/>
      <w:start w:val="1"/>
    </w:lvl>
  </w:abstractNum>
  <w:abstractNum w:abstractNumId="39">
    <w:nsid w:val="4AD084E9"/>
    <w:multiLevelType w:val="hybridMultilevel"/>
    <w:lvl w:ilvl="0">
      <w:lvlJc w:val="left"/>
      <w:lvlText w:val="(%1)"/>
      <w:numFmt w:val="lowerRoman"/>
      <w:start w:val="3"/>
    </w:lvl>
  </w:abstractNum>
  <w:abstractNum w:abstractNumId="40">
    <w:nsid w:val="1F48EAA1"/>
    <w:multiLevelType w:val="hybridMultilevel"/>
    <w:lvl w:ilvl="0">
      <w:lvlJc w:val="left"/>
      <w:lvlText w:val="(%1)"/>
      <w:numFmt w:val="lowerRoman"/>
      <w:start w:val="3"/>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1"/>
      <w:numFmt w:val="bullet"/>
      <w:start w:val="1"/>
    </w:lvl>
  </w:abstractNum>
  <w:abstractNum w:abstractNumId="43">
    <w:nsid w:val="100F8FCA"/>
    <w:multiLevelType w:val="hybridMultilevel"/>
    <w:lvl w:ilvl="0">
      <w:lvlJc w:val="left"/>
      <w:lvlText w:val="2"/>
      <w:numFmt w:val="bullet"/>
      <w:start w:val="1"/>
    </w:lvl>
  </w:abstractNum>
  <w:abstractNum w:abstractNumId="44">
    <w:nsid w:val="6590700B"/>
    <w:multiLevelType w:val="hybridMultilevel"/>
    <w:lvl w:ilvl="0">
      <w:lvlJc w:val="left"/>
      <w:lvlText w:val="3"/>
      <w:numFmt w:val="bullet"/>
      <w:start w:val="1"/>
    </w:lvl>
  </w:abstractNum>
  <w:abstractNum w:abstractNumId="45">
    <w:nsid w:val="15014ACB"/>
    <w:multiLevelType w:val="hybridMultilevel"/>
    <w:lvl w:ilvl="0">
      <w:lvlJc w:val="left"/>
      <w:lvlText w:val="4"/>
      <w:numFmt w:val="bullet"/>
      <w:start w:val="1"/>
    </w:lvl>
  </w:abstractNum>
  <w:abstractNum w:abstractNumId="46">
    <w:nsid w:val="5F5E7FD0"/>
    <w:multiLevelType w:val="hybridMultilevel"/>
    <w:lvl w:ilvl="0">
      <w:lvlJc w:val="left"/>
      <w:lvlText w:val="5"/>
      <w:numFmt w:val="bullet"/>
      <w:start w:val="1"/>
    </w:lvl>
  </w:abstractNum>
  <w:abstractNum w:abstractNumId="47">
    <w:nsid w:val="98A3148"/>
    <w:multiLevelType w:val="hybridMultilevel"/>
    <w:lvl w:ilvl="0">
      <w:lvlJc w:val="left"/>
      <w:lvlText w:val="(%1)"/>
      <w:numFmt w:val="lowerLetter"/>
      <w:start w:val="1"/>
    </w:lvl>
  </w:abstractNum>
  <w:abstractNum w:abstractNumId="48">
    <w:nsid w:val="799D0247"/>
    <w:multiLevelType w:val="hybridMultilevel"/>
    <w:lvl w:ilvl="0">
      <w:lvlJc w:val="left"/>
      <w:lvlText w:val="1"/>
      <w:numFmt w:val="bullet"/>
      <w:start w:val="1"/>
    </w:lvl>
  </w:abstractNum>
  <w:abstractNum w:abstractNumId="49">
    <w:nsid w:val="6B94764"/>
    <w:multiLevelType w:val="hybridMultilevel"/>
    <w:lvl w:ilvl="0">
      <w:lvlJc w:val="left"/>
      <w:lvlText w:val="2"/>
      <w:numFmt w:val="bullet"/>
      <w:start w:val="1"/>
    </w:lvl>
  </w:abstractNum>
  <w:abstractNum w:abstractNumId="50">
    <w:nsid w:val="42C296BD"/>
    <w:multiLevelType w:val="hybridMultilevel"/>
    <w:lvl w:ilvl="0">
      <w:lvlJc w:val="left"/>
      <w:lvlText w:val="3"/>
      <w:numFmt w:val="bullet"/>
      <w:start w:val="1"/>
    </w:lvl>
  </w:abstractNum>
  <w:abstractNum w:abstractNumId="51">
    <w:nsid w:val="168E121F"/>
    <w:multiLevelType w:val="hybridMultilevel"/>
    <w:lvl w:ilvl="0">
      <w:lvlJc w:val="left"/>
      <w:lvlText w:val="1"/>
      <w:numFmt w:val="bullet"/>
      <w:start w:val="1"/>
    </w:lvl>
  </w:abstractNum>
  <w:abstractNum w:abstractNumId="52">
    <w:nsid w:val="1EBA5D23"/>
    <w:multiLevelType w:val="hybridMultilevel"/>
    <w:lvl w:ilvl="0">
      <w:lvlJc w:val="left"/>
      <w:lvlText w:val="2"/>
      <w:numFmt w:val="bullet"/>
      <w:start w:val="1"/>
    </w:lvl>
  </w:abstractNum>
  <w:abstractNum w:abstractNumId="53">
    <w:nsid w:val="661E3F1E"/>
    <w:multiLevelType w:val="hybridMultilevel"/>
    <w:lvl w:ilvl="0">
      <w:lvlJc w:val="left"/>
      <w:lvlText w:val="3"/>
      <w:numFmt w:val="bullet"/>
      <w:start w:val="1"/>
    </w:lvl>
  </w:abstractNum>
  <w:abstractNum w:abstractNumId="54">
    <w:nsid w:val="5DC79EA8"/>
    <w:multiLevelType w:val="hybridMultilevel"/>
    <w:lvl w:ilvl="0">
      <w:lvlJc w:val="left"/>
      <w:lvlText w:val="4"/>
      <w:numFmt w:val="bullet"/>
      <w:start w:val="1"/>
    </w:lvl>
  </w:abstractNum>
  <w:abstractNum w:abstractNumId="55">
    <w:nsid w:val="540A471C"/>
    <w:multiLevelType w:val="hybridMultilevel"/>
    <w:lvl w:ilvl="0">
      <w:lvlJc w:val="left"/>
      <w:lvlText w:val="5"/>
      <w:numFmt w:val="bullet"/>
      <w:start w:val="1"/>
    </w:lvl>
  </w:abstractNum>
  <w:abstractNum w:abstractNumId="56">
    <w:nsid w:val="7BD3EE7B"/>
    <w:multiLevelType w:val="hybridMultilevel"/>
    <w:lvl w:ilvl="0">
      <w:lvlJc w:val="left"/>
      <w:lvlText w:val="6"/>
      <w:numFmt w:val="bullet"/>
      <w:start w:val="1"/>
    </w:lvl>
  </w:abstractNum>
  <w:abstractNum w:abstractNumId="57">
    <w:nsid w:val="51D9C564"/>
    <w:multiLevelType w:val="hybridMultilevel"/>
    <w:lvl w:ilvl="0">
      <w:lvlJc w:val="left"/>
      <w:lvlText w:val="7"/>
      <w:numFmt w:val="bullet"/>
      <w:start w:val="1"/>
    </w:lvl>
  </w:abstractNum>
  <w:abstractNum w:abstractNumId="58">
    <w:nsid w:val="613EFDC5"/>
    <w:multiLevelType w:val="hybridMultilevel"/>
    <w:lvl w:ilvl="0">
      <w:lvlJc w:val="left"/>
      <w:lvlText w:val="1"/>
      <w:numFmt w:val="bullet"/>
      <w:start w:val="1"/>
    </w:lvl>
  </w:abstractNum>
  <w:abstractNum w:abstractNumId="59">
    <w:nsid w:val="BF72B14"/>
    <w:multiLevelType w:val="hybridMultilevel"/>
    <w:lvl w:ilvl="0">
      <w:lvlJc w:val="left"/>
      <w:lvlText w:val="2"/>
      <w:numFmt w:val="bullet"/>
      <w:start w:val="1"/>
    </w:lvl>
  </w:abstractNum>
  <w:abstractNum w:abstractNumId="60">
    <w:nsid w:val="11447B73"/>
    <w:multiLevelType w:val="hybridMultilevel"/>
    <w:lvl w:ilvl="0">
      <w:lvlJc w:val="left"/>
      <w:lvlText w:val="1"/>
      <w:numFmt w:val="bullet"/>
      <w:start w:val="1"/>
    </w:lvl>
  </w:abstractNum>
  <w:abstractNum w:abstractNumId="61">
    <w:nsid w:val="42963E5A"/>
    <w:multiLevelType w:val="hybridMultilevel"/>
    <w:lvl w:ilvl="0">
      <w:lvlJc w:val="left"/>
      <w:lvlText w:val="2"/>
      <w:numFmt w:val="bullet"/>
      <w:start w:val="1"/>
    </w:lvl>
  </w:abstractNum>
  <w:abstractNum w:abstractNumId="62">
    <w:nsid w:val="A0382C5"/>
    <w:multiLevelType w:val="hybridMultilevel"/>
    <w:lvl w:ilvl="0">
      <w:lvlJc w:val="left"/>
      <w:lvlText w:val="•"/>
      <w:numFmt w:val="bullet"/>
      <w:start w:val="1"/>
    </w:lvl>
  </w:abstractNum>
  <w:abstractNum w:abstractNumId="63">
    <w:nsid w:val="8F2B15E"/>
    <w:multiLevelType w:val="hybridMultilevel"/>
    <w:lvl w:ilvl="0">
      <w:lvlJc w:val="left"/>
      <w:lvlText w:val="•"/>
      <w:numFmt w:val="bullet"/>
      <w:start w:val="1"/>
    </w:lvl>
  </w:abstractNum>
  <w:abstractNum w:abstractNumId="64">
    <w:nsid w:val="1A32234B"/>
    <w:multiLevelType w:val="hybridMultilevel"/>
    <w:lvl w:ilvl="0">
      <w:lvlJc w:val="left"/>
      <w:lvlText w:val="•"/>
      <w:numFmt w:val="bullet"/>
      <w:start w:val="1"/>
    </w:lvl>
  </w:abstractNum>
  <w:abstractNum w:abstractNumId="65">
    <w:nsid w:val="3B0FD379"/>
    <w:multiLevelType w:val="hybridMultilevel"/>
    <w:lvl w:ilvl="0">
      <w:lvlJc w:val="left"/>
      <w:lvlText w:val="•"/>
      <w:numFmt w:val="bullet"/>
      <w:start w:val="1"/>
    </w:lvl>
  </w:abstractNum>
  <w:abstractNum w:abstractNumId="66">
    <w:nsid w:val="68EB2F63"/>
    <w:multiLevelType w:val="hybridMultilevel"/>
    <w:lvl w:ilvl="0">
      <w:lvlJc w:val="left"/>
      <w:lvlText w:val="(%1)"/>
      <w:numFmt w:val="decimal"/>
      <w:start w:val="1"/>
    </w:lvl>
  </w:abstractNum>
  <w:abstractNum w:abstractNumId="67">
    <w:nsid w:val="4962813B"/>
    <w:multiLevelType w:val="hybridMultilevel"/>
    <w:lvl w:ilvl="0">
      <w:lvlJc w:val="left"/>
      <w:lvlText w:val="•"/>
      <w:numFmt w:val="bullet"/>
      <w:start w:val="1"/>
    </w:lvl>
  </w:abstractNum>
  <w:abstractNum w:abstractNumId="68">
    <w:nsid w:val="60B6DF70"/>
    <w:multiLevelType w:val="hybridMultilevel"/>
    <w:lvl w:ilvl="0">
      <w:lvlJc w:val="left"/>
      <w:lvlText w:val="•"/>
      <w:numFmt w:val="bullet"/>
      <w:start w:val="1"/>
    </w:lvl>
  </w:abstractNum>
  <w:abstractNum w:abstractNumId="69">
    <w:nsid w:val="6A5EE64"/>
    <w:multiLevelType w:val="hybridMultilevel"/>
    <w:lvl w:ilvl="0">
      <w:lvlJc w:val="left"/>
      <w:lvlText w:val="•"/>
      <w:numFmt w:val="bullet"/>
      <w:start w:val="1"/>
    </w:lvl>
  </w:abstractNum>
  <w:abstractNum w:abstractNumId="70">
    <w:nsid w:val="14330624"/>
    <w:multiLevelType w:val="hybridMultilevel"/>
    <w:lvl w:ilvl="0">
      <w:lvlJc w:val="left"/>
      <w:lvlText w:val="1"/>
      <w:numFmt w:val="bullet"/>
      <w:start w:val="1"/>
    </w:lvl>
  </w:abstractNum>
  <w:abstractNum w:abstractNumId="71">
    <w:nsid w:val="7FFFCA11"/>
    <w:multiLevelType w:val="hybridMultilevel"/>
    <w:lvl w:ilvl="0">
      <w:lvlJc w:val="left"/>
      <w:lvlText w:val="2"/>
      <w:numFmt w:val="bullet"/>
      <w:start w:val="1"/>
    </w:lvl>
  </w:abstractNum>
  <w:abstractNum w:abstractNumId="72">
    <w:nsid w:val="1A27709E"/>
    <w:multiLevelType w:val="hybridMultilevel"/>
    <w:lvl w:ilvl="0">
      <w:lvlJc w:val="left"/>
      <w:lvlText w:val="a"/>
      <w:numFmt w:val="bullet"/>
      <w:start w:val="1"/>
    </w:lvl>
  </w:abstractNum>
  <w:abstractNum w:abstractNumId="73">
    <w:nsid w:val="71EA1109"/>
    <w:multiLevelType w:val="hybridMultilevel"/>
    <w:lvl w:ilvl="0">
      <w:lvlJc w:val="left"/>
      <w:lvlText w:val="b"/>
      <w:numFmt w:val="bullet"/>
      <w:start w:val="1"/>
    </w:lvl>
  </w:abstractNum>
  <w:abstractNum w:abstractNumId="74">
    <w:nsid w:val="100F59DC"/>
    <w:multiLevelType w:val="hybridMultilevel"/>
    <w:lvl w:ilvl="0">
      <w:lvlJc w:val="left"/>
      <w:lvlText w:val="3"/>
      <w:numFmt w:val="bullet"/>
      <w:start w:val="1"/>
    </w:lvl>
  </w:abstractNum>
  <w:abstractNum w:abstractNumId="75">
    <w:nsid w:val="7FB7E0AA"/>
    <w:multiLevelType w:val="hybridMultilevel"/>
    <w:lvl w:ilvl="0">
      <w:lvlJc w:val="left"/>
      <w:lvlText w:val="4"/>
      <w:numFmt w:val="bullet"/>
      <w:start w:val="1"/>
    </w:lvl>
  </w:abstractNum>
  <w:abstractNum w:abstractNumId="76">
    <w:nsid w:val="6EB5BD4"/>
    <w:multiLevelType w:val="hybridMultilevel"/>
    <w:lvl w:ilvl="0">
      <w:lvlJc w:val="left"/>
      <w:lvlText w:val="a"/>
      <w:numFmt w:val="bullet"/>
      <w:start w:val="1"/>
    </w:lvl>
  </w:abstractNum>
  <w:abstractNum w:abstractNumId="77">
    <w:nsid w:val="6F6DD9AC"/>
    <w:multiLevelType w:val="hybridMultilevel"/>
    <w:lvl w:ilvl="0">
      <w:lvlJc w:val="left"/>
      <w:lvlText w:val="5"/>
      <w:numFmt w:val="bullet"/>
      <w:start w:val="1"/>
    </w:lvl>
  </w:abstractNum>
  <w:abstractNum w:abstractNumId="78">
    <w:nsid w:val="94211F2"/>
    <w:multiLevelType w:val="hybridMultilevel"/>
    <w:lvl w:ilvl="0">
      <w:lvlJc w:val="left"/>
      <w:lvlText w:val="6"/>
      <w:numFmt w:val="bullet"/>
      <w:start w:val="1"/>
    </w:lvl>
  </w:abstractNum>
  <w:abstractNum w:abstractNumId="79">
    <w:nsid w:val="885E1B"/>
    <w:multiLevelType w:val="hybridMultilevel"/>
    <w:lvl w:ilvl="0">
      <w:lvlJc w:val="left"/>
      <w:lvlText w:val="7"/>
      <w:numFmt w:val="bullet"/>
      <w:start w:val="1"/>
    </w:lvl>
  </w:abstractNum>
  <w:abstractNum w:abstractNumId="80">
    <w:nsid w:val="76272110"/>
    <w:multiLevelType w:val="hybridMultilevel"/>
    <w:lvl w:ilvl="0">
      <w:lvlJc w:val="left"/>
      <w:lvlText w:val="8"/>
      <w:numFmt w:val="bullet"/>
      <w:start w:val="1"/>
    </w:lvl>
  </w:abstractNum>
  <w:abstractNum w:abstractNumId="81">
    <w:nsid w:val="4C04A8AF"/>
    <w:multiLevelType w:val="hybridMultilevel"/>
    <w:lvl w:ilvl="0">
      <w:lvlJc w:val="left"/>
      <w:lvlText w:val="*"/>
      <w:numFmt w:val="bullet"/>
      <w:start w:val="1"/>
    </w:lvl>
  </w:abstractNum>
  <w:abstractNum w:abstractNumId="82">
    <w:nsid w:val="1716703B"/>
    <w:multiLevelType w:val="hybridMultilevel"/>
    <w:lvl w:ilvl="0">
      <w:lvlJc w:val="left"/>
      <w:lvlText w:val="1"/>
      <w:numFmt w:val="bullet"/>
      <w:start w:val="1"/>
    </w:lvl>
  </w:abstractNum>
  <w:abstractNum w:abstractNumId="83">
    <w:nsid w:val="14E17E33"/>
    <w:multiLevelType w:val="hybridMultilevel"/>
    <w:lvl w:ilvl="0">
      <w:lvlJc w:val="left"/>
      <w:lvlText w:val="2"/>
      <w:numFmt w:val="bullet"/>
      <w:start w:val="1"/>
    </w:lvl>
  </w:abstractNum>
  <w:abstractNum w:abstractNumId="84">
    <w:nsid w:val="3222E7CD"/>
    <w:multiLevelType w:val="hybridMultilevel"/>
    <w:lvl w:ilvl="0">
      <w:lvlJc w:val="left"/>
      <w:lvlText w:val="3"/>
      <w:numFmt w:val="bullet"/>
      <w:start w:val="1"/>
    </w:lvl>
  </w:abstractNum>
  <w:abstractNum w:abstractNumId="85">
    <w:nsid w:val="74DE0EE3"/>
    <w:multiLevelType w:val="hybridMultilevel"/>
    <w:lvl w:ilvl="0">
      <w:lvlJc w:val="left"/>
      <w:lvlText w:val="4"/>
      <w:numFmt w:val="bullet"/>
      <w:start w:val="1"/>
    </w:lvl>
  </w:abstractNum>
  <w:abstractNum w:abstractNumId="86">
    <w:nsid w:val="68EBC550"/>
    <w:multiLevelType w:val="hybridMultilevel"/>
    <w:lvl w:ilvl="0">
      <w:lvlJc w:val="left"/>
      <w:lvlText w:val="5"/>
      <w:numFmt w:val="bullet"/>
      <w:start w:val="1"/>
    </w:lvl>
  </w:abstractNum>
  <w:abstractNum w:abstractNumId="87">
    <w:nsid w:val="2DF6D648"/>
    <w:multiLevelType w:val="hybridMultilevel"/>
    <w:lvl w:ilvl="0">
      <w:lvlJc w:val="left"/>
      <w:lvlText w:val="1"/>
      <w:numFmt w:val="bullet"/>
      <w:start w:val="1"/>
    </w:lvl>
  </w:abstractNum>
  <w:abstractNum w:abstractNumId="88">
    <w:nsid w:val="46B7D447"/>
    <w:multiLevelType w:val="hybridMultilevel"/>
    <w:lvl w:ilvl="0">
      <w:lvlJc w:val="left"/>
      <w:lvlText w:val="2"/>
      <w:numFmt w:val="bullet"/>
      <w:start w:val="1"/>
    </w:lvl>
  </w:abstractNum>
  <w:abstractNum w:abstractNumId="89">
    <w:nsid w:val="4A2AC315"/>
    <w:multiLevelType w:val="hybridMultilevel"/>
    <w:lvl w:ilvl="0">
      <w:lvlJc w:val="left"/>
      <w:lvlText w:val="3"/>
      <w:numFmt w:val="bullet"/>
      <w:start w:val="1"/>
    </w:lvl>
  </w:abstractNum>
  <w:abstractNum w:abstractNumId="90">
    <w:nsid w:val="39EE015C"/>
    <w:multiLevelType w:val="hybridMultilevel"/>
    <w:lvl w:ilvl="0">
      <w:lvlJc w:val="left"/>
      <w:lvlText w:val="4"/>
      <w:numFmt w:val="bullet"/>
      <w:start w:val="1"/>
    </w:lvl>
  </w:abstractNum>
  <w:abstractNum w:abstractNumId="91">
    <w:nsid w:val="57FC4FBB"/>
    <w:multiLevelType w:val="hybridMultilevel"/>
    <w:lvl w:ilvl="0">
      <w:lvlJc w:val="left"/>
      <w:lvlText w:val="5"/>
      <w:numFmt w:val="bullet"/>
      <w:start w:val="1"/>
    </w:lvl>
  </w:abstractNum>
  <w:abstractNum w:abstractNumId="92">
    <w:nsid w:val="CC1016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2024-04-04T07:15:43Z</dcterms:created>
  <dcterms:modified xsi:type="dcterms:W3CDTF">2024-04-04T07:15:43Z</dcterms:modified>
</cp:coreProperties>
</file>