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598170</wp:posOffset>
            </wp:positionH>
            <wp:positionV relativeFrom="page">
              <wp:posOffset>645795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612775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5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3" w:lineRule="exact"/>
        <w:rPr>
          <w:sz w:val="24"/>
          <w:szCs w:val="24"/>
          <w:color w:val="auto"/>
        </w:rPr>
      </w:pPr>
    </w:p>
    <w:p>
      <w:pPr>
        <w:ind w:left="480" w:hanging="460"/>
        <w:spacing w:after="0"/>
        <w:tabs>
          <w:tab w:leader="none" w:pos="4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7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2025</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5" w:lineRule="exact"/>
        <w:rPr>
          <w:sz w:val="24"/>
          <w:szCs w:val="24"/>
          <w:color w:val="auto"/>
        </w:rPr>
      </w:pPr>
    </w:p>
    <w:p>
      <w:pPr>
        <w:ind w:left="480" w:hanging="460"/>
        <w:spacing w:after="0"/>
        <w:tabs>
          <w:tab w:leader="none" w:pos="4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ectPr>
          <w:pgSz w:w="11900" w:h="16838" w:orient="portrait"/>
          <w:cols w:equalWidth="0" w:num="1">
            <w:col w:w="11200"/>
          </w:cols>
          <w:pgMar w:left="320" w:top="1087" w:right="379" w:bottom="1440" w:gutter="0" w:footer="0" w:header="0"/>
        </w:sectPr>
      </w:pPr>
    </w:p>
    <w:p>
      <w:pPr>
        <w:spacing w:after="0" w:line="17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sectPr>
          <w:pgSz w:w="11900" w:h="16838" w:orient="portrait"/>
          <w:cols w:equalWidth="0" w:num="2">
            <w:col w:w="2880" w:space="720"/>
            <w:col w:w="7600"/>
          </w:cols>
          <w:pgMar w:left="320" w:top="1087"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Commission file number: 033-90866</w:t>
      </w:r>
    </w:p>
    <w:p>
      <w:pPr>
        <w:spacing w:after="0" w:line="6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WESTINGHOUSE AIR BRAKE TECHNOLOGIES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CORPORATION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ectPr>
          <w:pgSz w:w="11900" w:h="16838" w:orient="portrait"/>
          <w:cols w:equalWidth="0" w:num="1">
            <w:col w:w="11200"/>
          </w:cols>
          <w:pgMar w:left="320" w:top="1087" w:right="379" w:bottom="1440" w:gutter="0" w:footer="0" w:header="0"/>
          <w:type w:val="continuous"/>
        </w:sectPr>
      </w:pPr>
    </w:p>
    <w:p>
      <w:pPr>
        <w:spacing w:after="0" w:line="23"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25-1615902</w:t>
      </w:r>
    </w:p>
    <w:p>
      <w:pPr>
        <w:spacing w:after="0" w:line="46" w:lineRule="exact"/>
        <w:rPr>
          <w:sz w:val="24"/>
          <w:szCs w:val="24"/>
          <w:color w:val="auto"/>
        </w:rPr>
      </w:pPr>
    </w:p>
    <w:p>
      <w:pPr>
        <w:sectPr>
          <w:pgSz w:w="11900" w:h="16838" w:orient="portrait"/>
          <w:cols w:equalWidth="0" w:num="2">
            <w:col w:w="7320" w:space="720"/>
            <w:col w:w="3160"/>
          </w:cols>
          <w:pgMar w:left="320" w:top="1087" w:right="3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83" w:lineRule="exact"/>
        <w:rPr>
          <w:sz w:val="24"/>
          <w:szCs w:val="24"/>
          <w:color w:val="auto"/>
        </w:rPr>
      </w:pPr>
    </w:p>
    <w:p>
      <w:pPr>
        <w:sectPr>
          <w:pgSz w:w="11900" w:h="16838" w:orient="portrait"/>
          <w:cols w:equalWidth="0" w:num="2">
            <w:col w:w="6720" w:space="720"/>
            <w:col w:w="3760"/>
          </w:cols>
          <w:pgMar w:left="320" w:top="1087" w:right="37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6"/>
          <w:szCs w:val="16"/>
          <w:b w:val="1"/>
          <w:bCs w:val="1"/>
          <w:color w:val="auto"/>
        </w:rPr>
        <w:t>30 Isabella Street Pittsburgh, 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15212</w:t>
      </w:r>
    </w:p>
    <w:p>
      <w:pPr>
        <w:spacing w:after="0" w:line="46" w:lineRule="exact"/>
        <w:rPr>
          <w:sz w:val="24"/>
          <w:szCs w:val="24"/>
          <w:color w:val="auto"/>
        </w:rPr>
      </w:pPr>
    </w:p>
    <w:p>
      <w:pPr>
        <w:sectPr>
          <w:pgSz w:w="11900" w:h="16838" w:orient="portrait"/>
          <w:cols w:equalWidth="0" w:num="2">
            <w:col w:w="7500" w:space="720"/>
            <w:col w:w="2980"/>
          </w:cols>
          <w:pgMar w:left="320" w:top="1087" w:right="37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01" w:lineRule="exact"/>
        <w:rPr>
          <w:sz w:val="24"/>
          <w:szCs w:val="24"/>
          <w:color w:val="auto"/>
        </w:rPr>
      </w:pPr>
    </w:p>
    <w:p>
      <w:pPr>
        <w:sectPr>
          <w:pgSz w:w="11900" w:h="16838" w:orient="portrait"/>
          <w:cols w:equalWidth="0" w:num="2">
            <w:col w:w="7420" w:space="720"/>
            <w:col w:w="3060"/>
          </w:cols>
          <w:pgMar w:left="320" w:top="1087"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412-825-1000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ectPr>
          <w:pgSz w:w="11900" w:h="16838" w:orient="portrait"/>
          <w:cols w:equalWidth="0" w:num="1">
            <w:col w:w="11200"/>
          </w:cols>
          <w:pgMar w:left="320" w:top="1087" w:right="379" w:bottom="1440" w:gutter="0" w:footer="0" w:header="0"/>
          <w:type w:val="continuous"/>
        </w:sectPr>
      </w:pP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0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197"/>
        </w:trPr>
        <w:tc>
          <w:tcPr>
            <w:tcW w:w="4260" w:type="dxa"/>
            <w:vAlign w:val="bottom"/>
            <w:tcBorders>
              <w:top w:val="single" w:sz="8" w:color="auto"/>
              <w:left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5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tcBorders>
              <w:top w:val="single" w:sz="8" w:color="auto"/>
              <w:right w:val="single" w:sz="8" w:color="auto"/>
            </w:tcBorders>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2"/>
        </w:trPr>
        <w:tc>
          <w:tcPr>
            <w:tcW w:w="4260" w:type="dxa"/>
            <w:vAlign w:val="bottom"/>
            <w:tcBorders>
              <w:left w:val="single" w:sz="8" w:color="auto"/>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right w:val="single" w:sz="8" w:color="auto"/>
            </w:tcBorders>
          </w:tcPr>
          <w:p>
            <w:pPr>
              <w:spacing w:after="0" w:line="20" w:lineRule="exact"/>
              <w:rPr>
                <w:sz w:val="1"/>
                <w:szCs w:val="1"/>
                <w:color w:val="auto"/>
              </w:rPr>
            </w:pPr>
          </w:p>
        </w:tc>
      </w:tr>
      <w:tr>
        <w:trPr>
          <w:trHeight w:val="185"/>
        </w:trPr>
        <w:tc>
          <w:tcPr>
            <w:tcW w:w="4260" w:type="dxa"/>
            <w:vAlign w:val="bottom"/>
            <w:tcBorders>
              <w:left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5"/>
                <w:szCs w:val="15"/>
                <w:color w:val="auto"/>
              </w:rPr>
              <w:t>Common Stock, $.01 par value per share</w:t>
            </w:r>
          </w:p>
        </w:tc>
        <w:tc>
          <w:tcPr>
            <w:tcW w:w="2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5"/>
                <w:szCs w:val="15"/>
                <w:color w:val="auto"/>
              </w:rPr>
              <w:t>WAB</w:t>
            </w:r>
          </w:p>
        </w:tc>
        <w:tc>
          <w:tcPr>
            <w:tcW w:w="4400" w:type="dxa"/>
            <w:vAlign w:val="bottom"/>
            <w:tcBorders>
              <w:bottom w:val="single" w:sz="8" w:color="auto"/>
              <w:right w:val="single" w:sz="8" w:color="auto"/>
            </w:tcBorders>
          </w:tcPr>
          <w:p>
            <w:pPr>
              <w:jc w:val="center"/>
              <w:ind w:right="389"/>
              <w:spacing w:after="0"/>
              <w:rPr>
                <w:sz w:val="20"/>
                <w:szCs w:val="20"/>
                <w:color w:val="auto"/>
              </w:rPr>
            </w:pPr>
            <w:r>
              <w:rPr>
                <w:rFonts w:ascii="Times New Roman" w:cs="Times New Roman" w:eastAsia="Times New Roman" w:hAnsi="Times New Roman"/>
                <w:sz w:val="15"/>
                <w:szCs w:val="15"/>
                <w:color w:val="auto"/>
                <w:w w:val="96"/>
              </w:rPr>
              <w:t>New York Stock Exchange</w:t>
            </w:r>
          </w:p>
        </w:tc>
      </w:tr>
    </w:tbl>
    <w:p>
      <w:pPr>
        <w:spacing w:after="0" w:line="83" w:lineRule="exact"/>
        <w:rPr>
          <w:sz w:val="24"/>
          <w:szCs w:val="24"/>
          <w:color w:val="auto"/>
        </w:rPr>
      </w:pPr>
    </w:p>
    <w:p>
      <w:pPr>
        <w:ind w:right="220" w:firstLine="46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46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420" w:firstLine="464"/>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1087" w:right="379" w:bottom="1440" w:gutter="0" w:footer="0" w:header="0"/>
          <w:type w:val="continuous"/>
        </w:sectPr>
      </w:pPr>
    </w:p>
    <w:p>
      <w:pPr>
        <w:spacing w:after="0" w:line="32" w:lineRule="exact"/>
        <w:rPr>
          <w:sz w:val="24"/>
          <w:szCs w:val="24"/>
          <w:color w:val="auto"/>
        </w:rPr>
      </w:pPr>
    </w:p>
    <w:p>
      <w:pPr>
        <w:ind w:left="20" w:right="120"/>
        <w:spacing w:after="0" w:line="331" w:lineRule="auto"/>
        <w:rPr>
          <w:sz w:val="20"/>
          <w:szCs w:val="20"/>
          <w:color w:val="auto"/>
        </w:rPr>
      </w:pPr>
      <w:r>
        <w:rPr>
          <w:rFonts w:ascii="Times New Roman" w:cs="Times New Roman" w:eastAsia="Times New Roman" w:hAnsi="Times New Roman"/>
          <w:sz w:val="14"/>
          <w:szCs w:val="14"/>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365" w:lineRule="exact"/>
        <w:rPr>
          <w:sz w:val="24"/>
          <w:szCs w:val="24"/>
          <w:color w:val="auto"/>
        </w:rPr>
      </w:pPr>
    </w:p>
    <w:p>
      <w:pPr>
        <w:sectPr>
          <w:pgSz w:w="11900" w:h="16838" w:orient="portrait"/>
          <w:cols w:equalWidth="0" w:num="6">
            <w:col w:w="1740" w:space="720"/>
            <w:col w:w="140" w:space="320"/>
            <w:col w:w="1700" w:space="720"/>
            <w:col w:w="140" w:space="320"/>
            <w:col w:w="1240" w:space="660"/>
            <w:col w:w="3500"/>
          </w:cols>
          <w:pgMar w:left="320" w:top="1087" w:right="379" w:bottom="1440" w:gutter="0" w:footer="0" w:header="0"/>
          <w:type w:val="continuous"/>
        </w:sectPr>
      </w:pPr>
    </w:p>
    <w:p>
      <w:pPr>
        <w:ind w:firstLine="464"/>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60" w:right="3440"/>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July 21, 2025, there were 170,953,177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774065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66040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1087" w:right="37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WESTINGHOUSE AIR BRAKE</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TECHNOLOGIES CORPORATION</w:t>
      </w:r>
    </w:p>
    <w:p>
      <w:pPr>
        <w:spacing w:after="0" w:line="9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7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980" w:type="dxa"/>
            <w:vAlign w:val="bottom"/>
          </w:tcPr>
          <w:p>
            <w:pPr>
              <w:spacing w:after="0" w:line="20" w:lineRule="exact"/>
              <w:rPr>
                <w:sz w:val="1"/>
                <w:szCs w:val="1"/>
                <w:color w:val="auto"/>
              </w:rPr>
            </w:pPr>
          </w:p>
        </w:tc>
        <w:tc>
          <w:tcPr>
            <w:tcW w:w="9560" w:type="dxa"/>
            <w:vAlign w:val="bottom"/>
            <w:gridSpan w:val="17"/>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95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1.</w:t>
            </w:r>
          </w:p>
        </w:tc>
        <w:tc>
          <w:tcPr>
            <w:tcW w:w="9560" w:type="dxa"/>
            <w:vAlign w:val="bottom"/>
            <w:gridSpan w:val="17"/>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Financial Statements - (Unaudited)</w:t>
            </w:r>
          </w:p>
        </w:tc>
        <w:tc>
          <w:tcPr>
            <w:tcW w:w="6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spacing w:after="0"/>
              <w:rPr>
                <w:sz w:val="16"/>
                <w:szCs w:val="16"/>
                <w:color w:val="auto"/>
              </w:rPr>
            </w:pPr>
          </w:p>
        </w:tc>
        <w:tc>
          <w:tcPr>
            <w:tcW w:w="5860" w:type="dxa"/>
            <w:vAlign w:val="bottom"/>
            <w:tcBorders>
              <w:bottom w:val="single" w:sz="8" w:color="0000FF"/>
            </w:tcBorders>
            <w:gridSpan w:val="11"/>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Balance Sheets as of June 30, 2025 and December 31, 2024</w:t>
            </w:r>
          </w:p>
        </w:tc>
        <w:tc>
          <w:tcPr>
            <w:tcW w:w="3700" w:type="dxa"/>
            <w:vAlign w:val="bottom"/>
            <w:gridSpan w:val="6"/>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Income for the three and six months ended June 30, 2025 and 2024</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7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spacing w:after="0"/>
              <w:rPr>
                <w:sz w:val="16"/>
                <w:szCs w:val="16"/>
                <w:color w:val="auto"/>
              </w:rPr>
            </w:pP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and six months ended June 30, 2025 and 2024</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8"/>
        </w:trPr>
        <w:tc>
          <w:tcPr>
            <w:tcW w:w="980" w:type="dxa"/>
            <w:vAlign w:val="bottom"/>
            <w:tcBorders>
              <w:bottom w:val="single" w:sz="8" w:color="CCEEFF"/>
            </w:tcBorders>
            <w:shd w:val="clear" w:color="auto" w:fill="CCEEFF"/>
          </w:tcPr>
          <w:p>
            <w:pPr>
              <w:spacing w:after="0"/>
              <w:rPr>
                <w:sz w:val="18"/>
                <w:szCs w:val="18"/>
                <w:color w:val="auto"/>
              </w:rPr>
            </w:pPr>
          </w:p>
        </w:tc>
        <w:tc>
          <w:tcPr>
            <w:tcW w:w="6960" w:type="dxa"/>
            <w:vAlign w:val="bottom"/>
            <w:tcBorders>
              <w:top w:val="single" w:sz="8" w:color="0000FF"/>
              <w:bottom w:val="single" w:sz="8" w:color="0000FF"/>
            </w:tcBorders>
            <w:gridSpan w:val="1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Cash Flows for the six months ended June 30, 2025 and 2024</w:t>
            </w:r>
          </w:p>
        </w:tc>
        <w:tc>
          <w:tcPr>
            <w:tcW w:w="150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8260" w:type="dxa"/>
            <w:vAlign w:val="bottom"/>
            <w:tcBorders>
              <w:bottom w:val="single" w:sz="8" w:color="0000FF"/>
            </w:tcBorders>
            <w:gridSpan w:val="15"/>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Shareholders' Equity for the three and six months ended June 30, 2025 and 2024</w:t>
            </w:r>
          </w:p>
        </w:tc>
        <w:tc>
          <w:tcPr>
            <w:tcW w:w="1300" w:type="dxa"/>
            <w:vAlign w:val="bottom"/>
            <w:gridSpan w:val="2"/>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7</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9</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6160" w:type="dxa"/>
            <w:vAlign w:val="bottom"/>
            <w:tcBorders>
              <w:bottom w:val="single" w:sz="8" w:color="0000FF"/>
            </w:tcBorders>
            <w:gridSpan w:val="12"/>
          </w:tcPr>
          <w:p>
            <w:pPr>
              <w:spacing w:after="0" w:line="181"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400" w:type="dxa"/>
            <w:vAlign w:val="bottom"/>
            <w:gridSpan w:val="5"/>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28</w:t>
            </w:r>
          </w:p>
        </w:tc>
        <w:tc>
          <w:tcPr>
            <w:tcW w:w="0" w:type="dxa"/>
            <w:vAlign w:val="bottom"/>
          </w:tcPr>
          <w:p>
            <w:pPr>
              <w:spacing w:after="0"/>
              <w:rPr>
                <w:sz w:val="1"/>
                <w:szCs w:val="1"/>
                <w:color w:val="auto"/>
              </w:rPr>
            </w:pPr>
          </w:p>
        </w:tc>
      </w:tr>
      <w:tr>
        <w:trPr>
          <w:trHeight w:val="208"/>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3.</w:t>
            </w: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46</w:t>
            </w:r>
          </w:p>
        </w:tc>
        <w:tc>
          <w:tcPr>
            <w:tcW w:w="0" w:type="dxa"/>
            <w:vAlign w:val="bottom"/>
          </w:tcPr>
          <w:p>
            <w:pPr>
              <w:spacing w:after="0"/>
              <w:rPr>
                <w:sz w:val="1"/>
                <w:szCs w:val="1"/>
                <w:color w:val="auto"/>
              </w:rPr>
            </w:pPr>
          </w:p>
        </w:tc>
      </w:tr>
      <w:tr>
        <w:trPr>
          <w:trHeight w:val="180"/>
        </w:trPr>
        <w:tc>
          <w:tcPr>
            <w:tcW w:w="980" w:type="dxa"/>
            <w:vAlign w:val="bottom"/>
            <w:tcBorders>
              <w:top w:val="single" w:sz="8" w:color="CCEEFF"/>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4.</w:t>
            </w:r>
          </w:p>
        </w:tc>
        <w:tc>
          <w:tcPr>
            <w:tcW w:w="4100" w:type="dxa"/>
            <w:vAlign w:val="bottom"/>
            <w:tcBorders>
              <w:top w:val="single" w:sz="8" w:color="0000FF"/>
            </w:tcBorders>
            <w:gridSpan w:val="9"/>
          </w:tcPr>
          <w:p>
            <w:pPr>
              <w:spacing w:after="0" w:line="181" w:lineRule="exact"/>
              <w:rPr>
                <w:sz w:val="20"/>
                <w:szCs w:val="20"/>
                <w:color w:val="auto"/>
              </w:rPr>
            </w:pPr>
            <w:r>
              <w:rPr>
                <w:rFonts w:ascii="Times New Roman" w:cs="Times New Roman" w:eastAsia="Times New Roman" w:hAnsi="Times New Roman"/>
                <w:sz w:val="17"/>
                <w:szCs w:val="17"/>
                <w:color w:val="0000FF"/>
              </w:rPr>
              <w:t>Controls and Procedures</w:t>
            </w:r>
          </w:p>
        </w:tc>
        <w:tc>
          <w:tcPr>
            <w:tcW w:w="5460" w:type="dxa"/>
            <w:vAlign w:val="bottom"/>
            <w:tcBorders>
              <w:top w:val="single" w:sz="8" w:color="CCEEFF"/>
            </w:tcBorders>
            <w:gridSpan w:val="8"/>
          </w:tcPr>
          <w:p>
            <w:pPr>
              <w:spacing w:after="0"/>
              <w:rPr>
                <w:sz w:val="15"/>
                <w:szCs w:val="15"/>
                <w:color w:val="auto"/>
              </w:rPr>
            </w:pPr>
          </w:p>
        </w:tc>
        <w:tc>
          <w:tcPr>
            <w:tcW w:w="6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7"/>
                <w:szCs w:val="17"/>
                <w:color w:val="0000FF"/>
              </w:rPr>
              <w:t>46</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80" w:type="dxa"/>
            <w:vAlign w:val="bottom"/>
            <w:shd w:val="clear" w:color="auto" w:fill="CCEEFF"/>
          </w:tcPr>
          <w:p>
            <w:pPr>
              <w:spacing w:after="0"/>
              <w:rPr>
                <w:sz w:val="19"/>
                <w:szCs w:val="19"/>
                <w:color w:val="auto"/>
              </w:rPr>
            </w:pPr>
          </w:p>
        </w:tc>
        <w:tc>
          <w:tcPr>
            <w:tcW w:w="95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 II—OTHER INFORMATION</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1.</w:t>
            </w: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Legal Proceedings</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47</w:t>
            </w:r>
          </w:p>
        </w:tc>
        <w:tc>
          <w:tcPr>
            <w:tcW w:w="0" w:type="dxa"/>
            <w:vAlign w:val="bottom"/>
          </w:tcPr>
          <w:p>
            <w:pPr>
              <w:spacing w:after="0"/>
              <w:rPr>
                <w:sz w:val="1"/>
                <w:szCs w:val="1"/>
                <w:color w:val="auto"/>
              </w:rPr>
            </w:pPr>
          </w:p>
        </w:tc>
      </w:tr>
      <w:tr>
        <w:trPr>
          <w:trHeight w:val="208"/>
        </w:trPr>
        <w:tc>
          <w:tcPr>
            <w:tcW w:w="980" w:type="dxa"/>
            <w:vAlign w:val="bottom"/>
            <w:tcBorders>
              <w:bottom w:val="single" w:sz="8" w:color="CCEEFF"/>
            </w:tcBorders>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1A.</w:t>
            </w:r>
          </w:p>
        </w:tc>
        <w:tc>
          <w:tcPr>
            <w:tcW w:w="860" w:type="dxa"/>
            <w:vAlign w:val="bottom"/>
            <w:tcBorders>
              <w:top w:val="single" w:sz="8" w:color="0000FF"/>
              <w:bottom w:val="single" w:sz="8" w:color="0000FF"/>
            </w:tcBorders>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8"/>
              </w:rPr>
              <w:t>Risk Factors</w:t>
            </w:r>
          </w:p>
        </w:tc>
        <w:tc>
          <w:tcPr>
            <w:tcW w:w="40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8300" w:type="dxa"/>
            <w:vAlign w:val="bottom"/>
            <w:tcBorders>
              <w:bottom w:val="single" w:sz="8" w:color="CCEEFF"/>
            </w:tcBorders>
            <w:gridSpan w:val="12"/>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47</w:t>
            </w:r>
          </w:p>
        </w:tc>
        <w:tc>
          <w:tcPr>
            <w:tcW w:w="0" w:type="dxa"/>
            <w:vAlign w:val="bottom"/>
          </w:tcPr>
          <w:p>
            <w:pPr>
              <w:spacing w:after="0"/>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47</w:t>
            </w:r>
          </w:p>
        </w:tc>
        <w:tc>
          <w:tcPr>
            <w:tcW w:w="0" w:type="dxa"/>
            <w:vAlign w:val="bottom"/>
          </w:tcPr>
          <w:p>
            <w:pPr>
              <w:spacing w:after="0"/>
              <w:rPr>
                <w:sz w:val="1"/>
                <w:szCs w:val="1"/>
                <w:color w:val="auto"/>
              </w:rPr>
            </w:pPr>
          </w:p>
        </w:tc>
      </w:tr>
      <w:tr>
        <w:trPr>
          <w:trHeight w:val="208"/>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4.</w:t>
            </w:r>
          </w:p>
        </w:tc>
        <w:tc>
          <w:tcPr>
            <w:tcW w:w="4140" w:type="dxa"/>
            <w:vAlign w:val="bottom"/>
            <w:tcBorders>
              <w:top w:val="single" w:sz="8" w:color="0000FF"/>
            </w:tcBorders>
            <w:gridSpan w:val="10"/>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Mine Safety Disclosures</w:t>
            </w:r>
          </w:p>
        </w:tc>
        <w:tc>
          <w:tcPr>
            <w:tcW w:w="5420" w:type="dxa"/>
            <w:vAlign w:val="bottom"/>
            <w:gridSpan w:val="7"/>
            <w:shd w:val="clear" w:color="auto" w:fill="CCEEFF"/>
          </w:tcPr>
          <w:p>
            <w:pPr>
              <w:spacing w:after="0"/>
              <w:rPr>
                <w:sz w:val="18"/>
                <w:szCs w:val="18"/>
                <w:color w:val="auto"/>
              </w:rPr>
            </w:pP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47</w:t>
            </w:r>
          </w:p>
        </w:tc>
        <w:tc>
          <w:tcPr>
            <w:tcW w:w="0" w:type="dxa"/>
            <w:vAlign w:val="bottom"/>
          </w:tcPr>
          <w:p>
            <w:pPr>
              <w:spacing w:after="0"/>
              <w:rPr>
                <w:sz w:val="1"/>
                <w:szCs w:val="1"/>
                <w:color w:val="auto"/>
              </w:rPr>
            </w:pPr>
          </w:p>
        </w:tc>
      </w:tr>
      <w:tr>
        <w:trPr>
          <w:trHeight w:val="190"/>
        </w:trPr>
        <w:tc>
          <w:tcPr>
            <w:tcW w:w="980" w:type="dxa"/>
            <w:vAlign w:val="bottom"/>
            <w:tcBorders>
              <w:top w:val="single" w:sz="8" w:color="CCEEFF"/>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5.</w:t>
            </w:r>
          </w:p>
        </w:tc>
        <w:tc>
          <w:tcPr>
            <w:tcW w:w="1680" w:type="dxa"/>
            <w:vAlign w:val="bottom"/>
            <w:tcBorders>
              <w:top w:val="single" w:sz="8" w:color="0000FF"/>
            </w:tcBorders>
            <w:gridSpan w:val="6"/>
          </w:tcPr>
          <w:p>
            <w:pPr>
              <w:spacing w:after="0" w:line="181" w:lineRule="exact"/>
              <w:rPr>
                <w:sz w:val="20"/>
                <w:szCs w:val="20"/>
                <w:color w:val="auto"/>
              </w:rPr>
            </w:pPr>
            <w:r>
              <w:rPr>
                <w:rFonts w:ascii="Times New Roman" w:cs="Times New Roman" w:eastAsia="Times New Roman" w:hAnsi="Times New Roman"/>
                <w:sz w:val="17"/>
                <w:szCs w:val="17"/>
                <w:color w:val="0000FF"/>
              </w:rPr>
              <w:t>Other Information</w:t>
            </w:r>
          </w:p>
        </w:tc>
        <w:tc>
          <w:tcPr>
            <w:tcW w:w="7880" w:type="dxa"/>
            <w:vAlign w:val="bottom"/>
            <w:tcBorders>
              <w:top w:val="single" w:sz="8" w:color="CCEEFF"/>
            </w:tcBorders>
            <w:gridSpan w:val="11"/>
          </w:tcPr>
          <w:p>
            <w:pPr>
              <w:spacing w:after="0"/>
              <w:rPr>
                <w:sz w:val="16"/>
                <w:szCs w:val="16"/>
                <w:color w:val="auto"/>
              </w:rPr>
            </w:pPr>
          </w:p>
        </w:tc>
        <w:tc>
          <w:tcPr>
            <w:tcW w:w="6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7"/>
                <w:szCs w:val="17"/>
                <w:color w:val="0000FF"/>
              </w:rPr>
              <w:t>47</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6.</w:t>
            </w:r>
          </w:p>
        </w:tc>
        <w:tc>
          <w:tcPr>
            <w:tcW w:w="1240" w:type="dxa"/>
            <w:vAlign w:val="bottom"/>
            <w:tcBorders>
              <w:top w:val="single" w:sz="8" w:color="0000FF"/>
            </w:tcBorders>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Exhibits</w:t>
            </w:r>
          </w:p>
        </w:tc>
        <w:tc>
          <w:tcPr>
            <w:tcW w:w="8320" w:type="dxa"/>
            <w:vAlign w:val="bottom"/>
            <w:gridSpan w:val="13"/>
            <w:shd w:val="clear" w:color="auto" w:fill="CCEEFF"/>
          </w:tcPr>
          <w:p>
            <w:pPr>
              <w:spacing w:after="0"/>
              <w:rPr>
                <w:sz w:val="16"/>
                <w:szCs w:val="16"/>
                <w:color w:val="auto"/>
              </w:rPr>
            </w:pP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48</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spacing w:after="0"/>
              <w:rPr>
                <w:sz w:val="15"/>
                <w:szCs w:val="15"/>
                <w:color w:val="auto"/>
              </w:rPr>
            </w:pPr>
          </w:p>
        </w:tc>
        <w:tc>
          <w:tcPr>
            <w:tcW w:w="720" w:type="dxa"/>
            <w:vAlign w:val="bottom"/>
            <w:tcBorders>
              <w:bottom w:val="single" w:sz="8" w:color="0000FF"/>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FF"/>
                <w:w w:val="97"/>
              </w:rPr>
              <w:t>Signatures</w:t>
            </w:r>
          </w:p>
        </w:tc>
        <w:tc>
          <w:tcPr>
            <w:tcW w:w="8840" w:type="dxa"/>
            <w:vAlign w:val="bottom"/>
            <w:gridSpan w:val="15"/>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893"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8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par value</w:t>
            </w:r>
          </w:p>
        </w:tc>
        <w:tc>
          <w:tcPr>
            <w:tcW w:w="2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204"/>
              <w:spacing w:after="0" w:line="123"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283"/>
              <w:spacing w:after="0" w:line="12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80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543"/>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420" w:type="dxa"/>
            <w:vAlign w:val="bottom"/>
            <w:shd w:val="clear" w:color="auto" w:fill="CCEEFF"/>
          </w:tcPr>
          <w:p>
            <w:pPr>
              <w:jc w:val="center"/>
              <w:ind w:right="157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Accounts receivable</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1,152</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Unbilled accounts receivable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Inventories, net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2,314</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current assets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4,943</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1,447</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8,710</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2,934</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noncurrent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14,037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Total Assets</w:t>
            </w: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20,391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18,702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420" w:type="dxa"/>
            <w:vAlign w:val="bottom"/>
            <w:shd w:val="clear" w:color="auto" w:fill="CCEEFF"/>
          </w:tcPr>
          <w:p>
            <w:pPr>
              <w:jc w:val="center"/>
              <w:ind w:right="1571"/>
              <w:spacing w:after="0" w:line="159" w:lineRule="exact"/>
              <w:rPr>
                <w:sz w:val="20"/>
                <w:szCs w:val="20"/>
                <w:color w:val="auto"/>
              </w:rPr>
            </w:pPr>
            <w:r>
              <w:rPr>
                <w:rFonts w:ascii="Times New Roman" w:cs="Times New Roman" w:eastAsia="Times New Roman" w:hAnsi="Times New Roman"/>
                <w:sz w:val="14"/>
                <w:szCs w:val="14"/>
                <w:b w:val="1"/>
                <w:bCs w:val="1"/>
                <w:color w:val="auto"/>
                <w:w w:val="98"/>
              </w:rPr>
              <w:t>Liabilities and Shareholders’ Equity</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Accounts payable</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Customer deposits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693</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compensation</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Accrued warranty</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626</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Long-term debt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3,480</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postretirement and pension benefits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8,569</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14)</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060" w:type="dxa"/>
            <w:vAlign w:val="bottom"/>
            <w:gridSpan w:val="3"/>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Common stock, $.01 par value; 500.0 shares authorized; 171.9 shares issued and 170.9 outstanding at June 30, 2025; 226.9</w:t>
            </w:r>
          </w:p>
        </w:tc>
        <w:tc>
          <w:tcPr>
            <w:tcW w:w="2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5"/>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shares issued and 171.3 outstanding at December 31, 2024</w:t>
            </w:r>
          </w:p>
        </w:tc>
        <w:tc>
          <w:tcPr>
            <w:tcW w:w="26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8,023</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Treasury stock, at cost, 1.0 and 55.6 shares, at June 30, 2025 and December 31, 2024, respectively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(3,273)</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Retained earnings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6,185</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w:t>
            </w:r>
          </w:p>
        </w:tc>
        <w:tc>
          <w:tcPr>
            <w:tcW w:w="0" w:type="dxa"/>
            <w:vAlign w:val="bottom"/>
          </w:tcPr>
          <w:p>
            <w:pPr>
              <w:spacing w:after="0"/>
              <w:rPr>
                <w:sz w:val="1"/>
                <w:szCs w:val="1"/>
                <w:color w:val="auto"/>
              </w:rPr>
            </w:pPr>
          </w:p>
        </w:tc>
      </w:tr>
      <w:tr>
        <w:trPr>
          <w:trHeight w:val="196"/>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 Westinghouse Air Brake Technologies Corporation shareholders’ equity</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10,091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Total Equity</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10,845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10,133</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8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20,391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The accompanying notes are an integral part of these statements.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92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center"/>
              <w:ind w:left="437"/>
              <w:spacing w:after="0" w:line="153"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3"/>
          </w:tcPr>
          <w:p>
            <w:pPr>
              <w:jc w:val="center"/>
              <w:ind w:left="497"/>
              <w:spacing w:after="0" w:line="153" w:lineRule="exact"/>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92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920" w:type="dxa"/>
            <w:vAlign w:val="bottom"/>
            <w:tcBorders>
              <w:bottom w:val="single" w:sz="8" w:color="auto"/>
            </w:tcBorders>
          </w:tcPr>
          <w:p>
            <w:pPr>
              <w:spacing w:after="0"/>
              <w:rPr>
                <w:sz w:val="16"/>
                <w:szCs w:val="16"/>
                <w:color w:val="auto"/>
              </w:rPr>
            </w:pPr>
          </w:p>
        </w:tc>
      </w:tr>
      <w:tr>
        <w:trPr>
          <w:trHeight w:val="142"/>
        </w:trPr>
        <w:tc>
          <w:tcPr>
            <w:tcW w:w="5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60" w:type="dxa"/>
            <w:vAlign w:val="bottom"/>
          </w:tcPr>
          <w:p>
            <w:pPr>
              <w:spacing w:after="0"/>
              <w:rPr>
                <w:sz w:val="12"/>
                <w:szCs w:val="12"/>
                <w:color w:val="auto"/>
              </w:rPr>
            </w:pPr>
          </w:p>
        </w:tc>
        <w:tc>
          <w:tcPr>
            <w:tcW w:w="1100" w:type="dxa"/>
            <w:vAlign w:val="bottom"/>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8"/>
        </w:trPr>
        <w:tc>
          <w:tcPr>
            <w:tcW w:w="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9"/>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Sales of goods</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4,152</w:t>
            </w:r>
          </w:p>
        </w:tc>
      </w:tr>
      <w:tr>
        <w:trPr>
          <w:trHeight w:val="219"/>
        </w:trPr>
        <w:tc>
          <w:tcPr>
            <w:tcW w:w="2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Sales of services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w:t>
            </w:r>
          </w:p>
        </w:tc>
      </w:tr>
      <w:tr>
        <w:trPr>
          <w:trHeight w:val="212"/>
        </w:trPr>
        <w:tc>
          <w:tcPr>
            <w:tcW w:w="2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net sales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w:t>
            </w:r>
          </w:p>
        </w:tc>
      </w:tr>
      <w:tr>
        <w:trPr>
          <w:trHeight w:val="219"/>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 of goods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(2,901)</w:t>
            </w:r>
          </w:p>
        </w:tc>
      </w:tr>
      <w:tr>
        <w:trPr>
          <w:trHeight w:val="219"/>
        </w:trPr>
        <w:tc>
          <w:tcPr>
            <w:tcW w:w="2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Cost of services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w:t>
            </w:r>
          </w:p>
        </w:tc>
      </w:tr>
      <w:tr>
        <w:trPr>
          <w:trHeight w:val="212"/>
        </w:trPr>
        <w:tc>
          <w:tcPr>
            <w:tcW w:w="2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cost of sales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(3,452)</w:t>
            </w:r>
          </w:p>
        </w:tc>
      </w:tr>
      <w:tr>
        <w:trPr>
          <w:trHeight w:val="212"/>
        </w:trPr>
        <w:tc>
          <w:tcPr>
            <w:tcW w:w="2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1,689</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0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Engineering expenses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19"/>
        </w:trPr>
        <w:tc>
          <w:tcPr>
            <w:tcW w:w="2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Amortization expense</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12"/>
        </w:trPr>
        <w:tc>
          <w:tcPr>
            <w:tcW w:w="2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r>
      <w:tr>
        <w:trPr>
          <w:trHeight w:val="212"/>
        </w:trPr>
        <w:tc>
          <w:tcPr>
            <w:tcW w:w="2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operations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and expenses: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0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2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12"/>
        </w:trPr>
        <w:tc>
          <w:tcPr>
            <w:tcW w:w="2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2"/>
        </w:trPr>
        <w:tc>
          <w:tcPr>
            <w:tcW w:w="2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5"/>
        </w:trPr>
        <w:tc>
          <w:tcPr>
            <w:tcW w:w="5100" w:type="dxa"/>
            <w:vAlign w:val="bottom"/>
            <w:gridSpan w:val="3"/>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Diluted</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w:t>
            </w:r>
          </w:p>
        </w:tc>
      </w:tr>
      <w:tr>
        <w:trPr>
          <w:trHeight w:val="22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w:t>
            </w: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left="517"/>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left="537"/>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92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5"/>
          </w:tcPr>
          <w:p>
            <w:pPr>
              <w:jc w:val="center"/>
              <w:ind w:right="400"/>
              <w:spacing w:after="0" w:line="160"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300" w:type="dxa"/>
            <w:vAlign w:val="bottom"/>
          </w:tcPr>
          <w:p>
            <w:pPr>
              <w:spacing w:after="0"/>
              <w:rPr>
                <w:sz w:val="13"/>
                <w:szCs w:val="13"/>
                <w:color w:val="auto"/>
              </w:rPr>
            </w:pPr>
          </w:p>
        </w:tc>
        <w:tc>
          <w:tcPr>
            <w:tcW w:w="2460" w:type="dxa"/>
            <w:vAlign w:val="bottom"/>
            <w:gridSpan w:val="4"/>
          </w:tcPr>
          <w:p>
            <w:pPr>
              <w:jc w:val="center"/>
              <w:ind w:right="235"/>
              <w:spacing w:after="0" w:line="160" w:lineRule="exact"/>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left="537"/>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149"/>
        </w:trPr>
        <w:tc>
          <w:tcPr>
            <w:tcW w:w="56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2"/>
                <w:szCs w:val="12"/>
                <w:color w:val="auto"/>
              </w:rPr>
            </w:pPr>
          </w:p>
        </w:tc>
        <w:tc>
          <w:tcPr>
            <w:tcW w:w="1040" w:type="dxa"/>
            <w:vAlign w:val="bottom"/>
          </w:tcPr>
          <w:p>
            <w:pPr>
              <w:jc w:val="right"/>
              <w:ind w:right="437"/>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435"/>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7"/>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435"/>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2"/>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r>
      <w:tr>
        <w:trPr>
          <w:trHeight w:val="212"/>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gain (loss)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19"/>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on derivative contracts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5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Change in unrealized loss on pension and post-retirement benefit plans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comprehensive income (loss) before tax</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168"/>
        </w:trPr>
        <w:tc>
          <w:tcPr>
            <w:tcW w:w="20" w:type="dxa"/>
            <w:vAlign w:val="bottom"/>
          </w:tcPr>
          <w:p>
            <w:pPr>
              <w:spacing w:after="0"/>
              <w:rPr>
                <w:sz w:val="14"/>
                <w:szCs w:val="14"/>
                <w:color w:val="auto"/>
              </w:rPr>
            </w:pPr>
          </w:p>
        </w:tc>
        <w:tc>
          <w:tcPr>
            <w:tcW w:w="560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Income tax (expense) benefit related to components of other comprehensive</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2"/>
        </w:trPr>
        <w:tc>
          <w:tcPr>
            <w:tcW w:w="20" w:type="dxa"/>
            <w:vAlign w:val="bottom"/>
          </w:tcPr>
          <w:p>
            <w:pPr>
              <w:spacing w:after="0"/>
              <w:rPr>
                <w:sz w:val="20"/>
                <w:szCs w:val="20"/>
                <w:color w:val="auto"/>
              </w:rPr>
            </w:pPr>
          </w:p>
        </w:tc>
        <w:tc>
          <w:tcPr>
            <w:tcW w:w="5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w:t>
            </w:r>
          </w:p>
        </w:tc>
        <w:tc>
          <w:tcPr>
            <w:tcW w:w="30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560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12"/>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Comprehensive income attributable to Wabtec shareholders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 w:name="page6"/>
    <w:bookmarkEnd w:id="5"/>
    <w:p>
      <w:pPr>
        <w:ind w:left="3020"/>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gridSpan w:val="3"/>
          </w:tcPr>
          <w:p>
            <w:pPr>
              <w:jc w:val="center"/>
              <w:ind w:left="495"/>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94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center"/>
              <w:ind w:left="495"/>
              <w:spacing w:after="0" w:line="160" w:lineRule="exact"/>
              <w:rPr>
                <w:sz w:val="20"/>
                <w:szCs w:val="20"/>
                <w:color w:val="auto"/>
              </w:rPr>
            </w:pPr>
            <w:r>
              <w:rPr>
                <w:rFonts w:ascii="Times New Roman" w:cs="Times New Roman" w:eastAsia="Times New Roman" w:hAnsi="Times New Roman"/>
                <w:sz w:val="15"/>
                <w:szCs w:val="15"/>
                <w:b w:val="1"/>
                <w:bCs w:val="1"/>
                <w:color w:val="auto"/>
              </w:rPr>
              <w:t>Six Months Ended</w:t>
            </w:r>
          </w:p>
        </w:tc>
        <w:tc>
          <w:tcPr>
            <w:tcW w:w="940" w:type="dxa"/>
            <w:vAlign w:val="bottom"/>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495"/>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jc w:val="right"/>
              <w:ind w:right="514"/>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Gain on mark-to-market derivatives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Below market intangible amortization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 on disposal of property, plant and equipment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 and dispositions: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Accounts receivable and unbilled accounts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Inventories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Accrued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Current and noncurrent customer deposits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Other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Acquisitions of businesses, net of cash acquired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7"/>
                <w:szCs w:val="17"/>
                <w:color w:val="auto"/>
              </w:rPr>
              <w:t>Proceeds from disposal of property, plant and equipment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Net cash used for investing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Proceeds from debt, net of issuance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Payments of debt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Repurchase of stock</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Cash dividends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Payment of income tax withholding on share-based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Net cash provided by (used for) financing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r>
      <w:tr>
        <w:trPr>
          <w:trHeight w:val="219"/>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Effect of changes in currency exchange rates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Increase (decrease) in cash</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4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12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Non-</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140" w:type="dxa"/>
            <w:vAlign w:val="bottom"/>
          </w:tcPr>
          <w:p>
            <w:pPr>
              <w:spacing w:after="0"/>
              <w:rPr>
                <w:sz w:val="5"/>
                <w:szCs w:val="5"/>
                <w:color w:val="auto"/>
              </w:rPr>
            </w:pPr>
          </w:p>
        </w:tc>
        <w:tc>
          <w:tcPr>
            <w:tcW w:w="560" w:type="dxa"/>
            <w:vAlign w:val="bottom"/>
            <w:vMerge w:val="restart"/>
          </w:tcPr>
          <w:p>
            <w:pPr>
              <w:jc w:val="right"/>
              <w:ind w:right="131"/>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Stock Shares</w:t>
            </w: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 Amount</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Stock Shares</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millions</w:t>
            </w:r>
          </w:p>
        </w:tc>
        <w:tc>
          <w:tcPr>
            <w:tcW w:w="940" w:type="dxa"/>
            <w:vAlign w:val="bottom"/>
            <w:gridSpan w:val="2"/>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23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right w:val="single" w:sz="8" w:color="CCEEFF"/>
            </w:tcBorders>
          </w:tcPr>
          <w:p>
            <w:pPr>
              <w:spacing w:after="0"/>
              <w:rPr>
                <w:sz w:val="16"/>
                <w:szCs w:val="16"/>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10,133</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23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Cash dividends ($0.25 dividend per</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w:t>
            </w: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 w:type="dxa"/>
            <w:vAlign w:val="bottom"/>
            <w:tcBorders>
              <w:right w:val="single" w:sz="8" w:color="CCEEFF"/>
            </w:tcBorders>
          </w:tcPr>
          <w:p>
            <w:pPr>
              <w:spacing w:after="0"/>
              <w:rPr>
                <w:sz w:val="11"/>
                <w:szCs w:val="11"/>
                <w:color w:val="auto"/>
              </w:rPr>
            </w:pPr>
          </w:p>
        </w:tc>
        <w:tc>
          <w:tcPr>
            <w:tcW w:w="232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Proceeds from treasury stock issued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0" w:type="dxa"/>
            <w:vAlign w:val="bottom"/>
            <w:tcBorders>
              <w:right w:val="single" w:sz="8" w:color="CCEEFF"/>
            </w:tcBorders>
          </w:tcPr>
          <w:p>
            <w:pPr>
              <w:spacing w:after="0"/>
              <w:rPr>
                <w:sz w:val="11"/>
                <w:szCs w:val="11"/>
                <w:color w:val="auto"/>
              </w:rPr>
            </w:pPr>
          </w:p>
        </w:tc>
        <w:tc>
          <w:tcPr>
            <w:tcW w:w="2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from the exercise of stock options and</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benefit plans, net of tax</w:t>
            </w: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1"/>
        </w:trPr>
        <w:tc>
          <w:tcPr>
            <w:tcW w:w="40" w:type="dxa"/>
            <w:vAlign w:val="bottom"/>
            <w:tcBorders>
              <w:right w:val="single" w:sz="8" w:color="CCEEFF"/>
            </w:tcBorders>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01"/>
        </w:trPr>
        <w:tc>
          <w:tcPr>
            <w:tcW w:w="40" w:type="dxa"/>
            <w:vAlign w:val="bottom"/>
            <w:tcBorders>
              <w:right w:val="single" w:sz="8" w:color="CCEEFF"/>
            </w:tcBorders>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repurchase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08"/>
        </w:trPr>
        <w:tc>
          <w:tcPr>
            <w:tcW w:w="40" w:type="dxa"/>
            <w:vAlign w:val="bottom"/>
            <w:tcBorders>
              <w:right w:val="single" w:sz="8" w:color="CCEEFF"/>
            </w:tcBorders>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Treasury stock retirement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2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8,009</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3,160</w:t>
            </w:r>
          </w:p>
        </w:tc>
        <w:tc>
          <w:tcPr>
            <w:tcW w:w="8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10,414</w:t>
            </w:r>
          </w:p>
        </w:tc>
        <w:tc>
          <w:tcPr>
            <w:tcW w:w="0" w:type="dxa"/>
            <w:vAlign w:val="bottom"/>
          </w:tcPr>
          <w:p>
            <w:pPr>
              <w:spacing w:after="0"/>
              <w:rPr>
                <w:sz w:val="1"/>
                <w:szCs w:val="1"/>
                <w:color w:val="auto"/>
              </w:rPr>
            </w:pPr>
          </w:p>
        </w:tc>
      </w:tr>
      <w:tr>
        <w:trPr>
          <w:trHeight w:val="116"/>
        </w:trPr>
        <w:tc>
          <w:tcPr>
            <w:tcW w:w="40" w:type="dxa"/>
            <w:vAlign w:val="bottom"/>
            <w:tcBorders>
              <w:right w:val="single" w:sz="8" w:color="CCEEFF"/>
            </w:tcBorders>
          </w:tcPr>
          <w:p>
            <w:pPr>
              <w:spacing w:after="0"/>
              <w:rPr>
                <w:sz w:val="10"/>
                <w:szCs w:val="10"/>
                <w:color w:val="auto"/>
              </w:rPr>
            </w:pPr>
          </w:p>
        </w:tc>
        <w:tc>
          <w:tcPr>
            <w:tcW w:w="232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Cash dividends ($0.25 dividend per</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3"/>
        </w:trPr>
        <w:tc>
          <w:tcPr>
            <w:tcW w:w="40" w:type="dxa"/>
            <w:vAlign w:val="bottom"/>
            <w:tcBorders>
              <w:right w:val="single" w:sz="8" w:color="CCEEFF"/>
            </w:tcBorders>
          </w:tcPr>
          <w:p>
            <w:pPr>
              <w:spacing w:after="0"/>
              <w:rPr>
                <w:sz w:val="16"/>
                <w:szCs w:val="16"/>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w:t>
            </w: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23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Proceeds from treasury stock issued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from the exercise of stock options and</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benefit plans, net of tax</w:t>
            </w: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tcBorders>
              <w:right w:val="single" w:sz="8" w:color="CCEEFF"/>
            </w:tcBorders>
          </w:tcPr>
          <w:p>
            <w:pPr>
              <w:spacing w:after="0"/>
              <w:rPr>
                <w:sz w:val="16"/>
                <w:szCs w:val="16"/>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based compensation</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201"/>
        </w:trPr>
        <w:tc>
          <w:tcPr>
            <w:tcW w:w="40" w:type="dxa"/>
            <w:vAlign w:val="bottom"/>
            <w:tcBorders>
              <w:right w:val="single" w:sz="8" w:color="CCEEFF"/>
            </w:tcBorders>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repurchase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27"/>
        </w:trPr>
        <w:tc>
          <w:tcPr>
            <w:tcW w:w="40" w:type="dxa"/>
            <w:vAlign w:val="bottom"/>
            <w:tcBorders>
              <w:right w:val="single" w:sz="8" w:color="CCEEFF"/>
            </w:tcBorders>
          </w:tcPr>
          <w:p>
            <w:pPr>
              <w:spacing w:after="0"/>
              <w:rPr>
                <w:sz w:val="19"/>
                <w:szCs w:val="19"/>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8,025</w:t>
            </w:r>
          </w:p>
        </w:tc>
        <w:tc>
          <w:tcPr>
            <w:tcW w:w="10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80" w:type="dxa"/>
            <w:vAlign w:val="bottom"/>
          </w:tcPr>
          <w:p>
            <w:pPr>
              <w:spacing w:after="0"/>
              <w:rPr>
                <w:sz w:val="16"/>
                <w:szCs w:val="16"/>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470"/>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2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100" w:type="dxa"/>
            <w:vAlign w:val="bottom"/>
          </w:tcPr>
          <w:p>
            <w:pPr>
              <w:spacing w:after="0"/>
              <w:rPr>
                <w:sz w:val="13"/>
                <w:szCs w:val="13"/>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5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restart"/>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4"/>
              </w:rPr>
              <w:t>controlling</w:t>
            </w: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Stock Shares</w:t>
            </w: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Stock Shares</w:t>
            </w: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Comprehensive Loss</w:t>
            </w: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2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millions</w:t>
            </w:r>
          </w:p>
        </w:tc>
        <w:tc>
          <w:tcPr>
            <w:tcW w:w="9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80" w:type="dxa"/>
            <w:vAlign w:val="bottom"/>
            <w:gridSpan w:val="3"/>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3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10,524</w:t>
            </w:r>
          </w:p>
        </w:tc>
        <w:tc>
          <w:tcPr>
            <w:tcW w:w="0" w:type="dxa"/>
            <w:vAlign w:val="bottom"/>
          </w:tcPr>
          <w:p>
            <w:pPr>
              <w:spacing w:after="0"/>
              <w:rPr>
                <w:sz w:val="1"/>
                <w:szCs w:val="1"/>
                <w:color w:val="auto"/>
              </w:rPr>
            </w:pPr>
          </w:p>
        </w:tc>
      </w:tr>
      <w:tr>
        <w:trPr>
          <w:trHeight w:val="134"/>
        </w:trPr>
        <w:tc>
          <w:tcPr>
            <w:tcW w:w="2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Cash dividends ($0.20 dividend per</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3"/>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340" w:type="dxa"/>
            <w:vAlign w:val="bottom"/>
            <w:gridSpan w:val="3"/>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Proceeds from treasury stock issued</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340" w:type="dxa"/>
            <w:vAlign w:val="bottom"/>
            <w:gridSpan w:val="3"/>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from the exercise of stock options and</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3"/>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benefit plans, net of tax</w:t>
            </w: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1"/>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8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1"/>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79"/>
        </w:trPr>
        <w:tc>
          <w:tcPr>
            <w:tcW w:w="23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7,967</w:t>
            </w: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00" w:type="dxa"/>
            <w:vAlign w:val="bottom"/>
            <w:tcBorders>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10,504</w:t>
            </w:r>
          </w:p>
        </w:tc>
        <w:tc>
          <w:tcPr>
            <w:tcW w:w="0" w:type="dxa"/>
            <w:vAlign w:val="bottom"/>
          </w:tcPr>
          <w:p>
            <w:pPr>
              <w:spacing w:after="0"/>
              <w:rPr>
                <w:sz w:val="1"/>
                <w:szCs w:val="1"/>
                <w:color w:val="auto"/>
              </w:rPr>
            </w:pPr>
          </w:p>
        </w:tc>
      </w:tr>
      <w:tr>
        <w:trPr>
          <w:trHeight w:val="121"/>
        </w:trPr>
        <w:tc>
          <w:tcPr>
            <w:tcW w:w="2340" w:type="dxa"/>
            <w:vAlign w:val="bottom"/>
            <w:gridSpan w:val="3"/>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Cash dividends ($0.20 dividend per</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8"/>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Proceeds from treasury stock issued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4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color w:val="auto"/>
              </w:rPr>
              <w:t>from the exercise of stock options and</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1"/>
                <w:szCs w:val="11"/>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benefit plans, net of tax</w:t>
            </w: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201"/>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94"/>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7,981</w:t>
            </w:r>
          </w:p>
        </w:tc>
        <w:tc>
          <w:tcPr>
            <w:tcW w:w="10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5,759</w:t>
            </w:r>
          </w:p>
        </w:tc>
        <w:tc>
          <w:tcPr>
            <w:tcW w:w="10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8" w:name="page9"/>
    <w:bookmarkEnd w:id="8"/>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WESTINGHOUSE AIR BRAKE TECHNOLOGIES CORPORATION NOTES TO CONDENSED CONSOLIDATED FINANCIAL STATEMENTS FOR THE QUARTERLY PERIOD ENDED JUNE 30, 2025 (UNAUDITED)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w:t>
      </w:r>
    </w:p>
    <w:p>
      <w:pPr>
        <w:spacing w:after="0" w:line="11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Except as the context otherwise requires, all references to “we”, “our”, “us”, the “Company” and “Wabtec” refer to Westinghouse Air Brake Technologies Corporation and its consolidated subsidiaries. References to the “Parent Company” refer to Westinghouse Air Brake Technologies Corporation alone. Wabtec is a global provider of value-added, technology-based locomotives, equipment, systems, and services for the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six months of 2025, approximately half of the Company’s Net sales came from customers outside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ACCOUNTING POLICIES</w:t>
      </w:r>
    </w:p>
    <w:p>
      <w:pPr>
        <w:spacing w:after="0" w:line="99" w:lineRule="exact"/>
        <w:rPr>
          <w:sz w:val="20"/>
          <w:szCs w:val="20"/>
          <w:color w:val="auto"/>
        </w:rPr>
      </w:pPr>
    </w:p>
    <w:p>
      <w:pPr>
        <w:ind w:right="60" w:firstLine="464"/>
        <w:spacing w:after="0" w:line="2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Basis of Presentation </w:t>
      </w:r>
      <w:r>
        <w:rPr>
          <w:rFonts w:ascii="Times New Roman" w:cs="Times New Roman" w:eastAsia="Times New Roman" w:hAnsi="Times New Roman"/>
          <w:sz w:val="17"/>
          <w:szCs w:val="17"/>
          <w:color w:val="auto"/>
        </w:rPr>
        <w:t>The unaudited condensed consolidated interim financial statements have been prepared in accordance with generally accepted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Certain prior year amounts have been reclassified, where necessary, to conform to the current year presentation.</w:t>
      </w:r>
    </w:p>
    <w:p>
      <w:pPr>
        <w:spacing w:after="0" w:line="72" w:lineRule="exact"/>
        <w:rPr>
          <w:sz w:val="20"/>
          <w:szCs w:val="20"/>
          <w:color w:val="auto"/>
        </w:rPr>
      </w:pPr>
    </w:p>
    <w:p>
      <w:pPr>
        <w:ind w:firstLine="464"/>
        <w:spacing w:after="0" w:line="241" w:lineRule="auto"/>
        <w:rPr>
          <w:sz w:val="20"/>
          <w:szCs w:val="20"/>
          <w:color w:val="auto"/>
        </w:rPr>
      </w:pPr>
      <w:r>
        <w:rPr>
          <w:rFonts w:ascii="Times New Roman" w:cs="Times New Roman" w:eastAsia="Times New Roman" w:hAnsi="Times New Roman"/>
          <w:sz w:val="17"/>
          <w:szCs w:val="17"/>
          <w:color w:val="auto"/>
        </w:rPr>
        <w:t>Results for these interim periods are not necessarily indicative of results to be expected for the full year, particularly in light of ongoing volatility in the macroeconomic environment caused by supply chain disruptions, labor availability, broad-based inflation, tariffs and trade negotiations, and the impacts from regional conflicts. These factors continue to impact our sales channels, supply chain, manufacturing operations, workforce, and other key aspects of our operations. We are unable to reasonably predict the full impact of these factors due to the high degree of uncertainty regarding their duration and severity, their potential impact on global economic activity, and the impact that current and new sanctions and tariffs may have on our business, global supply chain operations and our customers, suppliers, and end-markets.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operates on a four-four-five week accounting quarter, and the quarters end on or about March 31, June 30, September 30, and December 31.</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notes included herein should be read in conjunction with the audited consolidated financial statements included in Wabtec’s Annual Report on Form 10-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 for the year ended December 31, 2024. The December 31, 2024 information included herein has been derived from the Company’s Annual Report on Form 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 for the year ended December 31, 2024.</w:t>
      </w:r>
    </w:p>
    <w:p>
      <w:pPr>
        <w:spacing w:after="0" w:line="91" w:lineRule="exact"/>
        <w:rPr>
          <w:sz w:val="20"/>
          <w:szCs w:val="20"/>
          <w:color w:val="auto"/>
        </w:rPr>
      </w:pPr>
    </w:p>
    <w:p>
      <w:pPr>
        <w:ind w:right="14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Use of Estimates </w:t>
      </w:r>
      <w:r>
        <w:rPr>
          <w:rFonts w:ascii="Times New Roman" w:cs="Times New Roman" w:eastAsia="Times New Roman" w:hAnsi="Times New Roman"/>
          <w:sz w:val="17"/>
          <w:szCs w:val="17"/>
          <w:color w:val="auto"/>
        </w:rPr>
        <w:t>The preparation of financial statements in conformity with GAAP in the United States requires the Company to make estimates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58" w:lineRule="exact"/>
        <w:rPr>
          <w:sz w:val="20"/>
          <w:szCs w:val="20"/>
          <w:color w:val="auto"/>
        </w:rPr>
      </w:pPr>
    </w:p>
    <w:p>
      <w:pPr>
        <w:ind w:right="14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Revenue Recognition </w:t>
      </w:r>
      <w:r>
        <w:rPr>
          <w:rFonts w:ascii="Times New Roman" w:cs="Times New Roman" w:eastAsia="Times New Roman" w:hAnsi="Times New Roman"/>
          <w:sz w:val="17"/>
          <w:szCs w:val="17"/>
          <w:color w:val="auto"/>
        </w:rPr>
        <w:t>A majority of the Company’s revenues are derived from performance obligations that are satisfied at a point in time when control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passes to the customer. The remaining revenues are earned over time. Generally, for performance obligations satisfied at a point in time control passes at the time of shipment in accordance with agreed upon delivery terms.</w:t>
      </w:r>
    </w:p>
    <w:p>
      <w:pPr>
        <w:spacing w:after="0" w:line="61"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 Contract revenues and cost estimates are reviewed and revised periodically throughout the year and adjustments are reflected in the accounting period as such amounts are determined.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 w:name="page10"/>
    <w:bookmarkEnd w:id="9"/>
    <w:p>
      <w:pPr>
        <w:ind w:right="20" w:firstLine="464"/>
        <w:spacing w:after="0" w:line="258" w:lineRule="auto"/>
        <w:rPr>
          <w:sz w:val="20"/>
          <w:szCs w:val="20"/>
          <w:color w:val="auto"/>
        </w:rPr>
      </w:pPr>
      <w:r>
        <w:rPr>
          <w:rFonts w:ascii="Times New Roman" w:cs="Times New Roman" w:eastAsia="Times New Roman" w:hAnsi="Times New Roman"/>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2"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7"/>
          <w:szCs w:val="17"/>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 and future expectations.</w:t>
      </w:r>
    </w:p>
    <w:p>
      <w:pPr>
        <w:spacing w:after="0" w:line="70" w:lineRule="exact"/>
        <w:rPr>
          <w:sz w:val="20"/>
          <w:szCs w:val="20"/>
          <w:color w:val="auto"/>
        </w:rPr>
      </w:pPr>
    </w:p>
    <w:p>
      <w:pPr>
        <w:jc w:val="both"/>
        <w:ind w:right="140" w:firstLine="464"/>
        <w:spacing w:after="0" w:line="270" w:lineRule="auto"/>
        <w:rPr>
          <w:sz w:val="20"/>
          <w:szCs w:val="20"/>
          <w:color w:val="auto"/>
        </w:rPr>
      </w:pPr>
      <w:r>
        <w:rPr>
          <w:rFonts w:ascii="Times New Roman" w:cs="Times New Roman" w:eastAsia="Times New Roman" w:hAnsi="Times New Roman"/>
          <w:sz w:val="17"/>
          <w:szCs w:val="17"/>
          <w:color w:val="auto"/>
        </w:rPr>
        <w:t>Remaining performance obligations represent the allocated transaction price of unsatisfied or partially unsatisfied performance obligations. As of June 30, 2025, the Company's remaining performance obligations were approximately $21.8 billion. The Company expects to recognize revenue of approximately 38% of the remaining performance obligations over the next 12 months, with the remainder recognized thereafter.</w:t>
      </w:r>
    </w:p>
    <w:p>
      <w:pPr>
        <w:spacing w:after="0" w:line="56" w:lineRule="exact"/>
        <w:rPr>
          <w:sz w:val="20"/>
          <w:szCs w:val="20"/>
          <w:color w:val="auto"/>
        </w:rPr>
      </w:pPr>
    </w:p>
    <w:p>
      <w:pPr>
        <w:ind w:right="20"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Revolving Receivables Program </w:t>
      </w:r>
      <w:r>
        <w:rPr>
          <w:rFonts w:ascii="Times New Roman" w:cs="Times New Roman" w:eastAsia="Times New Roman" w:hAnsi="Times New Roman"/>
          <w:sz w:val="17"/>
          <w:szCs w:val="17"/>
          <w:color w:val="auto"/>
        </w:rPr>
        <w:t>Effective January 1, 2025, the Company utilizes its Revolving Receivables Program to request borrowings from a 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institution against certain collateralized receivables for up to $350 million. The Company and certain of its subsidiaries (the "Originators") contribute receivables to our bankruptcy-remote subsidiary, which can then be collateralized on a recurring basis. As customers pay their balances, we transfer additional receivables into the program. Borrowings and repayments under the Revolving Receivables Program are classified as Financing activities on our Condensed Consolidated Statement of Cash Flows, with any outstanding collateralized balance at period end classified as debt on our Condensed Consolidated Balance Sheets. Prior to January 1, 2025, the Company utilized its Revolving Receivables Program to sell up to $350 million of certain receivables from the Originators. Receivables were sold to a financial institution on a recurring basis in exchange for cash equal to the gross receivables sold. Proceeds and remittances of receivables sold under the program prior to January 1, 2025, are classified as Operating activities on our Condensed Consolidated Statement of Cash Flows.</w:t>
      </w:r>
    </w:p>
    <w:p>
      <w:pPr>
        <w:spacing w:after="0" w:line="72" w:lineRule="exact"/>
        <w:rPr>
          <w:sz w:val="20"/>
          <w:szCs w:val="20"/>
          <w:color w:val="auto"/>
        </w:rPr>
      </w:pPr>
    </w:p>
    <w:p>
      <w:pPr>
        <w:ind w:right="40" w:firstLine="464"/>
        <w:spacing w:after="0" w:line="261" w:lineRule="auto"/>
        <w:rPr>
          <w:sz w:val="20"/>
          <w:szCs w:val="20"/>
          <w:color w:val="auto"/>
        </w:rPr>
      </w:pPr>
      <w:r>
        <w:rPr>
          <w:rFonts w:ascii="Times New Roman" w:cs="Times New Roman" w:eastAsia="Times New Roman" w:hAnsi="Times New Roman"/>
          <w:sz w:val="17"/>
          <w:szCs w:val="17"/>
          <w:color w:val="auto"/>
        </w:rPr>
        <w:t>The bankruptcy remote subsidiary is a separate legal entity with its own creditors, and its assets are not available to pay creditors of the Company or any other affiliates of the Company. The receivables transferred to the program are fully guaranteed by our bankruptcy-remote subsidiary, which holds additional receivables that are pledged as collateral under this facility.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spacing w:after="0" w:line="72" w:lineRule="exact"/>
        <w:rPr>
          <w:sz w:val="20"/>
          <w:szCs w:val="20"/>
          <w:color w:val="auto"/>
        </w:rPr>
      </w:pPr>
    </w:p>
    <w:p>
      <w:pPr>
        <w:ind w:right="40" w:firstLine="464"/>
        <w:spacing w:after="0" w:line="261" w:lineRule="auto"/>
        <w:rPr>
          <w:sz w:val="20"/>
          <w:szCs w:val="20"/>
          <w:color w:val="auto"/>
        </w:rPr>
      </w:pPr>
      <w:r>
        <w:rPr>
          <w:rFonts w:ascii="Times New Roman" w:cs="Times New Roman" w:eastAsia="Times New Roman" w:hAnsi="Times New Roman"/>
          <w:sz w:val="17"/>
          <w:szCs w:val="17"/>
          <w:color w:val="auto"/>
        </w:rPr>
        <w:t>At June 30, 2025 and December 31, 2024, the bankruptcy-remote subsidiary held receivables of $762 million and $693 million, respectively, which are included in the Company's Condensed Consolidated Balance Sheets. The receivables held by the bankruptcy-remote subsidiary collateralize the outstanding receivables sold and outstanding borrowings. There were no outstanding borrowings at June 30, 2025 or outstanding receivables sold at December 31, 2024. The transfers are recorded at the fair value of the proceeds received and obligations assumed less derecognized receivables. Our maximum exposure to losses related to these receivables transferred to the program is limited to the amount outstanding.</w:t>
      </w:r>
    </w:p>
    <w:p>
      <w:pPr>
        <w:spacing w:after="0" w:line="72" w:lineRule="exact"/>
        <w:rPr>
          <w:sz w:val="20"/>
          <w:szCs w:val="20"/>
          <w:color w:val="auto"/>
        </w:rPr>
      </w:pPr>
    </w:p>
    <w:p>
      <w:pPr>
        <w:ind w:right="16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sets forth a summary of receivables used as collateral for requested borrowings and the resulting impact of net cash proceeds included in cash from financing activities. There were no receivables sold under the program during the six months ended June 30, 2025.</w:t>
      </w:r>
    </w:p>
    <w:tbl>
      <w:tblPr>
        <w:tblLayout w:type="fixed"/>
        <w:tblInd w:w="0" w:type="dxa"/>
        <w:tblCellMar>
          <w:top w:w="0" w:type="dxa"/>
          <w:left w:w="0" w:type="dxa"/>
          <w:bottom w:w="0" w:type="dxa"/>
          <w:right w:w="0" w:type="dxa"/>
        </w:tblCellMar>
      </w:tblPr>
      <w:tr>
        <w:trPr>
          <w:trHeight w:val="142"/>
        </w:trPr>
        <w:tc>
          <w:tcPr>
            <w:tcW w:w="4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tcPr>
          <w:p>
            <w:pPr>
              <w:jc w:val="right"/>
              <w:ind w:right="822"/>
              <w:spacing w:after="0" w:line="142"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0"/>
        </w:trPr>
        <w:tc>
          <w:tcPr>
            <w:tcW w:w="4780" w:type="dxa"/>
            <w:vAlign w:val="bottom"/>
            <w:gridSpan w:val="3"/>
            <w:vMerge w:val="continue"/>
          </w:tcPr>
          <w:p>
            <w:pPr>
              <w:spacing w:after="0"/>
              <w:rPr>
                <w:sz w:val="12"/>
                <w:szCs w:val="12"/>
                <w:color w:val="auto"/>
              </w:rPr>
            </w:pPr>
          </w:p>
        </w:tc>
        <w:tc>
          <w:tcPr>
            <w:tcW w:w="3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tcPr>
          <w:p>
            <w:pPr>
              <w:jc w:val="right"/>
              <w:ind w:right="962"/>
              <w:spacing w:after="0" w:line="121" w:lineRule="exact"/>
              <w:rPr>
                <w:sz w:val="20"/>
                <w:szCs w:val="20"/>
                <w:color w:val="auto"/>
              </w:rPr>
            </w:pPr>
            <w:r>
              <w:rPr>
                <w:rFonts w:ascii="Times New Roman" w:cs="Times New Roman" w:eastAsia="Times New Roman" w:hAnsi="Times New Roman"/>
                <w:sz w:val="13"/>
                <w:szCs w:val="13"/>
                <w:b w:val="1"/>
                <w:bCs w:val="1"/>
                <w:color w:val="auto"/>
              </w:rPr>
              <w:t>June 30, 2025</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receivables collateralized/cash borrowings received</w:t>
            </w:r>
          </w:p>
        </w:tc>
        <w:tc>
          <w:tcPr>
            <w:tcW w:w="35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219"/>
        </w:trPr>
        <w:tc>
          <w:tcPr>
            <w:tcW w:w="4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Customer collections remitted to financial institution</w:t>
            </w:r>
          </w:p>
        </w:tc>
        <w:tc>
          <w:tcPr>
            <w:tcW w:w="35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proceeds received</w:t>
            </w:r>
          </w:p>
        </w:tc>
        <w:tc>
          <w:tcPr>
            <w:tcW w:w="35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2574"/>
              <w:spacing w:after="0"/>
              <w:rPr>
                <w:sz w:val="20"/>
                <w:szCs w:val="20"/>
                <w:color w:val="auto"/>
              </w:rPr>
            </w:pPr>
            <w:r>
              <w:rPr>
                <w:rFonts w:ascii="Times New Roman" w:cs="Times New Roman" w:eastAsia="Times New Roman" w:hAnsi="Times New Roman"/>
                <w:sz w:val="17"/>
                <w:szCs w:val="17"/>
                <w:color w:val="auto"/>
              </w:rPr>
              <w:t>10</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14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0" w:name="page11"/>
    <w:bookmarkEnd w:id="10"/>
    <w:p>
      <w:pPr>
        <w:ind w:right="8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sets forth a summary of receivables sold and the resulting impact of net cash proceeds included in cash from operating activities during the six months ended June 30, 2024:</w:t>
      </w:r>
    </w:p>
    <w:tbl>
      <w:tblPr>
        <w:tblLayout w:type="fixed"/>
        <w:tblInd w:w="0" w:type="dxa"/>
        <w:tblCellMar>
          <w:top w:w="0" w:type="dxa"/>
          <w:left w:w="0" w:type="dxa"/>
          <w:bottom w:w="0" w:type="dxa"/>
          <w:right w:w="0" w:type="dxa"/>
        </w:tblCellMar>
      </w:tblPr>
      <w:tr>
        <w:trPr>
          <w:trHeight w:val="142"/>
        </w:trPr>
        <w:tc>
          <w:tcPr>
            <w:tcW w:w="8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00" w:type="dxa"/>
            <w:vAlign w:val="bottom"/>
          </w:tcPr>
          <w:p>
            <w:pPr>
              <w:spacing w:after="0"/>
              <w:rPr>
                <w:sz w:val="12"/>
                <w:szCs w:val="12"/>
                <w:color w:val="auto"/>
              </w:rPr>
            </w:pPr>
          </w:p>
        </w:tc>
        <w:tc>
          <w:tcPr>
            <w:tcW w:w="2380" w:type="dxa"/>
            <w:vAlign w:val="bottom"/>
          </w:tcPr>
          <w:p>
            <w:pPr>
              <w:jc w:val="right"/>
              <w:ind w:right="822"/>
              <w:spacing w:after="0" w:line="142"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0"/>
        </w:trPr>
        <w:tc>
          <w:tcPr>
            <w:tcW w:w="836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tcPr>
          <w:p>
            <w:pPr>
              <w:jc w:val="right"/>
              <w:ind w:right="962"/>
              <w:spacing w:after="0" w:line="121" w:lineRule="exact"/>
              <w:rPr>
                <w:sz w:val="20"/>
                <w:szCs w:val="20"/>
                <w:color w:val="auto"/>
              </w:rPr>
            </w:pPr>
            <w:r>
              <w:rPr>
                <w:rFonts w:ascii="Times New Roman" w:cs="Times New Roman" w:eastAsia="Times New Roman" w:hAnsi="Times New Roman"/>
                <w:sz w:val="13"/>
                <w:szCs w:val="13"/>
                <w:b w:val="1"/>
                <w:bCs w:val="1"/>
                <w:color w:val="auto"/>
              </w:rPr>
              <w:t>June 30, 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receivables sold/cash proceeds received</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0" w:type="dxa"/>
            <w:vAlign w:val="bottom"/>
          </w:tcPr>
          <w:p>
            <w:pPr>
              <w:spacing w:after="0"/>
              <w:rPr>
                <w:sz w:val="1"/>
                <w:szCs w:val="1"/>
                <w:color w:val="auto"/>
              </w:rPr>
            </w:pPr>
          </w:p>
        </w:tc>
      </w:tr>
      <w:tr>
        <w:trPr>
          <w:trHeight w:val="219"/>
        </w:trPr>
        <w:tc>
          <w:tcPr>
            <w:tcW w:w="8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Customer collections remitted to financial institution</w:t>
            </w:r>
          </w:p>
        </w:tc>
        <w:tc>
          <w:tcPr>
            <w:tcW w:w="5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proceeds remitted</w:t>
            </w: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0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Cash </w:t>
      </w:r>
      <w:r>
        <w:rPr>
          <w:rFonts w:ascii="Times New Roman" w:cs="Times New Roman" w:eastAsia="Times New Roman" w:hAnsi="Times New Roman"/>
          <w:sz w:val="17"/>
          <w:szCs w:val="17"/>
          <w:color w:val="auto"/>
        </w:rPr>
        <w:t>At June 30, 2025 and December 31, 2024, the Company classified cash of $13 million and $9 million, respectively, as restricted, primarily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cash held in escrow related to acquisitions.</w:t>
      </w:r>
    </w:p>
    <w:p>
      <w:pPr>
        <w:spacing w:after="0" w:line="88" w:lineRule="exact"/>
        <w:rPr>
          <w:sz w:val="20"/>
          <w:szCs w:val="20"/>
          <w:color w:val="auto"/>
        </w:rPr>
      </w:pPr>
    </w:p>
    <w:p>
      <w:pPr>
        <w:ind w:right="24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Expense </w:t>
      </w:r>
      <w:r>
        <w:rPr>
          <w:rFonts w:ascii="Times New Roman" w:cs="Times New Roman" w:eastAsia="Times New Roman" w:hAnsi="Times New Roman"/>
          <w:sz w:val="17"/>
          <w:szCs w:val="17"/>
          <w:color w:val="auto"/>
        </w:rPr>
        <w:t>Depreciation of property, plant and equipment related to the manufacturing of products or services provided is included in Cost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goods or Cost of services. Depreciation of other property, plant and equipment that is not attributable to the manufacturing of products or services provided is included in Selling, general and administrative expenses or Engineering expenses to the extent the property, plant, and equipment is used for research and development purposes.</w:t>
      </w:r>
    </w:p>
    <w:p>
      <w:pPr>
        <w:spacing w:after="0" w:line="58" w:lineRule="exact"/>
        <w:rPr>
          <w:sz w:val="20"/>
          <w:szCs w:val="20"/>
          <w:color w:val="auto"/>
        </w:rPr>
      </w:pPr>
    </w:p>
    <w:p>
      <w:pPr>
        <w:ind w:right="120"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Goodwill and Intangible Assets </w:t>
      </w:r>
      <w:r>
        <w:rPr>
          <w:rFonts w:ascii="Times New Roman" w:cs="Times New Roman" w:eastAsia="Times New Roman" w:hAnsi="Times New Roman"/>
          <w:sz w:val="17"/>
          <w:szCs w:val="17"/>
          <w:color w:val="auto"/>
        </w:rPr>
        <w:t>Goodwill and other intangible assets with indefinite lives are not amortized. Other intangibles (with definite lives)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The Company will perform either a qualitative or quantitative test for goodwill, performing a quantitative test for each identified reporting unit at least every three years. Periodically, Management of the Company assesses whether or not an indicator of impairment is present that would necessitate an impairment analysis be performed. No impairment indicators were identified during the current quarter.</w:t>
      </w:r>
    </w:p>
    <w:p>
      <w:pPr>
        <w:spacing w:after="0" w:line="66"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Accounting Standards Recently Issued </w:t>
      </w:r>
      <w:r>
        <w:rPr>
          <w:rFonts w:ascii="Times New Roman" w:cs="Times New Roman" w:eastAsia="Times New Roman" w:hAnsi="Times New Roman"/>
          <w:sz w:val="17"/>
          <w:szCs w:val="17"/>
          <w:color w:val="auto"/>
        </w:rPr>
        <w:t>In November 2024, the Financial Accounting Standards Board ("FASB") issued Accounting Standards Update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("ASU") 2024-03, </w:t>
      </w:r>
      <w:r>
        <w:rPr>
          <w:rFonts w:ascii="Times New Roman" w:cs="Times New Roman" w:eastAsia="Times New Roman" w:hAnsi="Times New Roman"/>
          <w:sz w:val="17"/>
          <w:szCs w:val="17"/>
          <w:i w:val="1"/>
          <w:iCs w:val="1"/>
          <w:color w:val="auto"/>
        </w:rPr>
        <w:t>Income Statement—Reporting Comprehensive Income—Expense Disaggregation Disclosures (Subtopic 220-40): Disaggregation of Income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 Expenses</w:t>
      </w:r>
      <w:r>
        <w:rPr>
          <w:rFonts w:ascii="Times New Roman" w:cs="Times New Roman" w:eastAsia="Times New Roman" w:hAnsi="Times New Roman"/>
          <w:sz w:val="17"/>
          <w:szCs w:val="17"/>
          <w:color w:val="auto"/>
        </w:rPr>
        <w:t>. The amendments in this update require entities to disclose disaggregated information about certain costs and expenses in commonly presented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statement expense captions. The amendments will require increased interim and annual footnote disclosures either prospectively or retrospectively for reporting periods presented in interim and annual company filings. The amendments in this update do not affect the recognition, measurement, or financial statement presentation of income statement expenses and will be effective for Wabtec's annual reporting periods beginning January 1, 2027 and interim reporting periods beginning January 1, 2028. The Company is assessing the extent of the impact of the amendments on its future filings.</w:t>
      </w:r>
    </w:p>
    <w:p>
      <w:pPr>
        <w:spacing w:after="0" w:line="65" w:lineRule="exact"/>
        <w:rPr>
          <w:sz w:val="20"/>
          <w:szCs w:val="20"/>
          <w:color w:val="auto"/>
        </w:rPr>
      </w:pPr>
    </w:p>
    <w:p>
      <w:pPr>
        <w:ind w:right="40" w:firstLine="464"/>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Accounting Standards Recently Adopted </w:t>
      </w:r>
      <w:r>
        <w:rPr>
          <w:rFonts w:ascii="Times New Roman" w:cs="Times New Roman" w:eastAsia="Times New Roman" w:hAnsi="Times New Roman"/>
          <w:sz w:val="17"/>
          <w:szCs w:val="17"/>
          <w:color w:val="auto"/>
        </w:rPr>
        <w:t>In December 2023, the FASB issued ASU 2023-09,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Income Taxes (Topic 740): Improvements to Income Tax</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Disclosures</w:t>
      </w:r>
      <w:r>
        <w:rPr>
          <w:rFonts w:ascii="Times New Roman" w:cs="Times New Roman" w:eastAsia="Times New Roman" w:hAnsi="Times New Roman"/>
          <w:sz w:val="17"/>
          <w:szCs w:val="17"/>
          <w:color w:val="auto"/>
        </w:rPr>
        <w:t>. The amendments in this update require entities to disclose on an annual basis specific categories within the income tax rate reconciliation and provide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information for reconciling items that meet a quantitative threshold. The amendments in this update also require enhanced disaggregation of disclosures about income taxes paid and income tax expense, among other changes. The amendments in this update do not affect the recognition, measurement, or financial statement presentation of income taxes and are effective for Wabtec's annual reporting periods beginning January 1, 2025. The amendments require increased annual disclosures on current and comparable reporting periods presented in annual company filings. The resulting new annual disclosure requirements will be reflected in our 2025 report on Form 10-K.</w:t>
      </w:r>
    </w:p>
    <w:p>
      <w:pPr>
        <w:spacing w:after="0" w:line="65" w:lineRule="exact"/>
        <w:rPr>
          <w:sz w:val="20"/>
          <w:szCs w:val="20"/>
          <w:color w:val="auto"/>
        </w:rPr>
      </w:pPr>
    </w:p>
    <w:p>
      <w:pPr>
        <w:ind w:right="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Accumulated Other Comprehensive Loss </w:t>
      </w:r>
      <w:r>
        <w:rPr>
          <w:rFonts w:ascii="Times New Roman" w:cs="Times New Roman" w:eastAsia="Times New Roman" w:hAnsi="Times New Roman"/>
          <w:sz w:val="17"/>
          <w:szCs w:val="17"/>
          <w:color w:val="auto"/>
        </w:rPr>
        <w:t>Comprehensive income (loss) comprises both Net income and Other comprehensive income (loss) resulting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change in equity from transactions and other events and circumstances from non-owner sources.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1" w:name="page12"/>
    <w:bookmarkEnd w:id="11"/>
    <w:p>
      <w:pPr>
        <w:ind w:right="40" w:firstLine="464"/>
        <w:spacing w:after="0" w:line="272" w:lineRule="auto"/>
        <w:rPr>
          <w:sz w:val="20"/>
          <w:szCs w:val="20"/>
          <w:color w:val="auto"/>
        </w:rPr>
      </w:pPr>
      <w:r>
        <w:rPr>
          <w:rFonts w:ascii="Times New Roman" w:cs="Times New Roman" w:eastAsia="Times New Roman" w:hAnsi="Times New Roman"/>
          <w:sz w:val="17"/>
          <w:szCs w:val="17"/>
          <w:color w:val="auto"/>
        </w:rPr>
        <w:t>The changes in Accumulated other comprehensive loss by component, including any tax impacts, for the three months ended June 30, 2025 and 2024 are as follows: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4"/>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Foreign currency</w:t>
            </w:r>
          </w:p>
        </w:tc>
        <w:tc>
          <w:tcPr>
            <w:tcW w:w="160" w:type="dxa"/>
            <w:vAlign w:val="bottom"/>
          </w:tcPr>
          <w:p>
            <w:pPr>
              <w:spacing w:after="0"/>
              <w:rPr>
                <w:sz w:val="12"/>
                <w:szCs w:val="1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76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Pension and postretirement</w:t>
            </w:r>
          </w:p>
        </w:tc>
        <w:tc>
          <w:tcPr>
            <w:tcW w:w="20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Pr>
          <w:p>
            <w:pPr>
              <w:spacing w:after="0"/>
              <w:rPr>
                <w:sz w:val="16"/>
                <w:szCs w:val="16"/>
                <w:color w:val="auto"/>
              </w:rPr>
            </w:pPr>
          </w:p>
        </w:tc>
        <w:tc>
          <w:tcPr>
            <w:tcW w:w="15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0" w:type="dxa"/>
            <w:vAlign w:val="bottom"/>
          </w:tcPr>
          <w:p>
            <w:pPr>
              <w:spacing w:after="0"/>
              <w:rPr>
                <w:sz w:val="1"/>
                <w:szCs w:val="1"/>
                <w:color w:val="auto"/>
              </w:rPr>
            </w:pPr>
          </w:p>
        </w:tc>
      </w:tr>
      <w:tr>
        <w:trPr>
          <w:trHeight w:val="212"/>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168"/>
        </w:trPr>
        <w:tc>
          <w:tcPr>
            <w:tcW w:w="4300" w:type="dxa"/>
            <w:vAlign w:val="bottom"/>
            <w:gridSpan w:val="3"/>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Amounts reclassified from Accumulated other comprehensive</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180" w:firstLine="464"/>
        <w:spacing w:after="0" w:line="287" w:lineRule="auto"/>
        <w:rPr>
          <w:sz w:val="20"/>
          <w:szCs w:val="20"/>
          <w:color w:val="auto"/>
        </w:rPr>
      </w:pPr>
      <w:r>
        <w:rPr>
          <w:rFonts w:ascii="Times New Roman" w:cs="Times New Roman" w:eastAsia="Times New Roman" w:hAnsi="Times New Roman"/>
          <w:sz w:val="17"/>
          <w:szCs w:val="17"/>
          <w:color w:val="auto"/>
        </w:rPr>
        <w:t>The changes in Accumulated other comprehensive loss by component, including any tax impacts, for the six months ended June 30, 2025 and 2024 are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Foreign currency</w:t>
            </w:r>
          </w:p>
        </w:tc>
        <w:tc>
          <w:tcPr>
            <w:tcW w:w="160" w:type="dxa"/>
            <w:vAlign w:val="bottom"/>
          </w:tcPr>
          <w:p>
            <w:pPr>
              <w:spacing w:after="0"/>
              <w:rPr>
                <w:sz w:val="13"/>
                <w:szCs w:val="13"/>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Pension and postretirement</w:t>
            </w:r>
          </w:p>
        </w:tc>
        <w:tc>
          <w:tcPr>
            <w:tcW w:w="200" w:type="dxa"/>
            <w:vAlign w:val="bottom"/>
          </w:tcPr>
          <w:p>
            <w:pPr>
              <w:spacing w:after="0"/>
              <w:rPr>
                <w:sz w:val="13"/>
                <w:szCs w:val="13"/>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Pr>
          <w:p>
            <w:pPr>
              <w:spacing w:after="0"/>
              <w:rPr>
                <w:sz w:val="16"/>
                <w:szCs w:val="16"/>
                <w:color w:val="auto"/>
              </w:rPr>
            </w:pPr>
          </w:p>
        </w:tc>
        <w:tc>
          <w:tcPr>
            <w:tcW w:w="15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0" w:type="dxa"/>
            <w:vAlign w:val="bottom"/>
          </w:tcPr>
          <w:p>
            <w:pPr>
              <w:spacing w:after="0"/>
              <w:rPr>
                <w:sz w:val="1"/>
                <w:szCs w:val="1"/>
                <w:color w:val="auto"/>
              </w:rPr>
            </w:pPr>
          </w:p>
        </w:tc>
      </w:tr>
      <w:tr>
        <w:trPr>
          <w:trHeight w:val="212"/>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168"/>
        </w:trPr>
        <w:tc>
          <w:tcPr>
            <w:tcW w:w="4300" w:type="dxa"/>
            <w:vAlign w:val="bottom"/>
            <w:gridSpan w:val="3"/>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Amounts reclassified from Accumulated other comprehensive</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320" w:firstLine="464"/>
        <w:spacing w:after="0" w:line="264" w:lineRule="auto"/>
        <w:rPr>
          <w:sz w:val="20"/>
          <w:szCs w:val="20"/>
          <w:color w:val="auto"/>
        </w:rPr>
      </w:pPr>
      <w:r>
        <w:rPr>
          <w:rFonts w:ascii="Times New Roman" w:cs="Times New Roman" w:eastAsia="Times New Roman" w:hAnsi="Times New Roman"/>
          <w:sz w:val="17"/>
          <w:szCs w:val="17"/>
          <w:color w:val="auto"/>
        </w:rPr>
        <w:t>Amounts included under Derivative contracts related to interest rate hedges reclassified from Accumulated other comprehensive loss are recognized in "Interest expense, net" with the tax impact recognized in "Income tax expense" on the Condensed Consolidated Statements of Income. All other amounts reclassified from Accumulated other comprehensive loss are recognized in "Other income, net" with the tax impact recognized in "Income tax expense" on the Condensed Consolidated Statements of Income.</w:t>
      </w:r>
    </w:p>
    <w:p>
      <w:pPr>
        <w:spacing w:after="0" w:line="62" w:lineRule="exact"/>
        <w:rPr>
          <w:sz w:val="20"/>
          <w:szCs w:val="20"/>
          <w:color w:val="auto"/>
        </w:rPr>
      </w:pPr>
    </w:p>
    <w:p>
      <w:pPr>
        <w:ind w:right="2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Treasury Stock </w:t>
      </w:r>
      <w:r>
        <w:rPr>
          <w:rFonts w:ascii="Times New Roman" w:cs="Times New Roman" w:eastAsia="Times New Roman" w:hAnsi="Times New Roman"/>
          <w:sz w:val="17"/>
          <w:szCs w:val="17"/>
          <w:color w:val="auto"/>
        </w:rPr>
        <w:t>During the first quarter of 2025, we retired 55 million shares of treasury stock. The retirement of treasury stock is recognized as a deduction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common stock for the shares' par value and any excess over par as a deduction from retained earnings.</w:t>
      </w:r>
    </w:p>
    <w:p>
      <w:pPr>
        <w:spacing w:after="0" w:line="37" w:lineRule="exact"/>
        <w:rPr>
          <w:sz w:val="20"/>
          <w:szCs w:val="20"/>
          <w:color w:val="auto"/>
        </w:rPr>
      </w:pPr>
    </w:p>
    <w:p>
      <w:pPr>
        <w:ind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Supply Chain Financing Program </w:t>
      </w:r>
      <w:r>
        <w:rPr>
          <w:rFonts w:ascii="Times New Roman" w:cs="Times New Roman" w:eastAsia="Times New Roman" w:hAnsi="Times New Roman"/>
          <w:sz w:val="17"/>
          <w:szCs w:val="17"/>
          <w:color w:val="auto"/>
        </w:rPr>
        <w:t>The Company has entered into supply chain financing arrangements with third-party financial institutions to provide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which range between net 30 and net 180 days, and does not result in a change in the classification of amounts due as Accounts payable in the Condensed Consolidated Balance Sheets. Suppliers utilized the program to accelerate receipt of payment from these financial institutions for $307 million and $311 million of the Company's outstanding Accounts payable as of June 30, 2025 and December 31, 2024, respectively. The supplier invoices included under the program require payment in full to the financial institutions consistent with the Company’s normal terms and conditions as agreed upon with the vendor.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3. ACQUISITIONS</w:t>
      </w:r>
    </w:p>
    <w:p>
      <w:pPr>
        <w:spacing w:after="0" w:line="105" w:lineRule="exact"/>
        <w:rPr>
          <w:sz w:val="20"/>
          <w:szCs w:val="20"/>
          <w:color w:val="auto"/>
        </w:rPr>
      </w:pPr>
    </w:p>
    <w:p>
      <w:pPr>
        <w:ind w:right="320" w:firstLine="464"/>
        <w:spacing w:after="0" w:line="271" w:lineRule="auto"/>
        <w:rPr>
          <w:sz w:val="20"/>
          <w:szCs w:val="20"/>
          <w:color w:val="auto"/>
        </w:rPr>
      </w:pPr>
      <w:r>
        <w:rPr>
          <w:rFonts w:ascii="Times New Roman" w:cs="Times New Roman" w:eastAsia="Times New Roman" w:hAnsi="Times New Roman"/>
          <w:sz w:val="17"/>
          <w:szCs w:val="17"/>
          <w:color w:val="auto"/>
        </w:rPr>
        <w:t>During the second quarter of 2025, the Components product line of the Freight Segment completed an acquisition for a purchase price of approximately $21 million, net of cash received.</w:t>
      </w:r>
    </w:p>
    <w:p>
      <w:pPr>
        <w:spacing w:after="0" w:line="48" w:lineRule="exact"/>
        <w:rPr>
          <w:sz w:val="20"/>
          <w:szCs w:val="20"/>
          <w:color w:val="auto"/>
        </w:rPr>
      </w:pPr>
    </w:p>
    <w:p>
      <w:pPr>
        <w:ind w:right="80" w:firstLine="464"/>
        <w:spacing w:after="0"/>
        <w:rPr>
          <w:sz w:val="20"/>
          <w:szCs w:val="20"/>
          <w:color w:val="auto"/>
        </w:rPr>
      </w:pPr>
      <w:r>
        <w:rPr>
          <w:rFonts w:ascii="Times New Roman" w:cs="Times New Roman" w:eastAsia="Times New Roman" w:hAnsi="Times New Roman"/>
          <w:sz w:val="17"/>
          <w:szCs w:val="17"/>
          <w:color w:val="auto"/>
        </w:rPr>
        <w:t>On January 14, 2025, Wabtec announced a definitive agreement to acquire Evident’s Inspection Technologies division (Inspection Technologies) for approximately $1.78 billion. Inspection Technologies was formerly part of the Scientific Solutions Division of Olympus Corporation, a global leader in Non-Destructive Testing, Remote Visual Inspection and Analytical Instruments solutions for mission critical assets. Inspection Technologies’ leading industry presence and innovative product portfolio is expected to significantly expand Wabtec's capabilities, adding advanced automated inspection capabilities, driving technology in a space where data acquisition, analytics and automation are critical. Inspection Technologies will be reported within the Digital Intelligence product line of the Freight Segment. The acquisition subsequently closed on July 1, 2025, and was funded with a combination of cash on hand, proceeds from the 2035 Notes, and borrowings under other sources of available liquidity.</w:t>
      </w:r>
    </w:p>
    <w:p>
      <w:pPr>
        <w:spacing w:after="0" w:line="76" w:lineRule="exact"/>
        <w:rPr>
          <w:sz w:val="20"/>
          <w:szCs w:val="20"/>
          <w:color w:val="auto"/>
        </w:rPr>
      </w:pPr>
    </w:p>
    <w:p>
      <w:pPr>
        <w:ind w:right="140" w:firstLine="464"/>
        <w:spacing w:after="0" w:line="254" w:lineRule="auto"/>
        <w:rPr>
          <w:sz w:val="20"/>
          <w:szCs w:val="20"/>
          <w:color w:val="auto"/>
        </w:rPr>
      </w:pPr>
      <w:r>
        <w:rPr>
          <w:rFonts w:ascii="Times New Roman" w:cs="Times New Roman" w:eastAsia="Times New Roman" w:hAnsi="Times New Roman"/>
          <w:sz w:val="17"/>
          <w:szCs w:val="17"/>
          <w:color w:val="auto"/>
        </w:rPr>
        <w:t>On July 7, 2025, Wabtec announced a definitive agreement to acquire Frauscher Sensor Technology Group GmbH ("Frauscher"), a global market leader in train detection, wayside object control solutions and axle counting systems for approximately €675 million. Upon acquisition, the Frauscher acquisition will be reported within the Company's Digital Intelligence product line in the Freight Segment.</w:t>
      </w:r>
    </w:p>
    <w:p>
      <w:pPr>
        <w:spacing w:after="0" w:line="63" w:lineRule="exact"/>
        <w:rPr>
          <w:sz w:val="20"/>
          <w:szCs w:val="20"/>
          <w:color w:val="auto"/>
        </w:rPr>
      </w:pPr>
    </w:p>
    <w:p>
      <w:pPr>
        <w:ind w:right="220" w:firstLine="464"/>
        <w:spacing w:after="0" w:line="254" w:lineRule="auto"/>
        <w:rPr>
          <w:sz w:val="20"/>
          <w:szCs w:val="20"/>
          <w:color w:val="auto"/>
        </w:rPr>
      </w:pPr>
      <w:r>
        <w:rPr>
          <w:rFonts w:ascii="Times New Roman" w:cs="Times New Roman" w:eastAsia="Times New Roman" w:hAnsi="Times New Roman"/>
          <w:sz w:val="17"/>
          <w:szCs w:val="17"/>
          <w:color w:val="auto"/>
        </w:rPr>
        <w:t>On March 18, 2025, Wabtec announced a definitive agreement to acquire Dellner Couplers, a global leader in highly engineered safety-critical train connection systems and services for passenger rail rolling stock, for approximately €890 million. Upon acquisition, Dellner Couplers will be reported within the Transit Segment. Both transactions are subject to customary closing conditions and regulatory approvals.</w:t>
      </w:r>
    </w:p>
    <w:p>
      <w:pPr>
        <w:spacing w:after="0" w:line="76" w:lineRule="exact"/>
        <w:rPr>
          <w:sz w:val="20"/>
          <w:szCs w:val="20"/>
          <w:color w:val="auto"/>
        </w:rPr>
      </w:pPr>
    </w:p>
    <w:p>
      <w:pPr>
        <w:ind w:right="100" w:firstLine="464"/>
        <w:spacing w:after="0" w:line="270" w:lineRule="auto"/>
        <w:rPr>
          <w:sz w:val="20"/>
          <w:szCs w:val="20"/>
          <w:color w:val="auto"/>
        </w:rPr>
      </w:pPr>
      <w:r>
        <w:rPr>
          <w:rFonts w:ascii="Times New Roman" w:cs="Times New Roman" w:eastAsia="Times New Roman" w:hAnsi="Times New Roman"/>
          <w:sz w:val="17"/>
          <w:szCs w:val="17"/>
          <w:color w:val="auto"/>
        </w:rPr>
        <w:t>During 2024, the Company made four strategic acquisitions for a combined purchase price of approximately $168 million, net of cash acquired. Two of the acquisitions are reported in the Transit Segment, one is reported in the Digital Intelligence product line of the Freight Segment and one is reported in the Components product line of the Freight Segment. Each of the acquisitions in 2024 were individually and collectively immaterial.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INVENTORIES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inventory, net of reserves, were: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00" w:type="dxa"/>
            <w:vAlign w:val="bottom"/>
            <w:gridSpan w:val="3"/>
            <w:vMerge w:val="continue"/>
          </w:tcPr>
          <w:p>
            <w:pPr>
              <w:spacing w:after="0"/>
              <w:rPr>
                <w:sz w:val="12"/>
                <w:szCs w:val="12"/>
                <w:color w:val="auto"/>
              </w:rPr>
            </w:pPr>
          </w:p>
        </w:tc>
        <w:tc>
          <w:tcPr>
            <w:tcW w:w="1040" w:type="dxa"/>
            <w:vAlign w:val="bottom"/>
          </w:tcPr>
          <w:p>
            <w:pPr>
              <w:jc w:val="right"/>
              <w:ind w:right="6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0" w:type="dxa"/>
            <w:vAlign w:val="bottom"/>
          </w:tcPr>
          <w:p>
            <w:pPr>
              <w:spacing w:after="0"/>
              <w:rPr>
                <w:sz w:val="1"/>
                <w:szCs w:val="1"/>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Work-in-progress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0" w:type="dxa"/>
            <w:vAlign w:val="bottom"/>
          </w:tcPr>
          <w:p>
            <w:pPr>
              <w:spacing w:after="0"/>
              <w:rPr>
                <w:sz w:val="1"/>
                <w:szCs w:val="1"/>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Total inventories</w:t>
            </w:r>
          </w:p>
        </w:tc>
        <w:tc>
          <w:tcPr>
            <w:tcW w:w="10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5. GOODWILL AND INTANGIBLE ASSETS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change in the carrying amount of goodwill by segment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20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Transit Segment</w:t>
            </w:r>
          </w:p>
        </w:tc>
        <w:tc>
          <w:tcPr>
            <w:tcW w:w="360" w:type="dxa"/>
            <w:vAlign w:val="bottom"/>
          </w:tcPr>
          <w:p>
            <w:pPr>
              <w:spacing w:after="0"/>
              <w:rPr>
                <w:sz w:val="13"/>
                <w:szCs w:val="13"/>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8,710</w:t>
            </w:r>
          </w:p>
        </w:tc>
      </w:tr>
      <w:tr>
        <w:trPr>
          <w:trHeight w:val="219"/>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Additions/adjustments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impact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r>
      <w:tr>
        <w:trPr>
          <w:trHeight w:val="212"/>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June 30, 2025</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8,936</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00" w:firstLine="464"/>
        <w:spacing w:after="0" w:line="270" w:lineRule="auto"/>
        <w:rPr>
          <w:sz w:val="20"/>
          <w:szCs w:val="20"/>
          <w:color w:val="auto"/>
        </w:rPr>
      </w:pPr>
      <w:r>
        <w:rPr>
          <w:rFonts w:ascii="Times New Roman" w:cs="Times New Roman" w:eastAsia="Times New Roman" w:hAnsi="Times New Roman"/>
          <w:sz w:val="17"/>
          <w:szCs w:val="17"/>
          <w:color w:val="auto"/>
        </w:rPr>
        <w:t>As of June 30, 2025 and December 31, 2024, the Company’s trade names had a net carrying amount of $646 million and $595 million, respectively. The Company believes these intangibles have indefinite lives, with the exception of the right to use the GE Transportation trade name, to which the Company had assigned a useful life of 5 years and became fully amortized in the first quarter of 2024.</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Intangible assets of the Company, other than goodwill and trade names,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160" w:type="dxa"/>
            <w:vAlign w:val="bottom"/>
          </w:tcPr>
          <w:p>
            <w:pPr>
              <w:spacing w:after="0"/>
              <w:rPr>
                <w:sz w:val="10"/>
                <w:szCs w:val="10"/>
                <w:color w:val="auto"/>
              </w:rPr>
            </w:pPr>
          </w:p>
        </w:tc>
        <w:tc>
          <w:tcPr>
            <w:tcW w:w="132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200" w:type="dxa"/>
            <w:vAlign w:val="bottom"/>
          </w:tcPr>
          <w:p>
            <w:pPr>
              <w:spacing w:after="0"/>
              <w:rPr>
                <w:sz w:val="10"/>
                <w:szCs w:val="10"/>
                <w:color w:val="auto"/>
              </w:rPr>
            </w:pPr>
          </w:p>
        </w:tc>
        <w:tc>
          <w:tcPr>
            <w:tcW w:w="128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Net Carrying Amount</w:t>
            </w:r>
          </w:p>
        </w:tc>
        <w:tc>
          <w:tcPr>
            <w:tcW w:w="0" w:type="dxa"/>
            <w:vAlign w:val="bottom"/>
          </w:tcPr>
          <w:p>
            <w:pPr>
              <w:spacing w:after="0"/>
              <w:rPr>
                <w:sz w:val="1"/>
                <w:szCs w:val="1"/>
                <w:color w:val="auto"/>
              </w:rPr>
            </w:pPr>
          </w:p>
        </w:tc>
      </w:tr>
      <w:tr>
        <w:trPr>
          <w:trHeight w:val="142"/>
        </w:trPr>
        <w:tc>
          <w:tcPr>
            <w:tcW w:w="25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4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Backlog</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(629)</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786</w:t>
            </w:r>
          </w:p>
        </w:tc>
        <w:tc>
          <w:tcPr>
            <w:tcW w:w="0" w:type="dxa"/>
            <w:vAlign w:val="bottom"/>
          </w:tcPr>
          <w:p>
            <w:pPr>
              <w:spacing w:after="0"/>
              <w:rPr>
                <w:sz w:val="1"/>
                <w:szCs w:val="1"/>
                <w:color w:val="auto"/>
              </w:rPr>
            </w:pPr>
          </w:p>
        </w:tc>
      </w:tr>
      <w:tr>
        <w:trPr>
          <w:trHeight w:val="203"/>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16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1,379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849</w:t>
            </w:r>
          </w:p>
        </w:tc>
        <w:tc>
          <w:tcPr>
            <w:tcW w:w="0" w:type="dxa"/>
            <w:vAlign w:val="bottom"/>
          </w:tcPr>
          <w:p>
            <w:pPr>
              <w:spacing w:after="0"/>
              <w:rPr>
                <w:sz w:val="1"/>
                <w:szCs w:val="1"/>
                <w:color w:val="auto"/>
              </w:rPr>
            </w:pPr>
          </w:p>
        </w:tc>
      </w:tr>
      <w:tr>
        <w:trPr>
          <w:trHeight w:val="206"/>
        </w:trPr>
        <w:tc>
          <w:tcPr>
            <w:tcW w:w="2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Acquired technology</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1,321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(667)</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654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1,318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w:t>
            </w:r>
          </w:p>
        </w:tc>
        <w:tc>
          <w:tcPr>
            <w:tcW w:w="0" w:type="dxa"/>
            <w:vAlign w:val="bottom"/>
          </w:tcPr>
          <w:p>
            <w:pPr>
              <w:spacing w:after="0"/>
              <w:rPr>
                <w:sz w:val="1"/>
                <w:szCs w:val="1"/>
                <w:color w:val="auto"/>
              </w:rPr>
            </w:pPr>
          </w:p>
        </w:tc>
      </w:tr>
      <w:tr>
        <w:trPr>
          <w:trHeight w:val="20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4,010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(1,767)</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2,243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4,062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(1,723)</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20" w:firstLine="464"/>
        <w:spacing w:after="0" w:line="264" w:lineRule="auto"/>
        <w:rPr>
          <w:sz w:val="20"/>
          <w:szCs w:val="20"/>
          <w:color w:val="auto"/>
        </w:rPr>
      </w:pPr>
      <w:r>
        <w:rPr>
          <w:rFonts w:ascii="Times New Roman" w:cs="Times New Roman" w:eastAsia="Times New Roman" w:hAnsi="Times New Roman"/>
          <w:sz w:val="17"/>
          <w:szCs w:val="17"/>
          <w:color w:val="auto"/>
        </w:rPr>
        <w:t>At June 30, 2025, the weighted average remaining useful lives of backlog, customer relationships and acquired technology were 9 years, 14 years and 6 years, respectively. The backlog intangible asset primarily consists of in-place long-term service agreements acquired by the Company in conjunction with the acquisition of GE Transportation. Amortization expense for intangible assets was $69 million and $142 million for the three and six months ended June 30, 2025, respectively, and $71 million and $145 million for the three and six months ended June 30, 2024, respectively.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Amortization expense for the five succeeding years is estimated to be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9"/>
        </w:trPr>
        <w:tc>
          <w:tcPr>
            <w:tcW w:w="5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19"/>
        </w:trPr>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2026</w:t>
            </w:r>
          </w:p>
        </w:tc>
        <w:tc>
          <w:tcPr>
            <w:tcW w:w="4900" w:type="dxa"/>
            <w:vAlign w:val="bottom"/>
          </w:tcPr>
          <w:p>
            <w:pPr>
              <w:spacing w:after="0"/>
              <w:rPr>
                <w:sz w:val="19"/>
                <w:szCs w:val="19"/>
                <w:color w:val="auto"/>
              </w:rPr>
            </w:pPr>
          </w:p>
        </w:tc>
        <w:tc>
          <w:tcPr>
            <w:tcW w:w="48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19"/>
        </w:trPr>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2027</w:t>
            </w:r>
          </w:p>
        </w:tc>
        <w:tc>
          <w:tcPr>
            <w:tcW w:w="4900" w:type="dxa"/>
            <w:vAlign w:val="bottom"/>
            <w:shd w:val="clear" w:color="auto" w:fill="CCEEFF"/>
          </w:tcPr>
          <w:p>
            <w:pPr>
              <w:spacing w:after="0"/>
              <w:rPr>
                <w:sz w:val="19"/>
                <w:szCs w:val="19"/>
                <w:color w:val="auto"/>
              </w:rPr>
            </w:pP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r>
      <w:tr>
        <w:trPr>
          <w:trHeight w:val="219"/>
        </w:trPr>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2028</w:t>
            </w:r>
          </w:p>
        </w:tc>
        <w:tc>
          <w:tcPr>
            <w:tcW w:w="4900" w:type="dxa"/>
            <w:vAlign w:val="bottom"/>
          </w:tcPr>
          <w:p>
            <w:pPr>
              <w:spacing w:after="0"/>
              <w:rPr>
                <w:sz w:val="19"/>
                <w:szCs w:val="19"/>
                <w:color w:val="auto"/>
              </w:rPr>
            </w:pPr>
          </w:p>
        </w:tc>
        <w:tc>
          <w:tcPr>
            <w:tcW w:w="48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r>
      <w:tr>
        <w:trPr>
          <w:trHeight w:val="219"/>
        </w:trPr>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2029</w:t>
            </w:r>
          </w:p>
        </w:tc>
        <w:tc>
          <w:tcPr>
            <w:tcW w:w="4900" w:type="dxa"/>
            <w:vAlign w:val="bottom"/>
            <w:shd w:val="clear" w:color="auto" w:fill="CCEEFF"/>
          </w:tcPr>
          <w:p>
            <w:pPr>
              <w:spacing w:after="0"/>
              <w:rPr>
                <w:sz w:val="19"/>
                <w:szCs w:val="19"/>
                <w:color w:val="auto"/>
              </w:rPr>
            </w:pP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6. CONTRACT ASSETS AND CONTRACT LIABILITIES</w:t>
      </w:r>
    </w:p>
    <w:p>
      <w:pPr>
        <w:spacing w:after="0" w:line="118" w:lineRule="exact"/>
        <w:rPr>
          <w:sz w:val="20"/>
          <w:szCs w:val="20"/>
          <w:color w:val="auto"/>
        </w:rPr>
      </w:pPr>
    </w:p>
    <w:p>
      <w:pPr>
        <w:ind w:right="220" w:firstLine="464"/>
        <w:spacing w:after="0" w:line="261" w:lineRule="auto"/>
        <w:rPr>
          <w:sz w:val="20"/>
          <w:szCs w:val="20"/>
          <w:color w:val="auto"/>
        </w:rPr>
      </w:pPr>
      <w:r>
        <w:rPr>
          <w:rFonts w:ascii="Times New Roman" w:cs="Times New Roman" w:eastAsia="Times New Roman" w:hAnsi="Times New Roman"/>
          <w:sz w:val="17"/>
          <w:szCs w:val="17"/>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Condensed Consolidated Balance Sheets. Noncurrent contract assets were $191 million at June 30, 2025 and $170 million at December 31, 2024. The Company has elected to use the practical expedient and does not consider unbilled amounts anticipated to be paid within one year as significant financing components.</w:t>
      </w:r>
    </w:p>
    <w:p>
      <w:pPr>
        <w:spacing w:after="0" w:line="72" w:lineRule="exact"/>
        <w:rPr>
          <w:sz w:val="20"/>
          <w:szCs w:val="20"/>
          <w:color w:val="auto"/>
        </w:rPr>
      </w:pPr>
    </w:p>
    <w:p>
      <w:pPr>
        <w:ind w:right="60" w:firstLine="464"/>
        <w:spacing w:after="0" w:line="258" w:lineRule="auto"/>
        <w:rPr>
          <w:sz w:val="20"/>
          <w:szCs w:val="20"/>
          <w:color w:val="auto"/>
        </w:rPr>
      </w:pPr>
      <w:r>
        <w:rPr>
          <w:rFonts w:ascii="Times New Roman" w:cs="Times New Roman" w:eastAsia="Times New Roman" w:hAnsi="Times New Roman"/>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Condensed Consolidated Balance Sheets. Noncurrent contract liabilities were $203 million at June 30, 2025 and $389 million at December 31, 2024.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$85 million and $91 million at June 30, 2025 and December 31, 2024, respectively. These provisions for estimated losses are classified as current liabilities and included within the caption “Other accrued liabilities” on the Condensed Consolidated Balance Sheets.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change in the carrying amount of contract assets and contract liabilities for the six months ended June 30, 2025 and 2024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4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Recognized in current year</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Reclassified to accounts receivable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Foreign currency impact</w:t>
            </w:r>
          </w:p>
        </w:tc>
        <w:tc>
          <w:tcPr>
            <w:tcW w:w="3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w:t>
            </w:r>
          </w:p>
        </w:tc>
        <w:tc>
          <w:tcPr>
            <w:tcW w:w="3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4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Recognized in current year</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Amounts in beginning balance reclassified to revenue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 year amounts reclassified to revenue</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currency impact</w:t>
            </w:r>
          </w:p>
        </w:tc>
        <w:tc>
          <w:tcPr>
            <w:tcW w:w="34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2"/>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June 30</w:t>
            </w:r>
          </w:p>
        </w:tc>
        <w:tc>
          <w:tcPr>
            <w:tcW w:w="34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20" w:type="dxa"/>
            <w:vAlign w:val="bottom"/>
            <w:vMerge w:val="restart"/>
          </w:tcPr>
          <w:p>
            <w:pPr>
              <w:jc w:val="right"/>
              <w:ind w:right="2314"/>
              <w:spacing w:after="0"/>
              <w:rPr>
                <w:sz w:val="20"/>
                <w:szCs w:val="20"/>
                <w:color w:val="auto"/>
              </w:rPr>
            </w:pPr>
            <w:r>
              <w:rPr>
                <w:rFonts w:ascii="Times New Roman" w:cs="Times New Roman" w:eastAsia="Times New Roman" w:hAnsi="Times New Roman"/>
                <w:sz w:val="17"/>
                <w:szCs w:val="17"/>
                <w:color w:val="auto"/>
              </w:rPr>
              <w:t>15</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7. LEASES</w:t>
      </w:r>
    </w:p>
    <w:p>
      <w:pPr>
        <w:spacing w:after="0" w:line="11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right-of-use assets are classified as noncurrent and included within the caption "Other noncurrent assets" on the Condensed Consolidated Balance Sheets. The current portion of lease liabilities are classified under the caption "Other accrued liabilities," while the noncurrent portion of lease liabilities are classified under the caption "Other long-term liabilities" on the Condensed Consolidated Balance Sheets. The Company does not separate lease and non-lease components. As most of the Company's leases do not provide a readily stated discount rate, the Company must estimate the rate to discount lease payments using its incremental borrowing rate.</w:t>
      </w:r>
    </w:p>
    <w:p>
      <w:pPr>
        <w:spacing w:after="0" w:line="76"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Operating lease expense was $17 million and $33 million for the three and six months ended June 30, 2025, respectively, and $16 million and $32 million for the three and six months ended June 30, 2024, respectively. New operating leases of $27 million and $35 million were added during the three and six months ended June 30, 2025, respectively, and $18 million and $32 million for the three and six months ended June 30, 2024, respectively. Wabtec does not have material financing leases, short-term or variable leases or sublease income.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Scheduled payments of lease liabilities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7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9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2025</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9"/>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19"/>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8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8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9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12"/>
        </w:trPr>
        <w:tc>
          <w:tcPr>
            <w:tcW w:w="9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r>
      <w:tr>
        <w:trPr>
          <w:trHeight w:val="219"/>
        </w:trPr>
        <w:tc>
          <w:tcPr>
            <w:tcW w:w="9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Less: Present value discount</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37"/>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remaining lease term and discount rate assumptions used to develop the present value of operating lease liabilities: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80" w:type="dxa"/>
            <w:vAlign w:val="bottom"/>
          </w:tcPr>
          <w:p>
            <w:pPr>
              <w:spacing w:after="0"/>
              <w:rPr>
                <w:sz w:val="15"/>
                <w:szCs w:val="15"/>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June 30, 2025</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76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3"/>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8. LONG-TERM DEBT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Long-term debt consisted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5"/>
                <w:szCs w:val="15"/>
                <w:color w:val="auto"/>
              </w:rPr>
            </w:pPr>
          </w:p>
        </w:tc>
        <w:tc>
          <w:tcPr>
            <w:tcW w:w="256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Effective</w:t>
            </w: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w w:val="96"/>
              </w:rPr>
              <w:t>Face Value</w:t>
            </w: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2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7"/>
                <w:szCs w:val="17"/>
                <w:b w:val="1"/>
                <w:bCs w:val="1"/>
                <w:color w:val="auto"/>
                <w:vertAlign w:val="superscript"/>
              </w:rPr>
              <w:t>1</w:t>
            </w: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20" w:type="dxa"/>
            <w:vAlign w:val="bottom"/>
          </w:tcPr>
          <w:p>
            <w:pPr>
              <w:spacing w:after="0"/>
              <w:rPr>
                <w:sz w:val="12"/>
                <w:szCs w:val="12"/>
                <w:color w:val="auto"/>
              </w:rPr>
            </w:pPr>
          </w:p>
        </w:tc>
        <w:tc>
          <w:tcPr>
            <w:tcW w:w="11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40"/>
        </w:trPr>
        <w:tc>
          <w:tcPr>
            <w:tcW w:w="3480" w:type="dxa"/>
            <w:vAlign w:val="bottom"/>
            <w:gridSpan w:val="3"/>
            <w:vMerge w:val="continue"/>
          </w:tcPr>
          <w:p>
            <w:pPr>
              <w:spacing w:after="0"/>
              <w:rPr>
                <w:sz w:val="12"/>
                <w:szCs w:val="12"/>
                <w:color w:val="auto"/>
              </w:rPr>
            </w:pPr>
          </w:p>
        </w:tc>
        <w:tc>
          <w:tcPr>
            <w:tcW w:w="112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480" w:type="dxa"/>
            <w:vAlign w:val="bottom"/>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2025 Credit Agreement:</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N/A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Term Loan Facility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2024 Credit Agreement:</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Term Loan</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3"/>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86"/>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2022 Credit Agreement:</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Delayed Draw Term Loan</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3"/>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86"/>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3.20% Senior Notes, due 2025</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3"/>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3.45% Senior Notes, due 2026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1.25% Senior Notes (EUR), due 2027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4.70% Senior Notes, due 2028</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34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4.90% Senior Notes, due 2030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5.611% Senior Notes, due 2034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304"/>
        </w:trPr>
        <w:tc>
          <w:tcPr>
            <w:tcW w:w="20" w:type="dxa"/>
            <w:vAlign w:val="bottom"/>
            <w:tcBorders>
              <w:bottom w:val="single" w:sz="8" w:color="CCEEFF"/>
            </w:tcBorders>
            <w:shd w:val="clear" w:color="auto" w:fill="CCEEFF"/>
          </w:tcPr>
          <w:p>
            <w:pPr>
              <w:spacing w:after="0"/>
              <w:rPr>
                <w:sz w:val="24"/>
                <w:szCs w:val="24"/>
                <w:color w:val="auto"/>
              </w:rPr>
            </w:pPr>
          </w:p>
        </w:tc>
        <w:tc>
          <w:tcPr>
            <w:tcW w:w="34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5.50% Senior Notes, due 2035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4,784</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4,819</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3,980</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Less: current portion</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Long-term portion</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4,784</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4,819</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3,480</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Note 13 for information on the fair value measurement of the Company's long-term debt.</w:t>
      </w:r>
    </w:p>
    <w:p>
      <w:pPr>
        <w:spacing w:after="0" w:line="101" w:lineRule="exact"/>
        <w:rPr>
          <w:sz w:val="20"/>
          <w:szCs w:val="20"/>
          <w:color w:val="auto"/>
        </w:rPr>
      </w:pPr>
    </w:p>
    <w:p>
      <w:pPr>
        <w:ind w:right="480" w:firstLine="464"/>
        <w:spacing w:after="0" w:line="287" w:lineRule="auto"/>
        <w:rPr>
          <w:sz w:val="20"/>
          <w:szCs w:val="20"/>
          <w:color w:val="auto"/>
        </w:rPr>
      </w:pPr>
      <w:r>
        <w:rPr>
          <w:rFonts w:ascii="Times New Roman" w:cs="Times New Roman" w:eastAsia="Times New Roman" w:hAnsi="Times New Roman"/>
          <w:sz w:val="17"/>
          <w:szCs w:val="17"/>
          <w:color w:val="auto"/>
        </w:rPr>
        <w:t>Variances between Face Value and Book Value are the result of unamortized discounts and debt issuance fees as well as foreign exchange on the Euro Notes. Amortization of discounts and debt issuance fees are included in the calculation of Effective Interest Rate.</w:t>
      </w:r>
    </w:p>
    <w:p>
      <w:pPr>
        <w:spacing w:after="0" w:line="48" w:lineRule="exact"/>
        <w:rPr>
          <w:sz w:val="20"/>
          <w:szCs w:val="20"/>
          <w:color w:val="auto"/>
        </w:rPr>
      </w:pPr>
    </w:p>
    <w:p>
      <w:pPr>
        <w:ind w:right="100" w:firstLine="464"/>
        <w:spacing w:after="0" w:line="261" w:lineRule="auto"/>
        <w:rPr>
          <w:sz w:val="20"/>
          <w:szCs w:val="20"/>
          <w:color w:val="auto"/>
        </w:rPr>
      </w:pPr>
      <w:r>
        <w:rPr>
          <w:rFonts w:ascii="Times New Roman" w:cs="Times New Roman" w:eastAsia="Times New Roman" w:hAnsi="Times New Roman"/>
          <w:sz w:val="17"/>
          <w:szCs w:val="17"/>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June 30, 2025 and December 31, 2024, the Company had total combined unamortized discount and debt issuance costs of $28 million and $15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Agreements</w:t>
      </w:r>
    </w:p>
    <w:p>
      <w:pPr>
        <w:spacing w:after="0" w:line="120" w:lineRule="exact"/>
        <w:rPr>
          <w:sz w:val="20"/>
          <w:szCs w:val="20"/>
          <w:color w:val="auto"/>
        </w:rPr>
      </w:pPr>
    </w:p>
    <w:p>
      <w:pPr>
        <w:jc w:val="both"/>
        <w:ind w:right="260" w:firstLine="464"/>
        <w:spacing w:after="0" w:line="264" w:lineRule="auto"/>
        <w:rPr>
          <w:sz w:val="20"/>
          <w:szCs w:val="20"/>
          <w:color w:val="auto"/>
        </w:rPr>
      </w:pPr>
      <w:r>
        <w:rPr>
          <w:rFonts w:ascii="Times New Roman" w:cs="Times New Roman" w:eastAsia="Times New Roman" w:hAnsi="Times New Roman"/>
          <w:sz w:val="17"/>
          <w:szCs w:val="17"/>
          <w:color w:val="auto"/>
        </w:rPr>
        <w:t>On August 15, 2022, the Company entered into an unsecured credit agreement (the "2022 Credit Agreement"). The 2022 Credit Agreement provided for borrowings consisting of (i) a multi-currency revolving credit facility for an equivalent in U.S. dollars of up to $1.5 billion and (ii) a $250 million delayed draw term loan facility (the “Delayed Draw Term Loan”), all pursuant to the terms and conditions of the 2022 Credit Agreement. On March 14, 2024, the Company entered into a new stand-alone credit agreement (the "2024 Credit Agreement") for a term loan of $225 million.</w:t>
      </w:r>
    </w:p>
    <w:p>
      <w:pPr>
        <w:spacing w:after="0" w:line="68"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On April 23, 2025, the Company entered into a new unsecured credit agreement (the "2025 Credit Agreement"), which amended and restated the 2022 Credit Agreement and refinanced the 2024 Credit Agreement. The 2025 Credit Agreement provides for borrowings consisting of (i) a multi-currency revolving credit facility for a U.S. dollar equivalent of up to $2.0 billion (the “Revolving Credit Facility”) and (ii) a delayed draw term loan facility of $725 million (the “Term Loan Facility”), all pursuant to the terms and conditions of the 2025 Credit Agreement. The Term Loan Facility was utilized to refinance (i) $250 million of the outstanding Delayed Draw Term Loan under the 2022 Credit Agreement and (ii) $225 million of the outstanding Term Loan under the 2024 Credit Agreement. After June 30,2025, the remaining $250 million under the Term Loan Facility was drawn and utilized as part of funding for the Inspection Technologies acquisition. The 2025 Credit Agreement includes an incremental facility that allows the Company to request, at prevailing market rates, an aggregate amount not to exceed $1.0 billion, (a) increases to the borrowing commitments under the Revolving Credit Facility and/or (b) new incremental term loan commitments (the "Incremental Facility"). The agreement contains affirmative, negative and financial covenants, and events of default customary for facilities of this type.</w:t>
      </w:r>
    </w:p>
    <w:p>
      <w:pPr>
        <w:spacing w:after="0" w:line="76" w:lineRule="exact"/>
        <w:rPr>
          <w:sz w:val="20"/>
          <w:szCs w:val="20"/>
          <w:color w:val="auto"/>
        </w:rPr>
      </w:pPr>
    </w:p>
    <w:p>
      <w:pPr>
        <w:ind w:right="160" w:firstLine="464"/>
        <w:spacing w:after="0" w:line="287" w:lineRule="auto"/>
        <w:rPr>
          <w:sz w:val="20"/>
          <w:szCs w:val="20"/>
          <w:color w:val="auto"/>
        </w:rPr>
      </w:pPr>
      <w:r>
        <w:rPr>
          <w:rFonts w:ascii="Times New Roman" w:cs="Times New Roman" w:eastAsia="Times New Roman" w:hAnsi="Times New Roman"/>
          <w:sz w:val="17"/>
          <w:szCs w:val="17"/>
          <w:color w:val="auto"/>
        </w:rPr>
        <w:t>The Revolving Credit Facility matures on April 23, 2030. The Term Loan Facility was fully drawn after June 30, 2025, and all borrowings under the Term Loan Facility mature on April 23, 2030. Amounts borrowed and repaid under the Term Loan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7" w:name="page18"/>
    <w:bookmarkEnd w:id="17"/>
    <w:p>
      <w:pPr>
        <w:ind w:right="140"/>
        <w:spacing w:after="0" w:line="264" w:lineRule="auto"/>
        <w:rPr>
          <w:sz w:val="20"/>
          <w:szCs w:val="20"/>
          <w:color w:val="auto"/>
        </w:rPr>
      </w:pPr>
      <w:r>
        <w:rPr>
          <w:rFonts w:ascii="Times New Roman" w:cs="Times New Roman" w:eastAsia="Times New Roman" w:hAnsi="Times New Roman"/>
          <w:sz w:val="17"/>
          <w:szCs w:val="17"/>
          <w:color w:val="auto"/>
        </w:rPr>
        <w:t>Facility may not be reborrowed. The applicable interest rate for borrowings under the 2025 Credit Agreement includes a base rate (per the Interest Election terms of the agreement) plus an interest rate spread up to 1.75% based on the lower of the pricing corresponding to (i) the Company’s financial leverage or (ii) the Company’s public credit rating. At June 30, 2025, the interest rate on the Term Loan Facility was 5.5% and the interest rate on the undrawn Revolving Credit Facility was 5.6%. Obligations under the 2025 Credit Agreement have been guaranteed by certain of the Company’s subsidiaries.</w:t>
      </w:r>
    </w:p>
    <w:p>
      <w:pPr>
        <w:spacing w:after="0" w:line="68"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Under the 2025 Credit Agreement, the Company has agreed to maintain an Interest Coverage Ratio of at least 3.0 to 1.0, and a Leverage Ratio not to exceed 3.5 to 1.0. The Interest Coverage Ratio is calculated using an earnings metric as defined in the agreement compared to Interest Expense for the four quarters then ended. The Leverage Ratio is defined as net debt (total debt, net of up to $500 million of unrestricted cash) as of the last day of such fiscal quarter to the defined earnings metric for the four quarters then ended. Additionally, the Company may effect an increase in the maximum Leverage Ratio in contemplation of a Material Acquisition. All terms are as defined in the 2025 Credit Agreement.</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was in compliance with all financial covenants in the 2025 Credit Agreement as of June 30, 2025.</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availability under the 2025 Credit Agreement at June 30,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Revolving Credit</w:t>
            </w:r>
          </w:p>
        </w:tc>
        <w:tc>
          <w:tcPr>
            <w:tcW w:w="100" w:type="dxa"/>
            <w:vAlign w:val="bottom"/>
          </w:tcPr>
          <w:p>
            <w:pPr>
              <w:spacing w:after="0"/>
              <w:rPr>
                <w:sz w:val="15"/>
                <w:szCs w:val="15"/>
                <w:color w:val="auto"/>
              </w:rPr>
            </w:pP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Term Loan Facility</w:t>
            </w:r>
          </w:p>
        </w:tc>
        <w:tc>
          <w:tcPr>
            <w:tcW w:w="340" w:type="dxa"/>
            <w:vAlign w:val="bottom"/>
          </w:tcPr>
          <w:p>
            <w:pPr>
              <w:spacing w:after="0"/>
              <w:rPr>
                <w:sz w:val="15"/>
                <w:szCs w:val="15"/>
                <w:color w:val="auto"/>
              </w:rPr>
            </w:pPr>
          </w:p>
        </w:tc>
        <w:tc>
          <w:tcPr>
            <w:tcW w:w="1160" w:type="dxa"/>
            <w:vAlign w:val="bottom"/>
            <w:vMerge w:val="restart"/>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65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3"/>
                <w:szCs w:val="13"/>
                <w:color w:val="auto"/>
              </w:rPr>
            </w:pPr>
          </w:p>
        </w:tc>
        <w:tc>
          <w:tcPr>
            <w:tcW w:w="14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rPr>
              <w:t>Facility</w:t>
            </w:r>
          </w:p>
        </w:tc>
        <w:tc>
          <w:tcPr>
            <w:tcW w:w="10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Availability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2,725</w:t>
            </w:r>
          </w:p>
        </w:tc>
        <w:tc>
          <w:tcPr>
            <w:tcW w:w="0" w:type="dxa"/>
            <w:vAlign w:val="bottom"/>
          </w:tcPr>
          <w:p>
            <w:pPr>
              <w:spacing w:after="0"/>
              <w:rPr>
                <w:sz w:val="1"/>
                <w:szCs w:val="1"/>
                <w:color w:val="auto"/>
              </w:rPr>
            </w:pPr>
          </w:p>
        </w:tc>
      </w:tr>
      <w:tr>
        <w:trPr>
          <w:trHeight w:val="206"/>
        </w:trPr>
        <w:tc>
          <w:tcPr>
            <w:tcW w:w="654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15"/>
                <w:szCs w:val="15"/>
                <w:color w:val="auto"/>
              </w:rPr>
              <w:t xml:space="preserve">Outstanding Borrowings </w:t>
            </w:r>
            <w:r>
              <w:rPr>
                <w:rFonts w:ascii="Times New Roman" w:cs="Times New Roman" w:eastAsia="Times New Roman" w:hAnsi="Times New Roman"/>
                <w:sz w:val="20"/>
                <w:szCs w:val="20"/>
                <w:color w:val="auto"/>
                <w:vertAlign w:val="superscript"/>
              </w:rPr>
              <w:t>(1)</w:t>
            </w:r>
          </w:p>
        </w:tc>
        <w:tc>
          <w:tcPr>
            <w:tcW w:w="14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0" w:type="dxa"/>
            <w:vAlign w:val="bottom"/>
          </w:tcPr>
          <w:p>
            <w:pPr>
              <w:spacing w:after="0"/>
              <w:rPr>
                <w:sz w:val="1"/>
                <w:szCs w:val="1"/>
                <w:color w:val="auto"/>
              </w:rPr>
            </w:pPr>
          </w:p>
        </w:tc>
      </w:tr>
      <w:tr>
        <w:trPr>
          <w:trHeight w:val="203"/>
        </w:trPr>
        <w:tc>
          <w:tcPr>
            <w:tcW w:w="6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Letters of Credit Under Credit Agreement</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65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5"/>
                <w:szCs w:val="15"/>
                <w:color w:val="auto"/>
              </w:rPr>
              <w:t xml:space="preserve">Current Availability </w:t>
            </w:r>
            <w:r>
              <w:rPr>
                <w:rFonts w:ascii="Times New Roman" w:cs="Times New Roman" w:eastAsia="Times New Roman" w:hAnsi="Times New Roman"/>
                <w:sz w:val="20"/>
                <w:szCs w:val="20"/>
                <w:color w:val="auto"/>
                <w:vertAlign w:val="superscript"/>
              </w:rPr>
              <w:t>(1)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160" w:firstLine="467"/>
        <w:spacing w:after="0"/>
        <w:tabs>
          <w:tab w:leader="none" w:pos="622"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After June 30, 2025, the remaining $250 million under the Term Loan Facility was drawn in connection with the closing of the acquisition of Inspection Technologies.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Intra-Quarter Uncommitted Money Market Line Credit Agreement</w:t>
      </w:r>
    </w:p>
    <w:p>
      <w:pPr>
        <w:spacing w:after="0" w:line="105" w:lineRule="exact"/>
        <w:rPr>
          <w:sz w:val="20"/>
          <w:szCs w:val="20"/>
          <w:color w:val="auto"/>
        </w:rPr>
      </w:pPr>
    </w:p>
    <w:p>
      <w:pPr>
        <w:ind w:right="400" w:firstLine="464"/>
        <w:spacing w:after="0" w:line="287" w:lineRule="auto"/>
        <w:rPr>
          <w:sz w:val="20"/>
          <w:szCs w:val="20"/>
          <w:color w:val="auto"/>
        </w:rPr>
      </w:pPr>
      <w:r>
        <w:rPr>
          <w:rFonts w:ascii="Times New Roman" w:cs="Times New Roman" w:eastAsia="Times New Roman" w:hAnsi="Times New Roman"/>
          <w:sz w:val="17"/>
          <w:szCs w:val="17"/>
          <w:color w:val="auto"/>
        </w:rPr>
        <w:t>During the third quarter of 2024, the Company entered into an uncommitted bilateral money market line credit agreement which provides an aggregate borrowing capacity of $150 million, for general business purposes and working capital needs within a quarter.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20" w:lineRule="exact"/>
        <w:rPr>
          <w:sz w:val="20"/>
          <w:szCs w:val="20"/>
          <w:color w:val="auto"/>
        </w:rPr>
      </w:pPr>
    </w:p>
    <w:p>
      <w:pPr>
        <w:ind w:right="40" w:firstLine="464"/>
        <w:spacing w:after="0" w:line="257" w:lineRule="auto"/>
        <w:rPr>
          <w:sz w:val="20"/>
          <w:szCs w:val="20"/>
          <w:color w:val="auto"/>
        </w:rPr>
      </w:pPr>
      <w:r>
        <w:rPr>
          <w:rFonts w:ascii="Times New Roman" w:cs="Times New Roman" w:eastAsia="Times New Roman" w:hAnsi="Times New Roman"/>
          <w:sz w:val="17"/>
          <w:szCs w:val="17"/>
          <w:color w:val="auto"/>
        </w:rPr>
        <w:t>The Company or its subsidiaries may issue senior notes from time to time. These notes are comprised of our 3.20% Senior Notes due 2025 (the "2025 Notes"), 3.45% Senior Notes due 2026 (the "2026 Notes"), 1.25% Senior Notes (EUR) due 2027 (the "Euro Notes"), 4.70% Senior Notes due 2028 (the "2028 Notes"), 4.90% Senior Notes due 2030 (the "2030 Notes"), 5.611% Senior Notes due 2034 (the "2034 Notes"), and 5.50% Senior Notes due 2035 (the "2035 Notes"). The 2025 Notes, 2026 Notes, 2028 Notes, 2030 Notes, 2034 Notes, and 2035 Notes are the “US Notes”, and collectively with the Euro Notes, the “Senior Notes.” Interest on the US Notes is payable semi-annually and interest on the Euro Notes is paid annually. Each series of the Senior Notes may be redeemed at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are senior to all existing and future subordinated indebtedness of the Company.</w:t>
      </w:r>
    </w:p>
    <w:p>
      <w:pPr>
        <w:spacing w:after="0" w:line="76" w:lineRule="exact"/>
        <w:rPr>
          <w:sz w:val="20"/>
          <w:szCs w:val="20"/>
          <w:color w:val="auto"/>
        </w:rPr>
      </w:pPr>
    </w:p>
    <w:p>
      <w:pPr>
        <w:jc w:val="both"/>
        <w:ind w:right="40" w:firstLine="464"/>
        <w:spacing w:after="0" w:line="264" w:lineRule="auto"/>
        <w:rPr>
          <w:sz w:val="20"/>
          <w:szCs w:val="20"/>
          <w:color w:val="auto"/>
        </w:rPr>
      </w:pPr>
      <w:r>
        <w:rPr>
          <w:rFonts w:ascii="Times New Roman" w:cs="Times New Roman" w:eastAsia="Times New Roman" w:hAnsi="Times New Roman"/>
          <w:sz w:val="17"/>
          <w:szCs w:val="17"/>
          <w:color w:val="auto"/>
        </w:rPr>
        <w:t>On May 29, 2025, the Company issued (i) $500 million of 4.90% Senior Notes due 2030 and (ii) $750 million of 5.50% Senior Notes due 2035. The 2030 Notes and 2035 Notes were issued at approximately 100% of face value and the Company recognized approximately $12 million of total deferred financing costs. Interest on the 2030 Notes and 2035 Notes will accrue at a rate of 4.90% and 5.50%, respectively, per year, payable semi-annually on May 29 and November 29 of each year, commencing November 29, 2025. The 2030 Notes will mature on May 29, 2030, and the 2035 Notes will mature on May 29, 2035.</w:t>
      </w:r>
    </w:p>
    <w:p>
      <w:pPr>
        <w:spacing w:after="0" w:line="68" w:lineRule="exact"/>
        <w:rPr>
          <w:sz w:val="20"/>
          <w:szCs w:val="20"/>
          <w:color w:val="auto"/>
        </w:rPr>
      </w:pPr>
    </w:p>
    <w:p>
      <w:pPr>
        <w:jc w:val="both"/>
        <w:ind w:right="60" w:firstLine="464"/>
        <w:spacing w:after="0" w:line="287" w:lineRule="auto"/>
        <w:rPr>
          <w:sz w:val="20"/>
          <w:szCs w:val="20"/>
          <w:color w:val="auto"/>
        </w:rPr>
      </w:pPr>
      <w:r>
        <w:rPr>
          <w:rFonts w:ascii="Times New Roman" w:cs="Times New Roman" w:eastAsia="Times New Roman" w:hAnsi="Times New Roman"/>
          <w:sz w:val="17"/>
          <w:szCs w:val="17"/>
          <w:color w:val="auto"/>
        </w:rPr>
        <w:t>Proceeds from the 2030 Notes and cash on hand were utilized to repay the outstanding amount of the 2025 Notes at maturity. Proceeds from the 2035 Notes were utilized as part of funding for the Inspection Technologies acquisition, which closed July 1, 2025.</w:t>
      </w:r>
    </w:p>
    <w:p>
      <w:pPr>
        <w:spacing w:after="0" w:line="48" w:lineRule="exact"/>
        <w:rPr>
          <w:sz w:val="20"/>
          <w:szCs w:val="20"/>
          <w:color w:val="auto"/>
        </w:rPr>
      </w:pPr>
    </w:p>
    <w:p>
      <w:pPr>
        <w:jc w:val="both"/>
        <w:ind w:right="320" w:firstLine="464"/>
        <w:spacing w:after="0" w:line="270" w:lineRule="auto"/>
        <w:rPr>
          <w:sz w:val="20"/>
          <w:szCs w:val="20"/>
          <w:color w:val="auto"/>
        </w:rPr>
      </w:pPr>
      <w:r>
        <w:rPr>
          <w:rFonts w:ascii="Times New Roman" w:cs="Times New Roman" w:eastAsia="Times New Roman" w:hAnsi="Times New Roman"/>
          <w:sz w:val="17"/>
          <w:szCs w:val="17"/>
          <w:color w:val="auto"/>
        </w:rPr>
        <w:t>On March 11, 2024, the Company issued $500 million of 5.611% Senior Notes due in 2034. The 2034 Notes were issued at 100% of face value and the Company recognized approximately $5 million of total deferred financing costs. Interest on the 2034 Notes accrues at a rate of 5.611% per year, payable semi-annually on March 11 and September 11 of each year, commencing September 11, 2024. The 2034 Notes will mature on March 11, 2034.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8" w:name="page19"/>
    <w:bookmarkEnd w:id="18"/>
    <w:p>
      <w:pPr>
        <w:ind w:right="180" w:firstLine="464"/>
        <w:spacing w:after="0" w:line="287" w:lineRule="auto"/>
        <w:rPr>
          <w:sz w:val="20"/>
          <w:szCs w:val="20"/>
          <w:color w:val="auto"/>
        </w:rPr>
      </w:pPr>
      <w:r>
        <w:rPr>
          <w:rFonts w:ascii="Times New Roman" w:cs="Times New Roman" w:eastAsia="Times New Roman" w:hAnsi="Times New Roman"/>
          <w:sz w:val="17"/>
          <w:szCs w:val="17"/>
          <w:color w:val="auto"/>
        </w:rPr>
        <w:t>Proceeds from the 2034 Notes, combined with the proceeds from the term loan under the 2024 Credit Agreement and cash on hand, were utilized to repay the outstanding amount of our 4.15% Senior Notes due 2024 (the "2024 Notes") at maturity.</w:t>
      </w:r>
    </w:p>
    <w:p>
      <w:pPr>
        <w:spacing w:after="0" w:line="48"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2025 Credit Agreement. The Euro Notes were issued by Wabtec Transportation Netherlands B.V. and are fully and unconditionally guaranteed by the Parent Company.</w:t>
      </w:r>
    </w:p>
    <w:p>
      <w:pPr>
        <w:spacing w:after="0" w:line="282" w:lineRule="exact"/>
        <w:rPr>
          <w:sz w:val="20"/>
          <w:szCs w:val="20"/>
          <w:color w:val="auto"/>
        </w:rPr>
      </w:pPr>
    </w:p>
    <w:p>
      <w:pPr>
        <w:ind w:right="520" w:firstLine="464"/>
        <w:spacing w:after="0" w:line="287" w:lineRule="auto"/>
        <w:rPr>
          <w:sz w:val="20"/>
          <w:szCs w:val="20"/>
          <w:color w:val="auto"/>
        </w:rPr>
      </w:pPr>
      <w:r>
        <w:rPr>
          <w:rFonts w:ascii="Times New Roman" w:cs="Times New Roman" w:eastAsia="Times New Roman" w:hAnsi="Times New Roman"/>
          <w:sz w:val="17"/>
          <w:szCs w:val="17"/>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STOCK-BASED COMPENSATION</w:t>
      </w:r>
    </w:p>
    <w:p>
      <w:pPr>
        <w:spacing w:after="0" w:line="118" w:lineRule="exact"/>
        <w:rPr>
          <w:sz w:val="20"/>
          <w:szCs w:val="20"/>
          <w:color w:val="auto"/>
        </w:rPr>
      </w:pPr>
    </w:p>
    <w:p>
      <w:pPr>
        <w:ind w:right="140" w:firstLine="464"/>
        <w:spacing w:after="0" w:line="264" w:lineRule="auto"/>
        <w:rPr>
          <w:sz w:val="20"/>
          <w:szCs w:val="20"/>
          <w:color w:val="auto"/>
        </w:rPr>
      </w:pPr>
      <w:r>
        <w:rPr>
          <w:rFonts w:ascii="Times New Roman" w:cs="Times New Roman" w:eastAsia="Times New Roman" w:hAnsi="Times New Roman"/>
          <w:sz w:val="17"/>
          <w:szCs w:val="17"/>
          <w:color w:val="auto"/>
        </w:rPr>
        <w:t>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as of June 30, 2025, the number of shares available for future grants under the 2011 Plan was approximately 3.9 million shares. The Company also maintains a 1995 Non-Employee Directors’ Fee and Stock Option Plan as amended and restated (“the Directors Plan”).</w:t>
      </w:r>
    </w:p>
    <w:p>
      <w:pPr>
        <w:spacing w:after="0" w:line="68" w:lineRule="exact"/>
        <w:rPr>
          <w:sz w:val="20"/>
          <w:szCs w:val="20"/>
          <w:color w:val="auto"/>
        </w:rPr>
      </w:pPr>
    </w:p>
    <w:p>
      <w:pPr>
        <w:jc w:val="both"/>
        <w:ind w:right="260" w:firstLine="464"/>
        <w:spacing w:after="0" w:line="270" w:lineRule="auto"/>
        <w:rPr>
          <w:sz w:val="20"/>
          <w:szCs w:val="20"/>
          <w:color w:val="auto"/>
        </w:rPr>
      </w:pPr>
      <w:r>
        <w:rPr>
          <w:rFonts w:ascii="Times New Roman" w:cs="Times New Roman" w:eastAsia="Times New Roman" w:hAnsi="Times New Roman"/>
          <w:sz w:val="17"/>
          <w:szCs w:val="17"/>
          <w:color w:val="auto"/>
        </w:rPr>
        <w:t>Stock-based compensation expense was $24 million and $44 million for the three and six months ended June 30, 2025, respectively, and $17 million and $34 million for the three and six months ended June 30, 2024, respectively. At June 30, 2025, unamortized compensation expense related to stock options, non-vested restricted shares and incentive stock units expected to vest was approximately $119 million.</w:t>
      </w:r>
    </w:p>
    <w:p>
      <w:pPr>
        <w:spacing w:after="0" w:line="56" w:lineRule="exact"/>
        <w:rPr>
          <w:sz w:val="20"/>
          <w:szCs w:val="20"/>
          <w:color w:val="auto"/>
        </w:rPr>
      </w:pPr>
    </w:p>
    <w:p>
      <w:pPr>
        <w:ind w:right="20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 Options </w:t>
      </w:r>
      <w:r>
        <w:rPr>
          <w:rFonts w:ascii="Times New Roman" w:cs="Times New Roman" w:eastAsia="Times New Roman" w:hAnsi="Times New Roman"/>
          <w:sz w:val="17"/>
          <w:szCs w:val="17"/>
          <w:color w:val="auto"/>
        </w:rPr>
        <w:t>Stock options can be granted to eligible employees and directors at an exercise price equal to fair market value, which is the average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high and low Wabtec stock price on the date of grant. Options become exercisable over a three-year vesting period and expire 10 years from the date of grant. There were no stock options granted in the periods presented. At June 30, 2025, there were 95,551 shares issuable pursuant to exercisable stock options.</w:t>
      </w:r>
    </w:p>
    <w:p>
      <w:pPr>
        <w:spacing w:after="0" w:line="184" w:lineRule="exact"/>
        <w:rPr>
          <w:sz w:val="20"/>
          <w:szCs w:val="20"/>
          <w:color w:val="auto"/>
        </w:rPr>
      </w:pPr>
    </w:p>
    <w:p>
      <w:pPr>
        <w:ind w:right="4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Stock, Restricted Stock Units and Incentive Stock Units </w:t>
      </w:r>
      <w:r>
        <w:rPr>
          <w:rFonts w:ascii="Times New Roman" w:cs="Times New Roman" w:eastAsia="Times New Roman" w:hAnsi="Times New Roman"/>
          <w:sz w:val="17"/>
          <w:szCs w:val="17"/>
          <w:color w:val="auto"/>
        </w:rPr>
        <w:t>As provided for under the 2011 Plan and 2000 Plan, eligible employees are granted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restricted stock and restricted stock units that generally vest over three years from the date of grant. Under the Directors Plan, restricted stock awards vest one year from the date of grant. The restricted stock units are liability-classified equity awards as they can be settled in cash.</w:t>
      </w:r>
    </w:p>
    <w:p>
      <w:pPr>
        <w:spacing w:after="0" w:line="61" w:lineRule="exact"/>
        <w:rPr>
          <w:sz w:val="20"/>
          <w:szCs w:val="20"/>
          <w:color w:val="auto"/>
        </w:rPr>
      </w:pPr>
    </w:p>
    <w:p>
      <w:pPr>
        <w:ind w:right="40" w:firstLine="464"/>
        <w:spacing w:after="0" w:line="255" w:lineRule="auto"/>
        <w:rPr>
          <w:sz w:val="20"/>
          <w:szCs w:val="20"/>
          <w:color w:val="auto"/>
        </w:rPr>
      </w:pPr>
      <w:r>
        <w:rPr>
          <w:rFonts w:ascii="Times New Roman" w:cs="Times New Roman" w:eastAsia="Times New Roman" w:hAnsi="Times New Roman"/>
          <w:sz w:val="17"/>
          <w:szCs w:val="17"/>
          <w:color w:val="auto"/>
        </w:rPr>
        <w:t>In addition, the Company has issued incentive stock units to eligible employees that vest upon attainment of certain cumulative three-year performance goals, including a Relative Total Stockholder Return ("RTSR") modifier. The RTSR modifier can increase or decrease the payment by 10% or 20% depending on plan year. Significant judgments and estimates are used in determining the estimated three-year performance, which is then used to estimate the total shares expected to vest over the three-year vesting cycle and corresponding expense based on the grant date fair value of the award. When determining the estimated three-year performance, the Company utilizes a combination of historical actual results, budgeted results and forecasts. Upon the initial grant of a performance cycle, the Company estimates the three-year performance at 100%. Quarterly, the Company reviews and updates performance estimates based on actual performance results and current projections. Based on the Company’s performance for each three-year period then ended, the incentive stock units can vest and be awarded ranging from 0% to 200% of the initial incentive stock units granted. The incentive stock units included in the table below represent the number of incentive stock units that are expected to vest based on the Company’s estimate for meeting those established performance targets. As of June 30, 2025, the Company estimates that it will achieve 186%, 200% and 116% for the incentive stock awards expected to vest, inclusive of the RTSR modifier, based on the estimated performance for the three-year periods ending December 31, 2025, 2026, and 2027, respectively, and has recorded incentive compensation expense accordingly. If the estimates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291" w:lineRule="exact"/>
        <w:rPr>
          <w:sz w:val="20"/>
          <w:szCs w:val="20"/>
          <w:color w:val="auto"/>
        </w:rPr>
      </w:pPr>
    </w:p>
    <w:p>
      <w:pPr>
        <w:ind w:right="240" w:firstLine="464"/>
        <w:spacing w:after="0" w:line="287" w:lineRule="auto"/>
        <w:rPr>
          <w:sz w:val="20"/>
          <w:szCs w:val="20"/>
          <w:color w:val="auto"/>
        </w:rPr>
      </w:pPr>
      <w:r>
        <w:rPr>
          <w:rFonts w:ascii="Times New Roman" w:cs="Times New Roman" w:eastAsia="Times New Roman" w:hAnsi="Times New Roman"/>
          <w:sz w:val="17"/>
          <w:szCs w:val="17"/>
          <w:color w:val="auto"/>
        </w:rPr>
        <w:t>Compensation expense for the non-vested restricted stock and incentive stock units is based on the closing price of the Company's common stock on the date of grant and recognized over the applicable vesting period. Expense for incentive stock units is updated as necessary based on the Company's performance.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restricted stock, restricted stock unit and incentive stock unit activity and related information for the six months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0"/>
        </w:trPr>
        <w:tc>
          <w:tcPr>
            <w:tcW w:w="64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1" w:lineRule="exact"/>
              <w:rPr>
                <w:sz w:val="20"/>
                <w:szCs w:val="20"/>
                <w:color w:val="auto"/>
              </w:rPr>
            </w:pPr>
            <w:r>
              <w:rPr>
                <w:rFonts w:ascii="Times New Roman" w:cs="Times New Roman" w:eastAsia="Times New Roman" w:hAnsi="Times New Roman"/>
                <w:sz w:val="14"/>
                <w:szCs w:val="14"/>
                <w:b w:val="1"/>
                <w:bCs w:val="1"/>
                <w:color w:val="auto"/>
                <w:w w:val="97"/>
              </w:rPr>
              <w:t>Average Grant</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6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5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and Units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Units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218"/>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728,036</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877,064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115.71</w:t>
            </w:r>
          </w:p>
        </w:tc>
        <w:tc>
          <w:tcPr>
            <w:tcW w:w="0" w:type="dxa"/>
            <w:vAlign w:val="bottom"/>
          </w:tcPr>
          <w:p>
            <w:pPr>
              <w:spacing w:after="0"/>
              <w:rPr>
                <w:sz w:val="1"/>
                <w:szCs w:val="1"/>
                <w:color w:val="auto"/>
              </w:rPr>
            </w:pPr>
          </w:p>
        </w:tc>
      </w:tr>
      <w:tr>
        <w:trPr>
          <w:trHeight w:val="219"/>
        </w:trPr>
        <w:tc>
          <w:tcPr>
            <w:tcW w:w="64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268,087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160,131</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187.06</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(379,545)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(298,747)</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100.52</w:t>
            </w:r>
          </w:p>
        </w:tc>
        <w:tc>
          <w:tcPr>
            <w:tcW w:w="0" w:type="dxa"/>
            <w:vAlign w:val="bottom"/>
          </w:tcPr>
          <w:p>
            <w:pPr>
              <w:spacing w:after="0"/>
              <w:rPr>
                <w:sz w:val="1"/>
                <w:szCs w:val="1"/>
                <w:color w:val="auto"/>
              </w:rPr>
            </w:pPr>
          </w:p>
        </w:tc>
      </w:tr>
      <w:tr>
        <w:trPr>
          <w:trHeight w:val="219"/>
        </w:trPr>
        <w:tc>
          <w:tcPr>
            <w:tcW w:w="64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Adjustment for incentive stock awards expected to vest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48,643</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116.53</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Canceled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(13,975)</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133.81</w:t>
            </w:r>
          </w:p>
        </w:tc>
        <w:tc>
          <w:tcPr>
            <w:tcW w:w="0" w:type="dxa"/>
            <w:vAlign w:val="bottom"/>
          </w:tcPr>
          <w:p>
            <w:pPr>
              <w:spacing w:after="0"/>
              <w:rPr>
                <w:sz w:val="1"/>
                <w:szCs w:val="1"/>
                <w:color w:val="auto"/>
              </w:rPr>
            </w:pPr>
          </w:p>
        </w:tc>
      </w:tr>
      <w:tr>
        <w:trPr>
          <w:trHeight w:val="212"/>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June 30,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602,603</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785,850</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144.96</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18" w:lineRule="exact"/>
        <w:rPr>
          <w:sz w:val="20"/>
          <w:szCs w:val="20"/>
          <w:color w:val="auto"/>
        </w:rPr>
      </w:pPr>
    </w:p>
    <w:p>
      <w:pPr>
        <w:ind w:right="180" w:firstLine="464"/>
        <w:spacing w:after="0" w:line="270" w:lineRule="auto"/>
        <w:rPr>
          <w:sz w:val="20"/>
          <w:szCs w:val="20"/>
          <w:color w:val="auto"/>
        </w:rPr>
      </w:pPr>
      <w:r>
        <w:rPr>
          <w:rFonts w:ascii="Times New Roman" w:cs="Times New Roman" w:eastAsia="Times New Roman" w:hAnsi="Times New Roman"/>
          <w:sz w:val="17"/>
          <w:szCs w:val="17"/>
          <w:color w:val="auto"/>
        </w:rPr>
        <w:t>The overall effective tax rate for the three and six months ended June 30, 2025 was 24.8% and 24.0%, respectively. The overall effective tax rate for the three and six months ended June 30, 2024 was 24.5% and 24.1%, respectively. The year over year change in the effective rate for the three and six months ended June 30, 2025 was primarily driven by the jurisdictional mix of earnings.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EARNINGS PER SHARE</w:t>
      </w:r>
    </w:p>
    <w:p>
      <w:pPr>
        <w:spacing w:after="0" w:line="118" w:lineRule="exact"/>
        <w:rPr>
          <w:sz w:val="20"/>
          <w:szCs w:val="20"/>
          <w:color w:val="auto"/>
        </w:rPr>
      </w:pPr>
    </w:p>
    <w:p>
      <w:pPr>
        <w:ind w:right="80" w:firstLine="464"/>
        <w:spacing w:after="0" w:line="260" w:lineRule="auto"/>
        <w:rPr>
          <w:sz w:val="20"/>
          <w:szCs w:val="20"/>
          <w:color w:val="auto"/>
        </w:rPr>
      </w:pPr>
      <w:r>
        <w:rPr>
          <w:rFonts w:ascii="Times New Roman" w:cs="Times New Roman" w:eastAsia="Times New Roman" w:hAnsi="Times New Roman"/>
          <w:sz w:val="17"/>
          <w:szCs w:val="17"/>
          <w:color w:val="auto"/>
        </w:rPr>
        <w:t>The Company’s non-vested restricted stock contains rights to receive non-forfeitable dividends, and thus are participating securities requiring the two-class method of computing earnings per share. The calculation of earnings per share for common stock excludes the income attributable to the non-vested restricted stock from the numerator, which results in approximately 0.3% of Net income attributable to Wabtec shareholders being allocated to non-vested restricted stock in all periods presented. Additionally, the dilutive impact of the assumed conversion of non-vested restricted stock is excluded from the denominator of the diluted weighted average shares outstanding. The computation of basic and diluted earnings per share for Net income attributable to Wabtec shareholders is as follows:</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42"/>
        </w:trPr>
        <w:tc>
          <w:tcPr>
            <w:tcW w:w="51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60" w:type="dxa"/>
            <w:vAlign w:val="bottom"/>
          </w:tcPr>
          <w:p>
            <w:pPr>
              <w:spacing w:after="0"/>
              <w:rPr>
                <w:sz w:val="12"/>
                <w:szCs w:val="12"/>
                <w:color w:val="auto"/>
              </w:rPr>
            </w:pPr>
          </w:p>
        </w:tc>
        <w:tc>
          <w:tcPr>
            <w:tcW w:w="1160" w:type="dxa"/>
            <w:vAlign w:val="bottom"/>
          </w:tcPr>
          <w:p>
            <w:pPr>
              <w:jc w:val="right"/>
              <w:ind w:right="5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2"/>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8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w:t>
            </w:r>
          </w:p>
        </w:tc>
      </w:tr>
      <w:tr>
        <w:trPr>
          <w:trHeight w:val="21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allocated to non-vested restricted stock</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Numerator for basic and diluted earnings per common share</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tcPr>
          <w:p>
            <w:pPr>
              <w:spacing w:after="0"/>
              <w:rPr>
                <w:sz w:val="18"/>
                <w:szCs w:val="18"/>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80" w:type="dxa"/>
            <w:vAlign w:val="bottom"/>
          </w:tcPr>
          <w:p>
            <w:pPr>
              <w:spacing w:after="0"/>
              <w:rPr>
                <w:sz w:val="18"/>
                <w:szCs w:val="18"/>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r>
      <w:tr>
        <w:trPr>
          <w:trHeight w:val="21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176.0</w:t>
            </w:r>
          </w:p>
        </w:tc>
      </w:tr>
      <w:tr>
        <w:trPr>
          <w:trHeight w:val="21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68"/>
        </w:trPr>
        <w:tc>
          <w:tcPr>
            <w:tcW w:w="5160" w:type="dxa"/>
            <w:vAlign w:val="bottom"/>
            <w:gridSpan w:val="3"/>
          </w:tcPr>
          <w:p>
            <w:pPr>
              <w:ind w:left="20"/>
              <w:spacing w:after="0" w:line="167" w:lineRule="exact"/>
              <w:rPr>
                <w:sz w:val="20"/>
                <w:szCs w:val="20"/>
                <w:color w:val="auto"/>
              </w:rPr>
            </w:pPr>
            <w:r>
              <w:rPr>
                <w:rFonts w:ascii="Times New Roman" w:cs="Times New Roman" w:eastAsia="Times New Roman" w:hAnsi="Times New Roman"/>
                <w:sz w:val="17"/>
                <w:szCs w:val="17"/>
                <w:color w:val="auto"/>
              </w:rPr>
              <w:t>Assumed conversion of dilutive stock-based compensation plans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2"/>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excluding non-vested restricted stock</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Assumed conversion of dilutive non-vested restricted stock</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2"/>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diluted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5"/>
        </w:trPr>
        <w:tc>
          <w:tcPr>
            <w:tcW w:w="5160" w:type="dxa"/>
            <w:vAlign w:val="bottom"/>
            <w:gridSpan w:val="3"/>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Earnings per common share attributable to Wabtec shareholders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8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21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12. WARRANTIES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reconciles the changes in the Company’s product warranty reserve for the six months ended June 30, 2025 and 2024:</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Warranty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Warranty claim payments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9"/>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Foreign currency impact/other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7"/>
        </w:trPr>
        <w:tc>
          <w:tcPr>
            <w:tcW w:w="8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FAIR VALUE MEASUREMENT AND DERIVATIVE INSTRUMENTS</w:t>
      </w:r>
    </w:p>
    <w:p>
      <w:pPr>
        <w:spacing w:after="0" w:line="118"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64" w:lineRule="exact"/>
        <w:rPr>
          <w:sz w:val="20"/>
          <w:szCs w:val="20"/>
          <w:color w:val="auto"/>
        </w:rPr>
      </w:pPr>
    </w:p>
    <w:p>
      <w:pPr>
        <w:ind w:right="80" w:firstLine="464"/>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Valuation Hierarchy. </w:t>
      </w:r>
      <w:r>
        <w:rPr>
          <w:rFonts w:ascii="Times New Roman" w:cs="Times New Roman" w:eastAsia="Times New Roman" w:hAnsi="Times New Roman"/>
          <w:sz w:val="17"/>
          <w:szCs w:val="17"/>
          <w:color w:val="auto"/>
        </w:rPr>
        <w:t>ASC 820 establishes a valuation hierarchy for disclosure of the inputs to valuation used to measure fair value. This hierarchy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69" w:lineRule="exact"/>
        <w:rPr>
          <w:sz w:val="20"/>
          <w:szCs w:val="20"/>
          <w:color w:val="auto"/>
        </w:rPr>
      </w:pPr>
    </w:p>
    <w:p>
      <w:pPr>
        <w:ind w:right="100" w:firstLine="464"/>
        <w:spacing w:after="0" w:line="270" w:lineRule="auto"/>
        <w:rPr>
          <w:sz w:val="20"/>
          <w:szCs w:val="20"/>
          <w:color w:val="auto"/>
        </w:rPr>
      </w:pPr>
      <w:r>
        <w:rPr>
          <w:rFonts w:ascii="Times New Roman" w:cs="Times New Roman" w:eastAsia="Times New Roman" w:hAnsi="Times New Roman"/>
          <w:sz w:val="17"/>
          <w:szCs w:val="17"/>
          <w:color w:val="auto"/>
        </w:rPr>
        <w:t>The Company’s cash, cash equivalents and restricted cash are highly liquid investments purchased with an original maturity of three months or less and are considered Level 1 on the fair value valuation hierarchy. The fair value of cash, cash equivalents and restricted cash approximated the carrying value at June 30, 2025 and December 31, 2024. The Senior Notes are considered Level 2 based on the fair value valuation hierarchy.</w:t>
      </w:r>
    </w:p>
    <w:p>
      <w:pPr>
        <w:spacing w:after="0" w:line="56" w:lineRule="exact"/>
        <w:rPr>
          <w:sz w:val="20"/>
          <w:szCs w:val="20"/>
          <w:color w:val="auto"/>
        </w:rPr>
      </w:pPr>
    </w:p>
    <w:p>
      <w:pPr>
        <w:ind w:right="40" w:firstLine="464"/>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Hedging Activities </w:t>
      </w:r>
      <w:r>
        <w:rPr>
          <w:rFonts w:ascii="Times New Roman" w:cs="Times New Roman" w:eastAsia="Times New Roman" w:hAnsi="Times New Roman"/>
          <w:sz w:val="17"/>
          <w:szCs w:val="17"/>
          <w:color w:val="auto"/>
        </w:rPr>
        <w:t>In the normal course of business, the Company is exposed to market risk related to interest rates, commodity prices and foreign currency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exchange rate fluctuations, which 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over-the-counter markets. As such, these derivative instruments are classified within Level 2. In accordance with our policy, derivatives are only used for hedging purposes. We do not use derivatives for trading or speculative purposes.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Risk</w:t>
      </w:r>
    </w:p>
    <w:p>
      <w:pPr>
        <w:spacing w:after="0" w:line="118"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The Company uses forward contracts to hedge forecasted foreign currency denominated sales of finished goods and future settlement of foreign currency denominated assets and liabilities. Derivatives used to hedge firm commitments relevant to sales and purchases and forecasted transactions to be realized with high probability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For the three and six months ended June 30, 2025 and 2024, the amounts reclassified into income were not material.</w:t>
      </w:r>
    </w:p>
    <w:p>
      <w:pPr>
        <w:spacing w:after="0" w:line="7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Brazilian real, Kazakhstani tenge,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1" w:name="page22"/>
    <w:bookmarkEnd w:id="21"/>
    <w:p>
      <w:pPr>
        <w:jc w:val="both"/>
        <w:ind w:right="40" w:firstLine="464"/>
        <w:spacing w:after="0" w:line="264" w:lineRule="auto"/>
        <w:rPr>
          <w:sz w:val="20"/>
          <w:szCs w:val="20"/>
          <w:color w:val="auto"/>
        </w:rPr>
      </w:pPr>
      <w:r>
        <w:rPr>
          <w:rFonts w:ascii="Times New Roman" w:cs="Times New Roman" w:eastAsia="Times New Roman" w:hAnsi="Times New Roman"/>
          <w:sz w:val="17"/>
          <w:szCs w:val="17"/>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income, net. The net gains and losses related to these contracts, except as described below, were not material for the three and six months ended June 30, 2025 and 2024. These contracts typically mature within one year.</w:t>
      </w:r>
    </w:p>
    <w:p>
      <w:pPr>
        <w:spacing w:after="0" w:line="68" w:lineRule="exact"/>
        <w:rPr>
          <w:sz w:val="20"/>
          <w:szCs w:val="20"/>
          <w:color w:val="auto"/>
        </w:rPr>
      </w:pPr>
    </w:p>
    <w:p>
      <w:pPr>
        <w:ind w:right="60" w:firstLine="464"/>
        <w:spacing w:after="0" w:line="264" w:lineRule="auto"/>
        <w:rPr>
          <w:sz w:val="20"/>
          <w:szCs w:val="20"/>
          <w:color w:val="auto"/>
        </w:rPr>
      </w:pPr>
      <w:r>
        <w:rPr>
          <w:rFonts w:ascii="Times New Roman" w:cs="Times New Roman" w:eastAsia="Times New Roman" w:hAnsi="Times New Roman"/>
          <w:sz w:val="17"/>
          <w:szCs w:val="17"/>
          <w:color w:val="auto"/>
        </w:rPr>
        <w:t>In connection with the announced definitive agreement to acquire Dellner Couplers, the Company entered into foreign exchange contracts for a notional value of €440 million to mitigate foreign currency exposure of the purchase price. The contracts are not designated as accounting hedges under Topic 815 of ASC, and as such, the gains and losses are recorded as a component of Other income, net. For the three and six months ended June 30, 2025 these contracts resulted in a gain of $32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05" w:lineRule="exact"/>
        <w:rPr>
          <w:sz w:val="20"/>
          <w:szCs w:val="20"/>
          <w:color w:val="auto"/>
        </w:rPr>
      </w:pPr>
    </w:p>
    <w:p>
      <w:pPr>
        <w:ind w:right="120" w:firstLine="464"/>
        <w:spacing w:after="0" w:line="245" w:lineRule="auto"/>
        <w:rPr>
          <w:sz w:val="20"/>
          <w:szCs w:val="20"/>
          <w:color w:val="auto"/>
        </w:rPr>
      </w:pPr>
      <w:r>
        <w:rPr>
          <w:rFonts w:ascii="Times New Roman" w:cs="Times New Roman" w:eastAsia="Times New Roman" w:hAnsi="Times New Roman"/>
          <w:sz w:val="17"/>
          <w:szCs w:val="17"/>
          <w:color w:val="auto"/>
        </w:rPr>
        <w:t>The Company may use interest rate hedge contracts on certain investing and borrowing transactions to manage its net exposure to interest rate changes and to manage its overall cost of borrowing. The Company does not use leveraged swaps and, in general, does not leverage any of its investment activities that would put principal capital at risk. During the second quarter of 2025, interest rate hedge contracts related to Senior Notes issued during 2025 closed. During the first quarter of 2024, interest rate hedge contracts related to the 2034 Notes closed. For the three and six months ended June 30, 2025 and 2024, the amounts reclassified into income were not material.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Commodity Price Risk</w:t>
      </w:r>
    </w:p>
    <w:p>
      <w:pPr>
        <w:spacing w:after="0" w:line="118" w:lineRule="exact"/>
        <w:rPr>
          <w:sz w:val="20"/>
          <w:szCs w:val="20"/>
          <w:color w:val="auto"/>
        </w:rPr>
      </w:pPr>
    </w:p>
    <w:p>
      <w:pPr>
        <w:ind w:right="140" w:firstLine="464"/>
        <w:spacing w:after="0" w:line="287" w:lineRule="auto"/>
        <w:rPr>
          <w:sz w:val="20"/>
          <w:szCs w:val="20"/>
          <w:color w:val="auto"/>
        </w:rPr>
      </w:pPr>
      <w:r>
        <w:rPr>
          <w:rFonts w:ascii="Times New Roman" w:cs="Times New Roman" w:eastAsia="Times New Roman" w:hAnsi="Times New Roman"/>
          <w:sz w:val="17"/>
          <w:szCs w:val="17"/>
          <w:color w:val="auto"/>
        </w:rPr>
        <w:t>The Company may use commodity forward swaps to manage its exposure to commodity price changes and to reduce its overall cost of manufacturing. For the three and six months ended June 30, 2025 and 2024, the amounts recognized as income or expense were not material.</w:t>
      </w:r>
    </w:p>
    <w:p>
      <w:pPr>
        <w:spacing w:after="0" w:line="48" w:lineRule="exact"/>
        <w:rPr>
          <w:sz w:val="20"/>
          <w:szCs w:val="20"/>
          <w:color w:val="auto"/>
        </w:rPr>
      </w:pPr>
    </w:p>
    <w:p>
      <w:pPr>
        <w:ind w:right="100" w:firstLine="464"/>
        <w:spacing w:after="0" w:line="269" w:lineRule="auto"/>
        <w:rPr>
          <w:sz w:val="20"/>
          <w:szCs w:val="20"/>
          <w:color w:val="auto"/>
        </w:rPr>
      </w:pPr>
      <w:r>
        <w:rPr>
          <w:rFonts w:ascii="Times New Roman" w:cs="Times New Roman" w:eastAsia="Times New Roman" w:hAnsi="Times New Roman"/>
          <w:sz w:val="17"/>
          <w:szCs w:val="17"/>
          <w:color w:val="auto"/>
        </w:rPr>
        <w:t>The following table summarizes the assets, liabilities, gross notional amounts, fair values, and fair value hierarchy classification of the designated and non-designated hedges discussed in the above sections as of June 30, 2025, which are included in other current assets and liabilities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9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40" w:type="dxa"/>
            <w:vAlign w:val="bottom"/>
          </w:tcPr>
          <w:p>
            <w:pPr>
              <w:spacing w:after="0"/>
              <w:rPr>
                <w:sz w:val="17"/>
                <w:szCs w:val="17"/>
                <w:color w:val="auto"/>
              </w:rPr>
            </w:pPr>
          </w:p>
        </w:tc>
        <w:tc>
          <w:tcPr>
            <w:tcW w:w="2900" w:type="dxa"/>
            <w:vAlign w:val="bottom"/>
            <w:gridSpan w:val="4"/>
          </w:tcPr>
          <w:p>
            <w:pPr>
              <w:jc w:val="right"/>
              <w:ind w:right="696"/>
              <w:spacing w:after="0"/>
              <w:rPr>
                <w:sz w:val="20"/>
                <w:szCs w:val="20"/>
                <w:color w:val="auto"/>
              </w:rPr>
            </w:pPr>
            <w:r>
              <w:rPr>
                <w:rFonts w:ascii="Times New Roman" w:cs="Times New Roman" w:eastAsia="Times New Roman" w:hAnsi="Times New Roman"/>
                <w:sz w:val="15"/>
                <w:szCs w:val="15"/>
                <w:b w:val="1"/>
                <w:bCs w:val="1"/>
                <w:color w:val="auto"/>
              </w:rPr>
              <w:t>Gross Notional Amount</w:t>
            </w:r>
          </w:p>
        </w:tc>
      </w:tr>
      <w:tr>
        <w:trPr>
          <w:trHeight w:val="153"/>
        </w:trPr>
        <w:tc>
          <w:tcPr>
            <w:tcW w:w="32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5"/>
                <w:szCs w:val="15"/>
                <w:b w:val="1"/>
                <w:bCs w:val="1"/>
                <w:color w:val="auto"/>
              </w:rPr>
              <w:t>Level</w:t>
            </w: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ind w:left="60"/>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9"/>
        </w:trPr>
        <w:tc>
          <w:tcPr>
            <w:tcW w:w="3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w:t>
            </w: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12"/>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100" w:firstLine="464"/>
        <w:spacing w:after="0" w:line="269" w:lineRule="auto"/>
        <w:rPr>
          <w:sz w:val="20"/>
          <w:szCs w:val="20"/>
          <w:color w:val="auto"/>
        </w:rPr>
      </w:pPr>
      <w:r>
        <w:rPr>
          <w:rFonts w:ascii="Times New Roman" w:cs="Times New Roman" w:eastAsia="Times New Roman" w:hAnsi="Times New Roman"/>
          <w:sz w:val="17"/>
          <w:szCs w:val="17"/>
          <w:color w:val="auto"/>
        </w:rPr>
        <w:t>The following table summarizes the assets, liabilities, gross notional amounts, fair values, and fair value hierarchy classification of the designated and non-designated hedges discussed in the above sections as of December 31, 2024, which are included in other current assets and liabilities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9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40" w:type="dxa"/>
            <w:vAlign w:val="bottom"/>
          </w:tcPr>
          <w:p>
            <w:pPr>
              <w:spacing w:after="0"/>
              <w:rPr>
                <w:sz w:val="17"/>
                <w:szCs w:val="17"/>
                <w:color w:val="auto"/>
              </w:rPr>
            </w:pPr>
          </w:p>
        </w:tc>
        <w:tc>
          <w:tcPr>
            <w:tcW w:w="2900" w:type="dxa"/>
            <w:vAlign w:val="bottom"/>
            <w:gridSpan w:val="4"/>
          </w:tcPr>
          <w:p>
            <w:pPr>
              <w:jc w:val="right"/>
              <w:ind w:right="696"/>
              <w:spacing w:after="0"/>
              <w:rPr>
                <w:sz w:val="20"/>
                <w:szCs w:val="20"/>
                <w:color w:val="auto"/>
              </w:rPr>
            </w:pPr>
            <w:r>
              <w:rPr>
                <w:rFonts w:ascii="Times New Roman" w:cs="Times New Roman" w:eastAsia="Times New Roman" w:hAnsi="Times New Roman"/>
                <w:sz w:val="15"/>
                <w:szCs w:val="15"/>
                <w:b w:val="1"/>
                <w:bCs w:val="1"/>
                <w:color w:val="auto"/>
              </w:rPr>
              <w:t>Gross Notional Amount</w:t>
            </w:r>
          </w:p>
        </w:tc>
      </w:tr>
      <w:tr>
        <w:trPr>
          <w:trHeight w:val="153"/>
        </w:trPr>
        <w:tc>
          <w:tcPr>
            <w:tcW w:w="32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5"/>
                <w:szCs w:val="15"/>
                <w:b w:val="1"/>
                <w:bCs w:val="1"/>
                <w:color w:val="auto"/>
              </w:rPr>
              <w:t>Level</w:t>
            </w: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9"/>
        </w:trPr>
        <w:tc>
          <w:tcPr>
            <w:tcW w:w="3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center"/>
              <w:ind w:left="977"/>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937"/>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977"/>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center"/>
              <w:ind w:left="977"/>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COMMITMENTS AND CONTINGENCIES</w:t>
      </w:r>
    </w:p>
    <w:p>
      <w:pPr>
        <w:spacing w:after="0" w:line="118" w:lineRule="exact"/>
        <w:rPr>
          <w:sz w:val="20"/>
          <w:szCs w:val="20"/>
          <w:color w:val="auto"/>
        </w:rPr>
      </w:pPr>
    </w:p>
    <w:p>
      <w:pPr>
        <w:ind w:right="80" w:firstLine="464"/>
        <w:spacing w:after="0" w:line="264" w:lineRule="auto"/>
        <w:rPr>
          <w:sz w:val="20"/>
          <w:szCs w:val="20"/>
          <w:color w:val="auto"/>
        </w:rPr>
      </w:pPr>
      <w:r>
        <w:rPr>
          <w:rFonts w:ascii="Times New Roman" w:cs="Times New Roman" w:eastAsia="Times New Roman" w:hAnsi="Times New Roman"/>
          <w:sz w:val="17"/>
          <w:szCs w:val="17"/>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2" w:name="page23"/>
    <w:bookmarkEnd w:id="22"/>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76" w:lineRule="exact"/>
        <w:rPr>
          <w:sz w:val="20"/>
          <w:szCs w:val="20"/>
          <w:color w:val="auto"/>
        </w:rPr>
      </w:pPr>
    </w:p>
    <w:p>
      <w:pPr>
        <w:ind w:right="60" w:firstLine="464"/>
        <w:spacing w:after="0" w:line="257" w:lineRule="auto"/>
        <w:rPr>
          <w:sz w:val="20"/>
          <w:szCs w:val="20"/>
          <w:color w:val="auto"/>
        </w:rPr>
      </w:pPr>
      <w:r>
        <w:rPr>
          <w:rFonts w:ascii="Times New Roman" w:cs="Times New Roman" w:eastAsia="Times New Roman" w:hAnsi="Times New Roman"/>
          <w:sz w:val="17"/>
          <w:szCs w:val="17"/>
          <w:color w:val="auto"/>
        </w:rPr>
        <w:t>During the third quarter of 2023, a competitor of the Company, Progress Rail (“Progress”), which is a Caterpillar Inc. company, sued the Company in the U.S. District Court for the District of Delaware asserting antitrust, breach of contract, unfair competition law, defamation and false advertising claims. The complaint challenges the Wabtec-GE Transportation merger and contends that since the merger, Wabtec has unlawfully monopolized the markets for long-haul freight locomotives, Tier IV long-haul freight locomotives and energy management systems by, among other things, failing to ensure that Progress’ products are interoperable with Wabtec’s locomotives and cab electronics. Progress seeks an order requiring Wabtec to divest GE Transportation, unspecified treble damages for its alleged lost profits from reduced sales of locomotive and cab systems and attorneys’ fees and costs. It also asks the court to enjoin Wabtec from engaging in the conduct and require the Company to comply with its agreements with Progress. On June 12, 2025, the Court dismissed the antitrust claims against Wabtec saying that no harmful effects on competition resulting from the merger had been shown. The Court did not dismiss the alleged breach of contract, unfair competition, defamation and false advertising claims, which Wabtec intends to vigorously defend.</w:t>
      </w:r>
    </w:p>
    <w:p>
      <w:pPr>
        <w:spacing w:after="0" w:line="63" w:lineRule="exact"/>
        <w:rPr>
          <w:sz w:val="20"/>
          <w:szCs w:val="20"/>
          <w:color w:val="auto"/>
        </w:rPr>
      </w:pPr>
    </w:p>
    <w:p>
      <w:pPr>
        <w:ind w:right="40" w:firstLine="464"/>
        <w:spacing w:after="0" w:line="245" w:lineRule="auto"/>
        <w:rPr>
          <w:sz w:val="20"/>
          <w:szCs w:val="20"/>
          <w:color w:val="auto"/>
        </w:rPr>
      </w:pPr>
      <w:r>
        <w:rPr>
          <w:rFonts w:ascii="Times New Roman" w:cs="Times New Roman" w:eastAsia="Times New Roman" w:hAnsi="Times New Roman"/>
          <w:sz w:val="17"/>
          <w:szCs w:val="17"/>
          <w:color w:val="auto"/>
        </w:rPr>
        <w:t>Xorail, Inc., a wholly owned subsidiary of the Company (“Xorail”), received notices from Denver Transit Constructors (“DTC”) alleging breach of contract related to the operation of a wireless crossing system provided by Xorail for use by the Denver Regional Transit District ("RTD"). DTC’s alleged damages stem from a delay in approval of the wireless crossing system by regulatory authorities, which resulted in the interim use of flaggers at the crossings. Xorail denied DTC's assertions, stating that the system satisfied the contractual requirements. DTC has since contacted Xorail seeking $58 million in damages; Xorail has denied liability, but there can be no assurances as to the ultimate outcome of this claim.</w:t>
      </w:r>
    </w:p>
    <w:p>
      <w:pPr>
        <w:spacing w:after="0" w:line="85"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SEGMENT INFORMATION</w:t>
      </w:r>
    </w:p>
    <w:p>
      <w:pPr>
        <w:spacing w:after="0" w:line="118" w:lineRule="exact"/>
        <w:rPr>
          <w:sz w:val="20"/>
          <w:szCs w:val="20"/>
          <w:color w:val="auto"/>
        </w:rPr>
      </w:pPr>
    </w:p>
    <w:p>
      <w:pPr>
        <w:ind w:right="20" w:firstLine="464"/>
        <w:spacing w:after="0" w:line="280" w:lineRule="auto"/>
        <w:rPr>
          <w:sz w:val="20"/>
          <w:szCs w:val="20"/>
          <w:color w:val="auto"/>
        </w:rPr>
      </w:pPr>
      <w:r>
        <w:rPr>
          <w:rFonts w:ascii="Times New Roman" w:cs="Times New Roman" w:eastAsia="Times New Roman" w:hAnsi="Times New Roman"/>
          <w:sz w:val="17"/>
          <w:szCs w:val="17"/>
          <w:color w:val="auto"/>
        </w:rPr>
        <w:t>The Company has two reportable segments—the Freight Segment and the Transit Segment. The key factors used to identify these reportable segments are the organization and alignment of the Company’s internal operations, the nature of the products and services and customer type. The Company's business segments are:</w:t>
      </w:r>
    </w:p>
    <w:p>
      <w:pPr>
        <w:spacing w:after="0" w:line="266"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Freight Segment builds, rebuilds, upgrades, and overhauls locomotives, services locomotives and freight cars, and provides a range of component and digital solutions for customers in the freight and transit rail, mining, and marine industries. It also manufactures and services components for new and existing freight cars and locomotives, supplies railway electronics, positive train control equipment, signal design and engineering services, maintenance of way, and provides heat exchange and cooling systems for locomotives and power generation equipment. Customers include large, publicly traded railroads, leasing companies, manufacturers of original equipment such as locomotives and freight cars, and utilities, and also serves companies in the mining, marine, and industrial markets. We refer to sales of both goods, such as spare parts and equipment upgrades, and related services, such as monitoring, maintenance and repairs, as sales in our Services product line.</w:t>
      </w:r>
    </w:p>
    <w:p>
      <w:pPr>
        <w:spacing w:after="0" w:line="76" w:lineRule="exact"/>
        <w:rPr>
          <w:sz w:val="20"/>
          <w:szCs w:val="20"/>
          <w:color w:val="auto"/>
        </w:rPr>
      </w:pPr>
    </w:p>
    <w:p>
      <w:pPr>
        <w:ind w:right="220" w:firstLine="464"/>
        <w:spacing w:after="0" w:line="264" w:lineRule="auto"/>
        <w:rPr>
          <w:sz w:val="20"/>
          <w:szCs w:val="20"/>
          <w:color w:val="auto"/>
        </w:rPr>
      </w:pPr>
      <w:r>
        <w:rPr>
          <w:rFonts w:ascii="Times New Roman" w:cs="Times New Roman" w:eastAsia="Times New Roman" w:hAnsi="Times New Roman"/>
          <w:sz w:val="17"/>
          <w:szCs w:val="17"/>
          <w:color w:val="auto"/>
        </w:rPr>
        <w:t>Transit Segment primarily manufactures and services components for new and existing passenger transit vehicles, typically regional trains, high speed trains, subway cars, light-rail vehicles and buses. It also refurbishes subway cars and provides heating, ventilation, and air conditioning equipment and doors for buses and subway cars. Customers include public transit authorities and municipalities, leasing companies and manufacturers of passenger transit vehicles and buses, and companies in the electrical generation, distribution, and charging industries.</w:t>
      </w:r>
    </w:p>
    <w:p>
      <w:pPr>
        <w:spacing w:after="0" w:line="6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Wabtec’s chief operating decision maker (CODM) is the Company’s Chief Executive Officer, Rafael Santana. Mr. Santana utilizes Income (loss) from operations as the primary reported measure of segment profit or loss in assessing segment performance and deciding how to allocate resources. For both of the Company’s segments, the CODM uses segment Income (loss) from operations to make operational and personnel related decisions across the business. The CODM considers actual, budgeted and forecasted Income (loss) from operations on a monthly basis for evaluating the performance of each segment and making decisions about allocating capital and other resources to each segment. Additionally, Gross margin is used by the CODM as a secondary measure of segment profit or loss in assessing segment performance and deciding how to allocate resources. For both of the Company’s segments, the CODM uses segment Gross margin to make commercial and operational related decisions across the business.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3" w:name="page24"/>
    <w:bookmarkEnd w:id="23"/>
    <w:p>
      <w:pPr>
        <w:ind w:firstLine="464"/>
        <w:spacing w:after="0" w:line="261" w:lineRule="auto"/>
        <w:rPr>
          <w:sz w:val="20"/>
          <w:szCs w:val="20"/>
          <w:color w:val="auto"/>
        </w:rPr>
      </w:pPr>
      <w:r>
        <w:rPr>
          <w:rFonts w:ascii="Times New Roman" w:cs="Times New Roman" w:eastAsia="Times New Roman" w:hAnsi="Times New Roman"/>
          <w:sz w:val="17"/>
          <w:szCs w:val="17"/>
          <w:color w:val="auto"/>
        </w:rPr>
        <w:t>Intersegment sales are accounted for at prices that are generally established by reference to similar transactions with unaffiliated customers. Corporate activities include general corporate expenses, elimination of certain intersegment transactions, interest income and expense and other unallocated charges. Segment assets for the Freight and Transit Segment include assets directly utilized for segment operations, as well as the related goodwill and intangible assets. Corporate segment assets include cash, cash equivalents, and restricted cash, equity method investment assets, certain tax assets, receivables held by our bankruptcy-remote facility, pension assets, corporate headquarters' assets and other asset balances that are managed outside of operating segments.</w:t>
      </w:r>
    </w:p>
    <w:p>
      <w:pPr>
        <w:spacing w:after="0" w:line="72" w:lineRule="exact"/>
        <w:rPr>
          <w:sz w:val="20"/>
          <w:szCs w:val="20"/>
          <w:color w:val="auto"/>
        </w:rPr>
      </w:pPr>
    </w:p>
    <w:p>
      <w:pPr>
        <w:ind w:right="200" w:firstLine="464"/>
        <w:spacing w:after="0" w:line="261" w:lineRule="auto"/>
        <w:rPr>
          <w:sz w:val="20"/>
          <w:szCs w:val="20"/>
          <w:color w:val="auto"/>
        </w:rPr>
      </w:pPr>
      <w:r>
        <w:rPr>
          <w:rFonts w:ascii="Times New Roman" w:cs="Times New Roman" w:eastAsia="Times New Roman" w:hAnsi="Times New Roman"/>
          <w:sz w:val="17"/>
          <w:szCs w:val="17"/>
          <w:color w:val="auto"/>
        </w:rPr>
        <w:t>Cost of sales for both segments represents costs directly related to manufacturing products and providing services. Primary costs include raw materials, direct labor, overhead, shipping and handling, warehousing, and the depreciation of manufacturing, warehousing and distribution facilities. Selling, general and administrative expenses for both segments represent costs incurred in managing the business, including salary, benefits, professional fees and operating costs associated with each segment’s non-manufacturing activities. The amounts of depreciation and amortization disclosed by reportable segment are included within their respective segment expense captions, such as Cost of sales, Selling, general &amp; administrative expenses and Amortization expense.</w:t>
      </w:r>
    </w:p>
    <w:p>
      <w:pPr>
        <w:spacing w:after="0" w:line="72" w:lineRule="exact"/>
        <w:rPr>
          <w:sz w:val="20"/>
          <w:szCs w:val="20"/>
          <w:color w:val="auto"/>
        </w:rPr>
      </w:pPr>
    </w:p>
    <w:p>
      <w:pPr>
        <w:ind w:right="28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2025, Company Management determined that certain businesses within the Services product line would be better aligned with Management oversight in the Components product line. As such, Sales by product line for 2024 and 2023 have been recast to conform to the current period presentation. These changes were within the Freight Segment and had no impact on Total Freight Segment Sales, Gross profit, or Income from operations.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three months ended June 30, 2025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320" w:type="dxa"/>
            <w:vAlign w:val="bottom"/>
          </w:tcPr>
          <w:p>
            <w:pPr>
              <w:spacing w:after="0"/>
              <w:rPr>
                <w:sz w:val="15"/>
                <w:szCs w:val="15"/>
                <w:color w:val="auto"/>
              </w:rPr>
            </w:pPr>
          </w:p>
        </w:tc>
        <w:tc>
          <w:tcPr>
            <w:tcW w:w="14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360" w:type="dxa"/>
            <w:vAlign w:val="bottom"/>
          </w:tcPr>
          <w:p>
            <w:pPr>
              <w:spacing w:after="0"/>
              <w:rPr>
                <w:sz w:val="13"/>
                <w:szCs w:val="13"/>
                <w:color w:val="auto"/>
              </w:rPr>
            </w:pPr>
          </w:p>
        </w:tc>
        <w:tc>
          <w:tcPr>
            <w:tcW w:w="1140" w:type="dxa"/>
            <w:vAlign w:val="bottom"/>
            <w:vMerge w:val="restart"/>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7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40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320" w:type="dxa"/>
            <w:vAlign w:val="bottom"/>
          </w:tcPr>
          <w:p>
            <w:pPr>
              <w:spacing w:after="0"/>
              <w:rPr>
                <w:sz w:val="13"/>
                <w:szCs w:val="13"/>
                <w:color w:val="auto"/>
              </w:rPr>
            </w:pPr>
          </w:p>
        </w:tc>
        <w:tc>
          <w:tcPr>
            <w:tcW w:w="142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2,706</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697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gridSpan w:val="2"/>
          </w:tcPr>
          <w:p>
            <w:pPr>
              <w:ind w:left="30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36.3 %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30.7 %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&amp; administrative expenses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Engineering expenses</w:t>
            </w: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415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415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3"/>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Segment assets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13,390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4,405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2,596</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20,391</w:t>
            </w:r>
          </w:p>
        </w:tc>
        <w:tc>
          <w:tcPr>
            <w:tcW w:w="0" w:type="dxa"/>
            <w:vAlign w:val="bottom"/>
          </w:tcPr>
          <w:p>
            <w:pPr>
              <w:spacing w:after="0"/>
              <w:rPr>
                <w:sz w:val="1"/>
                <w:szCs w:val="1"/>
                <w:color w:val="auto"/>
              </w:rPr>
            </w:pPr>
          </w:p>
        </w:tc>
      </w:tr>
      <w:tr>
        <w:trPr>
          <w:trHeight w:val="86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three months ended June 30, 2024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320" w:type="dxa"/>
            <w:vAlign w:val="bottom"/>
          </w:tcPr>
          <w:p>
            <w:pPr>
              <w:spacing w:after="0"/>
              <w:rPr>
                <w:sz w:val="15"/>
                <w:szCs w:val="15"/>
                <w:color w:val="auto"/>
              </w:rPr>
            </w:pPr>
          </w:p>
        </w:tc>
        <w:tc>
          <w:tcPr>
            <w:tcW w:w="14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360" w:type="dxa"/>
            <w:vAlign w:val="bottom"/>
          </w:tcPr>
          <w:p>
            <w:pPr>
              <w:spacing w:after="0"/>
              <w:rPr>
                <w:sz w:val="13"/>
                <w:szCs w:val="13"/>
                <w:color w:val="auto"/>
              </w:rPr>
            </w:pPr>
          </w:p>
        </w:tc>
        <w:tc>
          <w:tcPr>
            <w:tcW w:w="1140" w:type="dxa"/>
            <w:vAlign w:val="bottom"/>
            <w:vMerge w:val="restart"/>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6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4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320" w:type="dxa"/>
            <w:vAlign w:val="bottom"/>
          </w:tcPr>
          <w:p>
            <w:pPr>
              <w:spacing w:after="0"/>
              <w:rPr>
                <w:sz w:val="13"/>
                <w:szCs w:val="13"/>
                <w:color w:val="auto"/>
              </w:rPr>
            </w:pPr>
          </w:p>
        </w:tc>
        <w:tc>
          <w:tcPr>
            <w:tcW w:w="142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0" w:type="dxa"/>
            <w:vAlign w:val="bottom"/>
          </w:tcPr>
          <w:p>
            <w:pPr>
              <w:spacing w:after="0"/>
              <w:rPr>
                <w:sz w:val="1"/>
                <w:szCs w:val="1"/>
                <w:color w:val="auto"/>
              </w:rPr>
            </w:pPr>
          </w:p>
        </w:tc>
      </w:tr>
      <w:tr>
        <w:trPr>
          <w:trHeight w:val="219"/>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20" w:type="dxa"/>
            <w:vAlign w:val="bottom"/>
          </w:tcPr>
          <w:p>
            <w:pPr>
              <w:spacing w:after="0"/>
              <w:rPr>
                <w:sz w:val="19"/>
                <w:szCs w:val="19"/>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(1,251)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(1,770)</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66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669</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205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34.8 %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28.3 %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&amp; administrative expenses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0" w:type="dxa"/>
            <w:vAlign w:val="bottom"/>
          </w:tcPr>
          <w:p>
            <w:pPr>
              <w:spacing w:after="0"/>
              <w:rPr>
                <w:sz w:val="1"/>
                <w:szCs w:val="1"/>
                <w:color w:val="auto"/>
              </w:rPr>
            </w:pPr>
          </w:p>
        </w:tc>
      </w:tr>
      <w:tr>
        <w:trPr>
          <w:trHeight w:val="219"/>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Engineering expenses</w:t>
            </w:r>
          </w:p>
        </w:tc>
        <w:tc>
          <w:tcPr>
            <w:tcW w:w="320" w:type="dxa"/>
            <w:vAlign w:val="bottom"/>
          </w:tcPr>
          <w:p>
            <w:pPr>
              <w:spacing w:after="0"/>
              <w:rPr>
                <w:sz w:val="19"/>
                <w:szCs w:val="19"/>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391</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391</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Segment assets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13,355</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3,917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18,876</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six months ended June 30, 2025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320" w:type="dxa"/>
            <w:vAlign w:val="bottom"/>
          </w:tcPr>
          <w:p>
            <w:pPr>
              <w:spacing w:after="0"/>
              <w:rPr>
                <w:sz w:val="15"/>
                <w:szCs w:val="15"/>
                <w:color w:val="auto"/>
              </w:rPr>
            </w:pPr>
          </w:p>
        </w:tc>
        <w:tc>
          <w:tcPr>
            <w:tcW w:w="14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360" w:type="dxa"/>
            <w:vAlign w:val="bottom"/>
          </w:tcPr>
          <w:p>
            <w:pPr>
              <w:spacing w:after="0"/>
              <w:rPr>
                <w:sz w:val="13"/>
                <w:szCs w:val="13"/>
                <w:color w:val="auto"/>
              </w:rPr>
            </w:pPr>
          </w:p>
        </w:tc>
        <w:tc>
          <w:tcPr>
            <w:tcW w:w="1140" w:type="dxa"/>
            <w:vAlign w:val="bottom"/>
            <w:vMerge w:val="restart"/>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7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40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320" w:type="dxa"/>
            <w:vAlign w:val="bottom"/>
          </w:tcPr>
          <w:p>
            <w:pPr>
              <w:spacing w:after="0"/>
              <w:rPr>
                <w:sz w:val="13"/>
                <w:szCs w:val="13"/>
                <w:color w:val="auto"/>
              </w:rPr>
            </w:pPr>
          </w:p>
        </w:tc>
        <w:tc>
          <w:tcPr>
            <w:tcW w:w="142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3,820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5,316</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20" w:type="dxa"/>
            <w:vAlign w:val="bottom"/>
          </w:tcPr>
          <w:p>
            <w:pPr>
              <w:spacing w:after="0"/>
              <w:rPr>
                <w:sz w:val="19"/>
                <w:szCs w:val="19"/>
                <w:color w:val="auto"/>
              </w:rPr>
            </w:pP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(2,438)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(3,478)</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1,382</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456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36.2 %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30.5 %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&amp; administrative expenses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Engineering expenses</w:t>
            </w:r>
          </w:p>
        </w:tc>
        <w:tc>
          <w:tcPr>
            <w:tcW w:w="320" w:type="dxa"/>
            <w:vAlign w:val="bottom"/>
          </w:tcPr>
          <w:p>
            <w:pPr>
              <w:spacing w:after="0"/>
              <w:rPr>
                <w:sz w:val="19"/>
                <w:szCs w:val="19"/>
                <w:color w:val="auto"/>
              </w:rPr>
            </w:pP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199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192</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ind w:right="555"/>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5" w:name="page26"/>
    <w:bookmarkEnd w:id="25"/>
    <w:p>
      <w:pPr>
        <w:ind w:left="620"/>
        <w:spacing w:after="0"/>
        <w:rPr>
          <w:sz w:val="20"/>
          <w:szCs w:val="20"/>
          <w:color w:val="auto"/>
        </w:rPr>
      </w:pPr>
      <w:r>
        <w:rPr>
          <w:rFonts w:ascii="Times New Roman" w:cs="Times New Roman" w:eastAsia="Times New Roman" w:hAnsi="Times New Roman"/>
          <w:sz w:val="17"/>
          <w:szCs w:val="17"/>
          <w:color w:val="auto"/>
        </w:rPr>
        <w:t>Segment financial information for the six months ended June 30, 2024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vMerge w:val="restart"/>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55"/>
        </w:trPr>
        <w:tc>
          <w:tcPr>
            <w:tcW w:w="47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jc w:val="right"/>
              <w:ind w:right="62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3,744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1,397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w:t>
            </w: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(2,450)</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(1,002)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Gross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1,294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395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34.6 %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i w:val="1"/>
                <w:iCs w:val="1"/>
                <w:color w:val="auto"/>
              </w:rPr>
              <w:t>28.3 %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&amp; administrative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(315)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(209)</w:t>
            </w: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(73)</w:t>
            </w:r>
          </w:p>
        </w:tc>
        <w:tc>
          <w:tcPr>
            <w:tcW w:w="660" w:type="dxa"/>
            <w:vAlign w:val="bottom"/>
            <w:gridSpan w:val="3"/>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Engineering expenses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(86)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(134)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759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156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759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156</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spacing w:after="0"/>
              <w:rPr>
                <w:sz w:val="19"/>
                <w:szCs w:val="19"/>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201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32</w:t>
            </w:r>
          </w:p>
        </w:tc>
        <w:tc>
          <w:tcPr>
            <w:tcW w:w="4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Pr>
          <w:p>
            <w:pPr>
              <w:spacing w:after="0"/>
              <w:rPr>
                <w:sz w:val="19"/>
                <w:szCs w:val="19"/>
                <w:color w:val="auto"/>
              </w:rPr>
            </w:pPr>
          </w:p>
        </w:tc>
        <w:tc>
          <w:tcPr>
            <w:tcW w:w="660" w:type="dxa"/>
            <w:vAlign w:val="bottom"/>
            <w:gridSpan w:val="3"/>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25</w:t>
            </w: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46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Sales to external customers by product line are as follows: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20" w:type="dxa"/>
            <w:vAlign w:val="bottom"/>
            <w:gridSpan w:val="7"/>
          </w:tcPr>
          <w:p>
            <w:pPr>
              <w:ind w:left="6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jc w:val="center"/>
              <w:ind w:left="616"/>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1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jc w:val="center"/>
              <w:ind w:left="616"/>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ind w:right="456"/>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center"/>
              <w:ind w:right="255"/>
              <w:spacing w:after="0" w:line="135" w:lineRule="exact"/>
              <w:rPr>
                <w:sz w:val="20"/>
                <w:szCs w:val="20"/>
                <w:color w:val="auto"/>
              </w:rPr>
            </w:pPr>
            <w:r>
              <w:rPr>
                <w:rFonts w:ascii="Times New Roman" w:cs="Times New Roman" w:eastAsia="Times New Roman" w:hAnsi="Times New Roman"/>
                <w:sz w:val="15"/>
                <w:szCs w:val="15"/>
                <w:b w:val="1"/>
                <w:bCs w:val="1"/>
                <w:color w:val="auto"/>
                <w:w w:val="99"/>
              </w:rPr>
              <w:t>2024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Freight Segment: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Services</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40" w:type="dxa"/>
            <w:vAlign w:val="bottom"/>
          </w:tcPr>
          <w:p>
            <w:pPr>
              <w:spacing w:after="0"/>
              <w:rPr>
                <w:sz w:val="19"/>
                <w:szCs w:val="19"/>
                <w:color w:val="auto"/>
              </w:rPr>
            </w:pPr>
          </w:p>
        </w:tc>
        <w:tc>
          <w:tcPr>
            <w:tcW w:w="300" w:type="dxa"/>
            <w:vAlign w:val="bottom"/>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1,644</w:t>
            </w:r>
          </w:p>
        </w:tc>
        <w:tc>
          <w:tcPr>
            <w:tcW w:w="20" w:type="dxa"/>
            <w:vAlign w:val="bottom"/>
          </w:tcPr>
          <w:p>
            <w:pPr>
              <w:spacing w:after="0"/>
              <w:rPr>
                <w:sz w:val="19"/>
                <w:szCs w:val="19"/>
                <w:color w:val="auto"/>
              </w:rPr>
            </w:pPr>
          </w:p>
        </w:tc>
        <w:tc>
          <w:tcPr>
            <w:tcW w:w="660" w:type="dxa"/>
            <w:vAlign w:val="bottom"/>
            <w:gridSpan w:val="3"/>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Equipment</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Components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Digital Intelligence</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Freight Segment</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1,919</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gridSpan w:val="2"/>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Transit Segment: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Original Equipment Manufacturer</w:t>
            </w:r>
          </w:p>
        </w:tc>
        <w:tc>
          <w:tcPr>
            <w:tcW w:w="4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Aftermarket</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Transit Segment</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16. OTHER INCOME, NET</w:t>
            </w: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47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6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The components of Other income, net are as follows: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20" w:type="dxa"/>
            <w:vAlign w:val="bottom"/>
            <w:gridSpan w:val="7"/>
          </w:tcPr>
          <w:p>
            <w:pPr>
              <w:ind w:left="6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jc w:val="center"/>
              <w:ind w:left="616"/>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1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jc w:val="center"/>
              <w:ind w:left="616"/>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ind w:right="456"/>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center"/>
              <w:ind w:right="255"/>
              <w:spacing w:after="0" w:line="135" w:lineRule="exact"/>
              <w:rPr>
                <w:sz w:val="20"/>
                <w:szCs w:val="20"/>
                <w:color w:val="auto"/>
              </w:rPr>
            </w:pPr>
            <w:r>
              <w:rPr>
                <w:rFonts w:ascii="Times New Roman" w:cs="Times New Roman" w:eastAsia="Times New Roman" w:hAnsi="Times New Roman"/>
                <w:sz w:val="15"/>
                <w:szCs w:val="15"/>
                <w:b w:val="1"/>
                <w:bCs w:val="1"/>
                <w:color w:val="auto"/>
                <w:w w:val="99"/>
              </w:rPr>
              <w:t>2024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loss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Gain on mark-to-market derivatives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(loss) income</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Expected return on pension assets/amortization</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miscellaneous (expense) income, net</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Total Other income, net</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gridSpan w:val="2"/>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60" w:firstLine="464"/>
        <w:spacing w:after="0" w:line="270" w:lineRule="auto"/>
        <w:rPr>
          <w:sz w:val="20"/>
          <w:szCs w:val="20"/>
          <w:color w:val="auto"/>
        </w:rPr>
      </w:pPr>
      <w:r>
        <w:rPr>
          <w:rFonts w:ascii="Times New Roman" w:cs="Times New Roman" w:eastAsia="Times New Roman" w:hAnsi="Times New Roman"/>
          <w:sz w:val="17"/>
          <w:szCs w:val="17"/>
          <w:color w:val="auto"/>
        </w:rPr>
        <w:t>In connection with the announced definitive agreement to acquire Dellner Couplers, the Company entered into foreign exchange contracts for a notional value of €440 million to mitigate foreign currency exposure of the purchase price. The contracts are not designated as accounting hedges under Topic 815 of ASC, and as such, the gains and losses are recorded as a</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auto"/>
        </w:rPr>
        <w:t>component of Other income, net. For the three and six months ended June 30, 2025, these contracts resulted in a gain of $32 million.</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RESTRUCTURING</w:t>
      </w:r>
    </w:p>
    <w:p>
      <w:pPr>
        <w:spacing w:after="0" w:line="105" w:lineRule="exact"/>
        <w:rPr>
          <w:sz w:val="20"/>
          <w:szCs w:val="20"/>
          <w:color w:val="auto"/>
        </w:rPr>
      </w:pPr>
    </w:p>
    <w:p>
      <w:pPr>
        <w:ind w:right="600" w:firstLine="464"/>
        <w:spacing w:after="0" w:line="271" w:lineRule="auto"/>
        <w:rPr>
          <w:sz w:val="20"/>
          <w:szCs w:val="20"/>
          <w:color w:val="auto"/>
        </w:rPr>
      </w:pPr>
      <w:r>
        <w:rPr>
          <w:rFonts w:ascii="Times New Roman" w:cs="Times New Roman" w:eastAsia="Times New Roman" w:hAnsi="Times New Roman"/>
          <w:sz w:val="17"/>
          <w:szCs w:val="17"/>
          <w:color w:val="auto"/>
        </w:rPr>
        <w:t>Wabtec is focused on driving operational efficiency and improving profitability while reducing manufacturing complexity. As a result, there are key strategic initiatives aimed at achieving these focus areas.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Integration 3.0</w:t>
      </w:r>
    </w:p>
    <w:p>
      <w:pPr>
        <w:spacing w:after="0" w:line="105" w:lineRule="exact"/>
        <w:rPr>
          <w:sz w:val="20"/>
          <w:szCs w:val="20"/>
          <w:color w:val="auto"/>
        </w:rPr>
      </w:pPr>
    </w:p>
    <w:p>
      <w:pPr>
        <w:ind w:right="320" w:firstLine="464"/>
        <w:spacing w:after="0" w:line="248" w:lineRule="auto"/>
        <w:rPr>
          <w:sz w:val="20"/>
          <w:szCs w:val="20"/>
          <w:color w:val="auto"/>
        </w:rPr>
      </w:pPr>
      <w:r>
        <w:rPr>
          <w:rFonts w:ascii="Times New Roman" w:cs="Times New Roman" w:eastAsia="Times New Roman" w:hAnsi="Times New Roman"/>
          <w:sz w:val="17"/>
          <w:szCs w:val="17"/>
          <w:color w:val="auto"/>
        </w:rPr>
        <w:t>Integration 3.0 is a multi-year strategic initiative to further consolidate our footprint, reduce complexity and streamline manufacturing, engineering, administrative, and commercial activities. The Company anticipates that it will incur one-time restructuring charges related to Integration 3.0 of approximately $80 million to $100 million. Amounts recorded to date are approximately $20 million, including amounts recorded during the fourth quarter 2024, and are primarily for employee-related costs. Cash payments for the three and six months ended June 30, 2025 were not material.</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 summary of restructuring charges related to the Integration 3.0 initiative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100" w:type="dxa"/>
            <w:vAlign w:val="bottom"/>
          </w:tcPr>
          <w:p>
            <w:pPr>
              <w:jc w:val="right"/>
              <w:ind w:right="97"/>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155"/>
        </w:trPr>
        <w:tc>
          <w:tcPr>
            <w:tcW w:w="66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10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5"/>
                <w:szCs w:val="15"/>
                <w:b w:val="1"/>
                <w:bCs w:val="1"/>
                <w:color w:val="auto"/>
              </w:rPr>
              <w:t>June 30,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June 30, 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99"/>
        </w:trPr>
        <w:tc>
          <w:tcPr>
            <w:tcW w:w="6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Freight Segment:</w:t>
            </w:r>
          </w:p>
        </w:tc>
        <w:tc>
          <w:tcPr>
            <w:tcW w:w="2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Cost of goods sold</w:t>
            </w:r>
          </w:p>
        </w:tc>
        <w:tc>
          <w:tcPr>
            <w:tcW w:w="2100" w:type="dxa"/>
            <w:vAlign w:val="bottom"/>
          </w:tcPr>
          <w:p>
            <w:pPr>
              <w:jc w:val="right"/>
              <w:ind w:right="1897"/>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2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Freight Segment</w:t>
            </w:r>
          </w:p>
        </w:tc>
        <w:tc>
          <w:tcPr>
            <w:tcW w:w="2100" w:type="dxa"/>
            <w:vAlign w:val="bottom"/>
          </w:tcPr>
          <w:p>
            <w:pPr>
              <w:jc w:val="right"/>
              <w:ind w:right="1897"/>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103"/>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980" w:type="dxa"/>
            <w:vAlign w:val="bottom"/>
            <w:shd w:val="clear" w:color="auto" w:fill="CCEEFF"/>
          </w:tcPr>
          <w:p>
            <w:pPr>
              <w:spacing w:after="0"/>
              <w:rPr>
                <w:sz w:val="8"/>
                <w:szCs w:val="8"/>
                <w:color w:val="auto"/>
              </w:rPr>
            </w:pPr>
          </w:p>
        </w:tc>
        <w:tc>
          <w:tcPr>
            <w:tcW w:w="2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r>
      <w:tr>
        <w:trPr>
          <w:trHeight w:val="219"/>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Transit Segment:</w:t>
            </w:r>
          </w:p>
        </w:tc>
        <w:tc>
          <w:tcPr>
            <w:tcW w:w="2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Cost of goods sold</w:t>
            </w:r>
          </w:p>
        </w:tc>
        <w:tc>
          <w:tcPr>
            <w:tcW w:w="2100" w:type="dxa"/>
            <w:vAlign w:val="bottom"/>
            <w:shd w:val="clear" w:color="auto" w:fill="CCEEFF"/>
          </w:tcPr>
          <w:p>
            <w:pPr>
              <w:jc w:val="right"/>
              <w:ind w:right="1897"/>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20" w:type="dxa"/>
            <w:vAlign w:val="bottom"/>
            <w:tcBorders>
              <w:bottom w:val="single" w:sz="8" w:color="CCEEFF"/>
            </w:tcBorders>
          </w:tcPr>
          <w:p>
            <w:pPr>
              <w:spacing w:after="0"/>
              <w:rPr>
                <w:sz w:val="19"/>
                <w:szCs w:val="19"/>
                <w:color w:val="auto"/>
              </w:rPr>
            </w:pPr>
          </w:p>
        </w:tc>
        <w:tc>
          <w:tcPr>
            <w:tcW w:w="66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20" w:type="dxa"/>
            <w:vAlign w:val="bottom"/>
            <w:shd w:val="clear" w:color="auto" w:fill="CCEEFF"/>
          </w:tcPr>
          <w:p>
            <w:pPr>
              <w:spacing w:after="0"/>
              <w:rPr>
                <w:sz w:val="18"/>
                <w:szCs w:val="18"/>
                <w:color w:val="auto"/>
              </w:rPr>
            </w:pPr>
          </w:p>
        </w:tc>
        <w:tc>
          <w:tcPr>
            <w:tcW w:w="6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Transit Segment</w:t>
            </w:r>
          </w:p>
        </w:tc>
        <w:tc>
          <w:tcPr>
            <w:tcW w:w="2100" w:type="dxa"/>
            <w:vAlign w:val="bottom"/>
            <w:tcBorders>
              <w:bottom w:val="single" w:sz="8" w:color="auto"/>
            </w:tcBorders>
            <w:shd w:val="clear" w:color="auto" w:fill="CCEEFF"/>
          </w:tcPr>
          <w:p>
            <w:pPr>
              <w:jc w:val="right"/>
              <w:ind w:right="1897"/>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2"/>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Integration 3.0 restructuring charges</w:t>
            </w:r>
          </w:p>
        </w:tc>
        <w:tc>
          <w:tcPr>
            <w:tcW w:w="2100" w:type="dxa"/>
            <w:vAlign w:val="bottom"/>
            <w:tcBorders>
              <w:bottom w:val="single" w:sz="8" w:color="auto"/>
            </w:tcBorders>
          </w:tcPr>
          <w:p>
            <w:pPr>
              <w:jc w:val="right"/>
              <w:ind w:right="1897"/>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Portfolio Optimization</w:t>
      </w:r>
    </w:p>
    <w:p>
      <w:pPr>
        <w:spacing w:after="0" w:line="105" w:lineRule="exact"/>
        <w:rPr>
          <w:sz w:val="20"/>
          <w:szCs w:val="20"/>
          <w:color w:val="auto"/>
        </w:rPr>
      </w:pPr>
    </w:p>
    <w:p>
      <w:pPr>
        <w:ind w:right="40" w:firstLine="464"/>
        <w:spacing w:after="0" w:line="248" w:lineRule="auto"/>
        <w:rPr>
          <w:sz w:val="20"/>
          <w:szCs w:val="20"/>
          <w:color w:val="auto"/>
        </w:rPr>
      </w:pPr>
      <w:r>
        <w:rPr>
          <w:rFonts w:ascii="Times New Roman" w:cs="Times New Roman" w:eastAsia="Times New Roman" w:hAnsi="Times New Roman"/>
          <w:sz w:val="17"/>
          <w:szCs w:val="17"/>
          <w:color w:val="auto"/>
        </w:rPr>
        <w:t>Wabtec is focused on exiting various low margin product offerings through Portfolio Optimization to improve profitability while reducing manufacturing complexity. Wabtec recorded net charges of approximately $3 million during the six months ended June 30, 2025, and $2 million and $5 million during the three and six months ended June 30, 2024, respectively, primarily for asset write downs related to Portfolio Optimization. Total one-time restructuring charges related to Portfolio Optimization to date are approximately $59 million.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Integration 2.0</w:t>
      </w:r>
    </w:p>
    <w:p>
      <w:pPr>
        <w:spacing w:after="0" w:line="105" w:lineRule="exact"/>
        <w:rPr>
          <w:sz w:val="20"/>
          <w:szCs w:val="20"/>
          <w:color w:val="auto"/>
        </w:rPr>
      </w:pPr>
    </w:p>
    <w:p>
      <w:pPr>
        <w:ind w:right="160" w:firstLine="464"/>
        <w:spacing w:after="0" w:line="241" w:lineRule="auto"/>
        <w:rPr>
          <w:sz w:val="20"/>
          <w:szCs w:val="20"/>
          <w:color w:val="auto"/>
        </w:rPr>
      </w:pPr>
      <w:r>
        <w:rPr>
          <w:rFonts w:ascii="Times New Roman" w:cs="Times New Roman" w:eastAsia="Times New Roman" w:hAnsi="Times New Roman"/>
          <w:sz w:val="17"/>
          <w:szCs w:val="17"/>
          <w:color w:val="auto"/>
        </w:rPr>
        <w:t>Integration 2.0 is a multi-year strategic initiative to review and consolidate our operating footprint, reduce headcount, streamline the end-to-end manufacturing process, restructure the North America distribution channels, expand operations in low-cost countries, and simplify the business through systems enablement. The Company anticipates that it will incur one-time restructuring charges related to Integration 2.0 of up to approximately $170 million, of which approximately $145 million has been incurred to date. There were no material charges or cash payments during the three and six months ended June 30, 2025. Wabtec recorded charges of $4 million and $12 million for the three and six months ended June 30, 2024, respectively. Cash payments made during the three and six months ended June 30, 2024 were $8 million and $30 million, respectively.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7" w:name="page28"/>
    <w:bookmarkEnd w:id="27"/>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18" w:lineRule="exact"/>
        <w:rPr>
          <w:sz w:val="20"/>
          <w:szCs w:val="20"/>
          <w:color w:val="auto"/>
        </w:rPr>
      </w:pPr>
    </w:p>
    <w:p>
      <w:pPr>
        <w:ind w:right="100" w:firstLine="464"/>
        <w:spacing w:after="0" w:line="281" w:lineRule="auto"/>
        <w:rPr>
          <w:sz w:val="20"/>
          <w:szCs w:val="20"/>
          <w:color w:val="auto"/>
        </w:rPr>
      </w:pPr>
      <w:r>
        <w:rPr>
          <w:rFonts w:ascii="Times New Roman" w:cs="Times New Roman" w:eastAsia="Times New Roman" w:hAnsi="Times New Roman"/>
          <w:sz w:val="15"/>
          <w:szCs w:val="15"/>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2024, filed with the Securities and Exchange Commission on February 12, 2025.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ind w:right="80" w:firstLine="464"/>
        <w:spacing w:after="0" w:line="260" w:lineRule="auto"/>
        <w:rPr>
          <w:sz w:val="20"/>
          <w:szCs w:val="20"/>
          <w:color w:val="auto"/>
        </w:rPr>
      </w:pPr>
      <w:r>
        <w:rPr>
          <w:rFonts w:ascii="Times New Roman" w:cs="Times New Roman" w:eastAsia="Times New Roman" w:hAnsi="Times New Roman"/>
          <w:sz w:val="17"/>
          <w:szCs w:val="17"/>
          <w:color w:val="auto"/>
        </w:rPr>
        <w:t>Wabtec is a global provider of value-added, technology-based locomotives, equipment, systems, and services for the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six months of 2025, approximately half of the Company’s Net sales came from customers outside the United States.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Update</w:t>
      </w:r>
    </w:p>
    <w:p>
      <w:pPr>
        <w:spacing w:after="0" w:line="105" w:lineRule="exact"/>
        <w:rPr>
          <w:sz w:val="20"/>
          <w:szCs w:val="20"/>
          <w:color w:val="auto"/>
        </w:rPr>
      </w:pPr>
    </w:p>
    <w:p>
      <w:pPr>
        <w:ind w:firstLine="464"/>
        <w:spacing w:after="0" w:line="248" w:lineRule="auto"/>
        <w:rPr>
          <w:sz w:val="20"/>
          <w:szCs w:val="20"/>
          <w:color w:val="auto"/>
        </w:rPr>
      </w:pPr>
      <w:r>
        <w:rPr>
          <w:rFonts w:ascii="Times New Roman" w:cs="Times New Roman" w:eastAsia="Times New Roman" w:hAnsi="Times New Roman"/>
          <w:sz w:val="17"/>
          <w:szCs w:val="17"/>
          <w:color w:val="auto"/>
        </w:rPr>
        <w:t>On July 1, 2025, Wabtec completed the previously announced acquisition of Evident’s Inspection Technologies division (Inspection Technologies), formerly part of the Scientific Solutions Division of Olympus Corporation, for approximately $1.78 billion. Inspection Technologies is a global leader in Non-Destructive Testing, Remote Visual Inspection and Analytical Instruments solutions for mission critical assets. Inspection Technologies' industry presence and innovative product portfolio will significantly expand Wabtec's capabilities and complement the existing product portfolio of Digital Intelligence.</w:t>
      </w:r>
    </w:p>
    <w:p>
      <w:pPr>
        <w:spacing w:after="0" w:line="69" w:lineRule="exact"/>
        <w:rPr>
          <w:sz w:val="20"/>
          <w:szCs w:val="20"/>
          <w:color w:val="auto"/>
        </w:rPr>
      </w:pPr>
    </w:p>
    <w:p>
      <w:pPr>
        <w:ind w:right="300" w:firstLine="464"/>
        <w:spacing w:after="0" w:line="239" w:lineRule="auto"/>
        <w:rPr>
          <w:sz w:val="20"/>
          <w:szCs w:val="20"/>
          <w:color w:val="auto"/>
        </w:rPr>
      </w:pPr>
      <w:r>
        <w:rPr>
          <w:rFonts w:ascii="Times New Roman" w:cs="Times New Roman" w:eastAsia="Times New Roman" w:hAnsi="Times New Roman"/>
          <w:sz w:val="17"/>
          <w:szCs w:val="17"/>
          <w:color w:val="auto"/>
        </w:rPr>
        <w:t xml:space="preserve">On July 7, 2025, the Company announced a definitive agreement to acquire Frauscher Sensor Technology Group, GmbH ("Frauscher"), a global market leader in train detection, wayside object control solutions and axle counting systems, for approximately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675 million. The acquisition positions Wabtec for accelerated, profitable growth, and further strengthens the Company’s Digital Intelligence business by adding highly attractive and complementary railway signaling technologies. Additionally, during the first quarter of 2025, Wabtec announced a definitive agreement to acquire Dellner Couplers for approximately </w:t>
      </w:r>
      <w:r>
        <w:rPr>
          <w:rFonts w:ascii="Arial" w:cs="Arial" w:eastAsia="Arial" w:hAnsi="Arial"/>
          <w:sz w:val="17"/>
          <w:szCs w:val="17"/>
          <w:color w:val="auto"/>
        </w:rPr>
        <w:t>€</w:t>
      </w:r>
      <w:r>
        <w:rPr>
          <w:rFonts w:ascii="Times New Roman" w:cs="Times New Roman" w:eastAsia="Times New Roman" w:hAnsi="Times New Roman"/>
          <w:sz w:val="17"/>
          <w:szCs w:val="17"/>
          <w:color w:val="auto"/>
        </w:rPr>
        <w:t>890 million. Dellner Couplers is a global leader in highly engineered safety-critical train connection systems and services for passenger rail rolling stock. The</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acquisition brings highly attractive and complementary technologies to the Transit business and provides synergies by complementing our core transit systems portfolio. Both announced acquisitions are subject to customary closing conditions and regulatory approval. Transaction costs incurred during the three and six months ended June 30, 2025 related to completed and announced acquisitions were approximately $25 million and $35 million, respectively.</w:t>
      </w:r>
    </w:p>
    <w:p>
      <w:pPr>
        <w:spacing w:after="0" w:line="78" w:lineRule="exact"/>
        <w:rPr>
          <w:sz w:val="20"/>
          <w:szCs w:val="20"/>
          <w:color w:val="auto"/>
        </w:rPr>
      </w:pPr>
    </w:p>
    <w:p>
      <w:pPr>
        <w:ind w:firstLine="464"/>
        <w:spacing w:after="0" w:line="245" w:lineRule="auto"/>
        <w:rPr>
          <w:sz w:val="20"/>
          <w:szCs w:val="20"/>
          <w:color w:val="auto"/>
        </w:rPr>
      </w:pPr>
      <w:r>
        <w:rPr>
          <w:rFonts w:ascii="Times New Roman" w:cs="Times New Roman" w:eastAsia="Times New Roman" w:hAnsi="Times New Roman"/>
          <w:sz w:val="17"/>
          <w:szCs w:val="17"/>
          <w:color w:val="auto"/>
        </w:rPr>
        <w:t>During the first six months of 2025, Wabtec signed a $140 million new locomotive order with a North American Class I railroad, signed new locomotive, mining and service orders in the Asia-Pacific region totaling $127 million, signed two multi-year transit platform door contracts valued at $85 million, and secured a $47 million order to provide brakes and couplers for servicing a North American customer. Wabtec also continued to drive recurring revenue in the global market by winning a new service contract in Kazakhstan worth $299 million. Additionally, in March of 2025, Moody's upgraded the Senior Notes ratings to Baa2 from Baa3 and changed the outlook to stable from positive, and S&amp;P Global Ratings reaffirmed Wabtec's credit rating at BBB with a Stable outlook.</w:t>
      </w:r>
    </w:p>
    <w:p>
      <w:pPr>
        <w:spacing w:after="0" w:line="72" w:lineRule="exact"/>
        <w:rPr>
          <w:sz w:val="20"/>
          <w:szCs w:val="20"/>
          <w:color w:val="auto"/>
        </w:rPr>
      </w:pPr>
    </w:p>
    <w:p>
      <w:pPr>
        <w:ind w:right="140" w:firstLine="464"/>
        <w:spacing w:after="0" w:line="254" w:lineRule="auto"/>
        <w:rPr>
          <w:sz w:val="20"/>
          <w:szCs w:val="20"/>
          <w:color w:val="auto"/>
        </w:rPr>
      </w:pPr>
      <w:r>
        <w:rPr>
          <w:rFonts w:ascii="Times New Roman" w:cs="Times New Roman" w:eastAsia="Times New Roman" w:hAnsi="Times New Roman"/>
          <w:sz w:val="17"/>
          <w:szCs w:val="17"/>
          <w:color w:val="auto"/>
        </w:rPr>
        <w:t>Wabtec is focused on driving operational efficiency and improving profitability while reducing manufacturing complexity. As a result, there are restructuring initiatives, including Integration 3.0, Portfolio Optimization and Integration 2.0, aimed at achieving these focus areas. During the first six months of 2025, Wabtec incurred $15 million of restructuring costs related to programs under these initiatives, primarily for employee-related costs.</w:t>
      </w:r>
    </w:p>
    <w:p>
      <w:pPr>
        <w:spacing w:after="0" w:line="63" w:lineRule="exact"/>
        <w:rPr>
          <w:sz w:val="20"/>
          <w:szCs w:val="20"/>
          <w:color w:val="auto"/>
        </w:rPr>
      </w:pPr>
    </w:p>
    <w:p>
      <w:pPr>
        <w:ind w:right="40" w:firstLine="464"/>
        <w:spacing w:after="0" w:line="241" w:lineRule="auto"/>
        <w:rPr>
          <w:sz w:val="20"/>
          <w:szCs w:val="20"/>
          <w:color w:val="auto"/>
        </w:rPr>
      </w:pPr>
      <w:r>
        <w:rPr>
          <w:rFonts w:ascii="Times New Roman" w:cs="Times New Roman" w:eastAsia="Times New Roman" w:hAnsi="Times New Roman"/>
          <w:sz w:val="17"/>
          <w:szCs w:val="17"/>
          <w:color w:val="auto"/>
        </w:rPr>
        <w:t>Future macroeconomic volatility, changes to tariffs and trade policies, supply chain disruptions, and labor availability could cause an impact on revenue and cost increases resulting in an adverse effect on the Company’s operating results. Additionally, broad-based inflation, metals, energy and other commodity costs, transportation and logistics costs, labor costs, and foreign currency exchange rate fluctuations all continue to impact our results. The Company utilizes various mitigating actions intended to lessen the impact of macroeconomic volatility. These actions include implementing price escalations and surcharges, driving operational efficiencies through various cost mitigation efforts and discretionary spend management, strategically sourcing materials, reviewing and modifying distribution logistics, and accelerating integration synergies through our strategic initiatives.</w:t>
      </w:r>
    </w:p>
    <w:p>
      <w:pPr>
        <w:spacing w:after="0" w:line="86" w:lineRule="exact"/>
        <w:rPr>
          <w:sz w:val="20"/>
          <w:szCs w:val="20"/>
          <w:color w:val="auto"/>
        </w:rPr>
      </w:pPr>
    </w:p>
    <w:p>
      <w:pPr>
        <w:ind w:right="28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2025, Company Management determined that certain businesses within the Services product line would be better aligned with Management oversight in the Components product line. As such, Sales by product line for 2024 and 2023 have been recast to conform to the current period presentation. These changes were within the Freight Segment and had no impact on Total Freight Segment Sales, Gross profit, or Income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SECOND QUARTER 2025 COMPARED TO SECOND QUARTER 2024</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4"/>
          </w:tcPr>
          <w:p>
            <w:pPr>
              <w:jc w:val="right"/>
              <w:ind w:right="775"/>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5"/>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10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jc w:val="right"/>
              <w:ind w:right="535"/>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8"/>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2,226</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2,644</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(1,490)</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(1,770)</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Engineering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and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Other income,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in the three months ended June 30, 2025 from the three months ended June 30,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20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Transit Segment</w:t>
            </w: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Second Quarter 2024 Net sales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w:t>
            </w:r>
          </w:p>
        </w:tc>
      </w:tr>
      <w:tr>
        <w:trPr>
          <w:trHeight w:val="219"/>
        </w:trPr>
        <w:tc>
          <w:tcPr>
            <w:tcW w:w="2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9"/>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Organic</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7"/>
        </w:trPr>
        <w:tc>
          <w:tcPr>
            <w:tcW w:w="6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Second Quarter 2025 Net sales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8"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7"/>
          <w:szCs w:val="17"/>
          <w:color w:val="auto"/>
        </w:rPr>
        <w:t>Net sales for the three months ended June 30, 2025 increased by $62 million, or 2.3%, to $2.71 billion compared to the same period in 2024. Organic sales increased $24 million which was attributable to the Transit Segment, partially offset by the Freight Segment. Transit sales increased from higher demand for Original Equipment Manufacturing and Aftermarket products and services driven by increased investments in sustainable infrastructure, fleet expansion and renewals and increased passenger ridership levels. Freight Components sales decreased primarily due to lower North America rail car build and the exit of low margin business offerings through Portfolio Optimization. Freight Equipment sales decreased primarily due to lower mining sales and lower locomotive deliveries due to a supplied part issue. Freight Services sales increased from higher deliveries of locomotive modernizations and higher parts sales. Sales from acquisitions contributed $27 million, and favorable changes in foreign exchange increased Net sales by $11 million.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05" w:lineRule="exact"/>
        <w:rPr>
          <w:sz w:val="20"/>
          <w:szCs w:val="20"/>
          <w:color w:val="auto"/>
        </w:rPr>
      </w:pPr>
    </w:p>
    <w:p>
      <w:pPr>
        <w:ind w:right="280" w:firstLine="464"/>
        <w:spacing w:after="0" w:line="245" w:lineRule="auto"/>
        <w:rPr>
          <w:sz w:val="20"/>
          <w:szCs w:val="20"/>
          <w:color w:val="auto"/>
        </w:rPr>
      </w:pPr>
      <w:r>
        <w:rPr>
          <w:rFonts w:ascii="Times New Roman" w:cs="Times New Roman" w:eastAsia="Times New Roman" w:hAnsi="Times New Roman"/>
          <w:sz w:val="17"/>
          <w:szCs w:val="17"/>
          <w:color w:val="auto"/>
        </w:rPr>
        <w:t>Cost of sales for the three months ended June 30, 2025 decreased by $2 million, or 0.1%, to $1.77 billion compared to the same period in 2024. Cost of sales as a percentage of Net sales was 65.3% and 67.0% for the three months ended June 30, 2025 and 2024, respectively. The improvement in gross margin is attributable to favorable mix within the Freight Segment, strong productivity and cost management, Integration 2.0 and 3.0 savings, and the exit of low margin business offerings through Portfolio Optimization. Costs of sales for the three months ended June 30, 2025 and 2024 included $3 million and $6 million, respectively, of costs related to restructuring initiatives.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92" w:lineRule="exact"/>
        <w:rPr>
          <w:sz w:val="20"/>
          <w:szCs w:val="20"/>
          <w:color w:val="auto"/>
        </w:rPr>
      </w:pPr>
    </w:p>
    <w:p>
      <w:pPr>
        <w:ind w:firstLine="464"/>
        <w:spacing w:after="0" w:line="243" w:lineRule="auto"/>
        <w:rPr>
          <w:sz w:val="20"/>
          <w:szCs w:val="20"/>
          <w:color w:val="auto"/>
        </w:rPr>
      </w:pPr>
      <w:r>
        <w:rPr>
          <w:rFonts w:ascii="Times New Roman" w:cs="Times New Roman" w:eastAsia="Times New Roman" w:hAnsi="Times New Roman"/>
          <w:sz w:val="17"/>
          <w:szCs w:val="17"/>
          <w:color w:val="auto"/>
        </w:rPr>
        <w:t>Total operating expenses increased $22 million, or 5.0%, for the three months ended June 30, 2025 compared to the same period in 2024, primarily due to the increase in Net sales and transaction costs associated with announced acquisitions. Operating expenses as a percentage of sales were 17.2% and 16.8% for the three months ended June 30, 2025 and 2024, respectively. Selling, general and administrative expenses ("SG&amp;A") increased $31 million for the three months ended June 30, 2025 compared to the same period in 2024. The increase is primarily from transaction costs associated with announced acquisitions and costs incurred to support the higher sales volume, partially offset by the impacts of Integration 2.0. Transaction costs associated with announced acquisitions included in SG&amp;A were $25 million for three months ended June 30, 2025. SG&amp;A for the three months ended June 30, 2025 and 2024 both included $3 million of costs related to restructuring initiatives. Engineering expenses decreased $7 million due to the timing of investments in new technology.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 net</w:t>
      </w:r>
    </w:p>
    <w:p>
      <w:pPr>
        <w:spacing w:after="0" w:line="118" w:lineRule="exact"/>
        <w:rPr>
          <w:sz w:val="20"/>
          <w:szCs w:val="20"/>
          <w:color w:val="auto"/>
        </w:rPr>
      </w:pPr>
    </w:p>
    <w:p>
      <w:pPr>
        <w:ind w:right="120" w:firstLine="464"/>
        <w:spacing w:after="0" w:line="287" w:lineRule="auto"/>
        <w:rPr>
          <w:sz w:val="20"/>
          <w:szCs w:val="20"/>
          <w:color w:val="auto"/>
        </w:rPr>
      </w:pPr>
      <w:r>
        <w:rPr>
          <w:rFonts w:ascii="Times New Roman" w:cs="Times New Roman" w:eastAsia="Times New Roman" w:hAnsi="Times New Roman"/>
          <w:sz w:val="17"/>
          <w:szCs w:val="17"/>
          <w:color w:val="auto"/>
        </w:rPr>
        <w:t>Interest expense, net, decreased $3 million to $46 million for the three months ended June 30, 2025 compared to the same period in 2024, primarily due to interest income earned on cash balances.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net</w:t>
      </w:r>
    </w:p>
    <w:p>
      <w:pPr>
        <w:spacing w:after="0" w:line="118" w:lineRule="exact"/>
        <w:rPr>
          <w:sz w:val="20"/>
          <w:szCs w:val="20"/>
          <w:color w:val="auto"/>
        </w:rPr>
      </w:pPr>
    </w:p>
    <w:p>
      <w:pPr>
        <w:ind w:right="160" w:firstLine="464"/>
        <w:spacing w:after="0" w:line="270" w:lineRule="auto"/>
        <w:rPr>
          <w:sz w:val="20"/>
          <w:szCs w:val="20"/>
          <w:color w:val="auto"/>
        </w:rPr>
      </w:pPr>
      <w:r>
        <w:rPr>
          <w:rFonts w:ascii="Times New Roman" w:cs="Times New Roman" w:eastAsia="Times New Roman" w:hAnsi="Times New Roman"/>
          <w:sz w:val="17"/>
          <w:szCs w:val="17"/>
          <w:color w:val="auto"/>
        </w:rPr>
        <w:t>Other income, net increased $20 million to $24 million for the three months ended June 30, 2025 compared to the same period in 2024, primarily due to a $32 million gain on mark-to-market derivatives in the current period associated with the anticipated acquisition of Dellner Couplers, partially offset by lower equity income and higher foreign exchange losses.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ind w:right="260" w:firstLine="464"/>
        <w:spacing w:after="0" w:line="287" w:lineRule="auto"/>
        <w:rPr>
          <w:sz w:val="20"/>
          <w:szCs w:val="20"/>
          <w:color w:val="auto"/>
        </w:rPr>
      </w:pPr>
      <w:r>
        <w:rPr>
          <w:rFonts w:ascii="Times New Roman" w:cs="Times New Roman" w:eastAsia="Times New Roman" w:hAnsi="Times New Roman"/>
          <w:sz w:val="17"/>
          <w:szCs w:val="17"/>
          <w:color w:val="auto"/>
        </w:rPr>
        <w:t>The effective income tax rate was 24.8% and 24.5% for the three months ended June 30, 2025 and 2024, respectively. The year over year increase in the effective rate was primarily driven by the jurisdictional mix of earnings.</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44"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Freight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Freight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1620" w:type="dxa"/>
            <w:vAlign w:val="bottom"/>
            <w:tcBorders>
              <w:top w:val="single" w:sz="8" w:color="auto"/>
            </w:tcBorders>
          </w:tcPr>
          <w:p>
            <w:pPr>
              <w:jc w:val="right"/>
              <w:ind w:right="375"/>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1,440</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1,423</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497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2"/>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1,919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1,920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(279)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r>
      <w:tr>
        <w:trPr>
          <w:trHeight w:val="212"/>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(1,222)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(1,251)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63.7 %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65.2 %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(1.5)</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391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21.6 %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20.4 %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16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Freight Segment in the second quarter of 2025 from the second quarter of 2024:</w:t>
      </w:r>
    </w:p>
    <w:tbl>
      <w:tblPr>
        <w:tblLayout w:type="fixed"/>
        <w:tblInd w:w="0" w:type="dxa"/>
        <w:tblCellMar>
          <w:top w:w="0" w:type="dxa"/>
          <w:left w:w="0" w:type="dxa"/>
          <w:bottom w:w="0" w:type="dxa"/>
          <w:right w:w="0" w:type="dxa"/>
        </w:tblCellMar>
      </w:tblPr>
      <w:tr>
        <w:trPr>
          <w:trHeight w:val="153"/>
        </w:trPr>
        <w:tc>
          <w:tcPr>
            <w:tcW w:w="97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Second Quarter 2024 Net sales</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Services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Components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Equipment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Digital Intelligence</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7"/>
        </w:trPr>
        <w:tc>
          <w:tcPr>
            <w:tcW w:w="97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Second Quarter 2025 Net sales</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Freight Segment organic sales decreased by $8 million driven primarily by Components sales from lower North America rail car build and the exit of low margin business offerings through Portfolio Optimization and Equipment sales from lower mining sales and lower locomotive deliveries due to a supplied part issue. This was partially offset by increased Services sales from higher deliveries of locomotive modernizations and higher parts sales. Sales from acquisitions contributed $18 million, and unfavorable changes in foreign exchange decreased sales by $11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Freight Segment Cost of sales decreased $29 million, primarily from the exit of low margin business offerings through Portfolio Optimization, and Cost of sales as a percentage of Net sales decreased 1.5 percentage points. The improvement in gross margin is attributable to favorable mix within the Freight Segment product lines, strong productivity and cost management, and Portfolio Optimization. Cost of sales for the three months ended June 30, 2025 and 2024 included $2 million and $5 million, respectively, of costs related to restructuring initiatives.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Freight Segment Operating expenses as a percentage of Net sales were 14.7% and 14.4% for the three months ended June 30, 2025 and 2024, respectively. Freight Segment Operating expenses increased by $4 million, primarily driven by higher SG&amp;A expenses resulting from acquisitions, partially offset by a reduction in research and development costs and lower amortization expense for intangibles associated with the GE Transportation acquisition.</w:t>
      </w: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983"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Transit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Transit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6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55"/>
              <w:spacing w:after="0" w:line="154"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1620" w:type="dxa"/>
            <w:vAlign w:val="bottom"/>
            <w:tcBorders>
              <w:top w:val="single" w:sz="8" w:color="auto"/>
            </w:tcBorders>
          </w:tcPr>
          <w:p>
            <w:pPr>
              <w:jc w:val="right"/>
              <w:ind w:right="376"/>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2"/>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8.7 %</w:t>
            </w:r>
          </w:p>
        </w:tc>
      </w:tr>
      <w:tr>
        <w:trPr>
          <w:trHeight w:val="219"/>
        </w:trPr>
        <w:tc>
          <w:tcPr>
            <w:tcW w:w="4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(519)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5.2 %</w:t>
            </w:r>
          </w:p>
        </w:tc>
      </w:tr>
      <w:tr>
        <w:trPr>
          <w:trHeight w:val="212"/>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69.3 %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71.7 %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(2.4)</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44"/>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13.9 %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11.3 %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16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Transit Segment in the second quarter of 2025 from the second quarter of 2024:</w:t>
      </w:r>
    </w:p>
    <w:tbl>
      <w:tblPr>
        <w:tblLayout w:type="fixed"/>
        <w:tblInd w:w="0" w:type="dxa"/>
        <w:tblCellMar>
          <w:top w:w="0" w:type="dxa"/>
          <w:left w:w="0" w:type="dxa"/>
          <w:bottom w:w="0" w:type="dxa"/>
          <w:right w:w="0" w:type="dxa"/>
        </w:tblCellMar>
      </w:tblPr>
      <w:tr>
        <w:trPr>
          <w:trHeight w:val="153"/>
        </w:trPr>
        <w:tc>
          <w:tcPr>
            <w:tcW w:w="97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Second Quarter 2024 Net sales</w:t>
            </w: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Original Equipment Manufacturing</w:t>
            </w: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Aftermarket</w:t>
            </w:r>
          </w:p>
        </w:tc>
        <w:tc>
          <w:tcPr>
            <w:tcW w:w="6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7"/>
        </w:trPr>
        <w:tc>
          <w:tcPr>
            <w:tcW w:w="97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Second Quarter 2025 Net sales</w:t>
            </w: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0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ind w:right="60" w:firstLine="464"/>
        <w:spacing w:after="0" w:line="270" w:lineRule="auto"/>
        <w:rPr>
          <w:sz w:val="20"/>
          <w:szCs w:val="20"/>
          <w:color w:val="auto"/>
        </w:rPr>
      </w:pPr>
      <w:r>
        <w:rPr>
          <w:rFonts w:ascii="Times New Roman" w:cs="Times New Roman" w:eastAsia="Times New Roman" w:hAnsi="Times New Roman"/>
          <w:sz w:val="17"/>
          <w:szCs w:val="17"/>
          <w:color w:val="auto"/>
        </w:rPr>
        <w:t>Transit Segment organic sales increased by $32 million driven by strong Original Equipment Manufacturing and Aftermarket sales primarily as a result of increased demand for products and services due to fleet expansion and renewals and increased passenger ridership levels, and increased investments in sustainable infrastructure. Sales from acquisitions contributed $9 million, and favorable changes in foreign exchange rates increased sales by $22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240" w:firstLine="464"/>
        <w:spacing w:after="0" w:line="264" w:lineRule="auto"/>
        <w:rPr>
          <w:sz w:val="20"/>
          <w:szCs w:val="20"/>
          <w:color w:val="auto"/>
        </w:rPr>
      </w:pPr>
      <w:r>
        <w:rPr>
          <w:rFonts w:ascii="Times New Roman" w:cs="Times New Roman" w:eastAsia="Times New Roman" w:hAnsi="Times New Roman"/>
          <w:sz w:val="17"/>
          <w:szCs w:val="17"/>
          <w:color w:val="auto"/>
        </w:rPr>
        <w:t>Transit Segment Cost of sales increased by $27 million, primarily due to higher sales volume, and Cost of sales as a percentage of Net sales decreased by 2.4 percentage points. The increase in gross margin was attributable to increased productivity and the benefits from structured cost actions taken through prior years' restructuring and integration projects, primarily Integration 2.0 and 3.0. Transit Segment Cost of sales for the three months ended June 30, 2025 and 2024 both included $1 million of costs related to restructuring initiatives.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jc w:val="both"/>
        <w:ind w:right="100" w:firstLine="464"/>
        <w:spacing w:after="0" w:line="264" w:lineRule="auto"/>
        <w:rPr>
          <w:sz w:val="20"/>
          <w:szCs w:val="20"/>
          <w:color w:val="auto"/>
        </w:rPr>
      </w:pPr>
      <w:r>
        <w:rPr>
          <w:rFonts w:ascii="Times New Roman" w:cs="Times New Roman" w:eastAsia="Times New Roman" w:hAnsi="Times New Roman"/>
          <w:sz w:val="17"/>
          <w:szCs w:val="17"/>
          <w:color w:val="auto"/>
        </w:rPr>
        <w:t>Transit Segment Operating expenses as a percentage of Net sales were 16.8% and 17.0% for the three months ended June 30, 2025 and 2024, respectively. Transit Segment Operating expenses increased by $9 million as compared to the prior year. Higher SG&amp;A expenses to support higher sales volume were partially offset by benefits from structured cost actions taken through Integration 2.0 and prior years' restructuring and integration projects. Transit SG&amp;A expenses for the three months ended June 30, 2025 and 2024 included $4 million and $3 million, respectively, of costs related to restructuring initiatives.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FIRST SIX MONTHS OF 2025 COMPARED TO FIRST SIX MONTHS OF 2024</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94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49"/>
        </w:trPr>
        <w:tc>
          <w:tcPr>
            <w:tcW w:w="64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ind w:right="516"/>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jc w:val="right"/>
              <w:ind w:right="535"/>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8"/>
        </w:trPr>
        <w:tc>
          <w:tcPr>
            <w:tcW w:w="6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4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4,152</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w:t>
            </w:r>
          </w:p>
        </w:tc>
      </w:tr>
      <w:tr>
        <w:trPr>
          <w:trHeight w:val="212"/>
        </w:trPr>
        <w:tc>
          <w:tcPr>
            <w:tcW w:w="20" w:type="dxa"/>
            <w:vAlign w:val="bottom"/>
          </w:tcPr>
          <w:p>
            <w:pPr>
              <w:spacing w:after="0"/>
              <w:rPr>
                <w:sz w:val="18"/>
                <w:szCs w:val="18"/>
                <w:color w:val="auto"/>
              </w:rPr>
            </w:pPr>
          </w:p>
        </w:tc>
        <w:tc>
          <w:tcPr>
            <w:tcW w:w="64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5,141</w:t>
            </w:r>
          </w:p>
        </w:tc>
      </w:tr>
      <w:tr>
        <w:trPr>
          <w:trHeight w:val="219"/>
        </w:trPr>
        <w:tc>
          <w:tcPr>
            <w:tcW w:w="6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4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(2,901)</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w:t>
            </w:r>
          </w:p>
        </w:tc>
      </w:tr>
      <w:tr>
        <w:trPr>
          <w:trHeight w:val="212"/>
        </w:trPr>
        <w:tc>
          <w:tcPr>
            <w:tcW w:w="20" w:type="dxa"/>
            <w:vAlign w:val="bottom"/>
            <w:tcBorders>
              <w:bottom w:val="single" w:sz="8" w:color="CCEEFF"/>
            </w:tcBorders>
          </w:tcPr>
          <w:p>
            <w:pPr>
              <w:spacing w:after="0"/>
              <w:rPr>
                <w:sz w:val="18"/>
                <w:szCs w:val="18"/>
                <w:color w:val="auto"/>
              </w:rPr>
            </w:pPr>
          </w:p>
        </w:tc>
        <w:tc>
          <w:tcPr>
            <w:tcW w:w="644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2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(3,452)</w:t>
            </w:r>
          </w:p>
        </w:tc>
      </w:tr>
      <w:tr>
        <w:trPr>
          <w:trHeight w:val="212"/>
        </w:trPr>
        <w:tc>
          <w:tcPr>
            <w:tcW w:w="20" w:type="dxa"/>
            <w:vAlign w:val="bottom"/>
            <w:shd w:val="clear" w:color="auto" w:fill="CCEEFF"/>
          </w:tcPr>
          <w:p>
            <w:pPr>
              <w:spacing w:after="0"/>
              <w:rPr>
                <w:sz w:val="18"/>
                <w:szCs w:val="18"/>
                <w:color w:val="auto"/>
              </w:rPr>
            </w:pPr>
          </w:p>
        </w:tc>
        <w:tc>
          <w:tcPr>
            <w:tcW w:w="6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w:t>
            </w:r>
          </w:p>
        </w:tc>
      </w:tr>
      <w:tr>
        <w:trPr>
          <w:trHeight w:val="219"/>
        </w:trPr>
        <w:tc>
          <w:tcPr>
            <w:tcW w:w="64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r>
      <w:tr>
        <w:trPr>
          <w:trHeight w:val="219"/>
        </w:trPr>
        <w:tc>
          <w:tcPr>
            <w:tcW w:w="20" w:type="dxa"/>
            <w:vAlign w:val="bottom"/>
          </w:tcPr>
          <w:p>
            <w:pPr>
              <w:spacing w:after="0"/>
              <w:rPr>
                <w:sz w:val="19"/>
                <w:szCs w:val="19"/>
                <w:color w:val="auto"/>
              </w:rPr>
            </w:pPr>
          </w:p>
        </w:tc>
        <w:tc>
          <w:tcPr>
            <w:tcW w:w="64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Engineering expenses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expense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12"/>
        </w:trPr>
        <w:tc>
          <w:tcPr>
            <w:tcW w:w="20" w:type="dxa"/>
            <w:vAlign w:val="bottom"/>
            <w:tcBorders>
              <w:bottom w:val="single" w:sz="8" w:color="CCEEFF"/>
            </w:tcBorders>
          </w:tcPr>
          <w:p>
            <w:pPr>
              <w:spacing w:after="0"/>
              <w:rPr>
                <w:sz w:val="18"/>
                <w:szCs w:val="18"/>
                <w:color w:val="auto"/>
              </w:rPr>
            </w:pPr>
          </w:p>
        </w:tc>
        <w:tc>
          <w:tcPr>
            <w:tcW w:w="644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w:t>
            </w:r>
          </w:p>
        </w:tc>
      </w:tr>
      <w:tr>
        <w:trPr>
          <w:trHeight w:val="212"/>
        </w:trPr>
        <w:tc>
          <w:tcPr>
            <w:tcW w:w="20" w:type="dxa"/>
            <w:vAlign w:val="bottom"/>
            <w:shd w:val="clear" w:color="auto" w:fill="CCEEFF"/>
          </w:tcPr>
          <w:p>
            <w:pPr>
              <w:spacing w:after="0"/>
              <w:rPr>
                <w:sz w:val="18"/>
                <w:szCs w:val="18"/>
                <w:color w:val="auto"/>
              </w:rPr>
            </w:pPr>
          </w:p>
        </w:tc>
        <w:tc>
          <w:tcPr>
            <w:tcW w:w="6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from operations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w:t>
            </w:r>
          </w:p>
        </w:tc>
      </w:tr>
      <w:tr>
        <w:trPr>
          <w:trHeight w:val="219"/>
        </w:trPr>
        <w:tc>
          <w:tcPr>
            <w:tcW w:w="64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income and expenses: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9"/>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7"/>
                <w:szCs w:val="17"/>
                <w:color w:val="auto"/>
              </w:rPr>
              <w:t>Other income, net</w:t>
            </w: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20" w:type="dxa"/>
            <w:vAlign w:val="bottom"/>
            <w:shd w:val="clear" w:color="auto" w:fill="CCEEFF"/>
          </w:tcPr>
          <w:p>
            <w:pPr>
              <w:spacing w:after="0"/>
              <w:rPr>
                <w:sz w:val="18"/>
                <w:szCs w:val="18"/>
                <w:color w:val="auto"/>
              </w:rPr>
            </w:pPr>
          </w:p>
        </w:tc>
        <w:tc>
          <w:tcPr>
            <w:tcW w:w="6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r>
      <w:tr>
        <w:trPr>
          <w:trHeight w:val="219"/>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12"/>
        </w:trPr>
        <w:tc>
          <w:tcPr>
            <w:tcW w:w="20" w:type="dxa"/>
            <w:vAlign w:val="bottom"/>
            <w:shd w:val="clear" w:color="auto" w:fill="CCEEFF"/>
          </w:tcPr>
          <w:p>
            <w:pPr>
              <w:spacing w:after="0"/>
              <w:rPr>
                <w:sz w:val="18"/>
                <w:szCs w:val="18"/>
                <w:color w:val="auto"/>
              </w:rPr>
            </w:pPr>
          </w:p>
        </w:tc>
        <w:tc>
          <w:tcPr>
            <w:tcW w:w="6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r>
      <w:tr>
        <w:trPr>
          <w:trHeight w:val="219"/>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11220" w:type="dxa"/>
            <w:vAlign w:val="bottom"/>
            <w:gridSpan w:val="13"/>
          </w:tcPr>
          <w:p>
            <w:pPr>
              <w:jc w:val="right"/>
              <w:ind w:right="315"/>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in the six months ended June 30, 2025 from the six months ended June 30,</w:t>
            </w:r>
          </w:p>
        </w:tc>
      </w:tr>
      <w:tr>
        <w:trPr>
          <w:trHeight w:val="223"/>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2024:</w:t>
            </w:r>
          </w:p>
        </w:tc>
        <w:tc>
          <w:tcPr>
            <w:tcW w:w="4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67"/>
        </w:trPr>
        <w:tc>
          <w:tcPr>
            <w:tcW w:w="6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18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Transit Segment</w:t>
            </w:r>
          </w:p>
        </w:tc>
        <w:tc>
          <w:tcPr>
            <w:tcW w:w="580" w:type="dxa"/>
            <w:vAlign w:val="bottom"/>
          </w:tcPr>
          <w:p>
            <w:pPr>
              <w:spacing w:after="0"/>
              <w:rPr>
                <w:sz w:val="14"/>
                <w:szCs w:val="14"/>
                <w:color w:val="auto"/>
              </w:rPr>
            </w:pPr>
          </w:p>
        </w:tc>
        <w:tc>
          <w:tcPr>
            <w:tcW w:w="9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32"/>
        </w:trPr>
        <w:tc>
          <w:tcPr>
            <w:tcW w:w="20" w:type="dxa"/>
            <w:vAlign w:val="bottom"/>
            <w:tcBorders>
              <w:bottom w:val="single" w:sz="8" w:color="CCEEFF"/>
            </w:tcBorders>
          </w:tcPr>
          <w:p>
            <w:pPr>
              <w:spacing w:after="0"/>
              <w:rPr>
                <w:sz w:val="2"/>
                <w:szCs w:val="2"/>
                <w:color w:val="auto"/>
              </w:rPr>
            </w:pPr>
          </w:p>
        </w:tc>
        <w:tc>
          <w:tcPr>
            <w:tcW w:w="58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Six Months of 2024 Net sales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w:t>
            </w:r>
          </w:p>
        </w:tc>
      </w:tr>
      <w:tr>
        <w:trPr>
          <w:trHeight w:val="219"/>
        </w:trPr>
        <w:tc>
          <w:tcPr>
            <w:tcW w:w="20" w:type="dxa"/>
            <w:vAlign w:val="bottom"/>
          </w:tcPr>
          <w:p>
            <w:pPr>
              <w:spacing w:after="0"/>
              <w:rPr>
                <w:sz w:val="19"/>
                <w:szCs w:val="19"/>
                <w:color w:val="auto"/>
              </w:rPr>
            </w:pP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9"/>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7"/>
                <w:szCs w:val="17"/>
                <w:color w:val="auto"/>
              </w:rPr>
              <w:t>Organic</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37"/>
        </w:trPr>
        <w:tc>
          <w:tcPr>
            <w:tcW w:w="6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Six Months of 2025 Net sales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8" w:lineRule="exact"/>
        <w:rPr>
          <w:sz w:val="20"/>
          <w:szCs w:val="20"/>
          <w:color w:val="auto"/>
        </w:rPr>
      </w:pPr>
    </w:p>
    <w:p>
      <w:pPr>
        <w:ind w:right="160" w:firstLine="464"/>
        <w:spacing w:after="0" w:line="260" w:lineRule="auto"/>
        <w:rPr>
          <w:sz w:val="20"/>
          <w:szCs w:val="20"/>
          <w:color w:val="auto"/>
        </w:rPr>
      </w:pPr>
      <w:r>
        <w:rPr>
          <w:rFonts w:ascii="Times New Roman" w:cs="Times New Roman" w:eastAsia="Times New Roman" w:hAnsi="Times New Roman"/>
          <w:sz w:val="17"/>
          <w:szCs w:val="17"/>
          <w:color w:val="auto"/>
        </w:rPr>
        <w:t>Net sales for the six months ended June 30, 2025 increased by $175 million, or 3.4%, to $5.32 billion compared to the same period in 2024. Organic sales increased $157 million which was attributable to both the Freight and Transit Segments. Freight Services sales increased from higher deliveries of locomotive modernizations and engine overhauls and higher parts sales. Freight Equipment sales decreased primarily due to lower locomotive deliveries and lower mining sales. Transit sales increased from higher demand for Original Equipment Manufacturing and Aftermarket products and services driven by increased investments in sustainable infrastructure, fleet expansion and renewals and increased passenger ridership levels. Sales from acquisitions contributed $50 million, and unfavorable changes in foreign exchange rates decreased Net sales by $32 million.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05" w:lineRule="exact"/>
        <w:rPr>
          <w:sz w:val="20"/>
          <w:szCs w:val="20"/>
          <w:color w:val="auto"/>
        </w:rPr>
      </w:pPr>
    </w:p>
    <w:p>
      <w:pPr>
        <w:ind w:right="80" w:firstLine="464"/>
        <w:spacing w:after="0" w:line="245" w:lineRule="auto"/>
        <w:rPr>
          <w:sz w:val="20"/>
          <w:szCs w:val="20"/>
          <w:color w:val="auto"/>
        </w:rPr>
      </w:pPr>
      <w:r>
        <w:rPr>
          <w:rFonts w:ascii="Times New Roman" w:cs="Times New Roman" w:eastAsia="Times New Roman" w:hAnsi="Times New Roman"/>
          <w:sz w:val="17"/>
          <w:szCs w:val="17"/>
          <w:color w:val="auto"/>
        </w:rPr>
        <w:t>Cost of sales for the six months ended June 30, 2025 increased by $26 million, or 0.8%, to $3.48 billion compared to the same period in 2024. The increase is primarily due to the increase in Net sales. Cost of sales as a percentage of Net sales was 65.4% and 67.2% for the six months ended June 30, 2025 and 2024, respectively. The improvement in gross margin is attributable to favorable mix within the Freight Segment, strong productivity and cost management, Integration 2.0 and 3.0 savings, and the exit of low margin business offerings through Portfolio Optimization. Cost of sales for the six months ended June 30, 2025 and 2024 included $6 million and $12 million, respectively, of costs related to restructuring initiatives.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92" w:lineRule="exact"/>
        <w:rPr>
          <w:sz w:val="20"/>
          <w:szCs w:val="20"/>
          <w:color w:val="auto"/>
        </w:rPr>
      </w:pPr>
    </w:p>
    <w:p>
      <w:pPr>
        <w:ind w:right="80" w:firstLine="464"/>
        <w:spacing w:after="0" w:line="243" w:lineRule="auto"/>
        <w:rPr>
          <w:sz w:val="20"/>
          <w:szCs w:val="20"/>
          <w:color w:val="auto"/>
        </w:rPr>
      </w:pPr>
      <w:r>
        <w:rPr>
          <w:rFonts w:ascii="Times New Roman" w:cs="Times New Roman" w:eastAsia="Times New Roman" w:hAnsi="Times New Roman"/>
          <w:sz w:val="17"/>
          <w:szCs w:val="17"/>
          <w:color w:val="auto"/>
        </w:rPr>
        <w:t>Total operating expenses increased $45 million, or 5.3%, for the six months ended June 30, 2025 compared to the same period in 2024, primarily due to the increase in Net sales and transaction costs associated with announced acquisitions. Operating expenses as a percentage of sales were 16.8% and 16.5% for the six months ended June 30, 2025 and 2024, respectively. SG&amp;A expenses increased $57 million for the six months ended June 30, 2025 compared to the same period in 2024. The increase is primarily from costs incurred to support the higher sales volume, transaction costs associated with announced acquisitions and higher employee compensation and benefit costs, partially offset by the impacts of Integration 2.0 and 3.0. Transaction costs associated with announced acquisitions included in SG&amp;A were $35 million for six months ended June 30, 2025. SG&amp;A for the six months ended June 30, 2025 and 2024 included $8 million and $6 million, respectively, of costs related to restructuring initiatives. Engineering expenses decreased $9 million due to the timing of investments in new technology.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 net</w:t>
      </w:r>
    </w:p>
    <w:p>
      <w:pPr>
        <w:spacing w:after="0" w:line="118" w:lineRule="exact"/>
        <w:rPr>
          <w:sz w:val="20"/>
          <w:szCs w:val="20"/>
          <w:color w:val="auto"/>
        </w:rPr>
      </w:pPr>
    </w:p>
    <w:p>
      <w:pPr>
        <w:ind w:right="300" w:firstLine="464"/>
        <w:spacing w:after="0" w:line="287" w:lineRule="auto"/>
        <w:rPr>
          <w:sz w:val="20"/>
          <w:szCs w:val="20"/>
          <w:color w:val="auto"/>
        </w:rPr>
      </w:pPr>
      <w:r>
        <w:rPr>
          <w:rFonts w:ascii="Times New Roman" w:cs="Times New Roman" w:eastAsia="Times New Roman" w:hAnsi="Times New Roman"/>
          <w:sz w:val="17"/>
          <w:szCs w:val="17"/>
          <w:color w:val="auto"/>
        </w:rPr>
        <w:t>Interest expense, net, decreased $4 million to $92 million for the six months ended June 30, 2025 compared to the same period in 2024, primarily due to interest income earned on cash balances.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net</w:t>
      </w:r>
    </w:p>
    <w:p>
      <w:pPr>
        <w:spacing w:after="0" w:line="118"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Other income, net, increased $20 million to $22 million for the six months ended June 30, 2025 compared to the same period in 2024, primarily due to a $32 million gain on mark-to-market derivatives in the current period associated with the anticipated acquisition of Dellner Couplers, partially offset by lower equity income and higher foreign exchange losses.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ind w:right="420" w:firstLine="464"/>
        <w:spacing w:after="0" w:line="287" w:lineRule="auto"/>
        <w:rPr>
          <w:sz w:val="20"/>
          <w:szCs w:val="20"/>
          <w:color w:val="auto"/>
        </w:rPr>
      </w:pPr>
      <w:r>
        <w:rPr>
          <w:rFonts w:ascii="Times New Roman" w:cs="Times New Roman" w:eastAsia="Times New Roman" w:hAnsi="Times New Roman"/>
          <w:sz w:val="17"/>
          <w:szCs w:val="17"/>
          <w:color w:val="auto"/>
        </w:rPr>
        <w:t>The effective income tax rate was 24.0% and 24.1% for the six months ended June 30, 2025 and 2024, respectively. The year over year decrease in the effective tax rate was primarily driven by the jurisdictional mix of earnings.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Freight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Freight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1620" w:type="dxa"/>
            <w:vAlign w:val="bottom"/>
            <w:tcBorders>
              <w:top w:val="single" w:sz="8" w:color="auto"/>
            </w:tcBorders>
          </w:tcPr>
          <w:p>
            <w:pPr>
              <w:jc w:val="right"/>
              <w:ind w:right="375"/>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2,890</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2,760</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984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2"/>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3,820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3,744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(1,893)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(1,902)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(548)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2"/>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(2,438)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(2,450)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63.8 %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65.4 %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(1.6)</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1,294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(535)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759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21.9 %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20.3 %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right="2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Freight Segment in the first six months of 2025 from the first six months of 2024:</w:t>
      </w:r>
    </w:p>
    <w:tbl>
      <w:tblPr>
        <w:tblLayout w:type="fixed"/>
        <w:tblInd w:w="0" w:type="dxa"/>
        <w:tblCellMar>
          <w:top w:w="0" w:type="dxa"/>
          <w:left w:w="0" w:type="dxa"/>
          <w:bottom w:w="0" w:type="dxa"/>
          <w:right w:w="0" w:type="dxa"/>
        </w:tblCellMar>
      </w:tblPr>
      <w:tr>
        <w:trPr>
          <w:trHeight w:val="153"/>
        </w:trPr>
        <w:tc>
          <w:tcPr>
            <w:tcW w:w="97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Six Months of 2024 Net sales</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3,744</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Services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Equipment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Components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9"/>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Digital Intelligence</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7"/>
        </w:trPr>
        <w:tc>
          <w:tcPr>
            <w:tcW w:w="97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Six Months of 2025 Net sales</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Freight Segment organic sales increased by $80 million driven primarily by Services sales from higher deliveries of locomotive modernizations and engine overhauls and higher parts sales. This was partially offset by decreased Equipment sales from lower locomotive deliveries and lower mining sales and decreased Components sales from lower North America rail car build and the exit of low margin business offerings through Portfolio Optimization. Sales from acquisitions contributed $33 million, and unfavorable changes in foreign exchange decreased sales by $37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140" w:firstLine="464"/>
        <w:spacing w:after="0" w:line="264" w:lineRule="auto"/>
        <w:rPr>
          <w:sz w:val="20"/>
          <w:szCs w:val="20"/>
          <w:color w:val="auto"/>
        </w:rPr>
      </w:pPr>
      <w:r>
        <w:rPr>
          <w:rFonts w:ascii="Times New Roman" w:cs="Times New Roman" w:eastAsia="Times New Roman" w:hAnsi="Times New Roman"/>
          <w:sz w:val="17"/>
          <w:szCs w:val="17"/>
          <w:color w:val="auto"/>
        </w:rPr>
        <w:t>Freight Segment Cost of sales decreased by $12 million, primarily from the exit of low margin business offerings through Portfolio Optimization, partially offset by higher sales volume, and Cost of sales as a percentage of Net sales decreased 1.6 percentage points. The improvement in gross margin is attributable to favorable mix within the Freight Segment product lines, strong productivity and cost management, Portfolio Optimization, and Integration 2.0 and 3.0. Cost of sales for the six months ended June 30, 2025 and 2024 included $4 million and $8 million, respectively, of costs related to restructuring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Freight Segment Operating expenses as a percentage of Net sales were 14.3% for both the six months ended June 30, 2025 and 2024. Freight Segment Operating expenses increased by $12 million, primarily driven by higher SG&amp;A expenses resulting from higher costs to support increased sales volume, higher employee compensation and benefit costs and incremental expense from acquisitions. This was partially offset by a reduction in research and development costs and lower amortization expense for intangibles associated with the GE Transportation acquisition.</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983"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Transit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Transit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1620" w:type="dxa"/>
            <w:vAlign w:val="bottom"/>
            <w:tcBorders>
              <w:top w:val="single" w:sz="8" w:color="auto"/>
            </w:tcBorders>
          </w:tcPr>
          <w:p>
            <w:pPr>
              <w:jc w:val="right"/>
              <w:ind w:right="376"/>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1,496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1,397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7.1 %</w:t>
            </w:r>
          </w:p>
        </w:tc>
      </w:tr>
      <w:tr>
        <w:trPr>
          <w:trHeight w:val="219"/>
        </w:trPr>
        <w:tc>
          <w:tcPr>
            <w:tcW w:w="4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(1,040)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(1,002)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3.8 %</w:t>
            </w: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69.5 %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71.7 %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(2.2)</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156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13.3 %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11.2 %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4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Transit Segment in the first six months of 2025 from the first six months of 2024:</w:t>
      </w:r>
    </w:p>
    <w:tbl>
      <w:tblPr>
        <w:tblLayout w:type="fixed"/>
        <w:tblInd w:w="0" w:type="dxa"/>
        <w:tblCellMar>
          <w:top w:w="0" w:type="dxa"/>
          <w:left w:w="0" w:type="dxa"/>
          <w:bottom w:w="0" w:type="dxa"/>
          <w:right w:w="0" w:type="dxa"/>
        </w:tblCellMar>
      </w:tblPr>
      <w:tr>
        <w:trPr>
          <w:trHeight w:val="153"/>
        </w:trPr>
        <w:tc>
          <w:tcPr>
            <w:tcW w:w="97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Six Months of 2024 Net sales</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Original Equipment Manufacturing</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Aftermarket</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37"/>
        </w:trPr>
        <w:tc>
          <w:tcPr>
            <w:tcW w:w="97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Six Months of 2025 Net sales</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ind w:right="60" w:firstLine="464"/>
        <w:spacing w:after="0" w:line="270" w:lineRule="auto"/>
        <w:rPr>
          <w:sz w:val="20"/>
          <w:szCs w:val="20"/>
          <w:color w:val="auto"/>
        </w:rPr>
      </w:pPr>
      <w:r>
        <w:rPr>
          <w:rFonts w:ascii="Times New Roman" w:cs="Times New Roman" w:eastAsia="Times New Roman" w:hAnsi="Times New Roman"/>
          <w:sz w:val="17"/>
          <w:szCs w:val="17"/>
          <w:color w:val="auto"/>
        </w:rPr>
        <w:t>Transit Segment organic sales increased by $77 million driven by strong Original Equipment Manufacturing and Aftermarket sales primarily as a result of increased demand for products and services, due to fleet expansion and renewals and increased passenger ridership levels and increased investments in sustainable infrastructure. Sales from acquisitions contributed $17 million, and favorable changes in foreign exchange rates increased sales by $5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jc w:val="both"/>
        <w:ind w:right="160" w:firstLine="464"/>
        <w:spacing w:after="0" w:line="264" w:lineRule="auto"/>
        <w:rPr>
          <w:sz w:val="20"/>
          <w:szCs w:val="20"/>
          <w:color w:val="auto"/>
        </w:rPr>
      </w:pPr>
      <w:r>
        <w:rPr>
          <w:rFonts w:ascii="Times New Roman" w:cs="Times New Roman" w:eastAsia="Times New Roman" w:hAnsi="Times New Roman"/>
          <w:sz w:val="17"/>
          <w:szCs w:val="17"/>
          <w:color w:val="auto"/>
        </w:rPr>
        <w:t>Transit Segment Cost of sales increased by $38 million, primarily due to higher sales volume, and Costs of sales as a percentage of Net sales decreased by 2.2 percentage points. The increase in gross margin is primarily attributable to increased productivity and the benefits from structured cost actions taken through Integration 2.0 and prior years' restructuring and integration projects. Transit Cost of sales for the six months ended June 30, 2025 and 2024 included $2 million and $4 million, respectively, of costs related to restructuring initiatives.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ind w:right="120" w:firstLine="464"/>
        <w:spacing w:after="0" w:line="261" w:lineRule="auto"/>
        <w:rPr>
          <w:sz w:val="20"/>
          <w:szCs w:val="20"/>
          <w:color w:val="auto"/>
        </w:rPr>
      </w:pPr>
      <w:r>
        <w:rPr>
          <w:rFonts w:ascii="Times New Roman" w:cs="Times New Roman" w:eastAsia="Times New Roman" w:hAnsi="Times New Roman"/>
          <w:sz w:val="17"/>
          <w:szCs w:val="17"/>
          <w:color w:val="auto"/>
        </w:rPr>
        <w:t>Transit Segment Operating expenses as a percentage of Net sales were 17.2% and 17.1% for the six months ended June 30, 2025 and 2024, respectively. Transit Segment Operating expenses increased by $18 million as compared to the prior year. Higher SG&amp;A expenses to support higher sales volume and higher employee compensation and benefit costs were partially offset by benefits from structured cost actions taken through Integration 2.0 and prior years' restructuring and integration projects. Transit SG&amp;A expenses for the six months ended June 30, 2025 and 2024 included $8 million and $6 million, respectively, of costs related to restructuring initiatives.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ind w:right="20" w:firstLine="464"/>
        <w:spacing w:after="0" w:line="264" w:lineRule="auto"/>
        <w:rPr>
          <w:sz w:val="20"/>
          <w:szCs w:val="20"/>
          <w:color w:val="auto"/>
        </w:rPr>
      </w:pPr>
      <w:r>
        <w:rPr>
          <w:rFonts w:ascii="Times New Roman" w:cs="Times New Roman" w:eastAsia="Times New Roman" w:hAnsi="Times New Roman"/>
          <w:sz w:val="17"/>
          <w:szCs w:val="17"/>
          <w:color w:val="auto"/>
        </w:rPr>
        <w:t>Liquidity is provided by operating cash flows, borrowings under the 2025 Credit Agreement, with a consortium of commercial banks, and proceeds from the Company’s Senior Notes. Additionally, the Company utilizes the Revolving Receivables Program and supply chain financing program described below, as well as other short-term financing agreements with certain banks, for added flexibility as part of our liquidity management strategy. The following is a summary of selected cash flow information and other relevant data:</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Six Months Ended</w:t>
            </w:r>
          </w:p>
        </w:tc>
        <w:tc>
          <w:tcPr>
            <w:tcW w:w="940" w:type="dxa"/>
            <w:vAlign w:val="bottom"/>
          </w:tcPr>
          <w:p>
            <w:pPr>
              <w:spacing w:after="0"/>
              <w:rPr>
                <w:sz w:val="14"/>
                <w:szCs w:val="14"/>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(used for):</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Operating activities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Investing activities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3"/>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Financing activities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454</w:t>
            </w: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w:t>
            </w:r>
          </w:p>
        </w:tc>
      </w:tr>
    </w:tbl>
    <w:p>
      <w:pPr>
        <w:spacing w:after="0" w:line="219" w:lineRule="exact"/>
        <w:rPr>
          <w:sz w:val="20"/>
          <w:szCs w:val="20"/>
          <w:color w:val="auto"/>
        </w:rPr>
      </w:pPr>
    </w:p>
    <w:p>
      <w:pPr>
        <w:ind w:right="6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Operating activities </w:t>
      </w:r>
      <w:r>
        <w:rPr>
          <w:rFonts w:ascii="Times New Roman" w:cs="Times New Roman" w:eastAsia="Times New Roman" w:hAnsi="Times New Roman"/>
          <w:sz w:val="17"/>
          <w:szCs w:val="17"/>
          <w:color w:val="auto"/>
        </w:rPr>
        <w:t>In the first six months of 2025, cash provided by operating activities was $400 million compared to $569 million in the first six months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2024. Significant changes to the sources and (uses) of cash for the six month periods include the following:</w:t>
      </w:r>
    </w:p>
    <w:p>
      <w:pPr>
        <w:spacing w:after="0" w:line="94" w:lineRule="exact"/>
        <w:rPr>
          <w:sz w:val="20"/>
          <w:szCs w:val="20"/>
          <w:color w:val="auto"/>
        </w:rPr>
      </w:pPr>
    </w:p>
    <w:p>
      <w:pPr>
        <w:ind w:left="620" w:hanging="15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$98 million from increased Net income, partially offset by $(32) million for a non-cash gain on mark-to-market derivatives;</w:t>
      </w:r>
    </w:p>
    <w:p>
      <w:pPr>
        <w:spacing w:after="0" w:line="165"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$(97) million from changes in receivables driven by the timing of collections from customers;</w:t>
      </w:r>
    </w:p>
    <w:p>
      <w:pPr>
        <w:spacing w:after="0" w:line="165"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 million from changes in inventory primarily driven by the timing of locomotive deliveries due to a supplied part issue; and,</w:t>
      </w:r>
    </w:p>
    <w:p>
      <w:pPr>
        <w:spacing w:after="0" w:line="165"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 million from changes to employee related benefit payments.</w:t>
      </w:r>
    </w:p>
    <w:p>
      <w:pPr>
        <w:spacing w:after="0" w:line="108" w:lineRule="exact"/>
        <w:rPr>
          <w:sz w:val="20"/>
          <w:szCs w:val="20"/>
          <w:color w:val="auto"/>
        </w:rPr>
      </w:pPr>
    </w:p>
    <w:p>
      <w:pPr>
        <w:ind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Investing activities </w:t>
      </w:r>
      <w:r>
        <w:rPr>
          <w:rFonts w:ascii="Times New Roman" w:cs="Times New Roman" w:eastAsia="Times New Roman" w:hAnsi="Times New Roman"/>
          <w:sz w:val="17"/>
          <w:szCs w:val="17"/>
          <w:color w:val="auto"/>
        </w:rPr>
        <w:t>In the first six months of 2025 and 2024, cash used for investing activities was $(98) million and $(57) million, respectively. During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first six months of 2025, Wabtec used $(83) million for additions to property, plant and equipment for investments in our facilities and manufacturing processes and used $(21) million for acquisitions. During the first six months of 2024, Wabtec used $(77) million for additions to property, plant, and equipment and received $20 million of proceeds from disposals of property, plant and equipment.</w:t>
      </w:r>
    </w:p>
    <w:p>
      <w:pPr>
        <w:spacing w:after="0" w:line="58" w:lineRule="exact"/>
        <w:rPr>
          <w:sz w:val="20"/>
          <w:szCs w:val="20"/>
          <w:color w:val="auto"/>
        </w:rPr>
      </w:pPr>
    </w:p>
    <w:p>
      <w:pPr>
        <w:ind w:right="4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activities </w:t>
      </w:r>
      <w:r>
        <w:rPr>
          <w:rFonts w:ascii="Times New Roman" w:cs="Times New Roman" w:eastAsia="Times New Roman" w:hAnsi="Times New Roman"/>
          <w:sz w:val="17"/>
          <w:szCs w:val="17"/>
          <w:color w:val="auto"/>
        </w:rPr>
        <w:t>In the first six months of 2025, cash provided by financing activities was $454 million which included $735 million from net changes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debt, $(148) million in stock repurchases, $(87) million of dividend payments, and $(39) million of payments for income tax withholding on share-based compensation. In the first six months of 2024, cash used for financing activities was $(523) million, which included $(58) million from net changes in debt, $(375) million in stock repurchases, $(71) million of dividend payments, and $(23) million of payments for income tax withholding on share-based compensation.</w:t>
      </w:r>
    </w:p>
    <w:p>
      <w:pPr>
        <w:spacing w:after="0" w:line="64" w:lineRule="exact"/>
        <w:rPr>
          <w:sz w:val="20"/>
          <w:szCs w:val="20"/>
          <w:color w:val="auto"/>
        </w:rPr>
      </w:pPr>
    </w:p>
    <w:p>
      <w:pPr>
        <w:ind w:right="320" w:firstLine="464"/>
        <w:spacing w:after="0" w:line="261" w:lineRule="auto"/>
        <w:rPr>
          <w:sz w:val="20"/>
          <w:szCs w:val="20"/>
          <w:color w:val="auto"/>
        </w:rPr>
      </w:pPr>
      <w:r>
        <w:rPr>
          <w:rFonts w:ascii="Times New Roman" w:cs="Times New Roman" w:eastAsia="Times New Roman" w:hAnsi="Times New Roman"/>
          <w:sz w:val="17"/>
          <w:szCs w:val="17"/>
          <w:color w:val="auto"/>
        </w:rPr>
        <w:t>During the second quarter of 2025, the Company entered into the 2025 Credit Agreement, which amended and restated the 2022 Credit Agreement and refinanced the 2024 Credit Agreement. The 2025 Credit Agreement increased the amount available under the Revolving Credit Facility to $2.0 billion and provided a Term Loan Facility of $725 million. The Term Loan Facility was utilized to refinance (i) $250 million of the outstanding Delayed Draw Term Loan under the 2022 Credit Agreement and (ii) $225 million of the outstanding term loan under the 2024 Credit Agreement. After June 30, 2025, the remaining $250 million under the Term Loan Facility was drawn and utilized as part of funding for the Inspection Technologies acquisition.</w:t>
      </w:r>
    </w:p>
    <w:p>
      <w:pPr>
        <w:spacing w:after="0" w:line="72" w:lineRule="exact"/>
        <w:rPr>
          <w:sz w:val="20"/>
          <w:szCs w:val="20"/>
          <w:color w:val="auto"/>
        </w:rPr>
      </w:pPr>
    </w:p>
    <w:p>
      <w:pPr>
        <w:ind w:right="140" w:firstLine="464"/>
        <w:spacing w:after="0" w:line="270" w:lineRule="auto"/>
        <w:rPr>
          <w:sz w:val="20"/>
          <w:szCs w:val="20"/>
          <w:color w:val="auto"/>
        </w:rPr>
      </w:pPr>
      <w:r>
        <w:rPr>
          <w:rFonts w:ascii="Times New Roman" w:cs="Times New Roman" w:eastAsia="Times New Roman" w:hAnsi="Times New Roman"/>
          <w:sz w:val="17"/>
          <w:szCs w:val="17"/>
          <w:color w:val="auto"/>
        </w:rPr>
        <w:t>Also during the second quarter of 2025, the Company issued $500 million of Senior Notes due in 2030 and $750 million of Senior Notes due in 2035. Proceeds from the 2030 Notes and cash on hand were utilized to repay the outstanding amount of the 2025 Notes at maturity. Proceeds from the 2035 Notes were utilized as part of funding for the Inspection Technologies acquisition.</w:t>
      </w:r>
    </w:p>
    <w:p>
      <w:pPr>
        <w:spacing w:after="0" w:line="62" w:lineRule="exact"/>
        <w:rPr>
          <w:sz w:val="20"/>
          <w:szCs w:val="20"/>
          <w:color w:val="auto"/>
        </w:rPr>
      </w:pPr>
    </w:p>
    <w:p>
      <w:pPr>
        <w:ind w:right="4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2024, the Company entered into the 2024 Credit Agreement for a term loan of $225 million. Also during the first quarter of 2024, the Company issued $500 million of Senior Notes due in 2034. Proceeds from the 2034 Notes, combined with the proceeds from the term loan under the 2024 Credit Agreement and cash on hand, were utilized to repay the outstanding amount of 2024 Notes at maturity.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39" w:name="page40"/>
    <w:bookmarkEnd w:id="39"/>
    <w:p>
      <w:pPr>
        <w:ind w:right="60" w:firstLine="464"/>
        <w:spacing w:after="0" w:line="264" w:lineRule="auto"/>
        <w:rPr>
          <w:sz w:val="20"/>
          <w:szCs w:val="20"/>
          <w:color w:val="auto"/>
        </w:rPr>
      </w:pPr>
      <w:r>
        <w:rPr>
          <w:rFonts w:ascii="Times New Roman" w:cs="Times New Roman" w:eastAsia="Times New Roman" w:hAnsi="Times New Roman"/>
          <w:sz w:val="17"/>
          <w:szCs w:val="17"/>
          <w:color w:val="auto"/>
        </w:rPr>
        <w:t>As of June 30, 2025, the Company held approximately $1.50 billion of cash, cash equivalents and restricted cash, of which approximately $976 million was held within the United States and approximately $523 million was held outside of the United States, primarily in Europe, India, and Brazil. While repatriation of some cash held outside the United States may be restricted by local laws, most of the Company’s foreign cash could be repatriated to the United States net of any tax impacts. As of June 30, 2025, approximately $13 million of the Company's $1.50 billion cash balance was classified as restricted.</w:t>
      </w:r>
    </w:p>
    <w:p>
      <w:pPr>
        <w:spacing w:after="0" w:line="68" w:lineRule="exact"/>
        <w:rPr>
          <w:sz w:val="20"/>
          <w:szCs w:val="20"/>
          <w:color w:val="auto"/>
        </w:rPr>
      </w:pPr>
    </w:p>
    <w:p>
      <w:pPr>
        <w:jc w:val="both"/>
        <w:ind w:right="300" w:firstLine="464"/>
        <w:spacing w:after="0" w:line="270" w:lineRule="auto"/>
        <w:rPr>
          <w:sz w:val="20"/>
          <w:szCs w:val="20"/>
          <w:color w:val="auto"/>
        </w:rPr>
      </w:pPr>
      <w:r>
        <w:rPr>
          <w:rFonts w:ascii="Times New Roman" w:cs="Times New Roman" w:eastAsia="Times New Roman" w:hAnsi="Times New Roman"/>
          <w:sz w:val="17"/>
          <w:szCs w:val="17"/>
          <w:color w:val="auto"/>
        </w:rPr>
        <w:t>We or our affiliates may, from time to time, seek to retire or purchase outstanding debt through negotiated or open-market cash purchases, exchanges, or otherwise, and such transactions, if any, will be upon such terms and at such prices as we may determine, and will depend on prevailing market conditions, our liquidity requirements, contractual restrictions and other factors.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Revolving Receivables Program</w:t>
      </w:r>
    </w:p>
    <w:p>
      <w:pPr>
        <w:spacing w:after="0" w:line="118"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Effective January 1, 2025, the Company utilizes its Revolving Receivables Program to request borrowings from a financial institution against certain collateralized receivables for up to $350 million. The Company collateralizes certain receivables through our bankruptcy-remote subsidiary on a recurring basis. As customers pay their balances, we transfer additional receivables into the program. Borrowings and repayments under the Revolving Receivables Program are included within Proceeds from debt and Payments of debt within the Financing activities section of the Condensed Consolidated Statement of Cash Flows.</w:t>
      </w:r>
    </w:p>
    <w:p>
      <w:pPr>
        <w:spacing w:after="0" w:line="68"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Prior to January 1, 2025, the Company utilized its Revolving Receivables Program to sell certain receivables for up to $350 million on a recurring basis. Net cash proceeds received from the sale of receivables in exchange for cash equal to the gross receivables sold are included in cash from operations within the Condensed Consolidated Statement of Cash Flows.</w:t>
      </w:r>
    </w:p>
    <w:p>
      <w:pPr>
        <w:spacing w:after="0" w:line="62" w:lineRule="exact"/>
        <w:rPr>
          <w:sz w:val="20"/>
          <w:szCs w:val="20"/>
          <w:color w:val="auto"/>
        </w:rPr>
      </w:pPr>
    </w:p>
    <w:p>
      <w:pPr>
        <w:ind w:right="160" w:firstLine="464"/>
        <w:spacing w:after="0" w:line="264" w:lineRule="auto"/>
        <w:rPr>
          <w:sz w:val="20"/>
          <w:szCs w:val="20"/>
          <w:color w:val="auto"/>
        </w:rPr>
      </w:pPr>
      <w:r>
        <w:rPr>
          <w:rFonts w:ascii="Times New Roman" w:cs="Times New Roman" w:eastAsia="Times New Roman" w:hAnsi="Times New Roman"/>
          <w:sz w:val="17"/>
          <w:szCs w:val="17"/>
          <w:color w:val="auto"/>
        </w:rPr>
        <w:t>During the six months ended June 30, 2025, the Company borrowed and repaid $350 million against the collateralized receivables. There were no receivables sold during the six months ended June 30, 2025. Net cash payments included in cash from operations from the Revolving Receivables Program was $(20) million for the six months ended June 30, 2024. Additional information with respect to the Revolving Receivables Program is included in Note 2 of "Notes to Condensed Consolidated Financial Statements" included in Part I, Item 1 of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Supply Chain Financing Program</w:t>
      </w:r>
    </w:p>
    <w:p>
      <w:pPr>
        <w:spacing w:after="0" w:line="118" w:lineRule="exact"/>
        <w:rPr>
          <w:sz w:val="20"/>
          <w:szCs w:val="20"/>
          <w:color w:val="auto"/>
        </w:rPr>
      </w:pPr>
    </w:p>
    <w:p>
      <w:pPr>
        <w:ind w:right="140" w:firstLine="464"/>
        <w:spacing w:after="0" w:line="260" w:lineRule="auto"/>
        <w:rPr>
          <w:sz w:val="20"/>
          <w:szCs w:val="20"/>
          <w:color w:val="auto"/>
        </w:rPr>
      </w:pPr>
      <w:r>
        <w:rPr>
          <w:rFonts w:ascii="Times New Roman" w:cs="Times New Roman" w:eastAsia="Times New Roman" w:hAnsi="Times New Roman"/>
          <w:sz w:val="17"/>
          <w:szCs w:val="17"/>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and does not result in a change in the classification of amounts due as Accounts payable in the Condensed Consolidated Balance Sheets. Additional information with respect to the Supply Chain Financing Program is included in Note 2 of "Notes to Condensed Consolidated Financial Statements" included in Part I, Item 1 of this report.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Intra-Quarter Uncommitted Money Market Line Credit Agreement</w:t>
      </w:r>
    </w:p>
    <w:p>
      <w:pPr>
        <w:spacing w:after="0" w:line="118" w:lineRule="exact"/>
        <w:rPr>
          <w:sz w:val="20"/>
          <w:szCs w:val="20"/>
          <w:color w:val="auto"/>
        </w:rPr>
      </w:pPr>
    </w:p>
    <w:p>
      <w:pPr>
        <w:ind w:right="400" w:firstLine="464"/>
        <w:spacing w:after="0" w:line="287" w:lineRule="auto"/>
        <w:rPr>
          <w:sz w:val="20"/>
          <w:szCs w:val="20"/>
          <w:color w:val="auto"/>
        </w:rPr>
      </w:pPr>
      <w:r>
        <w:rPr>
          <w:rFonts w:ascii="Times New Roman" w:cs="Times New Roman" w:eastAsia="Times New Roman" w:hAnsi="Times New Roman"/>
          <w:sz w:val="17"/>
          <w:szCs w:val="17"/>
          <w:color w:val="auto"/>
        </w:rPr>
        <w:t>During the third quarter of 2024, the Company entered into an uncommitted bilateral money market line credit agreement which provides an aggregate borrowing capacity of $150 million, for general business purposes and working capital needs within a quarter.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Total Available Liquidity</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total available liquidity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217"/>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55"/>
        </w:trPr>
        <w:tc>
          <w:tcPr>
            <w:tcW w:w="8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2"/>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6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1,486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Facility</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Revolving Receivables Program</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Available Liquidity</w:t>
            </w:r>
          </w:p>
        </w:tc>
        <w:tc>
          <w:tcPr>
            <w:tcW w:w="106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4,086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2,556</w:t>
            </w:r>
          </w:p>
        </w:tc>
      </w:tr>
    </w:tbl>
    <w:p>
      <w:pPr>
        <w:spacing w:after="0" w:line="177" w:lineRule="exact"/>
        <w:rPr>
          <w:sz w:val="20"/>
          <w:szCs w:val="20"/>
          <w:color w:val="auto"/>
        </w:rPr>
      </w:pPr>
    </w:p>
    <w:p>
      <w:pPr>
        <w:jc w:val="both"/>
        <w:ind w:right="60" w:firstLine="464"/>
        <w:spacing w:after="0" w:line="287" w:lineRule="auto"/>
        <w:rPr>
          <w:sz w:val="20"/>
          <w:szCs w:val="20"/>
          <w:color w:val="auto"/>
        </w:rPr>
      </w:pPr>
      <w:r>
        <w:rPr>
          <w:rFonts w:ascii="Times New Roman" w:cs="Times New Roman" w:eastAsia="Times New Roman" w:hAnsi="Times New Roman"/>
          <w:sz w:val="17"/>
          <w:szCs w:val="17"/>
          <w:color w:val="auto"/>
        </w:rPr>
        <w:t>On July 1, 2025, Wabtec acquired Inspection Technologies for $1.78 billion, which was financed through a combination of cash on hand, proceeds from the 2035 Notes, and borrowings under other sources of available liquidity.</w:t>
      </w:r>
    </w:p>
    <w:p>
      <w:pPr>
        <w:spacing w:after="0" w:line="48" w:lineRule="exact"/>
        <w:rPr>
          <w:sz w:val="20"/>
          <w:szCs w:val="20"/>
          <w:color w:val="auto"/>
        </w:rPr>
      </w:pPr>
    </w:p>
    <w:p>
      <w:pPr>
        <w:ind w:right="600" w:firstLine="464"/>
        <w:spacing w:after="0" w:line="287" w:lineRule="auto"/>
        <w:rPr>
          <w:sz w:val="20"/>
          <w:szCs w:val="20"/>
          <w:color w:val="auto"/>
        </w:rPr>
      </w:pPr>
      <w:r>
        <w:rPr>
          <w:rFonts w:ascii="Times New Roman" w:cs="Times New Roman" w:eastAsia="Times New Roman" w:hAnsi="Times New Roman"/>
          <w:sz w:val="17"/>
          <w:szCs w:val="17"/>
          <w:color w:val="auto"/>
        </w:rPr>
        <w:t>On March 18, 2025, Wabtec announced a definitive agreement to acquire Dellner Couplers, with a purchase price of approximately €890 million. In connection with the announced definitive agreement to acquire Dellner Couplers, the Company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0" w:name="page41"/>
    <w:bookmarkEnd w:id="40"/>
    <w:p>
      <w:pPr>
        <w:ind w:right="20"/>
        <w:spacing w:after="0" w:line="270" w:lineRule="auto"/>
        <w:rPr>
          <w:sz w:val="20"/>
          <w:szCs w:val="20"/>
          <w:color w:val="auto"/>
        </w:rPr>
      </w:pPr>
      <w:r>
        <w:rPr>
          <w:rFonts w:ascii="Times New Roman" w:cs="Times New Roman" w:eastAsia="Times New Roman" w:hAnsi="Times New Roman"/>
          <w:sz w:val="17"/>
          <w:szCs w:val="17"/>
          <w:color w:val="auto"/>
        </w:rPr>
        <w:t>entered into foreign exchange contracts for a notional amount of €440 million to mitigate foreign currency exposure associated with the acquisition. In addition, on July 7, 2025, Wabtec announced a definitive agreement to acquire Frauscher Sensor Technology Group, with a purchase price of approximately €675 million. Wabtec intends to finance these acquisitions using cash on hand, together with a mix of short- and long-term borrowings.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Guarantor Summarized Financial Information</w:t>
      </w:r>
    </w:p>
    <w:p>
      <w:pPr>
        <w:spacing w:after="0" w:line="118" w:lineRule="exact"/>
        <w:rPr>
          <w:sz w:val="20"/>
          <w:szCs w:val="20"/>
          <w:color w:val="auto"/>
        </w:rPr>
      </w:pPr>
    </w:p>
    <w:p>
      <w:pPr>
        <w:ind w:right="20" w:firstLine="464"/>
        <w:spacing w:after="0" w:line="287" w:lineRule="auto"/>
        <w:rPr>
          <w:sz w:val="20"/>
          <w:szCs w:val="20"/>
          <w:color w:val="auto"/>
        </w:rPr>
      </w:pPr>
      <w:r>
        <w:rPr>
          <w:rFonts w:ascii="Times New Roman" w:cs="Times New Roman" w:eastAsia="Times New Roman" w:hAnsi="Times New Roman"/>
          <w:sz w:val="17"/>
          <w:szCs w:val="17"/>
          <w:color w:val="auto"/>
        </w:rPr>
        <w:t>Westinghouse Air Brake Technologies Corporation (the “Parent Company”) has issued 3.20% Senior Notes due 2025, 3.45% Senior Notes due 2026, 4.70% Senior Notes due 2028, 4.90% Senior Notes due 2030, 5.611% Senior Notes due 2034, and 5.50% Senior Notes due 2035 (collectively, the “US Notes”).</w:t>
      </w:r>
    </w:p>
    <w:p>
      <w:pPr>
        <w:spacing w:after="0" w:line="48" w:lineRule="exact"/>
        <w:rPr>
          <w:sz w:val="20"/>
          <w:szCs w:val="20"/>
          <w:color w:val="auto"/>
        </w:rPr>
      </w:pPr>
    </w:p>
    <w:p>
      <w:pPr>
        <w:ind w:right="60" w:firstLine="464"/>
        <w:spacing w:after="0" w:line="260" w:lineRule="auto"/>
        <w:rPr>
          <w:sz w:val="20"/>
          <w:szCs w:val="20"/>
          <w:color w:val="auto"/>
        </w:rPr>
      </w:pPr>
      <w:r>
        <w:rPr>
          <w:rFonts w:ascii="Times New Roman" w:cs="Times New Roman" w:eastAsia="Times New Roman" w:hAnsi="Times New Roman"/>
          <w:sz w:val="17"/>
          <w:szCs w:val="17"/>
          <w:color w:val="auto"/>
        </w:rPr>
        <w:t>The obligations under the US Notes issued by the Parent Company have been fully and unconditionally guaranteed by certain of the Parent Company's U.S. subsidiaries ("Guarantor Subsidiaries"), currently comprising GE Transportation, a Wabtec Company, RFPC Holding Corp., Transportation IP Holdings, LLC, Transportation Systems Services Operations Inc., Wabtec Components LLC, Wabtec Holding LLC, Wabtec Railway Electronics Holdings, LLC, Wabtec Transportation Systems, LLC and Wabtec US Rail, Inc.. Each guarantor is 100% owned by the Parent Company, with the exception of GE Transportation, a Wabtec Company, which has 15,000 shares outstanding of Class A Non-Voting Preferred Stock held by General Electric Company. The Euro Notes are issued by Wabtec Transportation Netherlands B.V. ("Wabtec Netherlands") and are fully and unconditionally guaranteed by the Parent Company.</w:t>
      </w:r>
    </w:p>
    <w:p>
      <w:pPr>
        <w:spacing w:after="0" w:line="70" w:lineRule="exact"/>
        <w:rPr>
          <w:sz w:val="20"/>
          <w:szCs w:val="20"/>
          <w:color w:val="auto"/>
        </w:rPr>
      </w:pPr>
    </w:p>
    <w:p>
      <w:pPr>
        <w:jc w:val="both"/>
        <w:ind w:right="100" w:firstLine="464"/>
        <w:spacing w:after="0" w:line="270" w:lineRule="auto"/>
        <w:rPr>
          <w:sz w:val="20"/>
          <w:szCs w:val="20"/>
          <w:color w:val="auto"/>
        </w:rPr>
      </w:pPr>
      <w:r>
        <w:rPr>
          <w:rFonts w:ascii="Times New Roman" w:cs="Times New Roman" w:eastAsia="Times New Roman" w:hAnsi="Times New Roman"/>
          <w:sz w:val="17"/>
          <w:szCs w:val="17"/>
          <w:color w:val="auto"/>
        </w:rPr>
        <w:t>The following tables present summarized financial information of the Parent Company and the Guarantor Subsidiaries on a combined basis. The combined summarized financial information eliminates (i) intercompany balances and transactions among the Parent Company and Guarantor Subsidiaries and (ii) equity in earnings from and investments in any subsidiary that is not a Guarantor Subsidiary.</w:t>
      </w:r>
    </w:p>
    <w:p>
      <w:pPr>
        <w:spacing w:after="0" w:line="62" w:lineRule="exact"/>
        <w:rPr>
          <w:sz w:val="20"/>
          <w:szCs w:val="20"/>
          <w:color w:val="auto"/>
        </w:rPr>
      </w:pPr>
    </w:p>
    <w:p>
      <w:pPr>
        <w:ind w:right="220" w:firstLine="464"/>
        <w:spacing w:after="0" w:line="287" w:lineRule="auto"/>
        <w:rPr>
          <w:sz w:val="20"/>
          <w:szCs w:val="20"/>
          <w:color w:val="auto"/>
        </w:rPr>
      </w:pPr>
      <w:r>
        <w:rPr>
          <w:rFonts w:ascii="Times New Roman" w:cs="Times New Roman" w:eastAsia="Times New Roman" w:hAnsi="Times New Roman"/>
          <w:sz w:val="17"/>
          <w:szCs w:val="17"/>
          <w:color w:val="auto"/>
        </w:rPr>
        <w:t>The summarized financial information is provided in accordance with the reporting requirements of Rule 13-01 under SEC Regulation S-X for the Parent Company, as the issuer of the US Notes, and Guarantor Subsidiaries.</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Income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6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708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Six Months Ended June 30, 2025</w:t>
            </w:r>
          </w:p>
        </w:tc>
      </w:tr>
      <w:tr>
        <w:trPr>
          <w:trHeight w:val="32"/>
        </w:trPr>
        <w:tc>
          <w:tcPr>
            <w:tcW w:w="6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jc w:val="right"/>
              <w:ind w:right="107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3,039</w:t>
            </w:r>
          </w:p>
        </w:tc>
      </w:tr>
      <w:tr>
        <w:trPr>
          <w:trHeight w:val="223"/>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right"/>
              <w:ind w:right="107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w:t>
            </w:r>
          </w:p>
        </w:tc>
      </w:tr>
      <w:tr>
        <w:trPr>
          <w:trHeight w:val="219"/>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2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452"/>
        </w:trPr>
        <w:tc>
          <w:tcPr>
            <w:tcW w:w="20" w:type="dxa"/>
            <w:vAlign w:val="bottom"/>
          </w:tcPr>
          <w:p>
            <w:pPr>
              <w:spacing w:after="0"/>
              <w:rPr>
                <w:sz w:val="24"/>
                <w:szCs w:val="24"/>
                <w:color w:val="auto"/>
              </w:rPr>
            </w:pPr>
          </w:p>
        </w:tc>
        <w:tc>
          <w:tcPr>
            <w:tcW w:w="440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Summarized Balance Sheet</w:t>
            </w:r>
          </w:p>
        </w:tc>
        <w:tc>
          <w:tcPr>
            <w:tcW w:w="2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6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8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40" w:type="dxa"/>
            <w:vAlign w:val="bottom"/>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Parent Company and Guarantor Subsidiaries</w:t>
            </w:r>
          </w:p>
        </w:tc>
      </w:tr>
      <w:tr>
        <w:trPr>
          <w:trHeight w:val="164"/>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0" w:type="dxa"/>
            <w:vAlign w:val="bottom"/>
          </w:tcPr>
          <w:p>
            <w:pPr>
              <w:spacing w:after="0"/>
              <w:rPr>
                <w:sz w:val="14"/>
                <w:szCs w:val="14"/>
                <w:color w:val="auto"/>
              </w:rPr>
            </w:pPr>
          </w:p>
        </w:tc>
        <w:tc>
          <w:tcPr>
            <w:tcW w:w="17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3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w:t>
            </w:r>
          </w:p>
        </w:tc>
      </w:tr>
      <w:tr>
        <w:trPr>
          <w:trHeight w:val="219"/>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278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3,457</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w:t>
            </w:r>
          </w:p>
        </w:tc>
      </w:tr>
      <w:tr>
        <w:trPr>
          <w:trHeight w:val="219"/>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78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w:t>
            </w:r>
          </w:p>
        </w:tc>
      </w:tr>
      <w:tr>
        <w:trPr>
          <w:trHeight w:val="219"/>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78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4,199</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2,962</w:t>
            </w:r>
          </w:p>
        </w:tc>
      </w:tr>
      <w:tr>
        <w:trPr>
          <w:trHeight w:val="219"/>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78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r>
      <w:tr>
        <w:trPr>
          <w:trHeight w:val="85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38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rPr>
              <w:t>41</w:t>
            </w: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7"/>
          <w:szCs w:val="17"/>
          <w:color w:val="auto"/>
        </w:rPr>
        <w:t>The following is a description of the transactions between the combined Parent Company and Guarantor Subsidiaries with non-guarantor subsidiaries.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6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6180" w:type="dxa"/>
            <w:vAlign w:val="bottom"/>
          </w:tcPr>
          <w:p>
            <w:pPr>
              <w:spacing w:after="0"/>
              <w:rPr>
                <w:sz w:val="14"/>
                <w:szCs w:val="14"/>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Six Months Ended June 30, 2025</w:t>
            </w:r>
          </w:p>
        </w:tc>
      </w:tr>
      <w:tr>
        <w:trPr>
          <w:trHeight w:val="32"/>
        </w:trPr>
        <w:tc>
          <w:tcPr>
            <w:tcW w:w="6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 to non-guarantor subsidiaries</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3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w:t>
            </w:r>
          </w:p>
        </w:tc>
      </w:tr>
      <w:tr>
        <w:trPr>
          <w:trHeight w:val="223"/>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Purchases from non-guarantor subsidiaries</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3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20" w:type="dxa"/>
            <w:vAlign w:val="bottom"/>
          </w:tcPr>
          <w:p>
            <w:pPr>
              <w:jc w:val="center"/>
              <w:ind w:right="403"/>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00" w:type="dxa"/>
            <w:vAlign w:val="bottom"/>
          </w:tcPr>
          <w:p>
            <w:pPr>
              <w:spacing w:after="0"/>
              <w:rPr>
                <w:sz w:val="14"/>
                <w:szCs w:val="14"/>
                <w:color w:val="auto"/>
              </w:rPr>
            </w:pPr>
          </w:p>
        </w:tc>
        <w:tc>
          <w:tcPr>
            <w:tcW w:w="3920" w:type="dxa"/>
            <w:vAlign w:val="bottom"/>
          </w:tcPr>
          <w:p>
            <w:pPr>
              <w:jc w:val="center"/>
              <w:ind w:right="403"/>
              <w:spacing w:after="0"/>
              <w:rPr>
                <w:sz w:val="20"/>
                <w:szCs w:val="20"/>
                <w:color w:val="auto"/>
              </w:rPr>
            </w:pPr>
            <w:r>
              <w:rPr>
                <w:rFonts w:ascii="Times New Roman" w:cs="Times New Roman" w:eastAsia="Times New Roman" w:hAnsi="Times New Roman"/>
                <w:sz w:val="14"/>
                <w:szCs w:val="14"/>
                <w:b w:val="1"/>
                <w:bCs w:val="1"/>
                <w:color w:val="auto"/>
                <w:w w:val="98"/>
              </w:rPr>
              <w:t>June 30, 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12"/>
        </w:trPr>
        <w:tc>
          <w:tcPr>
            <w:tcW w:w="6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due to non-guarantor subsidiaries</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7,372</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Summarized Financial Information—Euro Notes</w:t>
      </w:r>
    </w:p>
    <w:p>
      <w:pPr>
        <w:spacing w:after="0" w:line="105" w:lineRule="exact"/>
        <w:rPr>
          <w:sz w:val="20"/>
          <w:szCs w:val="20"/>
          <w:color w:val="auto"/>
        </w:rPr>
      </w:pPr>
    </w:p>
    <w:p>
      <w:pPr>
        <w:jc w:val="both"/>
        <w:ind w:right="160" w:firstLine="464"/>
        <w:spacing w:after="0" w:line="234" w:lineRule="auto"/>
        <w:rPr>
          <w:sz w:val="20"/>
          <w:szCs w:val="20"/>
          <w:color w:val="auto"/>
        </w:rPr>
      </w:pPr>
      <w:r>
        <w:rPr>
          <w:rFonts w:ascii="Times New Roman" w:cs="Times New Roman" w:eastAsia="Times New Roman" w:hAnsi="Times New Roman"/>
          <w:sz w:val="17"/>
          <w:szCs w:val="17"/>
          <w:color w:val="auto"/>
        </w:rPr>
        <w:t>The obligations under Wabtec Netherlands’ Euro Notes are fully and unconditionally guaranteed by the Parent Company. Wabtec Netherlands is a wholly owned, indirect subsidiary of the Parent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76" w:lineRule="exact"/>
        <w:rPr>
          <w:sz w:val="20"/>
          <w:szCs w:val="20"/>
          <w:color w:val="auto"/>
        </w:rPr>
      </w:pPr>
    </w:p>
    <w:p>
      <w:pPr>
        <w:ind w:right="340" w:firstLine="464"/>
        <w:spacing w:after="0" w:line="238" w:lineRule="auto"/>
        <w:rPr>
          <w:sz w:val="20"/>
          <w:szCs w:val="20"/>
          <w:color w:val="auto"/>
        </w:rPr>
      </w:pPr>
      <w:r>
        <w:rPr>
          <w:rFonts w:ascii="Times New Roman" w:cs="Times New Roman" w:eastAsia="Times New Roman" w:hAnsi="Times New Roman"/>
          <w:sz w:val="17"/>
          <w:szCs w:val="17"/>
          <w:color w:val="auto"/>
        </w:rPr>
        <w:t>The following tables present summarized financial information of Wabtec Netherlands, as the Issuer of the Euro Notes, and the Parent Company, as the parent Guarantor, on a combined basis. The combined summarized financial information eliminates all intercompany balances and transactions among Wabtec Netherlands and the Parent Company as well as all equity in earnings from and investments in any subsidiary of the Parent Company, other than Wabtec Netherlands, which we refer to below as the Non-Guarantor Subsidiaries.</w:t>
      </w:r>
    </w:p>
    <w:p>
      <w:pPr>
        <w:spacing w:after="0" w:line="63" w:lineRule="exact"/>
        <w:rPr>
          <w:sz w:val="20"/>
          <w:szCs w:val="20"/>
          <w:color w:val="auto"/>
        </w:rPr>
      </w:pPr>
    </w:p>
    <w:p>
      <w:pPr>
        <w:ind w:right="400" w:firstLine="464"/>
        <w:spacing w:after="0" w:line="255" w:lineRule="auto"/>
        <w:rPr>
          <w:sz w:val="20"/>
          <w:szCs w:val="20"/>
          <w:color w:val="auto"/>
        </w:rPr>
      </w:pPr>
      <w:r>
        <w:rPr>
          <w:rFonts w:ascii="Times New Roman" w:cs="Times New Roman" w:eastAsia="Times New Roman" w:hAnsi="Times New Roman"/>
          <w:sz w:val="17"/>
          <w:szCs w:val="17"/>
          <w:color w:val="auto"/>
        </w:rPr>
        <w:t>The summarized financial information is provided in accordance with the reporting requirements of Rule 13-01 under SEC Regulation S-X for Wabtec Netherlands, as the issuer of the Euro Notes, and Parent Company guarantor.</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Income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6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Issuer and Parent Company (Guarantor)</w:t>
            </w:r>
          </w:p>
        </w:tc>
      </w:tr>
      <w:tr>
        <w:trPr>
          <w:trHeight w:val="164"/>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688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Six Months Ended June 30, 2025</w:t>
            </w:r>
          </w:p>
        </w:tc>
      </w:tr>
      <w:tr>
        <w:trPr>
          <w:trHeight w:val="32"/>
        </w:trPr>
        <w:tc>
          <w:tcPr>
            <w:tcW w:w="6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jc w:val="right"/>
              <w:ind w:right="127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23"/>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right"/>
              <w:ind w:right="127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9"/>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Wabtec shareholders</w:t>
            </w:r>
          </w:p>
        </w:tc>
        <w:tc>
          <w:tcPr>
            <w:tcW w:w="2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452"/>
        </w:trPr>
        <w:tc>
          <w:tcPr>
            <w:tcW w:w="20" w:type="dxa"/>
            <w:vAlign w:val="bottom"/>
          </w:tcPr>
          <w:p>
            <w:pPr>
              <w:spacing w:after="0"/>
              <w:rPr>
                <w:sz w:val="24"/>
                <w:szCs w:val="24"/>
                <w:color w:val="auto"/>
              </w:rPr>
            </w:pPr>
          </w:p>
        </w:tc>
        <w:tc>
          <w:tcPr>
            <w:tcW w:w="428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Summarized Balance Sheet</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6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8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40" w:type="dxa"/>
            <w:vAlign w:val="bottom"/>
            <w:gridSpan w:val="4"/>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Issuer and Parent Company (Guarantor)</w:t>
            </w:r>
          </w:p>
        </w:tc>
      </w:tr>
      <w:tr>
        <w:trPr>
          <w:trHeight w:val="164"/>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0" w:type="dxa"/>
            <w:vAlign w:val="bottom"/>
          </w:tcPr>
          <w:p>
            <w:pPr>
              <w:spacing w:after="0"/>
              <w:rPr>
                <w:sz w:val="14"/>
                <w:szCs w:val="14"/>
                <w:color w:val="auto"/>
              </w:rPr>
            </w:pPr>
          </w:p>
        </w:tc>
        <w:tc>
          <w:tcPr>
            <w:tcW w:w="17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5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r>
      <w:tr>
        <w:trPr>
          <w:trHeight w:val="219"/>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290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w:t>
            </w:r>
          </w:p>
        </w:tc>
      </w:tr>
      <w:tr>
        <w:trPr>
          <w:trHeight w:val="219"/>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90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w:t>
            </w:r>
          </w:p>
        </w:tc>
      </w:tr>
      <w:tr>
        <w:trPr>
          <w:trHeight w:val="219"/>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90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4,782</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3,479</w:t>
            </w:r>
          </w:p>
        </w:tc>
      </w:tr>
      <w:tr>
        <w:trPr>
          <w:trHeight w:val="219"/>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90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86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50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rPr>
              <w:t>42</w:t>
            </w: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2" w:name="page43"/>
    <w:bookmarkEnd w:id="42"/>
    <w:p>
      <w:pPr>
        <w:ind w:right="200" w:firstLine="464"/>
        <w:spacing w:after="0" w:line="246" w:lineRule="auto"/>
        <w:rPr>
          <w:sz w:val="20"/>
          <w:szCs w:val="20"/>
          <w:color w:val="auto"/>
        </w:rPr>
      </w:pPr>
      <w:r>
        <w:rPr>
          <w:rFonts w:ascii="Times New Roman" w:cs="Times New Roman" w:eastAsia="Times New Roman" w:hAnsi="Times New Roman"/>
          <w:sz w:val="17"/>
          <w:szCs w:val="17"/>
          <w:color w:val="auto"/>
        </w:rPr>
        <w:t>The following is a description of the transactions between the combined Wabtec Netherlands, as the Issuer of the Euro Notes, and the Parent Company, as the parent Guarantor, with the subsidiaries of Westinghouse Air Brake Technologies Corp., other than Wabtec Netherlands, none of which are guarantors of the Euro Notes.</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51"/>
        </w:trPr>
        <w:tc>
          <w:tcPr>
            <w:tcW w:w="6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21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Issuer and Parent Company</w:t>
            </w:r>
          </w:p>
        </w:tc>
      </w:tr>
      <w:tr>
        <w:trPr>
          <w:trHeight w:val="182"/>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(Guarantor)</w:t>
            </w:r>
          </w:p>
        </w:tc>
      </w:tr>
      <w:tr>
        <w:trPr>
          <w:trHeight w:val="153"/>
        </w:trPr>
        <w:tc>
          <w:tcPr>
            <w:tcW w:w="62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8420" w:type="dxa"/>
            <w:vAlign w:val="bottom"/>
          </w:tcPr>
          <w:p>
            <w:pPr>
              <w:spacing w:after="0"/>
              <w:rPr>
                <w:sz w:val="13"/>
                <w:szCs w:val="13"/>
                <w:color w:val="auto"/>
              </w:rPr>
            </w:pPr>
          </w:p>
        </w:tc>
        <w:tc>
          <w:tcPr>
            <w:tcW w:w="21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8"/>
              </w:rPr>
              <w:t>Six Months Ended June 30, 2025</w:t>
            </w:r>
          </w:p>
        </w:tc>
      </w:tr>
      <w:tr>
        <w:trPr>
          <w:trHeight w:val="32"/>
        </w:trPr>
        <w:tc>
          <w:tcPr>
            <w:tcW w:w="6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 to non-guarantor subsidiaries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3"/>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Purchases from non-guarantor subsidiaries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5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jc w:val="center"/>
              <w:ind w:right="84"/>
              <w:spacing w:after="0" w:line="151" w:lineRule="exact"/>
              <w:rPr>
                <w:sz w:val="20"/>
                <w:szCs w:val="20"/>
                <w:color w:val="auto"/>
              </w:rPr>
            </w:pPr>
            <w:r>
              <w:rPr>
                <w:rFonts w:ascii="Times New Roman" w:cs="Times New Roman" w:eastAsia="Times New Roman" w:hAnsi="Times New Roman"/>
                <w:sz w:val="14"/>
                <w:szCs w:val="14"/>
                <w:b w:val="1"/>
                <w:bCs w:val="1"/>
                <w:color w:val="auto"/>
                <w:w w:val="97"/>
              </w:rPr>
              <w:t>Issuer and Parent Company</w:t>
            </w:r>
          </w:p>
        </w:tc>
      </w:t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7"/>
              </w:rPr>
              <w:t>(Guarantor)</w:t>
            </w:r>
          </w:p>
        </w:tc>
      </w:tr>
      <w:tr>
        <w:trPr>
          <w:trHeight w:val="153"/>
        </w:trPr>
        <w:tc>
          <w:tcPr>
            <w:tcW w:w="906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3"/>
                <w:szCs w:val="13"/>
                <w:color w:val="auto"/>
              </w:rPr>
            </w:pPr>
          </w:p>
        </w:tc>
        <w:tc>
          <w:tcPr>
            <w:tcW w:w="2000" w:type="dxa"/>
            <w:vAlign w:val="bottom"/>
          </w:tcPr>
          <w:p>
            <w:pPr>
              <w:jc w:val="center"/>
              <w:ind w:right="84"/>
              <w:spacing w:after="0" w:line="153" w:lineRule="exact"/>
              <w:rPr>
                <w:sz w:val="20"/>
                <w:szCs w:val="20"/>
                <w:color w:val="auto"/>
              </w:rPr>
            </w:pPr>
            <w:r>
              <w:rPr>
                <w:rFonts w:ascii="Times New Roman" w:cs="Times New Roman" w:eastAsia="Times New Roman" w:hAnsi="Times New Roman"/>
                <w:sz w:val="14"/>
                <w:szCs w:val="14"/>
                <w:b w:val="1"/>
                <w:bCs w:val="1"/>
                <w:color w:val="auto"/>
                <w:w w:val="98"/>
              </w:rPr>
              <w:t>June 30, 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2"/>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due to non-guarantor subsidiaries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8,599</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118" w:lineRule="exact"/>
        <w:rPr>
          <w:sz w:val="20"/>
          <w:szCs w:val="20"/>
          <w:color w:val="auto"/>
        </w:rPr>
      </w:pPr>
    </w:p>
    <w:p>
      <w:pPr>
        <w:ind w:right="220" w:firstLine="464"/>
        <w:spacing w:after="0" w:line="258" w:lineRule="auto"/>
        <w:rPr>
          <w:sz w:val="20"/>
          <w:szCs w:val="20"/>
          <w:color w:val="auto"/>
        </w:rPr>
      </w:pPr>
      <w:r>
        <w:rPr>
          <w:rFonts w:ascii="Times New Roman" w:cs="Times New Roman" w:eastAsia="Times New Roman" w:hAnsi="Times New Roman"/>
          <w:sz w:val="17"/>
          <w:szCs w:val="17"/>
          <w:color w:val="auto"/>
        </w:rPr>
        <w:t>During the second quarter of 2025, the Company entered into the 2025 Credit Agreement and utilized the Term Loan Facility, which will mature on April 23, 2030 to refinance (i) $250 million of the outstanding Delayed Draw Term Loan that was scheduled to mature August 15, 2027 under the 2022 Credit Agreement and (ii) $225 million of the outstanding term loan that was scheduled to mature March 14, 2029 under the 2024 Credit Agreement. Also during the second quarter of 2025, the Company issued $500 million of 2030 Notes and $750 million of 2035 Notes. Proceeds from the 2030 Notes and cash on hand were utilized to repay the outstanding amount of the 2025 Notes at maturity. As a result of the foregoing, as of June 30, 2025, contractual obligations related to the repayment of long-term debt decreased for 2026-2027 from $1,520 million to $1,270 million and for 2028-2029 from $1,475 million to $1,250 million, and increased for 2030 and beyond from $500 million to $2,225 million.</w:t>
      </w:r>
    </w:p>
    <w:p>
      <w:pPr>
        <w:spacing w:after="0" w:line="76" w:lineRule="exact"/>
        <w:rPr>
          <w:sz w:val="20"/>
          <w:szCs w:val="20"/>
          <w:color w:val="auto"/>
        </w:rPr>
      </w:pPr>
    </w:p>
    <w:p>
      <w:pPr>
        <w:ind w:right="400" w:firstLine="464"/>
        <w:spacing w:after="0" w:line="287" w:lineRule="auto"/>
        <w:rPr>
          <w:sz w:val="20"/>
          <w:szCs w:val="20"/>
          <w:color w:val="auto"/>
        </w:rPr>
      </w:pPr>
      <w:r>
        <w:rPr>
          <w:rFonts w:ascii="Times New Roman" w:cs="Times New Roman" w:eastAsia="Times New Roman" w:hAnsi="Times New Roman"/>
          <w:sz w:val="17"/>
          <w:szCs w:val="17"/>
          <w:color w:val="auto"/>
        </w:rPr>
        <w:t>On July 1, 2025, the Company utilized cash on hand, together with the proceeds from the 2035 Notes, and borrowings under other sources of available liquidity to fund the acquisition of Inspection Technologies at closing.</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Stock Repurchase Plan</w:t>
      </w:r>
    </w:p>
    <w:p>
      <w:pPr>
        <w:spacing w:after="0" w:line="118" w:lineRule="exact"/>
        <w:rPr>
          <w:sz w:val="20"/>
          <w:szCs w:val="20"/>
          <w:color w:val="auto"/>
        </w:rPr>
      </w:pPr>
    </w:p>
    <w:p>
      <w:pPr>
        <w:ind w:firstLine="464"/>
        <w:spacing w:after="0" w:line="269" w:lineRule="auto"/>
        <w:rPr>
          <w:sz w:val="20"/>
          <w:szCs w:val="20"/>
          <w:color w:val="auto"/>
        </w:rPr>
      </w:pPr>
      <w:r>
        <w:rPr>
          <w:rFonts w:ascii="Times New Roman" w:cs="Times New Roman" w:eastAsia="Times New Roman" w:hAnsi="Times New Roman"/>
          <w:sz w:val="17"/>
          <w:szCs w:val="17"/>
          <w:color w:val="auto"/>
        </w:rPr>
        <w:t>On December 3, 2024, the Board of Directors authorized an additional $1.0 billion to the Company's existing stock repurchase program for stock repurchases of the Company’s outstanding shares. This new authorization provides an additional $1.0 billion that became available for repurchases after the remaining availability as of December 3, 2024 was expended. No time limit was set for the completion of the program, which conformed to the requirements under the 2022 Credit Agreement and the 2024 Credit Agreement, and complies with the requirements under the 2025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June 30, 2025, approximately $852 million was remaining under the stock repurchase plan.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 Looking Statements</w:t>
      </w:r>
    </w:p>
    <w:p>
      <w:pPr>
        <w:spacing w:after="0" w:line="11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These forward-looking statements are subject to various risks, uncertainties and assumptions about us, including, among other things: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Economic and industry conditions</w:t>
      </w:r>
    </w:p>
    <w:p>
      <w:pPr>
        <w:spacing w:after="0" w:line="11" w:lineRule="exact"/>
        <w:rPr>
          <w:sz w:val="20"/>
          <w:szCs w:val="20"/>
          <w:color w:val="auto"/>
        </w:rPr>
      </w:pPr>
    </w:p>
    <w:p>
      <w:pPr>
        <w:ind w:left="580" w:right="400" w:hanging="306"/>
        <w:spacing w:after="0" w:line="253" w:lineRule="auto"/>
        <w:tabs>
          <w:tab w:leader="none" w:pos="5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and/or industry specific conditions, including the impacts of tax and tariff programs, inflation, supply chain disruptions, foreign currency exchange, and industry consolidation;</w:t>
      </w:r>
    </w:p>
    <w:p>
      <w:pPr>
        <w:ind w:left="580" w:right="320" w:hanging="306"/>
        <w:spacing w:after="0" w:line="266" w:lineRule="auto"/>
        <w:tabs>
          <w:tab w:leader="none" w:pos="5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significant recent shifts in trade policies, including the imposition of tariffs, retaliatory tariff measures, and subsequent modifications or suspensions thereof, and market reactions to such policies and resulting trade disputes;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3" w:name="page44"/>
    <w:bookmarkEnd w:id="43"/>
    <w:p>
      <w:pPr>
        <w:ind w:left="580" w:right="120" w:hanging="306"/>
        <w:spacing w:after="0" w:line="263" w:lineRule="auto"/>
        <w:tabs>
          <w:tab w:leader="none" w:pos="5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prolonged unfavorable economic and industry conditions in the markets served by us, including North America, South America, Europe, Australia, Asia and Africa;</w:t>
      </w: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 in demand for freight cars, locomotives, passenger transit cars, buses and related products and services;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major original equipment manufacturer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original equipment manufacturers’ program delays;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services in the freight and passenger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our products and services;</w:t>
      </w:r>
    </w:p>
    <w:p>
      <w:pPr>
        <w:spacing w:after="0" w:line="10" w:lineRule="exact"/>
        <w:rPr>
          <w:rFonts w:ascii="Times New Roman" w:cs="Times New Roman" w:eastAsia="Times New Roman" w:hAnsi="Times New Roman"/>
          <w:sz w:val="17"/>
          <w:szCs w:val="17"/>
          <w:color w:val="auto"/>
        </w:rPr>
      </w:pPr>
    </w:p>
    <w:p>
      <w:pPr>
        <w:ind w:left="580" w:hanging="306"/>
        <w:spacing w:after="0" w:line="253" w:lineRule="auto"/>
        <w:tabs>
          <w:tab w:leader="none" w:pos="5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orders either being delayed, canceled, not returning to historical levels or being reduced, and/or economic conditions affecting the ability of our customers to pay timely for goods and services delivered;</w:t>
      </w: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consolidations in the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outsourcing by our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demand for faster and more efficient braking equipment;</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rates and foreign currency exchange rates;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credit or difficulty in obtaining debt or equity financing;</w:t>
      </w:r>
    </w:p>
    <w:p>
      <w:pPr>
        <w:spacing w:after="0" w:line="10" w:lineRule="exact"/>
        <w:rPr>
          <w:rFonts w:ascii="Times New Roman" w:cs="Times New Roman" w:eastAsia="Times New Roman" w:hAnsi="Times New Roman"/>
          <w:sz w:val="17"/>
          <w:szCs w:val="17"/>
          <w:color w:val="auto"/>
        </w:rPr>
      </w:pPr>
    </w:p>
    <w:p>
      <w:pPr>
        <w:ind w:left="580" w:right="280" w:hanging="306"/>
        <w:spacing w:after="0" w:line="253" w:lineRule="auto"/>
        <w:tabs>
          <w:tab w:leader="none" w:pos="5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consensus as to what attributes are required for projects to be considered "green" or "sustainable" or negative perceptions regarding determinations in such regard with respect to our Green Finance Framework or ESG strategy; or</w:t>
      </w: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ESG topics that have the highest relative priority for Wabtec's external stakeholders;</w:t>
      </w:r>
    </w:p>
    <w:p>
      <w:pPr>
        <w:spacing w:after="0" w:line="200" w:lineRule="exact"/>
        <w:rPr>
          <w:sz w:val="20"/>
          <w:szCs w:val="20"/>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disruptions;</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difficulties;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conditions and costs;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raw material costs;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associated with the successful introduction of new products;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safety, quality and reliability;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under material long-term contracts;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availability constraints and labor relations challenges;</w:t>
      </w:r>
    </w:p>
    <w:p>
      <w:pPr>
        <w:spacing w:after="0" w:line="10" w:lineRule="exact"/>
        <w:rPr>
          <w:rFonts w:ascii="Times New Roman" w:cs="Times New Roman" w:eastAsia="Times New Roman" w:hAnsi="Times New Roman"/>
          <w:sz w:val="17"/>
          <w:szCs w:val="17"/>
          <w:color w:val="auto"/>
        </w:rPr>
      </w:pPr>
    </w:p>
    <w:p>
      <w:pPr>
        <w:jc w:val="both"/>
        <w:ind w:left="580" w:right="460" w:hanging="306"/>
        <w:spacing w:after="0" w:line="253" w:lineRule="auto"/>
        <w:tabs>
          <w:tab w:leader="none" w:pos="57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complete and integrate acquisitions;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the development and use of new technology;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and data protection risks;</w:t>
      </w:r>
    </w:p>
    <w:p>
      <w:pPr>
        <w:spacing w:after="0" w:line="200" w:lineRule="exact"/>
        <w:rPr>
          <w:sz w:val="20"/>
          <w:szCs w:val="20"/>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actions of competitors; or</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outcomes of negotiations with partners, suppliers, customers or others;</w:t>
      </w:r>
    </w:p>
    <w:p>
      <w:pPr>
        <w:spacing w:after="0" w:line="1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Political/governmental factors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instability in relevant areas of the world, including the impacts of war, conflicts, global military action, and acts of terrorism;</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regulation/deregulation of our customers and/or the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levels of governmental funding on transit projects, including for some of our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developments and laws and regulations, including those related to Positive Train Control;</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consequences of federal and state income tax legislation;</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sanctions imposed on countries and persons;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negotiations with governments;</w:t>
      </w:r>
    </w:p>
    <w:p>
      <w:pPr>
        <w:spacing w:after="0" w:line="200" w:lineRule="exact"/>
        <w:rPr>
          <w:sz w:val="20"/>
          <w:szCs w:val="20"/>
          <w:color w:val="auto"/>
        </w:rPr>
      </w:pPr>
    </w:p>
    <w:p>
      <w:pPr>
        <w:ind w:left="580" w:hanging="306"/>
        <w:spacing w:after="0"/>
        <w:tabs>
          <w:tab w:leader="none" w:pos="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of climate change, including evolving climate change policy;</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disruptive natural hazards, including earthquakes, fires, floods, tornadoes, hurricanes or other weather conditions;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epidemics, pandemics, or similar public health crises;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deterioration of general economic conditions as a result of natural hazards or health crises;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shutdown of one or more of our operating facilities as a result of natural hazards and health crises;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and sourcing disruptions as a result of natural hazards, health crises or other external factors;</w:t>
      </w:r>
    </w:p>
    <w:p>
      <w:pPr>
        <w:spacing w:after="0" w:line="97" w:lineRule="exact"/>
        <w:rPr>
          <w:sz w:val="20"/>
          <w:szCs w:val="20"/>
          <w:color w:val="auto"/>
        </w:rPr>
      </w:pPr>
    </w:p>
    <w:p>
      <w:pPr>
        <w:ind w:right="180" w:firstLine="464"/>
        <w:spacing w:after="0" w:line="270" w:lineRule="auto"/>
        <w:rPr>
          <w:sz w:val="20"/>
          <w:szCs w:val="20"/>
          <w:color w:val="auto"/>
        </w:rPr>
      </w:pPr>
      <w:r>
        <w:rPr>
          <w:rFonts w:ascii="Times New Roman" w:cs="Times New Roman" w:eastAsia="Times New Roman" w:hAnsi="Times New Roman"/>
          <w:sz w:val="17"/>
          <w:szCs w:val="17"/>
          <w:color w:val="auto"/>
        </w:rPr>
        <w:t>Statements in this Quarterly Report on Form 10-Q apply only as of the date on which such statements are made, and except as required by law,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2024.</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97"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A summary of critical accounting estimates is included in the Company’s Annual Report on Form 10-K for the year ended December 31, 2024. In particular, judgment is used in areas such as accounts receivable and the allowance for doubtful accounts, inventories, business combinations, goodwill and indefinite-lived intangible assets, warranty reserves, income taxes, and revenue recognition. There have been no significant changes in the related accounting policies since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45" w:name="page46"/>
    <w:bookmarkEnd w:id="45"/>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"Quantitative and Qualitative Disclosures About Market Risk" in Item 7A of Part II of our Annual Report on Form 10-K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Our exposure to market risk has not changed materially since December 31, 2024. Refer to Note 13 - Fair Value Measurement and Derivative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Instruments of "Notes to Condensed Consolidated Financial Statements" included in Part I, Item 1 of this report for additional information regarding interest rate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foreign currency exchange risk.</w:t>
      </w:r>
    </w:p>
    <w:p>
      <w:pPr>
        <w:spacing w:after="0" w:line="2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8"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Wabtec’s principal executive officer and its principal financial officer have evaluated the effectiveness of Wabtec’s “disclosure controls and procedures,” (as defined in Exchange Act Rule 13a-15(e)) as of June 30, 2025.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199" w:lineRule="exact"/>
        <w:rPr>
          <w:sz w:val="20"/>
          <w:szCs w:val="20"/>
          <w:color w:val="auto"/>
        </w:rPr>
      </w:pPr>
    </w:p>
    <w:p>
      <w:pPr>
        <w:ind w:right="60" w:firstLine="464"/>
        <w:spacing w:after="0" w:line="287" w:lineRule="auto"/>
        <w:rPr>
          <w:sz w:val="20"/>
          <w:szCs w:val="20"/>
          <w:color w:val="auto"/>
        </w:rPr>
      </w:pPr>
      <w:r>
        <w:rPr>
          <w:rFonts w:ascii="Times New Roman" w:cs="Times New Roman" w:eastAsia="Times New Roman" w:hAnsi="Times New Roman"/>
          <w:sz w:val="17"/>
          <w:szCs w:val="17"/>
          <w:color w:val="auto"/>
        </w:rPr>
        <w:t>There was no change in Wabtec’s “internal control over financial reporting” (as defined in Rule 13a-15(f) under the Exchange Act) that occurred during the quarter ended June 30, 2025, that has materially affected, or is reasonably likely to materially affect, Wabtec’s internal control over financial reporting.</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8" w:lineRule="exact"/>
        <w:rPr>
          <w:sz w:val="20"/>
          <w:szCs w:val="20"/>
          <w:color w:val="auto"/>
        </w:rPr>
      </w:pPr>
    </w:p>
    <w:p>
      <w:pPr>
        <w:ind w:right="320" w:firstLine="464"/>
        <w:spacing w:after="0" w:line="287" w:lineRule="auto"/>
        <w:rPr>
          <w:sz w:val="20"/>
          <w:szCs w:val="20"/>
          <w:color w:val="auto"/>
        </w:rPr>
      </w:pPr>
      <w:r>
        <w:rPr>
          <w:rFonts w:ascii="Times New Roman" w:cs="Times New Roman" w:eastAsia="Times New Roman" w:hAnsi="Times New Roman"/>
          <w:sz w:val="17"/>
          <w:szCs w:val="17"/>
          <w:color w:val="auto"/>
        </w:rPr>
        <w:t>Additional information with respect to legal proceedings is included in Note 14 of “Notes to Condensed Consolidated Financial Statements” included in Part I, Item 1 of this report.</w:t>
      </w:r>
    </w:p>
    <w:p>
      <w:pPr>
        <w:spacing w:after="0" w:line="2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 have been no material changes in our risk factors from those disclosed in our Annual Report on Form 10-K for the year ended December 31, 2024.</w:t>
      </w:r>
    </w:p>
    <w:p>
      <w:pPr>
        <w:spacing w:after="0" w:line="2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Company's stock repurchase activity for the three months ended June 30, 2025:</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Issuer Purchases of Common Stock</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2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color w:val="auto"/>
                <w:w w:val="96"/>
              </w:rPr>
              <w:t>Total Number of Shares</w:t>
            </w: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ind w:right="23"/>
              <w:spacing w:after="0" w:line="127" w:lineRule="exact"/>
              <w:rPr>
                <w:sz w:val="20"/>
                <w:szCs w:val="20"/>
                <w:color w:val="auto"/>
              </w:rPr>
            </w:pPr>
            <w:r>
              <w:rPr>
                <w:rFonts w:ascii="Times New Roman" w:cs="Times New Roman" w:eastAsia="Times New Roman" w:hAnsi="Times New Roman"/>
                <w:sz w:val="14"/>
                <w:szCs w:val="14"/>
                <w:color w:val="auto"/>
                <w:w w:val="97"/>
              </w:rPr>
              <w:t>Maximum Dollar Value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7"/>
              </w:rPr>
              <w:t>Total Number of Shares</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6"/>
              </w:rPr>
              <w:t>Average Price Paid</w:t>
            </w:r>
          </w:p>
        </w:tc>
        <w:tc>
          <w:tcPr>
            <w:tcW w:w="16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color w:val="auto"/>
                <w:w w:val="98"/>
              </w:rPr>
              <w:t>Purchased as Part of</w:t>
            </w:r>
          </w:p>
        </w:tc>
        <w:tc>
          <w:tcPr>
            <w:tcW w:w="100" w:type="dxa"/>
            <w:vAlign w:val="bottom"/>
          </w:tcPr>
          <w:p>
            <w:pPr>
              <w:spacing w:after="0"/>
              <w:rPr>
                <w:sz w:val="11"/>
                <w:szCs w:val="11"/>
                <w:color w:val="auto"/>
              </w:rPr>
            </w:pPr>
          </w:p>
        </w:tc>
        <w:tc>
          <w:tcPr>
            <w:tcW w:w="1560" w:type="dxa"/>
            <w:vAlign w:val="bottom"/>
          </w:tcPr>
          <w:p>
            <w:pPr>
              <w:jc w:val="center"/>
              <w:ind w:right="23"/>
              <w:spacing w:after="0" w:line="137" w:lineRule="exact"/>
              <w:rPr>
                <w:sz w:val="20"/>
                <w:szCs w:val="20"/>
                <w:color w:val="auto"/>
              </w:rPr>
            </w:pPr>
            <w:r>
              <w:rPr>
                <w:rFonts w:ascii="Times New Roman" w:cs="Times New Roman" w:eastAsia="Times New Roman" w:hAnsi="Times New Roman"/>
                <w:sz w:val="14"/>
                <w:szCs w:val="14"/>
                <w:color w:val="auto"/>
                <w:w w:val="96"/>
              </w:rPr>
              <w:t>Shares That May Yet Be</w:t>
            </w:r>
          </w:p>
        </w:tc>
        <w:tc>
          <w:tcPr>
            <w:tcW w:w="0" w:type="dxa"/>
            <w:vAlign w:val="bottom"/>
          </w:tcPr>
          <w:p>
            <w:pPr>
              <w:spacing w:after="0"/>
              <w:rPr>
                <w:sz w:val="1"/>
                <w:szCs w:val="1"/>
                <w:color w:val="auto"/>
              </w:rPr>
            </w:pPr>
          </w:p>
        </w:tc>
      </w:tr>
      <w:tr>
        <w:trPr>
          <w:trHeight w:val="142"/>
        </w:trPr>
        <w:tc>
          <w:tcPr>
            <w:tcW w:w="4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shares and price per share</w:t>
            </w:r>
          </w:p>
        </w:tc>
        <w:tc>
          <w:tcPr>
            <w:tcW w:w="172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w w:val="99"/>
              </w:rPr>
              <w:t>Publicly Announced</w:t>
            </w:r>
          </w:p>
        </w:tc>
        <w:tc>
          <w:tcPr>
            <w:tcW w:w="100" w:type="dxa"/>
            <w:vAlign w:val="bottom"/>
          </w:tcPr>
          <w:p>
            <w:pPr>
              <w:spacing w:after="0"/>
              <w:rPr>
                <w:sz w:val="12"/>
                <w:szCs w:val="12"/>
                <w:color w:val="auto"/>
              </w:rPr>
            </w:pPr>
          </w:p>
        </w:tc>
        <w:tc>
          <w:tcPr>
            <w:tcW w:w="1560" w:type="dxa"/>
            <w:vAlign w:val="bottom"/>
          </w:tcPr>
          <w:p>
            <w:pPr>
              <w:jc w:val="center"/>
              <w:ind w:right="23"/>
              <w:spacing w:after="0" w:line="142" w:lineRule="exact"/>
              <w:rPr>
                <w:sz w:val="20"/>
                <w:szCs w:val="20"/>
                <w:color w:val="auto"/>
              </w:rPr>
            </w:pPr>
            <w:r>
              <w:rPr>
                <w:rFonts w:ascii="Times New Roman" w:cs="Times New Roman" w:eastAsia="Times New Roman" w:hAnsi="Times New Roman"/>
                <w:sz w:val="14"/>
                <w:szCs w:val="14"/>
                <w:color w:val="auto"/>
                <w:w w:val="97"/>
              </w:rPr>
              <w:t>Purchased Under the</w:t>
            </w:r>
          </w:p>
        </w:tc>
        <w:tc>
          <w:tcPr>
            <w:tcW w:w="0" w:type="dxa"/>
            <w:vAlign w:val="bottom"/>
          </w:tcPr>
          <w:p>
            <w:pPr>
              <w:spacing w:after="0"/>
              <w:rPr>
                <w:sz w:val="1"/>
                <w:szCs w:val="1"/>
                <w:color w:val="auto"/>
              </w:rPr>
            </w:pPr>
          </w:p>
        </w:tc>
      </w:tr>
      <w:tr>
        <w:trPr>
          <w:trHeight w:val="142"/>
        </w:trPr>
        <w:tc>
          <w:tcPr>
            <w:tcW w:w="4840" w:type="dxa"/>
            <w:vAlign w:val="bottom"/>
            <w:gridSpan w:val="4"/>
            <w:vMerge w:val="continue"/>
          </w:tcPr>
          <w:p>
            <w:pPr>
              <w:spacing w:after="0"/>
              <w:rPr>
                <w:sz w:val="12"/>
                <w:szCs w:val="12"/>
                <w:color w:val="auto"/>
              </w:rPr>
            </w:pPr>
          </w:p>
        </w:tc>
        <w:tc>
          <w:tcPr>
            <w:tcW w:w="17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4"/>
                <w:szCs w:val="14"/>
                <w:color w:val="auto"/>
                <w:w w:val="97"/>
              </w:rPr>
              <w:t>Purchased</w:t>
            </w: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4"/>
                <w:szCs w:val="14"/>
                <w:color w:val="auto"/>
                <w:w w:val="97"/>
              </w:rPr>
              <w:t>per Share</w:t>
            </w:r>
          </w:p>
        </w:tc>
        <w:tc>
          <w:tcPr>
            <w:tcW w:w="16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4"/>
                <w:szCs w:val="14"/>
                <w:color w:val="auto"/>
                <w:w w:val="97"/>
              </w:rPr>
              <w:t>Programs (1)</w:t>
            </w:r>
          </w:p>
        </w:tc>
        <w:tc>
          <w:tcPr>
            <w:tcW w:w="100" w:type="dxa"/>
            <w:vAlign w:val="bottom"/>
          </w:tcPr>
          <w:p>
            <w:pPr>
              <w:spacing w:after="0"/>
              <w:rPr>
                <w:sz w:val="12"/>
                <w:szCs w:val="12"/>
                <w:color w:val="auto"/>
              </w:rPr>
            </w:pPr>
          </w:p>
        </w:tc>
        <w:tc>
          <w:tcPr>
            <w:tcW w:w="1560" w:type="dxa"/>
            <w:vAlign w:val="bottom"/>
          </w:tcPr>
          <w:p>
            <w:pPr>
              <w:jc w:val="center"/>
              <w:ind w:right="3"/>
              <w:spacing w:after="0" w:line="122" w:lineRule="exact"/>
              <w:rPr>
                <w:sz w:val="20"/>
                <w:szCs w:val="20"/>
                <w:color w:val="auto"/>
              </w:rPr>
            </w:pPr>
            <w:r>
              <w:rPr>
                <w:rFonts w:ascii="Times New Roman" w:cs="Times New Roman" w:eastAsia="Times New Roman" w:hAnsi="Times New Roman"/>
                <w:sz w:val="14"/>
                <w:szCs w:val="14"/>
                <w:color w:val="auto"/>
                <w:w w:val="97"/>
              </w:rPr>
              <w:t>Programs (1)</w:t>
            </w:r>
          </w:p>
        </w:tc>
        <w:tc>
          <w:tcPr>
            <w:tcW w:w="0" w:type="dxa"/>
            <w:vAlign w:val="bottom"/>
          </w:tcPr>
          <w:p>
            <w:pPr>
              <w:spacing w:after="0"/>
              <w:rPr>
                <w:sz w:val="1"/>
                <w:szCs w:val="1"/>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2580" w:type="dxa"/>
            <w:vAlign w:val="bottom"/>
            <w:tcBorders>
              <w:top w:val="single" w:sz="8" w:color="auto"/>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2025</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0" w:type="dxa"/>
            <w:vAlign w:val="bottom"/>
          </w:tcPr>
          <w:p>
            <w:pPr>
              <w:spacing w:after="0"/>
              <w:rPr>
                <w:sz w:val="1"/>
                <w:szCs w:val="1"/>
                <w:color w:val="auto"/>
              </w:rPr>
            </w:pPr>
          </w:p>
        </w:tc>
      </w:tr>
      <w:tr>
        <w:trPr>
          <w:trHeight w:val="219"/>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May 2025</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0" w:type="dxa"/>
            <w:vAlign w:val="bottom"/>
          </w:tcPr>
          <w:p>
            <w:pPr>
              <w:spacing w:after="0"/>
              <w:rPr>
                <w:sz w:val="1"/>
                <w:szCs w:val="1"/>
                <w:color w:val="auto"/>
              </w:rPr>
            </w:pPr>
          </w:p>
        </w:tc>
      </w:tr>
      <w:tr>
        <w:trPr>
          <w:trHeight w:val="219"/>
        </w:trPr>
        <w:tc>
          <w:tcPr>
            <w:tcW w:w="4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203.32</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245,919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0" w:type="dxa"/>
            <w:vAlign w:val="bottom"/>
          </w:tcPr>
          <w:p>
            <w:pPr>
              <w:spacing w:after="0"/>
              <w:rPr>
                <w:sz w:val="1"/>
                <w:szCs w:val="1"/>
                <w:color w:val="auto"/>
              </w:rPr>
            </w:pPr>
          </w:p>
        </w:tc>
      </w:tr>
      <w:tr>
        <w:trPr>
          <w:trHeight w:val="212"/>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 quarter ended June 30, 2025</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245,919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203.32</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245,919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80" w:hanging="413"/>
        <w:spacing w:after="0"/>
        <w:tabs>
          <w:tab w:leader="none" w:pos="8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3, 2024, the Board of Directors authorized an additional $1.0 billion to the Company's existing stock repurchase program for stock</w:t>
      </w:r>
    </w:p>
    <w:p>
      <w:pPr>
        <w:spacing w:after="0" w:line="4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repurchases of the Company’s outstanding shares. This new authorization provides an additional $1.0 billion that became available for repurchases after the remaining availability as of December 3, 2024 was expended. No time limit was set for the completion of the program, which conformed to the requirements under the 2022 Credit Agreement and the 2024 Credit Agreement, and complies with the requirements under the 2025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June 30, 2025, approximately $852 million was remaining under the stock repurchase plan.</w:t>
      </w:r>
    </w:p>
    <w:p>
      <w:pPr>
        <w:spacing w:after="0" w:line="35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69" w:lineRule="exact"/>
        <w:rPr>
          <w:sz w:val="20"/>
          <w:szCs w:val="20"/>
          <w:color w:val="auto"/>
        </w:rPr>
      </w:pPr>
    </w:p>
    <w:p>
      <w:pPr>
        <w:ind w:right="180" w:firstLine="464"/>
        <w:spacing w:after="0" w:line="270" w:lineRule="auto"/>
        <w:rPr>
          <w:sz w:val="20"/>
          <w:szCs w:val="20"/>
          <w:color w:val="auto"/>
        </w:rPr>
      </w:pPr>
      <w:r>
        <w:rPr>
          <w:rFonts w:ascii="Times New Roman" w:cs="Times New Roman" w:eastAsia="Times New Roman" w:hAnsi="Times New Roman"/>
          <w:sz w:val="17"/>
          <w:szCs w:val="17"/>
          <w:color w:val="auto"/>
        </w:rPr>
        <w:t>On June 12, 2025, Rafael Santana, Wabtec’s President and Chief Executive Officer, entered into a stock trading plan (the “Plan”) designed to comply with Rule 10b5-1(c) under the Securities Exchange Act of 1934, as amended. Under the terms of the plan, up to 21,577 shares jointly owned by Mr. Santana and his spouse may be sold from September 2025 to February 2026.</w:t>
      </w:r>
    </w:p>
    <w:p>
      <w:pPr>
        <w:spacing w:after="0" w:line="114" w:lineRule="exact"/>
        <w:rPr>
          <w:sz w:val="20"/>
          <w:szCs w:val="20"/>
          <w:color w:val="auto"/>
        </w:rPr>
      </w:pPr>
    </w:p>
    <w:p>
      <w:pPr>
        <w:ind w:right="240" w:firstLine="464"/>
        <w:spacing w:after="0" w:line="287" w:lineRule="auto"/>
        <w:rPr>
          <w:sz w:val="20"/>
          <w:szCs w:val="20"/>
          <w:color w:val="auto"/>
        </w:rPr>
      </w:pPr>
      <w:r>
        <w:rPr>
          <w:rFonts w:ascii="Times New Roman" w:cs="Times New Roman" w:eastAsia="Times New Roman" w:hAnsi="Times New Roman"/>
          <w:sz w:val="17"/>
          <w:szCs w:val="17"/>
          <w:color w:val="auto"/>
        </w:rPr>
        <w:t>Other than with respect to Mr. Santana’s Plan, none of Wabtec's Directors or Officers have adopted, terminated, or materially modified any trading plans, whether or not the plan was intended to qualify for the affirmative defense under Rule 10b5-1, during the second quarter ended June 30, 2025.</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10560" w:type="dxa"/>
            <w:vAlign w:val="bottom"/>
            <w:gridSpan w:val="16"/>
          </w:tcPr>
          <w:p>
            <w:pPr>
              <w:ind w:left="2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309"/>
        </w:trPr>
        <w:tc>
          <w:tcPr>
            <w:tcW w:w="11240" w:type="dxa"/>
            <w:vAlign w:val="bottom"/>
            <w:gridSpan w:val="17"/>
          </w:tcPr>
          <w:p>
            <w:pPr>
              <w:ind w:left="460"/>
              <w:spacing w:after="0"/>
              <w:rPr>
                <w:sz w:val="20"/>
                <w:szCs w:val="20"/>
                <w:color w:val="auto"/>
              </w:rPr>
            </w:pPr>
            <w:r>
              <w:rPr>
                <w:rFonts w:ascii="Times New Roman" w:cs="Times New Roman" w:eastAsia="Times New Roman" w:hAnsi="Times New Roman"/>
                <w:sz w:val="17"/>
                <w:szCs w:val="17"/>
                <w:color w:val="auto"/>
              </w:rPr>
              <w:t>The following exhibits are being filed with this report:</w:t>
            </w:r>
          </w:p>
        </w:tc>
      </w:tr>
      <w:tr>
        <w:trPr>
          <w:trHeight w:val="309"/>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780" w:type="dxa"/>
            <w:vAlign w:val="bottom"/>
          </w:tcPr>
          <w:p>
            <w:pPr>
              <w:spacing w:after="0"/>
              <w:rPr>
                <w:sz w:val="24"/>
                <w:szCs w:val="24"/>
                <w:color w:val="auto"/>
              </w:rPr>
            </w:pPr>
          </w:p>
        </w:tc>
        <w:tc>
          <w:tcPr>
            <w:tcW w:w="9780" w:type="dxa"/>
            <w:vAlign w:val="bottom"/>
            <w:gridSpan w:val="15"/>
          </w:tcPr>
          <w:p>
            <w:pPr>
              <w:spacing w:after="0"/>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Thirteenth Supplemental Indenture, dated as of May 14, 2025, by and among Westinghouse Air Brake Technologies Corporation, the</w:t>
              </w:r>
            </w:hyperlink>
          </w:p>
        </w:tc>
      </w:tr>
      <w:tr>
        <w:trPr>
          <w:trHeight w:val="148"/>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140" w:type="dxa"/>
            <w:vAlign w:val="bottom"/>
            <w:tcBorders>
              <w:top w:val="single" w:sz="8" w:color="0000FF"/>
              <w:bottom w:val="single" w:sz="8" w:color="0000FF"/>
            </w:tcBorders>
            <w:gridSpan w:val="9"/>
          </w:tcPr>
          <w:p>
            <w:pPr>
              <w:spacing w:after="0" w:line="148" w:lineRule="exact"/>
              <w:rPr>
                <w:rFonts w:ascii="Times New Roman" w:cs="Times New Roman" w:eastAsia="Times New Roman" w:hAnsi="Times New Roman"/>
                <w:sz w:val="17"/>
                <w:szCs w:val="17"/>
                <w:color w:val="0000FF"/>
                <w:w w:val="99"/>
              </w:rPr>
            </w:pPr>
            <w:hyperlink r:id="rId70">
              <w:r>
                <w:rPr>
                  <w:rFonts w:ascii="Times New Roman" w:cs="Times New Roman" w:eastAsia="Times New Roman" w:hAnsi="Times New Roman"/>
                  <w:sz w:val="17"/>
                  <w:szCs w:val="17"/>
                  <w:color w:val="0000FF"/>
                  <w:w w:val="99"/>
                </w:rPr>
                <w:t>subsidiary guarantors party thereto, Computershare Trust Company, National Association (as successor to Wells Fargo Bank, National</w:t>
              </w:r>
            </w:hyperlink>
          </w:p>
        </w:tc>
        <w:tc>
          <w:tcPr>
            <w:tcW w:w="4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580" w:type="dxa"/>
            <w:vAlign w:val="bottom"/>
            <w:tcBorders>
              <w:bottom w:val="single" w:sz="8" w:color="0000FF"/>
            </w:tcBorders>
            <w:gridSpan w:val="6"/>
          </w:tcPr>
          <w:p>
            <w:pPr>
              <w:spacing w:after="0" w:line="161"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Association) and U.S. Bank Trust Company, National Association.</w:t>
              </w:r>
            </w:hyperlink>
          </w:p>
        </w:tc>
        <w:tc>
          <w:tcPr>
            <w:tcW w:w="4640" w:type="dxa"/>
            <w:vAlign w:val="bottom"/>
            <w:gridSpan w:val="5"/>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780" w:type="dxa"/>
            <w:vAlign w:val="bottom"/>
          </w:tcPr>
          <w:p>
            <w:pPr>
              <w:spacing w:after="0"/>
              <w:rPr>
                <w:sz w:val="21"/>
                <w:szCs w:val="21"/>
                <w:color w:val="auto"/>
              </w:rPr>
            </w:pPr>
          </w:p>
        </w:tc>
        <w:tc>
          <w:tcPr>
            <w:tcW w:w="9780" w:type="dxa"/>
            <w:vAlign w:val="bottom"/>
            <w:gridSpan w:val="15"/>
          </w:tcPr>
          <w:p>
            <w:pPr>
              <w:spacing w:after="0"/>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Fourteenth Supplemental Indenture, dated May 29, 2025, by and among the Company, the subsidiary guarantors party thereto, Computershare</w:t>
              </w:r>
            </w:hyperlink>
          </w:p>
        </w:tc>
      </w:tr>
      <w:tr>
        <w:trPr>
          <w:trHeight w:val="148"/>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6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Trust Company, National Association (as successor to Wells Fargo Bank, National Association) and U.S. Bank Trust Company, National</w:t>
              </w:r>
            </w:hyperlink>
          </w:p>
        </w:tc>
        <w:tc>
          <w:tcPr>
            <w:tcW w:w="20" w:type="dxa"/>
            <w:vAlign w:val="bottom"/>
          </w:tcPr>
          <w:p>
            <w:pPr>
              <w:spacing w:after="0"/>
              <w:rPr>
                <w:sz w:val="12"/>
                <w:szCs w:val="12"/>
                <w:color w:val="auto"/>
              </w:rPr>
            </w:pPr>
          </w:p>
        </w:tc>
      </w:tr>
      <w:tr>
        <w:trPr>
          <w:trHeight w:val="160"/>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Association, as trustee for the Notes.</w:t>
              </w:r>
            </w:hyperlink>
          </w:p>
        </w:tc>
        <w:tc>
          <w:tcPr>
            <w:tcW w:w="6860" w:type="dxa"/>
            <w:vAlign w:val="bottom"/>
            <w:tcBorders>
              <w:top w:val="single" w:sz="8" w:color="0000FF"/>
            </w:tcBorders>
            <w:gridSpan w:val="9"/>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4.3</w:t>
            </w:r>
          </w:p>
        </w:tc>
        <w:tc>
          <w:tcPr>
            <w:tcW w:w="780" w:type="dxa"/>
            <w:vAlign w:val="bottom"/>
          </w:tcPr>
          <w:p>
            <w:pPr>
              <w:spacing w:after="0"/>
              <w:rPr>
                <w:sz w:val="21"/>
                <w:szCs w:val="21"/>
                <w:color w:val="auto"/>
              </w:rPr>
            </w:pPr>
          </w:p>
        </w:tc>
        <w:tc>
          <w:tcPr>
            <w:tcW w:w="9780" w:type="dxa"/>
            <w:vAlign w:val="bottom"/>
            <w:gridSpan w:val="15"/>
          </w:tcPr>
          <w:p>
            <w:pPr>
              <w:spacing w:after="0"/>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 xml:space="preserve">Form of 4.900% Senior Note due 2030 (including the Notation of Guarantee) (included in Exhibit </w:t>
              </w:r>
            </w:hyperlink>
            <w:r>
              <w:rPr>
                <w:rFonts w:ascii="Times New Roman" w:cs="Times New Roman" w:eastAsia="Times New Roman" w:hAnsi="Times New Roman"/>
                <w:sz w:val="17"/>
                <w:szCs w:val="17"/>
                <w:color w:val="0000FF"/>
              </w:rPr>
              <w:t>4.2)</w:t>
            </w:r>
            <w:hyperlink r:id="rId71">
              <w:r>
                <w:rPr>
                  <w:rFonts w:ascii="Times New Roman" w:cs="Times New Roman" w:eastAsia="Times New Roman" w:hAnsi="Times New Roman"/>
                  <w:sz w:val="17"/>
                  <w:szCs w:val="17"/>
                  <w:color w:val="0000FF"/>
                </w:rPr>
                <w:t>.</w:t>
              </w:r>
            </w:hyperlink>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4.4</w:t>
            </w:r>
          </w:p>
        </w:tc>
        <w:tc>
          <w:tcPr>
            <w:tcW w:w="780" w:type="dxa"/>
            <w:vAlign w:val="bottom"/>
          </w:tcPr>
          <w:p>
            <w:pPr>
              <w:spacing w:after="0"/>
              <w:rPr>
                <w:sz w:val="21"/>
                <w:szCs w:val="21"/>
                <w:color w:val="auto"/>
              </w:rPr>
            </w:pPr>
          </w:p>
        </w:tc>
        <w:tc>
          <w:tcPr>
            <w:tcW w:w="9780" w:type="dxa"/>
            <w:vAlign w:val="bottom"/>
            <w:gridSpan w:val="15"/>
          </w:tcPr>
          <w:p>
            <w:pPr>
              <w:spacing w:after="0"/>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 xml:space="preserve">Form of 5.500% Senior Note due 2035 (including the Notation of Guarantee) (included in Exhibit </w:t>
              </w:r>
            </w:hyperlink>
            <w:r>
              <w:rPr>
                <w:rFonts w:ascii="Times New Roman" w:cs="Times New Roman" w:eastAsia="Times New Roman" w:hAnsi="Times New Roman"/>
                <w:sz w:val="17"/>
                <w:szCs w:val="17"/>
                <w:color w:val="0000FF"/>
              </w:rPr>
              <w:t>4.2)</w:t>
            </w:r>
            <w:hyperlink r:id="rId71">
              <w:r>
                <w:rPr>
                  <w:rFonts w:ascii="Times New Roman" w:cs="Times New Roman" w:eastAsia="Times New Roman" w:hAnsi="Times New Roman"/>
                  <w:sz w:val="17"/>
                  <w:szCs w:val="17"/>
                  <w:color w:val="0000FF"/>
                </w:rPr>
                <w:t>.</w:t>
              </w:r>
            </w:hyperlink>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780" w:type="dxa"/>
            <w:vAlign w:val="bottom"/>
          </w:tcPr>
          <w:p>
            <w:pPr>
              <w:spacing w:after="0"/>
              <w:rPr>
                <w:sz w:val="21"/>
                <w:szCs w:val="21"/>
                <w:color w:val="auto"/>
              </w:rPr>
            </w:pPr>
          </w:p>
        </w:tc>
        <w:tc>
          <w:tcPr>
            <w:tcW w:w="9780" w:type="dxa"/>
            <w:vAlign w:val="bottom"/>
            <w:gridSpan w:val="15"/>
          </w:tcPr>
          <w:p>
            <w:pPr>
              <w:spacing w:after="0"/>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Amended and Restated Credit Agreement, dated as of April 23, 2025, among Westinghouse Air Brake Technologies Corporation, Wabtec</w:t>
              </w:r>
            </w:hyperlink>
          </w:p>
        </w:tc>
      </w:tr>
      <w:tr>
        <w:trPr>
          <w:trHeight w:val="148"/>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60" w:type="dxa"/>
            <w:vAlign w:val="bottom"/>
            <w:tcBorders>
              <w:top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Transportation Netherlands B.V. and the other borrowing subsidiaries party thereto, the lenders party thereto and PNC Bank, National</w:t>
              </w:r>
            </w:hyperlink>
          </w:p>
        </w:tc>
        <w:tc>
          <w:tcPr>
            <w:tcW w:w="320" w:type="dxa"/>
            <w:vAlign w:val="bottom"/>
            <w:gridSpan w:val="2"/>
          </w:tcPr>
          <w:p>
            <w:pPr>
              <w:spacing w:after="0"/>
              <w:rPr>
                <w:sz w:val="12"/>
                <w:szCs w:val="12"/>
                <w:color w:val="auto"/>
              </w:rPr>
            </w:pPr>
          </w:p>
        </w:tc>
      </w:tr>
      <w:tr>
        <w:trPr>
          <w:trHeight w:val="160"/>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Association as administrative agent.</w:t>
              </w:r>
            </w:hyperlink>
          </w:p>
        </w:tc>
        <w:tc>
          <w:tcPr>
            <w:tcW w:w="6700" w:type="dxa"/>
            <w:vAlign w:val="bottom"/>
            <w:tcBorders>
              <w:top w:val="single" w:sz="8" w:color="0000FF"/>
            </w:tcBorders>
            <w:gridSpan w:val="8"/>
          </w:tcPr>
          <w:p>
            <w:pPr>
              <w:spacing w:after="0"/>
              <w:rPr>
                <w:sz w:val="13"/>
                <w:szCs w:val="13"/>
                <w:color w:val="auto"/>
              </w:rPr>
            </w:pPr>
          </w:p>
        </w:tc>
        <w:tc>
          <w:tcPr>
            <w:tcW w:w="600" w:type="dxa"/>
            <w:vAlign w:val="bottom"/>
            <w:gridSpan w:val="5"/>
          </w:tcPr>
          <w:p>
            <w:pPr>
              <w:spacing w:after="0"/>
              <w:rPr>
                <w:sz w:val="13"/>
                <w:szCs w:val="13"/>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22.1</w:t>
            </w:r>
          </w:p>
        </w:tc>
        <w:tc>
          <w:tcPr>
            <w:tcW w:w="780" w:type="dxa"/>
            <w:vAlign w:val="bottom"/>
          </w:tcPr>
          <w:p>
            <w:pPr>
              <w:spacing w:after="0"/>
              <w:rPr>
                <w:sz w:val="21"/>
                <w:szCs w:val="21"/>
                <w:color w:val="auto"/>
              </w:rPr>
            </w:pPr>
          </w:p>
        </w:tc>
        <w:tc>
          <w:tcPr>
            <w:tcW w:w="97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List of Subsidiary Guarantors</w:t>
            </w: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780" w:type="dxa"/>
            <w:vAlign w:val="bottom"/>
          </w:tcPr>
          <w:p>
            <w:pPr>
              <w:spacing w:after="0"/>
              <w:rPr>
                <w:sz w:val="21"/>
                <w:szCs w:val="21"/>
                <w:color w:val="auto"/>
              </w:rPr>
            </w:pPr>
          </w:p>
        </w:tc>
        <w:tc>
          <w:tcPr>
            <w:tcW w:w="97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Rule 13a-14(a) Certification of Chief Executive Officer.</w:t>
            </w: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780" w:type="dxa"/>
            <w:vAlign w:val="bottom"/>
          </w:tcPr>
          <w:p>
            <w:pPr>
              <w:spacing w:after="0"/>
              <w:rPr>
                <w:sz w:val="21"/>
                <w:szCs w:val="21"/>
                <w:color w:val="auto"/>
              </w:rPr>
            </w:pPr>
          </w:p>
        </w:tc>
        <w:tc>
          <w:tcPr>
            <w:tcW w:w="38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Rule 13a-14(a) Certification of Chief Financial Officer.</w:t>
            </w:r>
          </w:p>
        </w:tc>
        <w:tc>
          <w:tcPr>
            <w:tcW w:w="5940" w:type="dxa"/>
            <w:vAlign w:val="bottom"/>
            <w:gridSpan w:val="10"/>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780" w:type="dxa"/>
            <w:vAlign w:val="bottom"/>
          </w:tcPr>
          <w:p>
            <w:pPr>
              <w:spacing w:after="0"/>
              <w:rPr>
                <w:sz w:val="21"/>
                <w:szCs w:val="21"/>
                <w:color w:val="auto"/>
              </w:rPr>
            </w:pPr>
          </w:p>
        </w:tc>
        <w:tc>
          <w:tcPr>
            <w:tcW w:w="97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Section 1350 Certification of Chief Executive Officer and Chief Financial Officer.</w:t>
            </w:r>
          </w:p>
        </w:tc>
      </w:tr>
      <w:tr>
        <w:trPr>
          <w:trHeight w:val="290"/>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780" w:type="dxa"/>
            <w:vAlign w:val="bottom"/>
          </w:tcPr>
          <w:p>
            <w:pPr>
              <w:spacing w:after="0"/>
              <w:rPr>
                <w:sz w:val="24"/>
                <w:szCs w:val="24"/>
                <w:color w:val="auto"/>
              </w:rPr>
            </w:pPr>
          </w:p>
        </w:tc>
        <w:tc>
          <w:tcPr>
            <w:tcW w:w="56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4140" w:type="dxa"/>
            <w:vAlign w:val="bottom"/>
            <w:gridSpan w:val="8"/>
          </w:tcPr>
          <w:p>
            <w:pPr>
              <w:spacing w:after="0"/>
              <w:rPr>
                <w:sz w:val="24"/>
                <w:szCs w:val="24"/>
                <w:color w:val="auto"/>
              </w:rPr>
            </w:pP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780" w:type="dxa"/>
            <w:vAlign w:val="bottom"/>
          </w:tcPr>
          <w:p>
            <w:pPr>
              <w:spacing w:after="0"/>
              <w:rPr>
                <w:sz w:val="23"/>
                <w:szCs w:val="23"/>
                <w:color w:val="auto"/>
              </w:rPr>
            </w:pPr>
          </w:p>
        </w:tc>
        <w:tc>
          <w:tcPr>
            <w:tcW w:w="9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780" w:type="dxa"/>
            <w:vAlign w:val="bottom"/>
          </w:tcPr>
          <w:p>
            <w:pPr>
              <w:spacing w:after="0"/>
              <w:rPr>
                <w:sz w:val="23"/>
                <w:szCs w:val="23"/>
                <w:color w:val="auto"/>
              </w:rPr>
            </w:pPr>
          </w:p>
        </w:tc>
        <w:tc>
          <w:tcPr>
            <w:tcW w:w="9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780" w:type="dxa"/>
            <w:vAlign w:val="bottom"/>
          </w:tcPr>
          <w:p>
            <w:pPr>
              <w:spacing w:after="0"/>
              <w:rPr>
                <w:sz w:val="23"/>
                <w:szCs w:val="23"/>
                <w:color w:val="auto"/>
              </w:rPr>
            </w:pPr>
          </w:p>
        </w:tc>
        <w:tc>
          <w:tcPr>
            <w:tcW w:w="9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780" w:type="dxa"/>
            <w:vAlign w:val="bottom"/>
          </w:tcPr>
          <w:p>
            <w:pPr>
              <w:spacing w:after="0"/>
              <w:rPr>
                <w:sz w:val="23"/>
                <w:szCs w:val="23"/>
                <w:color w:val="auto"/>
              </w:rPr>
            </w:pPr>
          </w:p>
        </w:tc>
        <w:tc>
          <w:tcPr>
            <w:tcW w:w="9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780" w:type="dxa"/>
            <w:vAlign w:val="bottom"/>
          </w:tcPr>
          <w:p>
            <w:pPr>
              <w:spacing w:after="0"/>
              <w:rPr>
                <w:sz w:val="23"/>
                <w:szCs w:val="23"/>
                <w:color w:val="auto"/>
              </w:rPr>
            </w:pPr>
          </w:p>
        </w:tc>
        <w:tc>
          <w:tcPr>
            <w:tcW w:w="9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48" w:lineRule="exact"/>
        <w:rPr>
          <w:sz w:val="20"/>
          <w:szCs w:val="20"/>
          <w:color w:val="auto"/>
        </w:rPr>
      </w:pPr>
    </w:p>
    <w:p>
      <w:pPr>
        <w:ind w:left="1460" w:hanging="1440"/>
        <w:spacing w:after="0"/>
        <w:tabs>
          <w:tab w:leader="none" w:pos="1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32"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48" w:name="page49"/>
    <w:bookmarkEnd w:id="48"/>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Company has duly caused this report to be signed on its behalf by the undersigned thereunto duly authorized.</w:t>
      </w:r>
    </w:p>
    <w:p>
      <w:pPr>
        <w:spacing w:after="0" w:line="19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WESTINGHOUSE AIR BRAKE TECHNOLOGIES CORPORATION</w:t>
      </w:r>
    </w:p>
    <w:p>
      <w:pPr>
        <w:spacing w:after="0" w:line="75" w:lineRule="exact"/>
        <w:rPr>
          <w:sz w:val="20"/>
          <w:szCs w:val="20"/>
          <w:color w:val="auto"/>
        </w:rPr>
      </w:pPr>
    </w:p>
    <w:p>
      <w:pPr>
        <w:ind w:left="5980"/>
        <w:spacing w:after="0"/>
        <w:tabs>
          <w:tab w:leader="none" w:pos="82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JOHN A. 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17145</wp:posOffset>
            </wp:positionV>
            <wp:extent cx="28651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9"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John A. Olin</w:t>
      </w:r>
    </w:p>
    <w:p>
      <w:pPr>
        <w:spacing w:after="0" w:line="3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Executive Vice President and</w:t>
      </w:r>
    </w:p>
    <w:p>
      <w:pPr>
        <w:ind w:left="830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5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(Duly Authorized Officer and Principal Financial Officer)</w:t>
      </w:r>
    </w:p>
    <w:p>
      <w:pPr>
        <w:spacing w:after="0" w:line="269" w:lineRule="exact"/>
        <w:rPr>
          <w:sz w:val="20"/>
          <w:szCs w:val="20"/>
          <w:color w:val="auto"/>
        </w:rPr>
      </w:pPr>
    </w:p>
    <w:p>
      <w:pPr>
        <w:ind w:left="5980"/>
        <w:spacing w:after="0"/>
        <w:tabs>
          <w:tab w:leader="none" w:pos="6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180"/>
          </w:cols>
          <w:pgMar w:left="320" w:top="893" w:right="3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9"/>
          <w:szCs w:val="19"/>
          <w:b w:val="1"/>
          <w:bCs w:val="1"/>
          <w:color w:val="auto"/>
        </w:rPr>
        <w:t>Exhibit 22.1</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Guarantor Subsidiaries of Westinghouse Air Brake Technologies</w:t>
      </w:r>
    </w:p>
    <w:p>
      <w:pPr>
        <w:spacing w:after="0" w:line="138"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7"/>
          <w:szCs w:val="17"/>
          <w:color w:val="auto"/>
        </w:rPr>
        <w:t>The obligations under the Company's US Notes and the 2025 Credit Agreement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30,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The US Notes, 2022 Credit Agreement and 2024 Credit Agreement</w:t>
      </w:r>
    </w:p>
    <w:p>
      <w:pPr>
        <w:spacing w:after="0" w:line="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i w:val="1"/>
          <w:iCs w:val="1"/>
          <w:u w:val="single" w:color="auto"/>
          <w:color w:val="auto"/>
        </w:rPr>
        <w:t>Issuer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Westinghouse Air Brake Technologies Corporation</w:t>
      </w:r>
    </w:p>
    <w:p>
      <w:pPr>
        <w:spacing w:after="0" w:line="1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i w:val="1"/>
          <w:iCs w:val="1"/>
          <w:u w:val="single" w:color="auto"/>
          <w:color w:val="auto"/>
        </w:rPr>
        <w:t>Guarantors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GE Transportation, a Wabtec Company</w:t>
      </w:r>
    </w:p>
    <w:p>
      <w:pPr>
        <w:spacing w:after="0" w:line="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RFPC Holding Corp.</w:t>
      </w:r>
    </w:p>
    <w:p>
      <w:pPr>
        <w:ind w:left="1240"/>
        <w:spacing w:after="0" w:line="237" w:lineRule="auto"/>
        <w:rPr>
          <w:sz w:val="20"/>
          <w:szCs w:val="20"/>
          <w:color w:val="auto"/>
        </w:rPr>
      </w:pPr>
      <w:r>
        <w:rPr>
          <w:rFonts w:ascii="Times New Roman" w:cs="Times New Roman" w:eastAsia="Times New Roman" w:hAnsi="Times New Roman"/>
          <w:sz w:val="17"/>
          <w:szCs w:val="17"/>
          <w:color w:val="auto"/>
        </w:rPr>
        <w:t>Transportation IP Holdings, LLC</w:t>
      </w:r>
    </w:p>
    <w:p>
      <w:pPr>
        <w:ind w:left="1240"/>
        <w:spacing w:after="0" w:line="237" w:lineRule="auto"/>
        <w:rPr>
          <w:sz w:val="20"/>
          <w:szCs w:val="20"/>
          <w:color w:val="auto"/>
        </w:rPr>
      </w:pPr>
      <w:r>
        <w:rPr>
          <w:rFonts w:ascii="Times New Roman" w:cs="Times New Roman" w:eastAsia="Times New Roman" w:hAnsi="Times New Roman"/>
          <w:sz w:val="17"/>
          <w:szCs w:val="17"/>
          <w:color w:val="auto"/>
        </w:rPr>
        <w:t>Transportation Systems Services Operations Inc.</w:t>
      </w:r>
    </w:p>
    <w:p>
      <w:pPr>
        <w:ind w:left="1240"/>
        <w:spacing w:after="0" w:line="238" w:lineRule="auto"/>
        <w:rPr>
          <w:sz w:val="20"/>
          <w:szCs w:val="20"/>
          <w:color w:val="auto"/>
        </w:rPr>
      </w:pPr>
      <w:r>
        <w:rPr>
          <w:rFonts w:ascii="Times New Roman" w:cs="Times New Roman" w:eastAsia="Times New Roman" w:hAnsi="Times New Roman"/>
          <w:sz w:val="17"/>
          <w:szCs w:val="17"/>
          <w:color w:val="auto"/>
        </w:rPr>
        <w:t>Wabtec Components, LLC</w:t>
      </w:r>
    </w:p>
    <w:p>
      <w:pPr>
        <w:ind w:left="1240"/>
        <w:spacing w:after="0" w:line="221" w:lineRule="auto"/>
        <w:rPr>
          <w:sz w:val="20"/>
          <w:szCs w:val="20"/>
          <w:color w:val="auto"/>
        </w:rPr>
      </w:pPr>
      <w:r>
        <w:rPr>
          <w:rFonts w:ascii="Times New Roman" w:cs="Times New Roman" w:eastAsia="Times New Roman" w:hAnsi="Times New Roman"/>
          <w:sz w:val="17"/>
          <w:szCs w:val="17"/>
          <w:color w:val="auto"/>
        </w:rPr>
        <w:t>Wabtec Holding, LLC</w:t>
      </w:r>
    </w:p>
    <w:p>
      <w:pPr>
        <w:ind w:left="1240"/>
        <w:spacing w:after="0" w:line="238" w:lineRule="auto"/>
        <w:rPr>
          <w:sz w:val="20"/>
          <w:szCs w:val="20"/>
          <w:color w:val="auto"/>
        </w:rPr>
      </w:pPr>
      <w:r>
        <w:rPr>
          <w:rFonts w:ascii="Times New Roman" w:cs="Times New Roman" w:eastAsia="Times New Roman" w:hAnsi="Times New Roman"/>
          <w:sz w:val="17"/>
          <w:szCs w:val="17"/>
          <w:color w:val="auto"/>
        </w:rPr>
        <w:t>Wabtec Railway Electronics Holdings, LLC</w:t>
      </w:r>
    </w:p>
    <w:p>
      <w:pPr>
        <w:ind w:left="1240"/>
        <w:spacing w:after="0" w:line="237" w:lineRule="auto"/>
        <w:rPr>
          <w:sz w:val="20"/>
          <w:szCs w:val="20"/>
          <w:color w:val="auto"/>
        </w:rPr>
      </w:pPr>
      <w:r>
        <w:rPr>
          <w:rFonts w:ascii="Times New Roman" w:cs="Times New Roman" w:eastAsia="Times New Roman" w:hAnsi="Times New Roman"/>
          <w:sz w:val="17"/>
          <w:szCs w:val="17"/>
          <w:color w:val="auto"/>
        </w:rPr>
        <w:t>Wabtec Transportation Systems, LLC</w:t>
      </w:r>
    </w:p>
    <w:p>
      <w:pPr>
        <w:spacing w:after="0" w:line="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Wabtec US Rail,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The Euro Notes</w:t>
      </w:r>
    </w:p>
    <w:p>
      <w:pPr>
        <w:spacing w:after="0" w:line="3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i w:val="1"/>
          <w:iCs w:val="1"/>
          <w:u w:val="single" w:color="auto"/>
          <w:color w:val="auto"/>
        </w:rPr>
        <w:t>Issuer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Wabtec Transportation Netherlands B.V.</w:t>
      </w:r>
    </w:p>
    <w:p>
      <w:pPr>
        <w:spacing w:after="0"/>
        <w:tabs>
          <w:tab w:leader="none" w:pos="940" w:val="left"/>
        </w:tabs>
        <w:rPr>
          <w:sz w:val="20"/>
          <w:szCs w:val="20"/>
          <w:color w:val="auto"/>
        </w:rPr>
      </w:pPr>
      <w:r>
        <w:rPr>
          <w:rFonts w:ascii="Times New Roman" w:cs="Times New Roman" w:eastAsia="Times New Roman" w:hAnsi="Times New Roman"/>
          <w:sz w:val="17"/>
          <w:szCs w:val="17"/>
          <w:i w:val="1"/>
          <w:iCs w:val="1"/>
          <w:u w:val="single" w:color="auto"/>
          <w:color w:val="auto"/>
        </w:rPr>
        <w:t>Guarantor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Westinghouse Air Brake Technologies Corporation</w:t>
      </w:r>
    </w:p>
    <w:p>
      <w:pPr>
        <w:sectPr>
          <w:pgSz w:w="11900" w:h="16838" w:orient="portrait"/>
          <w:cols w:equalWidth="0" w:num="1">
            <w:col w:w="11240"/>
          </w:cols>
          <w:pgMar w:left="320" w:top="1365"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Rafael Santana, certify that:</w:t>
      </w:r>
    </w:p>
    <w:p>
      <w:pPr>
        <w:spacing w:after="0" w:line="114" w:lineRule="exact"/>
        <w:rPr>
          <w:sz w:val="20"/>
          <w:szCs w:val="20"/>
          <w:color w:val="auto"/>
        </w:rPr>
      </w:pPr>
    </w:p>
    <w:p>
      <w:pPr>
        <w:ind w:left="640" w:hanging="173"/>
        <w:spacing w:after="0"/>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Westinghouse Air Brake Technologies Corporation.</w:t>
      </w:r>
    </w:p>
    <w:p>
      <w:pPr>
        <w:spacing w:after="0" w:line="113" w:lineRule="exact"/>
        <w:rPr>
          <w:rFonts w:ascii="Times New Roman" w:cs="Times New Roman" w:eastAsia="Times New Roman" w:hAnsi="Times New Roman"/>
          <w:sz w:val="17"/>
          <w:szCs w:val="17"/>
          <w:color w:val="auto"/>
        </w:rPr>
      </w:pPr>
    </w:p>
    <w:p>
      <w:pPr>
        <w:ind w:right="200" w:firstLine="467"/>
        <w:spacing w:after="0" w:line="270"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Times New Roman" w:cs="Times New Roman" w:eastAsia="Times New Roman" w:hAnsi="Times New Roman"/>
          <w:sz w:val="17"/>
          <w:szCs w:val="17"/>
          <w:color w:val="auto"/>
        </w:rPr>
      </w:pPr>
    </w:p>
    <w:p>
      <w:pPr>
        <w:ind w:right="160" w:firstLine="467"/>
        <w:spacing w:after="0" w:line="287"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48" w:lineRule="exact"/>
        <w:rPr>
          <w:rFonts w:ascii="Times New Roman" w:cs="Times New Roman" w:eastAsia="Times New Roman" w:hAnsi="Times New Roman"/>
          <w:sz w:val="17"/>
          <w:szCs w:val="17"/>
          <w:color w:val="auto"/>
        </w:rPr>
      </w:pPr>
    </w:p>
    <w:p>
      <w:pPr>
        <w:jc w:val="both"/>
        <w:ind w:right="60" w:firstLine="467"/>
        <w:spacing w:after="0" w:line="270"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Times New Roman" w:cs="Times New Roman" w:eastAsia="Times New Roman" w:hAnsi="Times New Roman"/>
          <w:sz w:val="17"/>
          <w:szCs w:val="17"/>
          <w:color w:val="auto"/>
        </w:rPr>
      </w:pPr>
    </w:p>
    <w:p>
      <w:pPr>
        <w:ind w:right="160" w:firstLine="970"/>
        <w:spacing w:after="0" w:line="270" w:lineRule="auto"/>
        <w:tabs>
          <w:tab w:leader="none" w:pos="12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Times New Roman" w:cs="Times New Roman" w:eastAsia="Times New Roman" w:hAnsi="Times New Roman"/>
          <w:sz w:val="17"/>
          <w:szCs w:val="17"/>
          <w:color w:val="auto"/>
        </w:rPr>
      </w:pPr>
    </w:p>
    <w:p>
      <w:pPr>
        <w:ind w:right="360" w:firstLine="970"/>
        <w:spacing w:after="0" w:line="270" w:lineRule="auto"/>
        <w:tabs>
          <w:tab w:leader="none" w:pos="121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right="120" w:firstLine="970"/>
        <w:spacing w:after="0" w:line="287" w:lineRule="auto"/>
        <w:tabs>
          <w:tab w:leader="none" w:pos="12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8" w:lineRule="exact"/>
        <w:rPr>
          <w:rFonts w:ascii="Times New Roman" w:cs="Times New Roman" w:eastAsia="Times New Roman" w:hAnsi="Times New Roman"/>
          <w:sz w:val="17"/>
          <w:szCs w:val="17"/>
          <w:color w:val="auto"/>
        </w:rPr>
      </w:pPr>
    </w:p>
    <w:p>
      <w:pPr>
        <w:ind w:right="80" w:firstLine="970"/>
        <w:spacing w:after="0" w:line="287" w:lineRule="auto"/>
        <w:tabs>
          <w:tab w:leader="none" w:pos="121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right="440" w:firstLine="467"/>
        <w:spacing w:after="0" w:line="287"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right="200" w:firstLine="970"/>
        <w:spacing w:after="0" w:line="287" w:lineRule="auto"/>
        <w:tabs>
          <w:tab w:leader="none" w:pos="12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right="140" w:firstLine="970"/>
        <w:spacing w:after="0" w:line="287" w:lineRule="auto"/>
        <w:tabs>
          <w:tab w:leader="none" w:pos="121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w:t>
      </w:r>
      <w:r>
        <w:rPr>
          <w:rFonts w:ascii="Times New Roman" w:cs="Times New Roman" w:eastAsia="Times New Roman" w:hAnsi="Times New Roman"/>
          <w:sz w:val="17"/>
          <w:szCs w:val="17"/>
          <w:color w:val="auto"/>
        </w:rPr>
        <w:t>July 24, 2025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10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/s/  RAFAEL SANTANA</w:t>
            </w:r>
          </w:p>
        </w:tc>
      </w:tr>
      <w:tr>
        <w:trPr>
          <w:trHeight w:val="211"/>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227"/>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bl>
    <w:p>
      <w:pPr>
        <w:sectPr>
          <w:pgSz w:w="11900" w:h="16838" w:orient="portrait"/>
          <w:cols w:equalWidth="0" w:num="1">
            <w:col w:w="11240"/>
          </w:cols>
          <w:pgMar w:left="320" w:top="85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A. Olin, certify that:</w:t>
      </w:r>
    </w:p>
    <w:p>
      <w:pPr>
        <w:spacing w:after="0" w:line="114" w:lineRule="exact"/>
        <w:rPr>
          <w:sz w:val="20"/>
          <w:szCs w:val="20"/>
          <w:color w:val="auto"/>
        </w:rPr>
      </w:pPr>
    </w:p>
    <w:p>
      <w:pPr>
        <w:ind w:left="640" w:hanging="173"/>
        <w:spacing w:after="0"/>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Westinghouse Air Brake Technologies Corporation.</w:t>
      </w:r>
    </w:p>
    <w:p>
      <w:pPr>
        <w:spacing w:after="0" w:line="113" w:lineRule="exact"/>
        <w:rPr>
          <w:rFonts w:ascii="Times New Roman" w:cs="Times New Roman" w:eastAsia="Times New Roman" w:hAnsi="Times New Roman"/>
          <w:sz w:val="17"/>
          <w:szCs w:val="17"/>
          <w:color w:val="auto"/>
        </w:rPr>
      </w:pPr>
    </w:p>
    <w:p>
      <w:pPr>
        <w:ind w:right="200" w:firstLine="467"/>
        <w:spacing w:after="0" w:line="270" w:lineRule="auto"/>
        <w:tabs>
          <w:tab w:leader="none" w:pos="6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Times New Roman" w:cs="Times New Roman" w:eastAsia="Times New Roman" w:hAnsi="Times New Roman"/>
          <w:sz w:val="17"/>
          <w:szCs w:val="17"/>
          <w:color w:val="auto"/>
        </w:rPr>
      </w:pPr>
    </w:p>
    <w:p>
      <w:pPr>
        <w:ind w:right="160" w:firstLine="467"/>
        <w:spacing w:after="0" w:line="287" w:lineRule="auto"/>
        <w:tabs>
          <w:tab w:leader="none" w:pos="6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48" w:lineRule="exact"/>
        <w:rPr>
          <w:rFonts w:ascii="Times New Roman" w:cs="Times New Roman" w:eastAsia="Times New Roman" w:hAnsi="Times New Roman"/>
          <w:sz w:val="17"/>
          <w:szCs w:val="17"/>
          <w:color w:val="auto"/>
        </w:rPr>
      </w:pPr>
    </w:p>
    <w:p>
      <w:pPr>
        <w:jc w:val="both"/>
        <w:ind w:right="60" w:firstLine="467"/>
        <w:spacing w:after="0" w:line="270" w:lineRule="auto"/>
        <w:tabs>
          <w:tab w:leader="none" w:pos="6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Times New Roman" w:cs="Times New Roman" w:eastAsia="Times New Roman" w:hAnsi="Times New Roman"/>
          <w:sz w:val="17"/>
          <w:szCs w:val="17"/>
          <w:color w:val="auto"/>
        </w:rPr>
      </w:pPr>
    </w:p>
    <w:p>
      <w:pPr>
        <w:ind w:right="160" w:firstLine="970"/>
        <w:spacing w:after="0" w:line="270" w:lineRule="auto"/>
        <w:tabs>
          <w:tab w:leader="none" w:pos="120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Times New Roman" w:cs="Times New Roman" w:eastAsia="Times New Roman" w:hAnsi="Times New Roman"/>
          <w:sz w:val="17"/>
          <w:szCs w:val="17"/>
          <w:color w:val="auto"/>
        </w:rPr>
      </w:pPr>
    </w:p>
    <w:p>
      <w:pPr>
        <w:ind w:right="360" w:firstLine="970"/>
        <w:spacing w:after="0" w:line="270" w:lineRule="auto"/>
        <w:tabs>
          <w:tab w:leader="none" w:pos="121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right="120" w:firstLine="970"/>
        <w:spacing w:after="0" w:line="287" w:lineRule="auto"/>
        <w:tabs>
          <w:tab w:leader="none" w:pos="120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8" w:lineRule="exact"/>
        <w:rPr>
          <w:rFonts w:ascii="Times New Roman" w:cs="Times New Roman" w:eastAsia="Times New Roman" w:hAnsi="Times New Roman"/>
          <w:sz w:val="17"/>
          <w:szCs w:val="17"/>
          <w:color w:val="auto"/>
        </w:rPr>
      </w:pPr>
    </w:p>
    <w:p>
      <w:pPr>
        <w:ind w:right="80" w:firstLine="970"/>
        <w:spacing w:after="0" w:line="287" w:lineRule="auto"/>
        <w:tabs>
          <w:tab w:leader="none" w:pos="121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right="440" w:firstLine="467"/>
        <w:spacing w:after="0" w:line="287" w:lineRule="auto"/>
        <w:tabs>
          <w:tab w:leader="none" w:pos="6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right="200" w:firstLine="970"/>
        <w:spacing w:after="0" w:line="287" w:lineRule="auto"/>
        <w:tabs>
          <w:tab w:leader="none" w:pos="120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right="140" w:firstLine="970"/>
        <w:spacing w:after="0" w:line="287" w:lineRule="auto"/>
        <w:tabs>
          <w:tab w:leader="none" w:pos="121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w:t>
      </w:r>
      <w:r>
        <w:rPr>
          <w:rFonts w:ascii="Times New Roman" w:cs="Times New Roman" w:eastAsia="Times New Roman" w:hAnsi="Times New Roman"/>
          <w:sz w:val="17"/>
          <w:szCs w:val="17"/>
          <w:color w:val="auto"/>
        </w:rPr>
        <w:t>July 24, 2025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102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  JOHN A. OLIN</w:t>
            </w:r>
          </w:p>
        </w:tc>
      </w:tr>
      <w:tr>
        <w:trPr>
          <w:trHeight w:val="211"/>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2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John A. Olin</w:t>
            </w:r>
          </w:p>
        </w:tc>
      </w:tr>
      <w:tr>
        <w:trPr>
          <w:trHeight w:val="227"/>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2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bl>
    <w:p>
      <w:pPr>
        <w:sectPr>
          <w:pgSz w:w="11900" w:h="16838" w:orient="portrait"/>
          <w:cols w:equalWidth="0" w:num="1">
            <w:col w:w="11240"/>
          </w:cols>
          <w:pgMar w:left="320" w:top="85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7" w:lineRule="exact"/>
        <w:rPr>
          <w:sz w:val="20"/>
          <w:szCs w:val="20"/>
          <w:color w:val="auto"/>
        </w:rPr>
      </w:pPr>
    </w:p>
    <w:p>
      <w:pPr>
        <w:ind w:right="40" w:firstLine="464"/>
        <w:spacing w:after="0" w:line="266" w:lineRule="auto"/>
        <w:rPr>
          <w:sz w:val="20"/>
          <w:szCs w:val="20"/>
          <w:color w:val="auto"/>
        </w:rPr>
      </w:pPr>
      <w:r>
        <w:rPr>
          <w:rFonts w:ascii="Times New Roman" w:cs="Times New Roman" w:eastAsia="Times New Roman" w:hAnsi="Times New Roman"/>
          <w:sz w:val="17"/>
          <w:szCs w:val="17"/>
          <w:color w:val="auto"/>
        </w:rPr>
        <w:t>Pursuant to 18 U.S.C. § 1350, the undersigned officers of Westinghouse Air Brake Technologies Corporation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hereby certify, to the best of their knowledge, that the Company’s Quarterly Report on Form 10-Q for the quarter ended June 30, 2025 (the “</w:t>
      </w:r>
      <w:r>
        <w:rPr>
          <w:rFonts w:ascii="Times New Roman" w:cs="Times New Roman" w:eastAsia="Times New Roman" w:hAnsi="Times New Roman"/>
          <w:sz w:val="17"/>
          <w:szCs w:val="17"/>
          <w:i w:val="1"/>
          <w:iCs w:val="1"/>
          <w:color w:val="auto"/>
        </w:rPr>
        <w:t>Report</w:t>
      </w:r>
      <w:r>
        <w:rPr>
          <w:rFonts w:ascii="Times New Roman" w:cs="Times New Roman" w:eastAsia="Times New Roman" w:hAnsi="Times New Roman"/>
          <w:sz w:val="17"/>
          <w:szCs w:val="17"/>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9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RAFAEL SANTANA</w:t>
            </w:r>
          </w:p>
        </w:tc>
      </w:tr>
      <w:tr>
        <w:trPr>
          <w:trHeight w:val="129"/>
        </w:trPr>
        <w:tc>
          <w:tcPr>
            <w:tcW w:w="1420" w:type="dxa"/>
            <w:vAlign w:val="bottom"/>
          </w:tcPr>
          <w:p>
            <w:pPr>
              <w:spacing w:after="0"/>
              <w:rPr>
                <w:sz w:val="11"/>
                <w:szCs w:val="11"/>
                <w:color w:val="auto"/>
              </w:rPr>
            </w:pPr>
          </w:p>
        </w:tc>
        <w:tc>
          <w:tcPr>
            <w:tcW w:w="9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182"/>
        </w:trPr>
        <w:tc>
          <w:tcPr>
            <w:tcW w:w="1420" w:type="dxa"/>
            <w:vAlign w:val="bottom"/>
          </w:tcPr>
          <w:p>
            <w:pPr>
              <w:spacing w:after="0"/>
              <w:rPr>
                <w:sz w:val="15"/>
                <w:szCs w:val="15"/>
                <w:color w:val="auto"/>
              </w:rPr>
            </w:pP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July 24, 2025</w:t>
            </w:r>
          </w:p>
        </w:tc>
      </w:tr>
      <w:tr>
        <w:trPr>
          <w:trHeight w:val="470"/>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9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JOHN A. OLIN</w:t>
            </w:r>
          </w:p>
        </w:tc>
      </w:tr>
      <w:tr>
        <w:trPr>
          <w:trHeight w:val="129"/>
        </w:trPr>
        <w:tc>
          <w:tcPr>
            <w:tcW w:w="1420" w:type="dxa"/>
            <w:vAlign w:val="bottom"/>
          </w:tcPr>
          <w:p>
            <w:pPr>
              <w:spacing w:after="0"/>
              <w:rPr>
                <w:sz w:val="11"/>
                <w:szCs w:val="11"/>
                <w:color w:val="auto"/>
              </w:rPr>
            </w:pPr>
          </w:p>
        </w:tc>
        <w:tc>
          <w:tcPr>
            <w:tcW w:w="9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John A. Olin</w:t>
            </w:r>
          </w:p>
        </w:tc>
      </w:tr>
      <w:tr>
        <w:trPr>
          <w:trHeight w:val="182"/>
        </w:trPr>
        <w:tc>
          <w:tcPr>
            <w:tcW w:w="1420" w:type="dxa"/>
            <w:vAlign w:val="bottom"/>
          </w:tcPr>
          <w:p>
            <w:pPr>
              <w:spacing w:after="0"/>
              <w:rPr>
                <w:sz w:val="15"/>
                <w:szCs w:val="15"/>
                <w:color w:val="auto"/>
              </w:rPr>
            </w:pP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July 24, 2025</w:t>
            </w:r>
          </w:p>
        </w:tc>
      </w:tr>
    </w:tbl>
    <w:p>
      <w:pPr>
        <w:spacing w:after="0" w:line="1" w:lineRule="exact"/>
        <w:rPr>
          <w:sz w:val="20"/>
          <w:szCs w:val="20"/>
          <w:color w:val="auto"/>
        </w:rPr>
      </w:pP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04"/>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0" Type="http://schemas.openxmlformats.org/officeDocument/2006/relationships/hyperlink" Target="https://www.sec.gov/Archives/edgar/data/943452/000114036125019666/ny20048743x1_ex4-18.htm" TargetMode="External"/><Relationship Id="rId71" Type="http://schemas.openxmlformats.org/officeDocument/2006/relationships/hyperlink" Target="https://www.sec.gov/Archives/edgar/data/943452/000114036125020758/ny20048743x7_ex4-3.htm" TargetMode="External"/><Relationship Id="rId72" Type="http://schemas.openxmlformats.org/officeDocument/2006/relationships/hyperlink" Target="https://www.sec.gov/Archives/edgar/data/943452/000114036125015779/ef2004792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2025-07-24T08:59:32Z</dcterms:created>
  <dcterms:modified xsi:type="dcterms:W3CDTF">2025-07-24T08:59:32Z</dcterms:modified>
</cp:coreProperties>
</file>