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17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2"/>
          <w:szCs w:val="42"/>
          <w:b w:val="1"/>
          <w:bCs w:val="1"/>
          <w:color w:val="auto"/>
        </w:rPr>
        <w:t>Westinghouse Air Brake Technologies Corporation</w:t>
      </w:r>
    </w:p>
    <w:p>
      <w:pPr>
        <w:spacing w:after="0" w:line="7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ectPr>
          <w:pgSz w:w="11900" w:h="16838" w:orient="portrait"/>
          <w:cols w:equalWidth="0" w:num="1">
            <w:col w:w="10740"/>
          </w:cols>
          <w:pgMar w:left="320" w:top="414" w:right="83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033-90866</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25-1615902</w:t>
      </w:r>
    </w:p>
    <w:p>
      <w:pPr>
        <w:spacing w:after="0" w:line="2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2580"/>
          </w:cols>
          <w:pgMar w:left="320" w:top="414" w:right="839" w:bottom="1440" w:gutter="0" w:footer="0" w:header="0"/>
          <w:type w:val="continuous"/>
        </w:sectPr>
      </w:pPr>
    </w:p>
    <w:p>
      <w:pPr>
        <w:spacing w:after="0" w:line="4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30 Isabella Street</w:t>
      </w:r>
    </w:p>
    <w:p>
      <w:pPr>
        <w:spacing w:after="0" w:line="2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15212</w:t>
      </w:r>
    </w:p>
    <w:p>
      <w:pPr>
        <w:spacing w:after="0" w:line="27"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2640"/>
          </w:cols>
          <w:pgMar w:left="320" w:top="414" w:right="839" w:bottom="1440" w:gutter="0" w:footer="0" w:header="0"/>
          <w:type w:val="continuous"/>
        </w:sectPr>
      </w:pPr>
    </w:p>
    <w:p>
      <w:pPr>
        <w:spacing w:after="0" w:line="4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(412) 825-1000</w:t>
      </w:r>
    </w:p>
    <w:p>
      <w:pPr>
        <w:spacing w:after="0" w:line="2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414"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 copy of the Westinghouse Air Brake Technologies Corporation (“Wabtec Corporation”) 2025 Conflict Minerals Report is filed as Exhibit 1.01 hereto and is publicly available at </w:t>
      </w:r>
      <w:r>
        <w:rPr>
          <w:rFonts w:ascii="Times New Roman" w:cs="Times New Roman" w:eastAsia="Times New Roman" w:hAnsi="Times New Roman"/>
          <w:sz w:val="18"/>
          <w:szCs w:val="18"/>
          <w:u w:val="single" w:color="auto"/>
          <w:color w:val="auto"/>
        </w:rPr>
        <w:t>https://ir.wabteccorp.com/static-files/8fd94988-3d8d-4111-a410-65af65580331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Wabtec Corporation 2025 Conflict Minerals Report contemplated by Item 1.01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Wabtec Corporation 2025 Conflict Minerals Report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Olin</w:t>
            </w:r>
          </w:p>
        </w:tc>
        <w:tc>
          <w:tcPr>
            <w:tcW w:w="4600" w:type="dxa"/>
            <w:vAlign w:val="bottom"/>
          </w:tcPr>
          <w:p>
            <w:pPr>
              <w:ind w:left="3680"/>
              <w:spacing w:after="0"/>
              <w:rPr>
                <w:sz w:val="20"/>
                <w:szCs w:val="20"/>
                <w:color w:val="auto"/>
              </w:rPr>
            </w:pPr>
            <w:r>
              <w:rPr>
                <w:rFonts w:ascii="Times New Roman" w:cs="Times New Roman" w:eastAsia="Times New Roman" w:hAnsi="Times New Roman"/>
                <w:sz w:val="18"/>
                <w:szCs w:val="18"/>
                <w:color w:val="auto"/>
                <w:w w:val="98"/>
              </w:rPr>
              <w:t>June 1, 2026</w:t>
            </w:r>
          </w:p>
        </w:tc>
        <w:tc>
          <w:tcPr>
            <w:tcW w:w="0" w:type="dxa"/>
            <w:vAlign w:val="bottom"/>
          </w:tcPr>
          <w:p>
            <w:pPr>
              <w:spacing w:after="0"/>
              <w:rPr>
                <w:sz w:val="1"/>
                <w:szCs w:val="1"/>
                <w:color w:val="auto"/>
              </w:rPr>
            </w:pPr>
          </w:p>
        </w:tc>
      </w:tr>
      <w:tr>
        <w:trPr>
          <w:trHeight w:val="108"/>
        </w:trPr>
        <w:tc>
          <w:tcPr>
            <w:tcW w:w="4360" w:type="dxa"/>
            <w:vAlign w:val="bottom"/>
            <w:vMerge w:val="continue"/>
          </w:tcPr>
          <w:p>
            <w:pPr>
              <w:spacing w:after="0"/>
              <w:rPr>
                <w:sz w:val="9"/>
                <w:szCs w:val="9"/>
                <w:color w:val="auto"/>
              </w:rPr>
            </w:pPr>
          </w:p>
        </w:tc>
        <w:tc>
          <w:tcPr>
            <w:tcW w:w="4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441" w:right="65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2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Exhibit 1.01</w:t>
      </w:r>
      <w:r>
        <w:rPr>
          <w:sz w:val="20"/>
          <w:szCs w:val="20"/>
          <w:color w:val="auto"/>
        </w:rPr>
        <w:tab/>
      </w:r>
      <w:r>
        <w:rPr>
          <w:rFonts w:ascii="Times New Roman" w:cs="Times New Roman" w:eastAsia="Times New Roman" w:hAnsi="Times New Roman"/>
          <w:sz w:val="17"/>
          <w:szCs w:val="17"/>
          <w:color w:val="auto"/>
        </w:rPr>
        <w:t>Wabtec Corporation 2025 Conflict Minerals Report</w:t>
      </w:r>
    </w:p>
    <w:p>
      <w:pPr>
        <w:spacing w:after="0" w:line="200" w:lineRule="exact"/>
        <w:rPr>
          <w:sz w:val="20"/>
          <w:szCs w:val="20"/>
          <w:color w:val="auto"/>
        </w:rPr>
      </w:pPr>
    </w:p>
    <w:p>
      <w:pPr>
        <w:spacing w:after="0" w:line="2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099"/>
          </w:cols>
          <w:pgMar w:left="360" w:top="441"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156845</wp:posOffset>
            </wp:positionV>
            <wp:extent cx="2948940" cy="1165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4894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Conflict Minerals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Westinghouse Air Brake Technologies Corporation, doing business as Wabtec Corporation (“Wabtec” or the “Company”), prepared this Conflict Minerals Report (“Report”) for the year ending December 31, 2025, as provided for in Rule 13p-1 of the Securities Exchange Act of 1934, as amended, and Form SD (collectively, the “Conflict Minerals Rule”). Wabtec provides its products and services through two principal business segments, the Freight Segment and the Transit Segment. The Freight Segment primarily manufactures and provides aftermarket parts and services for new locomotives; provides components for new and existing locomotives and freight cars; builds new commuter locomotives; supplies rail control and infrastructure products, including electronics, positive train control equipment, signal design and engineering services; overhauls locomotives; and provides heat exchangers and cooling systems for rail and other industrial markets. The Transit Segment primarily manufactures and services components for new and existing passenger transit vehicles, typically regional trains, high speed trains, subway cars, light-rail vehicles and buses; supplies rail control and infrastructure products, including electronics, signal design and engineering services; and refurbishes passenger transit vehicles.</w:t>
      </w:r>
    </w:p>
    <w:p>
      <w:pPr>
        <w:spacing w:after="0" w:line="18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Wabtec manufactures a wide range of products that contain tin, tantalum, tungsten or gold (“3TG” or “conflict minerals”), but Wabtec does not purchase ore or unrefined 3TG from mines and is generally many steps removed in the supply chain from the mining of these minerals. We purchase materials from a wide network of suppliers and rely on those suppliers to assist with our reasonable country of origin inquiry (“RCOI”) regarding the 3TG that are necessary to the functionality or production of products we manufacture. After performing our RCOI and due diligence for 2023, we are unable to definitively determine whether a portion of the 3TG contained in our products originated from the Democratic Republic of the Congo or an adjoining country (collectively, the “Covered Countries”) or the 3TG may not be solely from recycled or scrap sources. Therefore, we are submitting this Report describing the due diligence we have performed pursuant to the Conflict Minerals Rule and our related processes and procedures.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includes:</w:t>
      </w:r>
    </w:p>
    <w:p>
      <w:pPr>
        <w:spacing w:after="0" w:line="225" w:lineRule="exact"/>
        <w:rPr>
          <w:sz w:val="20"/>
          <w:szCs w:val="20"/>
          <w:color w:val="auto"/>
        </w:rPr>
      </w:pPr>
    </w:p>
    <w:p>
      <w:pPr>
        <w:ind w:left="1220" w:hanging="564"/>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our due diligence measures;</w:t>
      </w:r>
    </w:p>
    <w:p>
      <w:pPr>
        <w:spacing w:after="0" w:line="22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diligence we performed for 2025, including the steps we took to mitigate the risk that 3TG in our products benefit armed groups;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5" w:name="page6"/>
    <w:bookmarkEnd w:id="5"/>
    <w:p>
      <w:pPr>
        <w:ind w:left="1220" w:right="720" w:hanging="564"/>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smelters and refiners of 3TG identified as potentially within Wabtec’s supply chain and the countries of origin of ores that are potentially in the supply chains of these smelters and refiners; and</w:t>
      </w:r>
    </w:p>
    <w:p>
      <w:pPr>
        <w:spacing w:after="0" w:line="161"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that we plan to take to ensure continued progress towards eliminating conflict minerals in our supply chain.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Wabtec’s due diligence measures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Wabtec has adopted Conflict Minerals Guidelines (the “Guidelines”) that lay out the design of our 3TG due diligence process. The Guidelines describe procedures that Wabtec Global Operations and its business units use to perform due diligence on the source and origin of 3TG contained in products we manufacture. Wabtec designed its due diligence measures to be in conformity, in material respects, with the </w:t>
      </w:r>
      <w:r>
        <w:rPr>
          <w:rFonts w:ascii="Times New Roman" w:cs="Times New Roman" w:eastAsia="Times New Roman" w:hAnsi="Times New Roman"/>
          <w:sz w:val="18"/>
          <w:szCs w:val="18"/>
          <w:i w:val="1"/>
          <w:iCs w:val="1"/>
          <w:color w:val="auto"/>
        </w:rPr>
        <w:t>OECD Due Diligence Guidance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Responsible Supply Chains of Minerals from Conflict-Affected and High-Risk Areas </w:t>
      </w:r>
      <w:r>
        <w:rPr>
          <w:rFonts w:ascii="Times New Roman" w:cs="Times New Roman" w:eastAsia="Times New Roman" w:hAnsi="Times New Roman"/>
          <w:sz w:val="18"/>
          <w:szCs w:val="18"/>
          <w:color w:val="auto"/>
        </w:rPr>
        <w:t>including, the</w:t>
      </w:r>
      <w:r>
        <w:rPr>
          <w:rFonts w:ascii="Times New Roman" w:cs="Times New Roman" w:eastAsia="Times New Roman" w:hAnsi="Times New Roman"/>
          <w:sz w:val="18"/>
          <w:szCs w:val="18"/>
          <w:i w:val="1"/>
          <w:iCs w:val="1"/>
          <w:color w:val="auto"/>
        </w:rPr>
        <w:t xml:space="preserve"> Supplement on Tin, Tantalum, and Tungsten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Supplement on Gold </w:t>
      </w:r>
      <w:r>
        <w:rPr>
          <w:rFonts w:ascii="Times New Roman" w:cs="Times New Roman" w:eastAsia="Times New Roman" w:hAnsi="Times New Roman"/>
          <w:sz w:val="18"/>
          <w:szCs w:val="18"/>
          <w:color w:val="auto"/>
        </w:rPr>
        <w:t>(collectively, the “OECD Guidance”).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Wabtec’s due diligence measures for 2025</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Wabtec’s 2025 due diligence measures are designed in conformity, in all material respects, with the Five-Step Framework for Risk-Based Due Diligence in the Mineral Supply Chain contained in the OECD Guidance</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1: Establish strong company management systems</w:t>
      </w:r>
    </w:p>
    <w:p>
      <w:pPr>
        <w:spacing w:after="0" w:line="225"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Adopt and commit to a supply chain policy for minerals originating from conflict-affected and high-risk areas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Wabtec’s Responsible Minerals Policy, which is available on Wabtec’s website, outlines our commitment to responsible supply chains and to the avoidance of conflict minerals that directly or indirectly finance or benefit armed groups in the Covered Countries. Moreover, the Guidelines contain the operative provisions of the Policy, as well as the process for ensuring that risks are adequately managed. Additional Wabtec policies relating to the due diligence measures contained in the OECD Guidance are incorporated into Wabtec’s Supplier Code of Conduct, which is available on Wabtec’s website (for more information, see “</w:t>
      </w:r>
      <w:r>
        <w:rPr>
          <w:rFonts w:ascii="Times New Roman" w:cs="Times New Roman" w:eastAsia="Times New Roman" w:hAnsi="Times New Roman"/>
          <w:sz w:val="18"/>
          <w:szCs w:val="18"/>
          <w:b w:val="1"/>
          <w:bCs w:val="1"/>
          <w:color w:val="auto"/>
        </w:rPr>
        <w:t>Where You Can Find Additional Information</w:t>
      </w:r>
      <w:r>
        <w:rPr>
          <w:rFonts w:ascii="Times New Roman" w:cs="Times New Roman" w:eastAsia="Times New Roman" w:hAnsi="Times New Roman"/>
          <w:sz w:val="18"/>
          <w:szCs w:val="18"/>
          <w:color w:val="auto"/>
        </w:rPr>
        <w:t>” below).</w:t>
      </w:r>
    </w:p>
    <w:p>
      <w:pPr>
        <w:spacing w:after="0" w:line="179"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Structure internal management systems to support supply chain due diligence</w:t>
      </w:r>
    </w:p>
    <w:p>
      <w:pPr>
        <w:spacing w:after="0" w:line="225"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Internal management system. </w:t>
      </w:r>
      <w:r>
        <w:rPr>
          <w:rFonts w:ascii="Times New Roman" w:cs="Times New Roman" w:eastAsia="Times New Roman" w:hAnsi="Times New Roman"/>
          <w:sz w:val="18"/>
          <w:szCs w:val="18"/>
          <w:color w:val="auto"/>
        </w:rPr>
        <w:t>Wabtec’s internal management system for its supply chain due diligence is coordinated by Wabtec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with support from the individual Wabtec business units.</w:t>
      </w:r>
    </w:p>
    <w:p>
      <w:pPr>
        <w:spacing w:after="0" w:line="146" w:lineRule="exact"/>
        <w:rPr>
          <w:sz w:val="20"/>
          <w:szCs w:val="20"/>
          <w:color w:val="auto"/>
        </w:rPr>
      </w:pPr>
    </w:p>
    <w:p>
      <w:pPr>
        <w:ind w:left="1300" w:right="80" w:hanging="320"/>
        <w:spacing w:after="0" w:line="246" w:lineRule="auto"/>
        <w:tabs>
          <w:tab w:leader="none" w:pos="130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Wabtec Global Operations. </w:t>
      </w:r>
      <w:r>
        <w:rPr>
          <w:rFonts w:ascii="Times New Roman" w:cs="Times New Roman" w:eastAsia="Times New Roman" w:hAnsi="Times New Roman"/>
          <w:sz w:val="21"/>
          <w:szCs w:val="21"/>
          <w:color w:val="auto"/>
        </w:rPr>
        <w:t>Wabtec’s Sourcing Compliance organization, with cross-functional support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Legal and Sourcing Commodity leaders, has oversight responsibility for Wabtec’s Responsible Minerals Policy, including the establishment of processes and procedures to carry out this policy. The Sourcing Compliance organization also leads Wabtec’s supply chain due diligence efforts and risk management review, with support from the Sourcing Commodity leaders and Wabtec business units. Corporate Sourcing Compliance is responsible for collecting the necessary data from Wabtec subsidiaries, including information on their suppliers and purchase history, for integration into centralized Corporate data management systems. Starting in 2022, Wabtec has worked to gain visibility into the enterprise resource planning (ERP) systems of more business units by introducing and leveraging a new centralized tool. Wabtec continues to utilize this centralized vendor management tool to ensure all in-scope suppliers are included in our due diligence process for Responsible Minerals.</w:t>
      </w:r>
    </w:p>
    <w:p>
      <w:pPr>
        <w:spacing w:after="0" w:line="197" w:lineRule="exact"/>
        <w:rPr>
          <w:rFonts w:ascii="Times New Roman" w:cs="Times New Roman" w:eastAsia="Times New Roman" w:hAnsi="Times New Roman"/>
          <w:sz w:val="21"/>
          <w:szCs w:val="21"/>
          <w:color w:val="auto"/>
        </w:rPr>
      </w:pPr>
    </w:p>
    <w:p>
      <w:pPr>
        <w:ind w:left="980" w:hanging="324"/>
        <w:spacing w:after="0" w:line="241" w:lineRule="auto"/>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Wabtec business units. </w:t>
      </w:r>
      <w:r>
        <w:rPr>
          <w:rFonts w:ascii="Times New Roman" w:cs="Times New Roman" w:eastAsia="Times New Roman" w:hAnsi="Times New Roman"/>
          <w:sz w:val="22"/>
          <w:szCs w:val="22"/>
          <w:color w:val="auto"/>
        </w:rPr>
        <w:t>Each Wabtec business unit must cooperate with Sourcing Compliance in providing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data to support Wabtec’s supply chain due diligence efforts. This includes providing Sourcing Compliance with suppliers’ contact and other information via Wabtec’s vendor management tool to enable Wabtec to implement its Responsible Minerals Policy.</w:t>
      </w:r>
    </w:p>
    <w:p>
      <w:pPr>
        <w:spacing w:after="0" w:line="19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Internal reporting. </w:t>
      </w:r>
      <w:r>
        <w:rPr>
          <w:rFonts w:ascii="Times New Roman" w:cs="Times New Roman" w:eastAsia="Times New Roman" w:hAnsi="Times New Roman"/>
          <w:sz w:val="22"/>
          <w:szCs w:val="22"/>
          <w:color w:val="auto"/>
        </w:rPr>
        <w:t>For 2025, Wabtec used the following 3TG due diligence reporting mechanisms:</w:t>
      </w:r>
    </w:p>
    <w:p>
      <w:pPr>
        <w:spacing w:after="0" w:line="242" w:lineRule="exact"/>
        <w:rPr>
          <w:sz w:val="20"/>
          <w:szCs w:val="20"/>
          <w:color w:val="auto"/>
        </w:rPr>
      </w:pPr>
    </w:p>
    <w:p>
      <w:pPr>
        <w:ind w:left="1620" w:right="20" w:hanging="316"/>
        <w:spacing w:after="0" w:line="286"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Reporting to Chief Procurement Officer (CPO). </w:t>
      </w:r>
      <w:r>
        <w:rPr>
          <w:rFonts w:ascii="Times New Roman" w:cs="Times New Roman" w:eastAsia="Times New Roman" w:hAnsi="Times New Roman"/>
          <w:sz w:val="18"/>
          <w:szCs w:val="18"/>
          <w:color w:val="auto"/>
        </w:rPr>
        <w:t>The CPO reviewed Wabtec’s Conflict Minerals program and risk assessment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stakeholders from Sourcing Compliance and Legal to determine the appropriate steps to mitigate supply chain risks.</w:t>
      </w:r>
    </w:p>
    <w:p>
      <w:pPr>
        <w:spacing w:after="0" w:line="154" w:lineRule="exact"/>
        <w:rPr>
          <w:rFonts w:ascii="Times New Roman" w:cs="Times New Roman" w:eastAsia="Times New Roman" w:hAnsi="Times New Roman"/>
          <w:sz w:val="18"/>
          <w:szCs w:val="18"/>
          <w:color w:val="auto"/>
        </w:rPr>
      </w:pPr>
    </w:p>
    <w:p>
      <w:pPr>
        <w:ind w:left="1620" w:right="240" w:hanging="316"/>
        <w:spacing w:after="0" w:line="259"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Coordination with Wabtec business units and Sourcing leaders. </w:t>
      </w:r>
      <w:r>
        <w:rPr>
          <w:rFonts w:ascii="Times New Roman" w:cs="Times New Roman" w:eastAsia="Times New Roman" w:hAnsi="Times New Roman"/>
          <w:sz w:val="18"/>
          <w:szCs w:val="18"/>
          <w:color w:val="auto"/>
        </w:rPr>
        <w:t>Sourcing Compliance provides a summary of the 3TG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diligence results and efforts to improve supply chain transparency to the Wabtec Sourcing Leaders for each business unit. Where there is reason to believe that a supplier is not honoring its contractual obligations under the Guidelines, Wabtec Sourcing Leaders work with the supplier to address such concerns. In the event of continued concerns, the Wabtec business unit may take additional measures, up to and including termination of the supplier.</w:t>
      </w:r>
    </w:p>
    <w:p>
      <w:pPr>
        <w:spacing w:after="0" w:line="1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 a system of controls and transparency over the 3TG supply chain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Identifying suppliers</w:t>
      </w:r>
      <w:r>
        <w:rPr>
          <w:rFonts w:ascii="Times New Roman" w:cs="Times New Roman" w:eastAsia="Times New Roman" w:hAnsi="Times New Roman"/>
          <w:sz w:val="18"/>
          <w:szCs w:val="18"/>
          <w:color w:val="auto"/>
        </w:rPr>
        <w:t>. Sourcing Compliance identifies and categorizes suppliers as follows:</w:t>
      </w:r>
    </w:p>
    <w:p>
      <w:pPr>
        <w:spacing w:after="0" w:line="216" w:lineRule="exact"/>
        <w:rPr>
          <w:sz w:val="20"/>
          <w:szCs w:val="20"/>
          <w:color w:val="auto"/>
        </w:rPr>
      </w:pPr>
    </w:p>
    <w:p>
      <w:pPr>
        <w:ind w:left="980" w:right="300" w:hanging="324"/>
        <w:spacing w:after="0" w:line="263" w:lineRule="auto"/>
        <w:tabs>
          <w:tab w:leader="none" w:pos="9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Relevant Suppliers</w:t>
      </w:r>
      <w:r>
        <w:rPr>
          <w:rFonts w:ascii="Times New Roman" w:cs="Times New Roman" w:eastAsia="Times New Roman" w:hAnsi="Times New Roman"/>
          <w:sz w:val="21"/>
          <w:szCs w:val="21"/>
          <w:color w:val="auto"/>
        </w:rPr>
        <w:t>, defined as suppliers that provide inputs to Wabtec products that are known or are likely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 3TG through a process that is based on an examination of internal records, such as bills of material or other product specifications, a qualitative review of sourcing records, or information provided by the supplier; and</w:t>
      </w:r>
    </w:p>
    <w:p>
      <w:pPr>
        <w:spacing w:after="0" w:line="178" w:lineRule="exact"/>
        <w:rPr>
          <w:rFonts w:ascii="Times New Roman" w:cs="Times New Roman" w:eastAsia="Times New Roman" w:hAnsi="Times New Roman"/>
          <w:sz w:val="21"/>
          <w:szCs w:val="21"/>
          <w:color w:val="auto"/>
        </w:rPr>
      </w:pPr>
    </w:p>
    <w:p>
      <w:pPr>
        <w:ind w:left="980" w:right="140" w:hanging="324"/>
        <w:spacing w:after="0" w:line="262" w:lineRule="auto"/>
        <w:tabs>
          <w:tab w:leader="none" w:pos="9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Significant Suppliers</w:t>
      </w:r>
      <w:r>
        <w:rPr>
          <w:rFonts w:ascii="Times New Roman" w:cs="Times New Roman" w:eastAsia="Times New Roman" w:hAnsi="Times New Roman"/>
          <w:sz w:val="22"/>
          <w:szCs w:val="22"/>
          <w:color w:val="auto"/>
        </w:rPr>
        <w:t>, defined as those Relevant Suppliers that are most significant to Wabtec’s 3TG program, using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criteria such as the amount of sourcing spend with the supplier and high-risk commodity groups.</w:t>
      </w:r>
    </w:p>
    <w:p>
      <w:pPr>
        <w:sectPr>
          <w:pgSz w:w="11900" w:h="16838" w:orient="portrait"/>
          <w:cols w:equalWidth="0" w:num="1">
            <w:col w:w="11240"/>
          </w:cols>
          <w:pgMar w:left="320" w:top="243" w:right="339" w:bottom="0" w:gutter="0" w:footer="0" w:header="0"/>
        </w:sectPr>
      </w:pPr>
    </w:p>
    <w:bookmarkStart w:id="6" w:name="page7"/>
    <w:bookmarkEnd w:id="6"/>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Identifying smelters and refiners in the supply chain</w:t>
      </w:r>
      <w:r>
        <w:rPr>
          <w:rFonts w:ascii="Times New Roman" w:cs="Times New Roman" w:eastAsia="Times New Roman" w:hAnsi="Times New Roman"/>
          <w:sz w:val="18"/>
          <w:szCs w:val="18"/>
          <w:color w:val="auto"/>
        </w:rPr>
        <w:t>. Wabtec Global Operations used its reasonable best efforts to identify smelters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refiners of 3TG by surveying Significant Suppliers using the Conflict Minerals Reporting Template (“CMRT”) and other survey tools developed by the Responsible Minerals Initiative (“RMI”). The survey tools are designed to collect, manage, and archive (for at least five years) supplier information relevant for 3TG due diligence including, among other things, the identity of smelters and refiners of 3TG in the supplier’s supply chain, as well as information related to their 3TG compliance efforts. We apply criteria based on the CMRT to assess the acceptability of survey responses and follow up with Significant Suppliers whose survey responses are identified as potentially incomplete or inaccurate to seek more complete information.</w:t>
      </w:r>
    </w:p>
    <w:p>
      <w:pPr>
        <w:spacing w:after="0" w:line="1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sectPr>
      </w:pPr>
    </w:p>
    <w:bookmarkStart w:id="7" w:name="page8"/>
    <w:bookmarkEnd w:id="7"/>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Conducting an RCOI</w:t>
      </w:r>
      <w:r>
        <w:rPr>
          <w:rFonts w:ascii="Times New Roman" w:cs="Times New Roman" w:eastAsia="Times New Roman" w:hAnsi="Times New Roman"/>
          <w:sz w:val="18"/>
          <w:szCs w:val="18"/>
          <w:color w:val="auto"/>
        </w:rPr>
        <w:t>. For upstream due diligence to identify countries of origin and other relevant information about the conflict status of metals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produced by the smelters and refiners identified as potentially in Wabtec’s supply chain, Wabtec relies on the information made available through the Responsible Minerals Assurance Process (“RMAP”) administered by RMI. Wabtec relied on this information to identify (1) the status of smelters and refiners potentially in Wabtec’s supply chain; and (2) the countries of origin of ores that are potentially in the supply chains of these smelters and refiners. Where the data showed that ores utilized by one or more of these smelters or refiners originated in one or more of the Covered Countries, Wabtec concluded that there is reason to believe that 3TG from the Covered Countries may be present in the products of the business for which such smelters or refiners were reported as potentially in the supply chain. Due to business confidentiality and other competitive concerns, as recognized by the OECD Guidance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RMI does not publish detailed information on the specific mine and location of origin of ores that supply the smelters and refiners subject to verification reviews. Consequently, no such information is provided in this Report. RMI’s efforts to determine such information is described on the RMI website (see “</w:t>
      </w:r>
      <w:r>
        <w:rPr>
          <w:rFonts w:ascii="Times New Roman" w:cs="Times New Roman" w:eastAsia="Times New Roman" w:hAnsi="Times New Roman"/>
          <w:sz w:val="18"/>
          <w:szCs w:val="18"/>
          <w:b w:val="1"/>
          <w:bCs w:val="1"/>
          <w:color w:val="auto"/>
        </w:rPr>
        <w:t>Where You Can Find Additional Information</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Strengthen company engagement with suppliers</w:t>
      </w:r>
    </w:p>
    <w:p>
      <w:pPr>
        <w:spacing w:after="0" w:line="22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Regular communications</w:t>
      </w:r>
      <w:r>
        <w:rPr>
          <w:rFonts w:ascii="Times New Roman" w:cs="Times New Roman" w:eastAsia="Times New Roman" w:hAnsi="Times New Roman"/>
          <w:sz w:val="18"/>
          <w:szCs w:val="18"/>
          <w:color w:val="auto"/>
        </w:rPr>
        <w:t>. Wabtec communicates its expectations on responsible supply chains of 3TG by transmitting surveys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from the Sourcing leaders of the Wabtec business units to Significant Suppliers and other Relevant Suppliers.</w:t>
      </w:r>
    </w:p>
    <w:p>
      <w:pPr>
        <w:spacing w:after="0" w:line="15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Contractual obligations</w:t>
      </w:r>
      <w:r>
        <w:rPr>
          <w:rFonts w:ascii="Times New Roman" w:cs="Times New Roman" w:eastAsia="Times New Roman" w:hAnsi="Times New Roman"/>
          <w:sz w:val="18"/>
          <w:szCs w:val="18"/>
          <w:color w:val="auto"/>
        </w:rPr>
        <w:t>. Each Wabtec business unit utilizes standard terms and conditions that incorporate by reference Wabtec’s Supplier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Conduct, which can be found on Wabtec’s website (see “</w:t>
      </w:r>
      <w:r>
        <w:rPr>
          <w:rFonts w:ascii="Times New Roman" w:cs="Times New Roman" w:eastAsia="Times New Roman" w:hAnsi="Times New Roman"/>
          <w:sz w:val="18"/>
          <w:szCs w:val="18"/>
          <w:b w:val="1"/>
          <w:bCs w:val="1"/>
          <w:color w:val="auto"/>
        </w:rPr>
        <w:t>Where You Can Find Additional Information</w:t>
      </w:r>
      <w:r>
        <w:rPr>
          <w:rFonts w:ascii="Times New Roman" w:cs="Times New Roman" w:eastAsia="Times New Roman" w:hAnsi="Times New Roman"/>
          <w:sz w:val="18"/>
          <w:szCs w:val="18"/>
          <w:color w:val="auto"/>
        </w:rPr>
        <w:t>” below). Suppliers are contractually obligated to (1) adopt policies and establish systems to procure 3TG from sources that have been verified as conflict free; (2) provide supporting data on their 3TG supply chains to Wabtec when requested; and (3) provide Wabtec with audit rights and the right to terminate the contract in the event of material non-compliance.</w:t>
      </w:r>
    </w:p>
    <w:p>
      <w:pPr>
        <w:spacing w:after="0" w:line="179"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Establish a company-level grievance mechanism</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Open reporting system</w:t>
      </w:r>
      <w:r>
        <w:rPr>
          <w:rFonts w:ascii="Times New Roman" w:cs="Times New Roman" w:eastAsia="Times New Roman" w:hAnsi="Times New Roman"/>
          <w:sz w:val="18"/>
          <w:szCs w:val="18"/>
          <w:color w:val="auto"/>
        </w:rPr>
        <w:t>. Wabtec and its business units have an open reporting system – Speak Up Wabtec! – to allow employees and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report concerns about policy violations, including concerns related to our 3TG policies. Concerns can be reported anonymously or for attribution through several channels, including any cognizant Wabtec Manager, any Compliance Resource (e.g. Wabtec legal counsel or auditor), by using the Speak Up Wabtec! e-tool at </w:t>
      </w:r>
      <w:r>
        <w:rPr>
          <w:rFonts w:ascii="Times New Roman" w:cs="Times New Roman" w:eastAsia="Times New Roman" w:hAnsi="Times New Roman"/>
          <w:sz w:val="18"/>
          <w:szCs w:val="18"/>
          <w:u w:val="single" w:color="auto"/>
          <w:color w:val="auto"/>
        </w:rPr>
        <w:t>https://speakupwabtec.com/</w:t>
      </w:r>
      <w:r>
        <w:rPr>
          <w:rFonts w:ascii="Times New Roman" w:cs="Times New Roman" w:eastAsia="Times New Roman" w:hAnsi="Times New Roman"/>
          <w:sz w:val="18"/>
          <w:szCs w:val="18"/>
          <w:color w:val="auto"/>
        </w:rPr>
        <w:t xml:space="preserve">, by calling the Wabtec Speak Up Wabtec! Hotline in the US at (888) 273-6085or using the e-tool to find country-specific telephone numbers, or by emailing </w:t>
      </w:r>
      <w:r>
        <w:rPr>
          <w:rFonts w:ascii="Times New Roman" w:cs="Times New Roman" w:eastAsia="Times New Roman" w:hAnsi="Times New Roman"/>
          <w:sz w:val="18"/>
          <w:szCs w:val="18"/>
          <w:u w:val="single" w:color="auto"/>
          <w:color w:val="auto"/>
        </w:rPr>
        <w:t>speakupwabtec@wabtec.com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 retaliation</w:t>
      </w:r>
      <w:r>
        <w:rPr>
          <w:rFonts w:ascii="Times New Roman" w:cs="Times New Roman" w:eastAsia="Times New Roman" w:hAnsi="Times New Roman"/>
          <w:sz w:val="18"/>
          <w:szCs w:val="18"/>
          <w:color w:val="auto"/>
        </w:rPr>
        <w:t>. Wabtec does not tolerate any form of retaliation against anyone for reporting a concern or actual or potential violation of the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company policy.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Step 2: Identify and assess supply chain risks</w:t>
      </w:r>
    </w:p>
    <w:p>
      <w:pPr>
        <w:spacing w:after="0" w:line="225"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Use best efforts to identify the smelters and refiners in the supply chain</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During 2025, using the processes described in Step 1.C above, Wabtec identified 7,215 Relevant Suppliers (up from 4,642 in 2024), including 645 Significant Suppliers (up from 473 in 2024). These year-over-year changes are primarily the result of the continued implementation of Wabtec’s electronic vendor management system for procurement that allows for greater transparency and a better understanding of all suppliers across the company’s supply chain, including high-risk commodity groups. Wabtec continues to include castings suppliers in the scope of 3TG Due Diligence in 2025. Our Significant Suppliers, mostly reporting at a company level, identified 461 smelters and refiners of 3TG that were potentially in their supply chains (as compared to 380 in 2024). See </w:t>
      </w:r>
      <w:r>
        <w:rPr>
          <w:rFonts w:ascii="Times New Roman" w:cs="Times New Roman" w:eastAsia="Times New Roman" w:hAnsi="Times New Roman"/>
          <w:sz w:val="18"/>
          <w:szCs w:val="18"/>
          <w:u w:val="single" w:color="auto"/>
          <w:color w:val="auto"/>
        </w:rPr>
        <w:t>Table A</w:t>
      </w:r>
      <w:r>
        <w:rPr>
          <w:rFonts w:ascii="Times New Roman" w:cs="Times New Roman" w:eastAsia="Times New Roman" w:hAnsi="Times New Roman"/>
          <w:sz w:val="18"/>
          <w:szCs w:val="18"/>
          <w:color w:val="auto"/>
        </w:rPr>
        <w:t xml:space="preserve"> below for a list of these smelters and refiners and a summary of their validation status under the RMAP.</w:t>
      </w:r>
    </w:p>
    <w:p>
      <w:pPr>
        <w:spacing w:after="0" w:line="183"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Identify the scope of the risk assessment of the 3TG supply chain</w:t>
      </w:r>
    </w:p>
    <w:p>
      <w:pPr>
        <w:spacing w:after="0" w:line="22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Engaging with suppliers</w:t>
      </w:r>
      <w:r>
        <w:rPr>
          <w:rFonts w:ascii="Times New Roman" w:cs="Times New Roman" w:eastAsia="Times New Roman" w:hAnsi="Times New Roman"/>
          <w:sz w:val="18"/>
          <w:szCs w:val="18"/>
          <w:color w:val="auto"/>
        </w:rPr>
        <w:t>. Wabtec’s 3TG survey asks suppliers to identify smelters or refiners of 3TG in their supply chains. For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Suppliers that are identified as either not having a responsible 3TG sourcing policy or not implementing due diligence measures for conflict-free sourcing, we encourage those suppliers to implement such measures. We seek to engage all Significant Suppliers to encourage the smelters and refiners in their supply chains to become validated as Conformant (as defined below) by the RMAP or a similar program.</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Wabtec seeks to continuously improve its due diligence efforts to reduce 3TG supply chain risk by encouraging suppliers to source from Conformant smelters and refiners. In 2025, 49% of the smelters and refiners identified by our Significant Suppliers have been verified as Conformant (as compared to 62% in 2024).</w:t>
      </w:r>
    </w:p>
    <w:p>
      <w:pPr>
        <w:spacing w:after="0" w:line="172" w:lineRule="exact"/>
        <w:rPr>
          <w:sz w:val="20"/>
          <w:szCs w:val="20"/>
          <w:color w:val="auto"/>
        </w:rPr>
      </w:pPr>
    </w:p>
    <w:p>
      <w:pPr>
        <w:ind w:left="820" w:right="140" w:hanging="326"/>
        <w:spacing w:after="0" w:line="286" w:lineRule="auto"/>
        <w:tabs>
          <w:tab w:leader="none" w:pos="8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Assess whether the suppliers have carried out all elements of due diligence for responsible supply chains of 3TG from conflict-affected and high-risk areas</w:t>
      </w:r>
    </w:p>
    <w:p>
      <w:pPr>
        <w:spacing w:after="0" w:line="15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Wabtec conducts due diligence to determine the degree of its suppliers’ compliance with the contractual obligations laid out in the Guidelines. Measures may include reviewing supplier responses for completeness, accuracy, and credibility, as well as confirming smelter status by checking against the Smelter Look-up tab list of RMI’s CMRT and RMI’s Conformant Smelter list. When Significant Suppliers identify smelters and refiners not listed as Conformant by RMI or a similar program, we attempt to contact the smelter or refiner to validate their responsible 3TG sourcing process.</w:t>
      </w:r>
    </w:p>
    <w:p>
      <w:pPr>
        <w:spacing w:after="0" w:line="176" w:lineRule="exact"/>
        <w:rPr>
          <w:sz w:val="20"/>
          <w:szCs w:val="20"/>
          <w:color w:val="auto"/>
        </w:rPr>
      </w:pPr>
    </w:p>
    <w:p>
      <w:pPr>
        <w:ind w:left="820" w:right="560" w:hanging="326"/>
        <w:spacing w:after="0" w:line="286" w:lineRule="auto"/>
        <w:tabs>
          <w:tab w:leader="none" w:pos="8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necessary, carry out joint spot checks at the mineral smelter or refiner’s own facilities (including through participation in industry-driven programs)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OECD Guidance, including its audit recommendations for downstream companies, Wabtec implements upstream audits by participating in and cooperating with industry organizations. Wabtec is a member of RMI (member code: WABT) and relied on the RMAP to conduct a risk assessment at the upstream level. For each smelter identified within its supply chain, Wabtec assessed the information available from the RMAP to determine whether there were any “red flags” (as defined in OECD Guidance) and, if needed, develop a corrective action plan. We encourage the removal of any high-risk smelters from our supply chain.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Step 3: Design and implement a strategy to respond to identified risks</w:t>
      </w:r>
    </w:p>
    <w:p>
      <w:pPr>
        <w:spacing w:after="0" w:line="225"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A.</w:t>
        <w:tab/>
        <w:t>Report findings to designated senior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Step 1.B above for a description of Wabtec’s 3TG due diligence internal reporting processes.</w:t>
      </w:r>
    </w:p>
    <w:p>
      <w:pPr>
        <w:spacing w:after="0" w:line="221"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Devise and adopt a risk management plan</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Wabtec annually compiles a report of 3TG risks identified in its supply chain for review by Wabtec’s Chief Procurement Officer to determine the appropriate steps to take in mitigating any identified supply chain risks. In 2025, Wabtec continued to focus on reducing risk by (1) engaging Significant Suppliers to encourage the smelters and refiners in their supply chains to become validated as Conformant by the RMAP, (2) encouraging Significant Suppliers who identified high-risk smelters and refiners to remove them from their supply chains, and (3) engaging with non-Conformant smelters and refiners directly to encourage them to participate in the RMAP audit process to become Conformant. A high-risk smelter or refiner is one for which there are credible reports that such smelter or refiner sources materials in a manner that directly or indirectly finances armed conflict.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Significant Suppliers who identified high-risk smelters and suppliers, Wabtec Global Operations sent such suppliers a letter requesting that: (a) the suppliers confirm whether these smelters or refiners are in fact in their supply chain, and if so, whether such materials are used in Wabtec products; (b) the suppliers encourage these smelters or refiners to participate in the RMAP; and (c) if a smelter or refiner refuses to participate in the RMAP, such suppliers should develop a plan to remove the smelter or refiner from their supply chain.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4: Carry out independent 3</w:t>
      </w:r>
      <w:r>
        <w:rPr>
          <w:rFonts w:ascii="Times New Roman" w:cs="Times New Roman" w:eastAsia="Times New Roman" w:hAnsi="Times New Roman"/>
          <w:sz w:val="25"/>
          <w:szCs w:val="25"/>
          <w:b w:val="1"/>
          <w:bCs w:val="1"/>
          <w:color w:val="auto"/>
          <w:vertAlign w:val="superscript"/>
        </w:rPr>
        <w:t>rd</w:t>
      </w:r>
      <w:r>
        <w:rPr>
          <w:rFonts w:ascii="Times New Roman" w:cs="Times New Roman" w:eastAsia="Times New Roman" w:hAnsi="Times New Roman"/>
          <w:sz w:val="18"/>
          <w:szCs w:val="18"/>
          <w:b w:val="1"/>
          <w:bCs w:val="1"/>
          <w:color w:val="auto"/>
        </w:rPr>
        <w:t>-party audit of smelters/refiners’ due diligence practices</w:t>
      </w:r>
    </w:p>
    <w:p>
      <w:pPr>
        <w:spacing w:after="0" w:line="17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See Step 2.D above for a discussion of how Wabtec implemented upstream audits by participating in and cooperating with industry organizations like RMI.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 5: Report annually on supply chain due diligence</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file this Report annually with the SEC, and a copy is publicly available on our website at: </w:t>
      </w:r>
      <w:r>
        <w:rPr>
          <w:rFonts w:ascii="Times New Roman" w:cs="Times New Roman" w:eastAsia="Times New Roman" w:hAnsi="Times New Roman"/>
          <w:sz w:val="18"/>
          <w:szCs w:val="18"/>
          <w:u w:val="single" w:color="auto"/>
          <w:color w:val="auto"/>
        </w:rPr>
        <w:t>https://ir.wabteccorp.com/static-files/8fd94988-3d8d-4111-a410-65af65580331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Wabtec relies on its suppliers to provide information on the origin of 3TG contained in the components and materials supplied to us. These suppliers are similarly reliant upon information provided by their suppliers. In 2025, Wabtec identified 7,215 Relevant Suppliers, including 645 Significant Suppliers. Our Significant Suppliers identified 461 smelters and refiners of 3TG that were potentially in their supply chains. Of these 461 unique facilities identified, 49% were validated as “conformant” under the RMAP as of April 22, 2026. “Conformant” means that a smelter or refiner was audited by the RMI and has been found to be conformant with the RMAP. See </w:t>
      </w:r>
      <w:r>
        <w:rPr>
          <w:rFonts w:ascii="Times New Roman" w:cs="Times New Roman" w:eastAsia="Times New Roman" w:hAnsi="Times New Roman"/>
          <w:sz w:val="18"/>
          <w:szCs w:val="18"/>
          <w:u w:val="single" w:color="auto"/>
          <w:color w:val="auto"/>
        </w:rPr>
        <w:t>Table A</w:t>
      </w:r>
      <w:r>
        <w:rPr>
          <w:rFonts w:ascii="Times New Roman" w:cs="Times New Roman" w:eastAsia="Times New Roman" w:hAnsi="Times New Roman"/>
          <w:sz w:val="18"/>
          <w:szCs w:val="18"/>
          <w:color w:val="auto"/>
        </w:rPr>
        <w:t xml:space="preserve"> below for a list of these smelters and refiners and a summary of their validation status under the RMAP. Based on the information obtained as a result of the due diligence measures described above, we reasonably determined that the minerals processed by the smelters and refiners listed are from the countries listed in </w:t>
      </w:r>
      <w:r>
        <w:rPr>
          <w:rFonts w:ascii="Times New Roman" w:cs="Times New Roman" w:eastAsia="Times New Roman" w:hAnsi="Times New Roman"/>
          <w:sz w:val="18"/>
          <w:szCs w:val="18"/>
          <w:u w:val="single" w:color="auto"/>
          <w:color w:val="auto"/>
        </w:rPr>
        <w:t>Table B</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10" w:name="page11"/>
    <w:bookmarkEnd w:id="10"/>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many of the CMRTs we received from suppliers were made on a company-level basis, rather than on a product-level basis, we were not able to identify which smelters or refiners listed in Table A actually processed the 3TG contained in the parts and components supplied to Wabtec, rather than to other customers of our suppliers. Wabtec does not purchase raw ore or unrefined tin, tantalum, tungsten or gold. Wabtec is many steps removed from the mining of the conflict minerals. For this reason, we have been unable to establish chain of custody or identify with confidence the specific facilities used to process the 3TG in our products and/or the country of origin, the mine, or the location of origin of the 3TG in our products. Therefore, the list of processing smelters and refiners disclosed in Table A may identify more facilities than those that actually processed the minerals contained in our products. For example, while several smelters or refiners in Table A are identified as from the Russian Federation, Wabtec does not source directly from Russia. Wabtec maintains a robust, risk-based economic sanctions compliance program that prohibits transactions and direct sourcing from smelters or refiners subject to any economic sanctions administered by the U.S. Department of the Treasury’s Office of Foreign Assets Control (“OFAC”), including, but not limited to, smelters and refiners that may be involved with Russian extraction and smelting suppliers. Similarly, the list of countries in Table B may identify more countries of origin than were actually the source of the 3TG in our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Continuous improvement</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Wabtec intends to continue its efforts in 2026 to improve its supply chain due diligence and to further mitigate the risk that 3TG contained in its products supports armed conflict in Covered Countries by focusing on:</w:t>
      </w:r>
    </w:p>
    <w:p>
      <w:pPr>
        <w:spacing w:after="0" w:line="179" w:lineRule="exact"/>
        <w:rPr>
          <w:sz w:val="20"/>
          <w:szCs w:val="20"/>
          <w:color w:val="auto"/>
        </w:rPr>
      </w:pPr>
    </w:p>
    <w:p>
      <w:pPr>
        <w:ind w:left="980" w:right="80" w:hanging="324"/>
        <w:spacing w:after="0" w:line="244"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Identifying and communicating with smelters and refiners in Wabtec’s supply chain, both directly and indirectly through Wabtec’s Significant Suppliers, in order to increase the number of smelters and refiners that participate in the RMAP and become Conformant; and</w:t>
      </w:r>
    </w:p>
    <w:p>
      <w:pPr>
        <w:spacing w:after="0" w:line="200" w:lineRule="exact"/>
        <w:rPr>
          <w:rFonts w:ascii="Times New Roman" w:cs="Times New Roman" w:eastAsia="Times New Roman" w:hAnsi="Times New Roman"/>
          <w:sz w:val="22"/>
          <w:szCs w:val="22"/>
          <w:color w:val="auto"/>
        </w:rPr>
      </w:pPr>
    </w:p>
    <w:p>
      <w:pPr>
        <w:ind w:left="980" w:right="320" w:hanging="324"/>
        <w:spacing w:after="0" w:line="238"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to implement our centralized vendor management system, which allows for coordination with any new supplier to ensure that they understand Wabtec’s responsible sourcing policy and compliance requirements, the requirements of the Conflict Minerals Rule, and the OECD Guidance, while also collecting CMRTs from suppliers before they are initiated into the supply chain. This helps Wabtec more proactively identify, assess, and respond to supply chain risks before they are adopted into the supply chain.</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43" w:right="3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of April 22,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Smelters and Refiners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 Smelters and Refiners Reported in Our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142875</wp:posOffset>
            </wp:positionV>
            <wp:extent cx="4989195" cy="1345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8919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note the following in connection with the information contained in the foregoing table:</w:t>
      </w:r>
    </w:p>
    <w:p>
      <w:pPr>
        <w:spacing w:after="0" w:line="27" w:lineRule="exact"/>
        <w:rPr>
          <w:sz w:val="20"/>
          <w:szCs w:val="20"/>
          <w:color w:val="auto"/>
        </w:rPr>
      </w:pPr>
    </w:p>
    <w:p>
      <w:pPr>
        <w:ind w:right="40" w:firstLine="8"/>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smelters and refiners reflected in the table were identified by our Significant Suppliers as potentially being part of our 2025 supply chain, not all of the smelters and refiners may have processed the necessary 3TG contained in the in-scope products that we manufactured. Many Significant Suppliers reported to us at a “company level” the 3TG contained in all of their products, not just those in the products that they sold to us. Some Significant Suppliers also may have reported to us smelters and refiners that were not in our supply chain due to over-inclusiveness in the information received from their suppliers or for other reasons. In addition, the smelters and refiners reflected above may not be all of the smelters and refiners in our supply chain. Some Significant Suppliers may be unable to identify all of the smelters and refiners used to process the necessary 3TG content contained in the products that we manufactured, and not all of the Significant Suppliers responded to our inquiries.</w:t>
      </w:r>
    </w:p>
    <w:p>
      <w:pPr>
        <w:spacing w:after="0" w:line="2" w:lineRule="exact"/>
        <w:rPr>
          <w:rFonts w:ascii="Times New Roman" w:cs="Times New Roman" w:eastAsia="Times New Roman" w:hAnsi="Times New Roman"/>
          <w:sz w:val="18"/>
          <w:szCs w:val="18"/>
          <w:color w:val="auto"/>
        </w:rPr>
      </w:pPr>
    </w:p>
    <w:p>
      <w:pPr>
        <w:ind w:right="140" w:firstLine="8"/>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“Conformant” means that a smelter or refiner was audited by the RMI and has been found to be conformant with the RMAP. The information reflected in the table is based solely on information made available by the RMI to its members, without independent verification by us.</w:t>
      </w:r>
    </w:p>
    <w:p>
      <w:pPr>
        <w:ind w:right="100" w:firstLine="8"/>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means that a smelter or refiner is a participant in the RMAP committed to undergoing an assessment and has scheduled an assessment date, or is participating in one of the cross-recognized certification programs.</w:t>
      </w:r>
    </w:p>
    <w:p>
      <w:pPr>
        <w:ind w:right="100" w:firstLine="8"/>
        <w:spacing w:after="0" w:line="25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Smelter Look-up” means that a smelter or refiner is listed on the Smelter Look-up tab list of the CMRT, but is not listed as “Conformant” or “Active.” The RMI website notes that the operational impacts of COVID-19 have led to postponements of some RMAP assessments. The RMI website also notes that, due to the eligibility criteria for an RMAP assessment, smelters and refiners are sometimes removed from the Conformant list because they are no longer operational and not because they are non-conformant to the standard.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reflected in the table is based solely on information made available by the RMI to its members, without independent verification by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Identified Smelters and Refiners for 2025</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3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Smelter Look-Up</w:t>
            </w:r>
          </w:p>
        </w:tc>
        <w:tc>
          <w:tcPr>
            <w:tcW w:w="2160" w:type="dxa"/>
            <w:vAlign w:val="bottom"/>
            <w:tcBorders>
              <w:top w:val="single" w:sz="8" w:color="auto"/>
              <w:bottom w:val="single" w:sz="8" w:color="auto"/>
              <w:right w:val="single" w:sz="8" w:color="auto"/>
            </w:tcBorders>
          </w:tcPr>
          <w:p>
            <w:pPr>
              <w:spacing w:after="0"/>
              <w:rPr>
                <w:sz w:val="19"/>
                <w:szCs w:val="19"/>
                <w:color w:val="auto"/>
              </w:rPr>
            </w:pP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SOLEIL METALS (Chala One Plant)</w:t>
            </w:r>
          </w:p>
        </w:tc>
        <w:tc>
          <w:tcPr>
            <w:tcW w:w="216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Peru</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SOLEIL METALS (YAKARI Plant)</w:t>
            </w:r>
          </w:p>
        </w:tc>
        <w:tc>
          <w:tcPr>
            <w:tcW w:w="21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16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16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363"/>
        </w:trPr>
        <w:tc>
          <w:tcPr>
            <w:tcW w:w="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60" w:type="dxa"/>
            <w:vAlign w:val="bottom"/>
          </w:tcPr>
          <w:p>
            <w:pPr>
              <w:jc w:val="right"/>
              <w:ind w:right="1066"/>
              <w:spacing w:after="0"/>
              <w:rPr>
                <w:sz w:val="20"/>
                <w:szCs w:val="20"/>
                <w:color w:val="auto"/>
              </w:rPr>
            </w:pPr>
            <w:r>
              <w:rPr>
                <w:rFonts w:ascii="Times New Roman" w:cs="Times New Roman" w:eastAsia="Times New Roman" w:hAnsi="Times New Roman"/>
                <w:sz w:val="11"/>
                <w:szCs w:val="11"/>
                <w:color w:val="auto"/>
              </w:rPr>
              <w:t>7</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39"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Agosi AG</w:t>
            </w:r>
          </w:p>
        </w:tc>
        <w:tc>
          <w:tcPr>
            <w:tcW w:w="130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UZBEKISTAN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METALFINE, Inc.</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AG, Hamburg</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Bangalore Refinery</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Chimet S.p.A.</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Chugai Mining</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Coimpa Industrial LTDA</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DSC (Do Sung Corporation)</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Elite Industech Co., Ltd.</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GG Refinery Ltd.</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Tanzania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Glencore Canada Corporation - CCR Refinery</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by Gold Colombia</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Heimerle + Meule GmbH</w:t>
            </w:r>
          </w:p>
        </w:tc>
        <w:tc>
          <w:tcPr>
            <w:tcW w:w="13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3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350"/>
        </w:trPr>
        <w:tc>
          <w:tcPr>
            <w:tcW w:w="9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300" w:type="dxa"/>
            <w:vAlign w:val="bottom"/>
          </w:tcPr>
          <w:p>
            <w:pPr>
              <w:jc w:val="right"/>
              <w:ind w:right="1066"/>
              <w:spacing w:after="0"/>
              <w:rPr>
                <w:sz w:val="20"/>
                <w:szCs w:val="20"/>
                <w:color w:val="auto"/>
              </w:rPr>
            </w:pPr>
            <w:r>
              <w:rPr>
                <w:rFonts w:ascii="Times New Roman" w:cs="Times New Roman" w:eastAsia="Times New Roman" w:hAnsi="Times New Roman"/>
                <w:sz w:val="11"/>
                <w:szCs w:val="11"/>
                <w:color w:val="auto"/>
              </w:rPr>
              <w:t>8</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Impala Platinum - Base Metal Refinery (BMR)</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Istanbul Gold Refinery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Turkey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Italpreziosi</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 Mint</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Copper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Kazzinc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Kojima Chemicals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Zinc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LS MnM Inc.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 Metal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Materion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Matsuda Sangyo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Metalor Technologies S.A.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350"/>
        </w:trPr>
        <w:tc>
          <w:tcPr>
            <w:tcW w:w="940" w:type="dxa"/>
            <w:vAlign w:val="bottom"/>
          </w:tcPr>
          <w:p>
            <w:pPr>
              <w:spacing w:after="0"/>
              <w:rPr>
                <w:sz w:val="24"/>
                <w:szCs w:val="24"/>
                <w:color w:val="auto"/>
              </w:rPr>
            </w:pPr>
          </w:p>
        </w:tc>
        <w:tc>
          <w:tcPr>
            <w:tcW w:w="5840" w:type="dxa"/>
            <w:vAlign w:val="bottom"/>
          </w:tcPr>
          <w:p>
            <w:pPr>
              <w:jc w:val="right"/>
              <w:ind w:right="1031"/>
              <w:spacing w:after="0"/>
              <w:rPr>
                <w:sz w:val="20"/>
                <w:szCs w:val="20"/>
                <w:color w:val="auto"/>
              </w:rPr>
            </w:pPr>
            <w:r>
              <w:rPr>
                <w:rFonts w:ascii="Times New Roman" w:cs="Times New Roman" w:eastAsia="Times New Roman" w:hAnsi="Times New Roman"/>
                <w:sz w:val="11"/>
                <w:szCs w:val="11"/>
                <w:color w:val="auto"/>
              </w:rPr>
              <w:t>9</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MKS PAMP SA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MMTC-PAMP India Pvt.,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Turkey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Uzbekistan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NH Recytech Company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Nihon Material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Oegussa Oesterreichische Gold- und Silber-Scheideanstalt Gesm.b.H.</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Chile</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PX Precinox S.A.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Rand Refinery (Pty)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REMONDIS PMR B.V.</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Royal Canadian Mint</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SAFINA A.S.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FINLAND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SungEel HiMetal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T.C.A S.p.A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Tokuriki Honten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363"/>
        </w:trPr>
        <w:tc>
          <w:tcPr>
            <w:tcW w:w="940" w:type="dxa"/>
            <w:vAlign w:val="bottom"/>
          </w:tcPr>
          <w:p>
            <w:pPr>
              <w:spacing w:after="0"/>
              <w:rPr>
                <w:sz w:val="24"/>
                <w:szCs w:val="24"/>
                <w:color w:val="auto"/>
              </w:rPr>
            </w:pPr>
          </w:p>
        </w:tc>
        <w:tc>
          <w:tcPr>
            <w:tcW w:w="5840" w:type="dxa"/>
            <w:vAlign w:val="bottom"/>
          </w:tcPr>
          <w:p>
            <w:pPr>
              <w:jc w:val="right"/>
              <w:ind w:right="1011"/>
              <w:spacing w:after="0"/>
              <w:rPr>
                <w:sz w:val="20"/>
                <w:szCs w:val="20"/>
                <w:color w:val="auto"/>
              </w:rPr>
            </w:pPr>
            <w:r>
              <w:rPr>
                <w:rFonts w:ascii="Times New Roman" w:cs="Times New Roman" w:eastAsia="Times New Roman" w:hAnsi="Times New Roman"/>
                <w:sz w:val="11"/>
                <w:szCs w:val="11"/>
                <w:color w:val="auto"/>
              </w:rPr>
              <w:t>10</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TOO Tau-Ken-Altyn</w:t>
            </w:r>
          </w:p>
        </w:tc>
        <w:tc>
          <w:tcPr>
            <w:tcW w:w="144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Kazakhstan</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Valcambi S.A.</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WIELAND Edelmetalle GmbH</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Yamakin Co., Ltd.</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Yokohama Metal Co., Ltd.</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Zijin Mining Group Gold Smelting Co. Ltd.</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8853 S.p.A.</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Alexy Metals</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 Traders and Refiners</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Cendres + Metaux S.A.</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Emirates Gold DMCC</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KP Sanghvi International Pvt Ltd</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Kyrgyzaltyn JSC</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Kyrgyzstan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L'Orfebre S.A.</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Andorra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Marsam Metals</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SAAMP</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Safimet S.p.A</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Samduck Precious Metals</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Singway Technology Co., Ltd.</w:t>
            </w:r>
          </w:p>
        </w:tc>
        <w:tc>
          <w:tcPr>
            <w:tcW w:w="14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1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350"/>
        </w:trPr>
        <w:tc>
          <w:tcPr>
            <w:tcW w:w="9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40" w:type="dxa"/>
            <w:vAlign w:val="bottom"/>
          </w:tcPr>
          <w:p>
            <w:pPr>
              <w:jc w:val="right"/>
              <w:ind w:right="1046"/>
              <w:spacing w:after="0"/>
              <w:rPr>
                <w:sz w:val="20"/>
                <w:szCs w:val="20"/>
                <w:color w:val="auto"/>
              </w:rPr>
            </w:pPr>
            <w:r>
              <w:rPr>
                <w:rFonts w:ascii="Times New Roman" w:cs="Times New Roman" w:eastAsia="Times New Roman" w:hAnsi="Times New Roman"/>
                <w:sz w:val="11"/>
                <w:szCs w:val="11"/>
                <w:color w:val="auto"/>
              </w:rPr>
              <w:t>11</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Torecom</w:t>
            </w:r>
          </w:p>
        </w:tc>
        <w:tc>
          <w:tcPr>
            <w:tcW w:w="184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WEEEREFINING</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ABC Refinery Pty Ltd.</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African Gold Refinery</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Uganda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 Ghaith Gold</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Albino Mountinho Lda.</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Portugal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ARY Aurum Plus</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Turkey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Atlantic Copper, S.L.U.</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Attero Recycling Pvt Ltd</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Caridad</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CGR Metalloys Pvt Ltd.</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Dijllah Gold Refinery FZC</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Dongwu Gold Group</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Zimbabwe</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Fujairah Gold FZC</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Gasabo Gold Refinery Ltd</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 Coast Refinery</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Ghana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18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Guangdong Hua Jian Trade Co., Ltd.</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350"/>
        </w:trPr>
        <w:tc>
          <w:tcPr>
            <w:tcW w:w="9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40" w:type="dxa"/>
            <w:vAlign w:val="bottom"/>
          </w:tcPr>
          <w:p>
            <w:pPr>
              <w:jc w:val="right"/>
              <w:ind w:right="1046"/>
              <w:spacing w:after="0"/>
              <w:rPr>
                <w:sz w:val="20"/>
                <w:szCs w:val="20"/>
                <w:color w:val="auto"/>
              </w:rPr>
            </w:pPr>
            <w:r>
              <w:rPr>
                <w:rFonts w:ascii="Times New Roman" w:cs="Times New Roman" w:eastAsia="Times New Roman" w:hAnsi="Times New Roman"/>
                <w:sz w:val="11"/>
                <w:szCs w:val="11"/>
                <w:color w:val="auto"/>
              </w:rPr>
              <w:t>12</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140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 Seng Technology</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Henan Yuguang Gold &amp; Lead Co., Ltd.</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House of Currency of Brazil (Casa da Moeda do Brazil)</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 Cheong Metal Manufacturing Limited</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191"/>
        </w:trPr>
        <w:tc>
          <w:tcPr>
            <w:tcW w:w="940" w:type="dxa"/>
            <w:vAlign w:val="bottom"/>
            <w:tcBorders>
              <w:left w:val="single" w:sz="8" w:color="auto"/>
              <w:right w:val="single" w:sz="8" w:color="auto"/>
            </w:tcBorders>
          </w:tcPr>
          <w:p>
            <w:pPr>
              <w:spacing w:after="0"/>
              <w:rPr>
                <w:sz w:val="16"/>
                <w:szCs w:val="16"/>
                <w:color w:val="auto"/>
              </w:rPr>
            </w:pPr>
          </w:p>
        </w:tc>
        <w:tc>
          <w:tcPr>
            <w:tcW w:w="4440" w:type="dxa"/>
            <w:vAlign w:val="bottom"/>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KOREA,</w:t>
            </w:r>
          </w:p>
        </w:tc>
        <w:tc>
          <w:tcPr>
            <w:tcW w:w="2240" w:type="dxa"/>
            <w:vAlign w:val="bottom"/>
            <w:tcBorders>
              <w:right w:val="single" w:sz="8" w:color="auto"/>
            </w:tcBorders>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HwaSeong CJ CO., LTD.</w:t>
            </w:r>
          </w:p>
        </w:tc>
        <w:tc>
          <w:tcPr>
            <w:tcW w:w="14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REPUBLIC OF</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JALAN &amp; Company</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Jinlong Copper Co., Ltd.</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JSC Novosibirsk Refinery</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Uralelectromed</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 Rasmussen</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Kazakhmys Smelting LLC</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Kundan Care Products Ltd.</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Lingbao Gold Co., Ltd.</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MD Overseas</w:t>
            </w: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Metallix Refining Inc.</w:t>
            </w:r>
          </w:p>
        </w:tc>
        <w:tc>
          <w:tcPr>
            <w:tcW w:w="14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350"/>
        </w:trPr>
        <w:tc>
          <w:tcPr>
            <w:tcW w:w="9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0" w:type="dxa"/>
            <w:vAlign w:val="bottom"/>
          </w:tcPr>
          <w:p>
            <w:pPr>
              <w:jc w:val="right"/>
              <w:ind w:right="1046"/>
              <w:spacing w:after="0"/>
              <w:rPr>
                <w:sz w:val="20"/>
                <w:szCs w:val="20"/>
                <w:color w:val="auto"/>
              </w:rPr>
            </w:pPr>
            <w:r>
              <w:rPr>
                <w:rFonts w:ascii="Times New Roman" w:cs="Times New Roman" w:eastAsia="Times New Roman" w:hAnsi="Times New Roman"/>
                <w:sz w:val="11"/>
                <w:szCs w:val="11"/>
                <w:color w:val="auto"/>
              </w:rPr>
              <w:t>13</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Morris and Watson</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Zealand</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Naoshima Smelter &amp; Refinery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NOBLE METAL SERVICES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Nyrstar</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191"/>
        </w:trPr>
        <w:tc>
          <w:tcPr>
            <w:tcW w:w="940" w:type="dxa"/>
            <w:vAlign w:val="bottom"/>
            <w:tcBorders>
              <w:left w:val="single" w:sz="8" w:color="auto"/>
              <w:right w:val="single" w:sz="8" w:color="auto"/>
            </w:tcBorders>
          </w:tcPr>
          <w:p>
            <w:pPr>
              <w:spacing w:after="0"/>
              <w:rPr>
                <w:sz w:val="16"/>
                <w:szCs w:val="16"/>
                <w:color w:val="auto"/>
              </w:rPr>
            </w:pPr>
          </w:p>
        </w:tc>
        <w:tc>
          <w:tcPr>
            <w:tcW w:w="5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Krastsvetmet)</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Pease &amp; Curren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QG Refining, LLC</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Sabin Metal Corp.</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SAM Precious Metals FZ-LLC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Samwon Metals Corp.</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Hengbang Smelter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Shandong Yanggu Xiangguang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Shenzhen Heng Zhong Industry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191"/>
        </w:trPr>
        <w:tc>
          <w:tcPr>
            <w:tcW w:w="940" w:type="dxa"/>
            <w:vAlign w:val="bottom"/>
            <w:tcBorders>
              <w:left w:val="single" w:sz="8" w:color="auto"/>
              <w:right w:val="single" w:sz="8" w:color="auto"/>
            </w:tcBorders>
          </w:tcPr>
          <w:p>
            <w:pPr>
              <w:spacing w:after="0"/>
              <w:rPr>
                <w:sz w:val="16"/>
                <w:szCs w:val="16"/>
                <w:color w:val="auto"/>
              </w:rPr>
            </w:pPr>
          </w:p>
        </w:tc>
        <w:tc>
          <w:tcPr>
            <w:tcW w:w="5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SHENZHEN JINJUNWEI RESOURCE COMPREHENSIVE</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DEVELOPMENT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Sino-Platinum Metals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350"/>
        </w:trPr>
        <w:tc>
          <w:tcPr>
            <w:tcW w:w="940" w:type="dxa"/>
            <w:vAlign w:val="bottom"/>
          </w:tcPr>
          <w:p>
            <w:pPr>
              <w:spacing w:after="0"/>
              <w:rPr>
                <w:sz w:val="24"/>
                <w:szCs w:val="24"/>
                <w:color w:val="auto"/>
              </w:rPr>
            </w:pPr>
          </w:p>
        </w:tc>
        <w:tc>
          <w:tcPr>
            <w:tcW w:w="5840" w:type="dxa"/>
            <w:vAlign w:val="bottom"/>
          </w:tcPr>
          <w:p>
            <w:pPr>
              <w:jc w:val="right"/>
              <w:ind w:right="1011"/>
              <w:spacing w:after="0"/>
              <w:rPr>
                <w:sz w:val="20"/>
                <w:szCs w:val="20"/>
                <w:color w:val="auto"/>
              </w:rPr>
            </w:pPr>
            <w:r>
              <w:rPr>
                <w:rFonts w:ascii="Times New Roman" w:cs="Times New Roman" w:eastAsia="Times New Roman" w:hAnsi="Times New Roman"/>
                <w:sz w:val="11"/>
                <w:szCs w:val="11"/>
                <w:color w:val="auto"/>
              </w:rPr>
              <w:t>14</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94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5840" w:type="dxa"/>
            <w:vAlign w:val="bottom"/>
            <w:tcBorders>
              <w:top w:val="single" w:sz="8" w:color="auto"/>
              <w:right w:val="single" w:sz="8" w:color="auto"/>
            </w:tcBorders>
            <w:shd w:val="clear" w:color="auto" w:fill="CCEEFF"/>
          </w:tcPr>
          <w:p>
            <w:pPr>
              <w:spacing w:after="0"/>
              <w:rPr>
                <w:sz w:val="18"/>
                <w:szCs w:val="18"/>
                <w:color w:val="auto"/>
              </w:rPr>
            </w:pPr>
          </w:p>
        </w:tc>
        <w:tc>
          <w:tcPr>
            <w:tcW w:w="224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 PROVINCE OF</w:t>
            </w:r>
          </w:p>
        </w:tc>
        <w:tc>
          <w:tcPr>
            <w:tcW w:w="2240" w:type="dxa"/>
            <w:vAlign w:val="bottom"/>
            <w:tcBorders>
              <w:top w:val="single" w:sz="8" w:color="auto"/>
              <w:right w:val="single" w:sz="8" w:color="auto"/>
            </w:tcBorders>
            <w:shd w:val="clear" w:color="auto" w:fill="CCEEFF"/>
          </w:tcPr>
          <w:p>
            <w:pPr>
              <w:spacing w:after="0"/>
              <w:rPr>
                <w:sz w:val="18"/>
                <w:szCs w:val="18"/>
                <w:color w:val="auto"/>
              </w:rPr>
            </w:pPr>
          </w:p>
        </w:tc>
      </w:tr>
      <w:tr>
        <w:trPr>
          <w:trHeight w:val="234"/>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191"/>
        </w:trPr>
        <w:tc>
          <w:tcPr>
            <w:tcW w:w="940" w:type="dxa"/>
            <w:vAlign w:val="bottom"/>
            <w:tcBorders>
              <w:left w:val="single" w:sz="8" w:color="auto"/>
              <w:right w:val="single" w:sz="8" w:color="auto"/>
            </w:tcBorders>
          </w:tcPr>
          <w:p>
            <w:pPr>
              <w:spacing w:after="0"/>
              <w:rPr>
                <w:sz w:val="16"/>
                <w:szCs w:val="16"/>
                <w:color w:val="auto"/>
              </w:rPr>
            </w:pPr>
          </w:p>
        </w:tc>
        <w:tc>
          <w:tcPr>
            <w:tcW w:w="58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TAIWAN, PROVINCE OF</w:t>
            </w:r>
          </w:p>
        </w:tc>
        <w:tc>
          <w:tcPr>
            <w:tcW w:w="2240" w:type="dxa"/>
            <w:vAlign w:val="bottom"/>
            <w:tcBorders>
              <w:right w:val="single" w:sz="8" w:color="auto"/>
            </w:tcBorders>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UNKNOWN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UNKNOWN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UNKNOWN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Sovereign Metals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Lithuania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Tongling Nonferrous Jinguan (Ausmelt) Copper Industry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Viagra Di precious metals (Zhaoyuan)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Wuzhong Group</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Copper Southwest Copper Branch</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Yunnan Gold Mining Group Co., Ltd. (YGMG)</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Zhe Jiang Guang Yuan Noble Metal Smelting Factory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Zhongkuang Gold Industry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Zhongshan Hyper-Toxic Substance Monopolized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Zhongshan Poison Material Proprietary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Zhuhai toxic materials Monopoly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Zhuzhou Smelting Group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AMG Brasil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Avon Specialty Metals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U.K.</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350"/>
        </w:trPr>
        <w:tc>
          <w:tcPr>
            <w:tcW w:w="940" w:type="dxa"/>
            <w:vAlign w:val="bottom"/>
          </w:tcPr>
          <w:p>
            <w:pPr>
              <w:spacing w:after="0"/>
              <w:rPr>
                <w:sz w:val="24"/>
                <w:szCs w:val="24"/>
                <w:color w:val="auto"/>
              </w:rPr>
            </w:pPr>
          </w:p>
        </w:tc>
        <w:tc>
          <w:tcPr>
            <w:tcW w:w="5840" w:type="dxa"/>
            <w:vAlign w:val="bottom"/>
          </w:tcPr>
          <w:p>
            <w:pPr>
              <w:jc w:val="right"/>
              <w:ind w:right="1011"/>
              <w:spacing w:after="0"/>
              <w:rPr>
                <w:sz w:val="20"/>
                <w:szCs w:val="20"/>
                <w:color w:val="auto"/>
              </w:rPr>
            </w:pPr>
            <w:r>
              <w:rPr>
                <w:rFonts w:ascii="Times New Roman" w:cs="Times New Roman" w:eastAsia="Times New Roman" w:hAnsi="Times New Roman"/>
                <w:sz w:val="11"/>
                <w:szCs w:val="11"/>
                <w:color w:val="auto"/>
              </w:rPr>
              <w:t>15</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150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CMT Rare Metal Advanced Materials (Hunan) Co.,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 Block Metals, LLC</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Tanbre Co.,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KEMET de Mexico</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Materion Newton Inc.</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Kinzoku Company, Limited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NPM Silmet OU</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PowerX Ltd.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Rwanda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QuantumClean</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RFH Recycling Metals Co.,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Taki Chemical Co., Ltd.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Co.,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TANIOBIS GmbH</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Japan Co.,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350"/>
        </w:trPr>
        <w:tc>
          <w:tcPr>
            <w:tcW w:w="9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00" w:type="dxa"/>
            <w:vAlign w:val="bottom"/>
          </w:tcPr>
          <w:p>
            <w:pPr>
              <w:jc w:val="right"/>
              <w:ind w:right="1046"/>
              <w:spacing w:after="0"/>
              <w:rPr>
                <w:sz w:val="20"/>
                <w:szCs w:val="20"/>
                <w:color w:val="auto"/>
              </w:rPr>
            </w:pPr>
            <w:r>
              <w:rPr>
                <w:rFonts w:ascii="Times New Roman" w:cs="Times New Roman" w:eastAsia="Times New Roman" w:hAnsi="Times New Roman"/>
                <w:sz w:val="11"/>
                <w:szCs w:val="11"/>
                <w:color w:val="auto"/>
              </w:rPr>
              <w:t>16</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Telex Metals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Kazakhstan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V&amp;D New Materials (Jiangsu)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XIMEI RESOURCES(GUIZHOU) TECHNOLOGY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Plansee SE Reutte</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STEREON Metals Hermsdorf GmbH</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ULVAC Inc.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5D Production OU</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Estonia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ANHUI HERRMAN IMPEX CO.</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Exotech Inc.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KEMET Corp.</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Shanghai Jiangxi Metals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Unknown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Conecsus LLC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191"/>
        </w:trPr>
        <w:tc>
          <w:tcPr>
            <w:tcW w:w="940" w:type="dxa"/>
            <w:vAlign w:val="bottom"/>
            <w:tcBorders>
              <w:left w:val="single" w:sz="8" w:color="auto"/>
              <w:right w:val="single" w:sz="8" w:color="auto"/>
            </w:tcBorders>
          </w:tcPr>
          <w:p>
            <w:pPr>
              <w:spacing w:after="0"/>
              <w:rPr>
                <w:sz w:val="16"/>
                <w:szCs w:val="16"/>
                <w:color w:val="auto"/>
              </w:rPr>
            </w:pPr>
          </w:p>
        </w:tc>
        <w:tc>
          <w:tcPr>
            <w:tcW w:w="5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CRM Fundicao De Metais E Comercio De Equipamentos Eletronicos Do Brasil</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Artha Cipta Langgeng</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Aurubis Berango</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350"/>
        </w:trPr>
        <w:tc>
          <w:tcPr>
            <w:tcW w:w="940" w:type="dxa"/>
            <w:vAlign w:val="bottom"/>
          </w:tcPr>
          <w:p>
            <w:pPr>
              <w:spacing w:after="0"/>
              <w:rPr>
                <w:sz w:val="24"/>
                <w:szCs w:val="24"/>
                <w:color w:val="auto"/>
              </w:rPr>
            </w:pPr>
          </w:p>
        </w:tc>
        <w:tc>
          <w:tcPr>
            <w:tcW w:w="5840" w:type="dxa"/>
            <w:vAlign w:val="bottom"/>
          </w:tcPr>
          <w:p>
            <w:pPr>
              <w:jc w:val="right"/>
              <w:ind w:right="1011"/>
              <w:spacing w:after="0"/>
              <w:rPr>
                <w:sz w:val="20"/>
                <w:szCs w:val="20"/>
                <w:color w:val="auto"/>
              </w:rPr>
            </w:pPr>
            <w:r>
              <w:rPr>
                <w:rFonts w:ascii="Times New Roman" w:cs="Times New Roman" w:eastAsia="Times New Roman" w:hAnsi="Times New Roman"/>
                <w:sz w:val="11"/>
                <w:szCs w:val="11"/>
                <w:color w:val="auto"/>
              </w:rPr>
              <w:t>17</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48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CRM Synergies EMEA, S.L.U.</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CV Ayi Jaya</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Empresa Metallurgica Vinto</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Bolivia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Estanho de Rondonia S.A.</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Feinhutte Halsbrucke GmbH</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Hanhe Non-ferrous Metal Limited Company</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Luna Smelter, Ltd.</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Rwanda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Metallic Resources, Inc.</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940" w:type="dxa"/>
            <w:vAlign w:val="bottom"/>
            <w:tcBorders>
              <w:left w:val="single" w:sz="8" w:color="auto"/>
              <w:right w:val="single" w:sz="8" w:color="auto"/>
            </w:tcBorders>
          </w:tcPr>
          <w:p>
            <w:pPr>
              <w:spacing w:after="0"/>
              <w:rPr>
                <w:sz w:val="16"/>
                <w:szCs w:val="16"/>
                <w:color w:val="auto"/>
              </w:rPr>
            </w:pPr>
          </w:p>
        </w:tc>
        <w:tc>
          <w:tcPr>
            <w:tcW w:w="4360" w:type="dxa"/>
            <w:vAlign w:val="bottom"/>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Democratic Republic of the</w:t>
            </w:r>
          </w:p>
        </w:tc>
        <w:tc>
          <w:tcPr>
            <w:tcW w:w="2240" w:type="dxa"/>
            <w:vAlign w:val="bottom"/>
            <w:tcBorders>
              <w:right w:val="single" w:sz="8" w:color="auto"/>
            </w:tcBorders>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14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Congo</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Minsur</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Peru</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Bolivia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 Kay Metal, Inc</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Prima Tin</w:t>
            </w:r>
          </w:p>
        </w:tc>
        <w:tc>
          <w:tcPr>
            <w:tcW w:w="14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350"/>
        </w:trPr>
        <w:tc>
          <w:tcPr>
            <w:tcW w:w="9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80" w:type="dxa"/>
            <w:vAlign w:val="bottom"/>
          </w:tcPr>
          <w:p>
            <w:pPr>
              <w:jc w:val="right"/>
              <w:ind w:right="1046"/>
              <w:spacing w:after="0"/>
              <w:rPr>
                <w:sz w:val="20"/>
                <w:szCs w:val="20"/>
                <w:color w:val="auto"/>
              </w:rPr>
            </w:pPr>
            <w:r>
              <w:rPr>
                <w:rFonts w:ascii="Times New Roman" w:cs="Times New Roman" w:eastAsia="Times New Roman" w:hAnsi="Times New Roman"/>
                <w:sz w:val="11"/>
                <w:szCs w:val="11"/>
                <w:color w:val="auto"/>
              </w:rPr>
              <w:t>18</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PT Cipta Persada Mulia</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Stania Prima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Premium Tin Indonesia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PT Prima Timah Utama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PT Rajehan Ariq</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Rui Da Hung</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Soft Metais Ltda.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 Ligas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940" w:type="dxa"/>
            <w:vAlign w:val="bottom"/>
            <w:tcBorders>
              <w:left w:val="single" w:sz="8" w:color="auto"/>
              <w:right w:val="single" w:sz="8" w:color="auto"/>
            </w:tcBorders>
          </w:tcPr>
          <w:p>
            <w:pPr>
              <w:spacing w:after="0"/>
              <w:rPr>
                <w:sz w:val="16"/>
                <w:szCs w:val="16"/>
                <w:color w:val="auto"/>
              </w:rPr>
            </w:pPr>
          </w:p>
        </w:tc>
        <w:tc>
          <w:tcPr>
            <w:tcW w:w="5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Takehara PVD Materials Plant / PVD Materials Division of MITSUI MINING</w:t>
            </w: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&amp; SMELTING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Thaisarco</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TRATHO Metal Quimica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Uganda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940" w:type="dxa"/>
            <w:vAlign w:val="bottom"/>
            <w:tcBorders>
              <w:left w:val="single" w:sz="8" w:color="auto"/>
              <w:right w:val="single" w:sz="8" w:color="auto"/>
            </w:tcBorders>
            <w:shd w:val="clear" w:color="auto" w:fill="CCEEFF"/>
          </w:tcPr>
          <w:p>
            <w:pPr>
              <w:spacing w:after="0"/>
              <w:rPr>
                <w:sz w:val="16"/>
                <w:szCs w:val="16"/>
                <w:color w:val="auto"/>
              </w:rPr>
            </w:pPr>
          </w:p>
        </w:tc>
        <w:tc>
          <w:tcPr>
            <w:tcW w:w="584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 Cao Bang Minerals &amp; Metallurgy Joint Stock</w:t>
            </w:r>
          </w:p>
        </w:tc>
        <w:tc>
          <w:tcPr>
            <w:tcW w:w="2240" w:type="dxa"/>
            <w:vAlign w:val="bottom"/>
            <w:tcBorders>
              <w:right w:val="single" w:sz="8" w:color="auto"/>
            </w:tcBorders>
            <w:shd w:val="clear" w:color="auto" w:fill="CCEEFF"/>
          </w:tcPr>
          <w:p>
            <w:pPr>
              <w:spacing w:after="0"/>
              <w:rPr>
                <w:sz w:val="16"/>
                <w:szCs w:val="16"/>
                <w:color w:val="auto"/>
              </w:rPr>
            </w:pPr>
          </w:p>
        </w:tc>
        <w:tc>
          <w:tcPr>
            <w:tcW w:w="2240" w:type="dxa"/>
            <w:vAlign w:val="bottom"/>
            <w:tcBorders>
              <w:right w:val="single" w:sz="8" w:color="auto"/>
            </w:tcBorders>
            <w:shd w:val="clear" w:color="auto" w:fill="CCEEFF"/>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Melt Metais e Ligas S.A.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350"/>
        </w:trPr>
        <w:tc>
          <w:tcPr>
            <w:tcW w:w="940" w:type="dxa"/>
            <w:vAlign w:val="bottom"/>
          </w:tcPr>
          <w:p>
            <w:pPr>
              <w:spacing w:after="0"/>
              <w:rPr>
                <w:sz w:val="24"/>
                <w:szCs w:val="24"/>
                <w:color w:val="auto"/>
              </w:rPr>
            </w:pPr>
          </w:p>
        </w:tc>
        <w:tc>
          <w:tcPr>
            <w:tcW w:w="5840" w:type="dxa"/>
            <w:vAlign w:val="bottom"/>
          </w:tcPr>
          <w:p>
            <w:pPr>
              <w:jc w:val="right"/>
              <w:ind w:right="1011"/>
              <w:spacing w:after="0"/>
              <w:rPr>
                <w:sz w:val="20"/>
                <w:szCs w:val="20"/>
                <w:color w:val="auto"/>
              </w:rPr>
            </w:pPr>
            <w:r>
              <w:rPr>
                <w:rFonts w:ascii="Times New Roman" w:cs="Times New Roman" w:eastAsia="Times New Roman" w:hAnsi="Times New Roman"/>
                <w:sz w:val="11"/>
                <w:szCs w:val="11"/>
                <w:color w:val="auto"/>
              </w:rPr>
              <w:t>19</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PT Masbro Alam Stania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Rian Resources SDN. BHD.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Chofu Works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Dingnan Jiawang environmental Tin technology Co.</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Dongguan City Xida Soldering Tin Products Co.</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Gejiu Yunxi Group Corp.</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GUANGXI HUA TIN GOLD MINUTE FEE,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Guangxi Nonferrous Metals Group</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Guangxi Zhongshan Jin Yi Smelting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Hezhou Jinwei Tin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Hongqiao Metals (Kunshan)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Goldschmidt International (JGI Hydrometal)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 Xi Jia Wang Technology Tin Products Environmental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 JING</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191"/>
        </w:trPr>
        <w:tc>
          <w:tcPr>
            <w:tcW w:w="940" w:type="dxa"/>
            <w:vAlign w:val="bottom"/>
            <w:tcBorders>
              <w:left w:val="single" w:sz="8" w:color="auto"/>
              <w:right w:val="single" w:sz="8" w:color="auto"/>
            </w:tcBorders>
            <w:shd w:val="clear" w:color="auto" w:fill="CCEEFF"/>
          </w:tcPr>
          <w:p>
            <w:pPr>
              <w:spacing w:after="0"/>
              <w:rPr>
                <w:sz w:val="16"/>
                <w:szCs w:val="16"/>
                <w:color w:val="auto"/>
              </w:rPr>
            </w:pPr>
          </w:p>
        </w:tc>
        <w:tc>
          <w:tcPr>
            <w:tcW w:w="584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Longnan Chuangyue Environmental Protection Technology Development Co.,</w:t>
            </w:r>
          </w:p>
        </w:tc>
        <w:tc>
          <w:tcPr>
            <w:tcW w:w="2240" w:type="dxa"/>
            <w:vAlign w:val="bottom"/>
            <w:tcBorders>
              <w:right w:val="single" w:sz="8" w:color="auto"/>
            </w:tcBorders>
            <w:shd w:val="clear" w:color="auto" w:fill="CCEEFF"/>
          </w:tcPr>
          <w:p>
            <w:pPr>
              <w:spacing w:after="0"/>
              <w:rPr>
                <w:sz w:val="16"/>
                <w:szCs w:val="16"/>
                <w:color w:val="auto"/>
              </w:rPr>
            </w:pPr>
          </w:p>
        </w:tc>
        <w:tc>
          <w:tcPr>
            <w:tcW w:w="2240" w:type="dxa"/>
            <w:vAlign w:val="bottom"/>
            <w:tcBorders>
              <w:right w:val="single" w:sz="8" w:color="auto"/>
            </w:tcBorders>
            <w:shd w:val="clear" w:color="auto" w:fill="CCEEFF"/>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 An Shan Shu Guang Smelter Corp.</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Eco-Refining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Metallum Group Holding NV</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Minchali Metal Industry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Ming Li Jia smelt Metal Factory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350"/>
        </w:trPr>
        <w:tc>
          <w:tcPr>
            <w:tcW w:w="940" w:type="dxa"/>
            <w:vAlign w:val="bottom"/>
          </w:tcPr>
          <w:p>
            <w:pPr>
              <w:spacing w:after="0"/>
              <w:rPr>
                <w:sz w:val="24"/>
                <w:szCs w:val="24"/>
                <w:color w:val="auto"/>
              </w:rPr>
            </w:pPr>
          </w:p>
        </w:tc>
        <w:tc>
          <w:tcPr>
            <w:tcW w:w="5840" w:type="dxa"/>
            <w:vAlign w:val="bottom"/>
          </w:tcPr>
          <w:p>
            <w:pPr>
              <w:jc w:val="right"/>
              <w:ind w:right="1011"/>
              <w:spacing w:after="0"/>
              <w:rPr>
                <w:sz w:val="20"/>
                <w:szCs w:val="20"/>
                <w:color w:val="auto"/>
              </w:rPr>
            </w:pPr>
            <w:r>
              <w:rPr>
                <w:rFonts w:ascii="Times New Roman" w:cs="Times New Roman" w:eastAsia="Times New Roman" w:hAnsi="Times New Roman"/>
                <w:sz w:val="11"/>
                <w:szCs w:val="11"/>
                <w:color w:val="auto"/>
              </w:rPr>
              <w:t>20</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Novosibirsk Tin Combine</w:t>
            </w:r>
          </w:p>
        </w:tc>
        <w:tc>
          <w:tcPr>
            <w:tcW w:w="150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PT Timah Tbk</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Shangrao Xuri Smelting Factory</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Shenzhen Hong Chang Metal Manufacturing Factory</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Sichuan Guanghan Jiangnan casting smelters</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Sigma Tin Alloy Co., Ltd.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191"/>
        </w:trPr>
        <w:tc>
          <w:tcPr>
            <w:tcW w:w="940" w:type="dxa"/>
            <w:vAlign w:val="bottom"/>
            <w:tcBorders>
              <w:left w:val="single" w:sz="8" w:color="auto"/>
              <w:right w:val="single" w:sz="8" w:color="auto"/>
            </w:tcBorders>
          </w:tcPr>
          <w:p>
            <w:pPr>
              <w:spacing w:after="0"/>
              <w:rPr>
                <w:sz w:val="16"/>
                <w:szCs w:val="16"/>
                <w:color w:val="auto"/>
              </w:rPr>
            </w:pPr>
          </w:p>
        </w:tc>
        <w:tc>
          <w:tcPr>
            <w:tcW w:w="434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TAIWAN, PROVINCE OF</w:t>
            </w:r>
          </w:p>
        </w:tc>
        <w:tc>
          <w:tcPr>
            <w:tcW w:w="2240" w:type="dxa"/>
            <w:vAlign w:val="bottom"/>
            <w:tcBorders>
              <w:right w:val="single" w:sz="8" w:color="auto"/>
            </w:tcBorders>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5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UNKNOWN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Smelter not listed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UNKNOWN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Suzhou Nuonengda Chemical Co.,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TIN PLATING GEJIU</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Top-Team Technology (Shenzhen)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WUJIANG CITY LUXE TIN FACTORY</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Xin Furukawa Metal ( Wuxi ) Co., Ltd.</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XURI</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Yifeng Tin</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Yuecheng Tin Co., Ltd.</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Chengo Electric Smelting Plant</w:t>
            </w:r>
          </w:p>
        </w:tc>
        <w:tc>
          <w:tcPr>
            <w:tcW w:w="15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350"/>
        </w:trPr>
        <w:tc>
          <w:tcPr>
            <w:tcW w:w="9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00" w:type="dxa"/>
            <w:vAlign w:val="bottom"/>
          </w:tcPr>
          <w:p>
            <w:pPr>
              <w:jc w:val="right"/>
              <w:ind w:right="1046"/>
              <w:spacing w:after="0"/>
              <w:rPr>
                <w:sz w:val="20"/>
                <w:szCs w:val="20"/>
                <w:color w:val="auto"/>
              </w:rPr>
            </w:pPr>
            <w:r>
              <w:rPr>
                <w:rFonts w:ascii="Times New Roman" w:cs="Times New Roman" w:eastAsia="Times New Roman" w:hAnsi="Times New Roman"/>
                <w:sz w:val="11"/>
                <w:szCs w:val="11"/>
                <w:color w:val="auto"/>
              </w:rPr>
              <w:t>21</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Yunnan Copper Zinc Industry Co., Ltd.</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Industrial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Yunnan Malipo Baiyi Kuangye Co.</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Uzbekistan Technological Metallurgical Complex JSC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Uzbekistan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A.L.M.T. Corp.</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Avon Specialty Metals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U.K.</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Cronimet Brasil Ltda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Ganzhou Sunny Non-Ferrous Metals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Kennametal Fallon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Lianyou Metals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Lianyou Resources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350"/>
        </w:trPr>
        <w:tc>
          <w:tcPr>
            <w:tcW w:w="940" w:type="dxa"/>
            <w:vAlign w:val="bottom"/>
          </w:tcPr>
          <w:p>
            <w:pPr>
              <w:spacing w:after="0"/>
              <w:rPr>
                <w:sz w:val="24"/>
                <w:szCs w:val="24"/>
                <w:color w:val="auto"/>
              </w:rPr>
            </w:pPr>
          </w:p>
        </w:tc>
        <w:tc>
          <w:tcPr>
            <w:tcW w:w="5840" w:type="dxa"/>
            <w:vAlign w:val="bottom"/>
          </w:tcPr>
          <w:p>
            <w:pPr>
              <w:jc w:val="right"/>
              <w:ind w:right="1011"/>
              <w:spacing w:after="0"/>
              <w:rPr>
                <w:sz w:val="20"/>
                <w:szCs w:val="20"/>
                <w:color w:val="auto"/>
              </w:rPr>
            </w:pPr>
            <w:r>
              <w:rPr>
                <w:rFonts w:ascii="Times New Roman" w:cs="Times New Roman" w:eastAsia="Times New Roman" w:hAnsi="Times New Roman"/>
                <w:sz w:val="11"/>
                <w:szCs w:val="11"/>
                <w:color w:val="auto"/>
              </w:rPr>
              <w:t>22</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S.P.T. spol.s r.o.</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Tungamoy Metals Inc.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191"/>
        </w:trPr>
        <w:tc>
          <w:tcPr>
            <w:tcW w:w="940" w:type="dxa"/>
            <w:vAlign w:val="bottom"/>
            <w:tcBorders>
              <w:left w:val="single" w:sz="8" w:color="auto"/>
              <w:right w:val="single" w:sz="8" w:color="auto"/>
            </w:tcBorders>
            <w:shd w:val="clear" w:color="auto" w:fill="CCEEFF"/>
          </w:tcPr>
          <w:p>
            <w:pPr>
              <w:spacing w:after="0"/>
              <w:rPr>
                <w:sz w:val="16"/>
                <w:szCs w:val="16"/>
                <w:color w:val="auto"/>
              </w:rPr>
            </w:pPr>
          </w:p>
        </w:tc>
        <w:tc>
          <w:tcPr>
            <w:tcW w:w="584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Hunan Shizhuyuan Nonferrous Metals Co., Ltd. Chenzhou Tungsten Products</w:t>
            </w:r>
          </w:p>
        </w:tc>
        <w:tc>
          <w:tcPr>
            <w:tcW w:w="2240" w:type="dxa"/>
            <w:vAlign w:val="bottom"/>
            <w:tcBorders>
              <w:right w:val="single" w:sz="8" w:color="auto"/>
            </w:tcBorders>
            <w:shd w:val="clear" w:color="auto" w:fill="CCEEFF"/>
          </w:tcPr>
          <w:p>
            <w:pPr>
              <w:spacing w:after="0"/>
              <w:rPr>
                <w:sz w:val="16"/>
                <w:szCs w:val="16"/>
                <w:color w:val="auto"/>
              </w:rPr>
            </w:pPr>
          </w:p>
        </w:tc>
        <w:tc>
          <w:tcPr>
            <w:tcW w:w="2240" w:type="dxa"/>
            <w:vAlign w:val="bottom"/>
            <w:tcBorders>
              <w:right w:val="single" w:sz="8" w:color="auto"/>
            </w:tcBorders>
            <w:shd w:val="clear" w:color="auto" w:fill="CCEEFF"/>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Plansee Composite Materials GmbH</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Sanher Tungsten Vietnam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Artek LLC</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Minmetals Non-ferrous Metals Holding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 National Nonferrous Metals Imp. &amp; Exp. Jiangxi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CNMC (Guangxi) PGMA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Beseem Ferrotungsten Co., Ltd.</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Ganzhou Grand Sea W &amp; Mo Group Co., Ltd.</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Geo Enterprise</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Georgia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8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Hydrometallurg, JSC</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350"/>
        </w:trPr>
        <w:tc>
          <w:tcPr>
            <w:tcW w:w="940" w:type="dxa"/>
            <w:vAlign w:val="bottom"/>
          </w:tcPr>
          <w:p>
            <w:pPr>
              <w:spacing w:after="0"/>
              <w:rPr>
                <w:sz w:val="24"/>
                <w:szCs w:val="24"/>
                <w:color w:val="auto"/>
              </w:rPr>
            </w:pPr>
          </w:p>
        </w:tc>
        <w:tc>
          <w:tcPr>
            <w:tcW w:w="5840" w:type="dxa"/>
            <w:vAlign w:val="bottom"/>
          </w:tcPr>
          <w:p>
            <w:pPr>
              <w:jc w:val="right"/>
              <w:ind w:right="1011"/>
              <w:spacing w:after="0"/>
              <w:rPr>
                <w:sz w:val="20"/>
                <w:szCs w:val="20"/>
                <w:color w:val="auto"/>
              </w:rPr>
            </w:pPr>
            <w:r>
              <w:rPr>
                <w:rFonts w:ascii="Times New Roman" w:cs="Times New Roman" w:eastAsia="Times New Roman" w:hAnsi="Times New Roman"/>
                <w:sz w:val="11"/>
                <w:szCs w:val="11"/>
                <w:color w:val="auto"/>
              </w:rPr>
              <w:t>23</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15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Rare Metals Tungsten Holdings Group Co., Ltd.</w:t>
            </w:r>
          </w:p>
        </w:tc>
        <w:tc>
          <w:tcPr>
            <w:tcW w:w="15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Moliren Ltd.</w:t>
            </w:r>
          </w:p>
        </w:tc>
        <w:tc>
          <w:tcPr>
            <w:tcW w:w="15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Viet Nam</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NPP Tyazhmetprom LLC</w:t>
            </w:r>
          </w:p>
        </w:tc>
        <w:tc>
          <w:tcPr>
            <w:tcW w:w="15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OOO “Technolom” 1</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OOO “Technolom” 2</w:t>
            </w:r>
          </w:p>
        </w:tc>
        <w:tc>
          <w:tcPr>
            <w:tcW w:w="15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 Diversified Industries LLC</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WOLFRAM Company CJSC</w:t>
            </w:r>
          </w:p>
        </w:tc>
        <w:tc>
          <w:tcPr>
            <w:tcW w:w="15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10"/>
        </w:trPr>
        <w:tc>
          <w:tcPr>
            <w:tcW w:w="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Zhangzhou Chuen Bao Apt Smeltery Co., Ltd.</w:t>
            </w:r>
          </w:p>
        </w:tc>
        <w:tc>
          <w:tcPr>
            <w:tcW w:w="15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209"/>
        </w:trPr>
        <w:tc>
          <w:tcPr>
            <w:tcW w:w="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Smelter Look-up</w:t>
            </w:r>
          </w:p>
        </w:tc>
      </w:tr>
      <w:tr>
        <w:trPr>
          <w:trHeight w:val="336"/>
        </w:trPr>
        <w:tc>
          <w:tcPr>
            <w:tcW w:w="9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20" w:type="dxa"/>
            <w:vAlign w:val="bottom"/>
          </w:tcPr>
          <w:p>
            <w:pPr>
              <w:jc w:val="right"/>
              <w:ind w:right="1046"/>
              <w:spacing w:after="0"/>
              <w:rPr>
                <w:sz w:val="20"/>
                <w:szCs w:val="20"/>
                <w:color w:val="auto"/>
              </w:rPr>
            </w:pPr>
            <w:r>
              <w:rPr>
                <w:rFonts w:ascii="Times New Roman" w:cs="Times New Roman" w:eastAsia="Times New Roman" w:hAnsi="Times New Roman"/>
                <w:sz w:val="11"/>
                <w:szCs w:val="11"/>
                <w:color w:val="auto"/>
              </w:rPr>
              <w:t>24</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6"/>
        </w:trPr>
        <w:tc>
          <w:tcPr>
            <w:tcW w:w="94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268"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April 22,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Country of Origin Inquiry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 of countries of origin for Conflict Minerals processed by the smelters and refiners includes, but is not limited to,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27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Tin</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Tungsten</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Andorra</w:t>
            </w:r>
          </w:p>
        </w:tc>
        <w:tc>
          <w:tcPr>
            <w:tcW w:w="2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Austria</w:t>
            </w: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Australia</w:t>
            </w: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2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Brazil</w:t>
            </w: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Belgium</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c>
          <w:tcPr>
            <w:tcW w:w="2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China</w:t>
            </w: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Bolivia</w:t>
            </w: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2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Estonia</w:t>
            </w: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Brazil</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Germany</w:t>
            </w: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India</w:t>
            </w: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Democratic Republic of the Congo</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Chile</w:t>
            </w:r>
          </w:p>
        </w:tc>
        <w:tc>
          <w:tcPr>
            <w:tcW w:w="2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Japan</w:t>
            </w: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Germany</w:t>
            </w: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Kazakhstan</w:t>
            </w: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India</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Colombia</w:t>
            </w:r>
          </w:p>
        </w:tc>
        <w:tc>
          <w:tcPr>
            <w:tcW w:w="2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Mexico</w:t>
            </w: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Russian Federation</w:t>
            </w: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Japan</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2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Rwanda</w:t>
            </w: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Malaysia</w:t>
            </w: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Thailand</w:t>
            </w: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Peru</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U.K.</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U.K.</w:t>
            </w: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Philippines</w:t>
            </w: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Ghana</w:t>
            </w:r>
          </w:p>
        </w:tc>
        <w:tc>
          <w:tcPr>
            <w:tcW w:w="2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United States</w:t>
            </w: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Poland</w:t>
            </w: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2780" w:type="dxa"/>
            <w:vAlign w:val="bottom"/>
            <w:shd w:val="clear" w:color="auto" w:fill="CCEEFF"/>
          </w:tcPr>
          <w:p>
            <w:pPr>
              <w:spacing w:after="0"/>
              <w:rPr>
                <w:sz w:val="18"/>
                <w:szCs w:val="18"/>
                <w:color w:val="auto"/>
              </w:rPr>
            </w:pP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Russian Federation</w:t>
            </w: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780" w:type="dxa"/>
            <w:vAlign w:val="bottom"/>
          </w:tcPr>
          <w:p>
            <w:pPr>
              <w:spacing w:after="0"/>
              <w:rPr>
                <w:sz w:val="18"/>
                <w:szCs w:val="18"/>
                <w:color w:val="auto"/>
              </w:rPr>
            </w:pP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Rwanda</w:t>
            </w:r>
          </w:p>
        </w:tc>
        <w:tc>
          <w:tcPr>
            <w:tcW w:w="29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2780" w:type="dxa"/>
            <w:vAlign w:val="bottom"/>
            <w:shd w:val="clear" w:color="auto" w:fill="CCEEFF"/>
          </w:tcPr>
          <w:p>
            <w:pPr>
              <w:spacing w:after="0"/>
              <w:rPr>
                <w:sz w:val="18"/>
                <w:szCs w:val="18"/>
                <w:color w:val="auto"/>
              </w:rPr>
            </w:pP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Spain</w:t>
            </w:r>
          </w:p>
        </w:tc>
        <w:tc>
          <w:tcPr>
            <w:tcW w:w="296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2780" w:type="dxa"/>
            <w:vAlign w:val="bottom"/>
          </w:tcPr>
          <w:p>
            <w:pPr>
              <w:spacing w:after="0"/>
              <w:rPr>
                <w:sz w:val="18"/>
                <w:szCs w:val="18"/>
                <w:color w:val="auto"/>
              </w:rPr>
            </w:pP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Taiwan</w:t>
            </w:r>
          </w:p>
        </w:tc>
        <w:tc>
          <w:tcPr>
            <w:tcW w:w="29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780" w:type="dxa"/>
            <w:vAlign w:val="bottom"/>
            <w:shd w:val="clear" w:color="auto" w:fill="CCEEFF"/>
          </w:tcPr>
          <w:p>
            <w:pPr>
              <w:spacing w:after="0"/>
              <w:rPr>
                <w:sz w:val="18"/>
                <w:szCs w:val="18"/>
                <w:color w:val="auto"/>
              </w:rPr>
            </w:pP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96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Kazakhstan</w:t>
            </w:r>
          </w:p>
        </w:tc>
        <w:tc>
          <w:tcPr>
            <w:tcW w:w="2780" w:type="dxa"/>
            <w:vAlign w:val="bottom"/>
          </w:tcPr>
          <w:p>
            <w:pPr>
              <w:spacing w:after="0"/>
              <w:rPr>
                <w:sz w:val="18"/>
                <w:szCs w:val="18"/>
                <w:color w:val="auto"/>
              </w:rPr>
            </w:pP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Thailand</w:t>
            </w:r>
          </w:p>
        </w:tc>
        <w:tc>
          <w:tcPr>
            <w:tcW w:w="29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80" w:type="dxa"/>
            <w:vAlign w:val="bottom"/>
            <w:shd w:val="clear" w:color="auto" w:fill="CCEEFF"/>
          </w:tcPr>
          <w:p>
            <w:pPr>
              <w:spacing w:after="0"/>
              <w:rPr>
                <w:sz w:val="18"/>
                <w:szCs w:val="18"/>
                <w:color w:val="auto"/>
              </w:rPr>
            </w:pP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Uganda</w:t>
            </w:r>
          </w:p>
        </w:tc>
        <w:tc>
          <w:tcPr>
            <w:tcW w:w="296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Kyrgyzstan</w:t>
            </w:r>
          </w:p>
        </w:tc>
        <w:tc>
          <w:tcPr>
            <w:tcW w:w="2780" w:type="dxa"/>
            <w:vAlign w:val="bottom"/>
          </w:tcPr>
          <w:p>
            <w:pPr>
              <w:spacing w:after="0"/>
              <w:rPr>
                <w:sz w:val="18"/>
                <w:szCs w:val="18"/>
                <w:color w:val="auto"/>
              </w:rPr>
            </w:pPr>
          </w:p>
        </w:tc>
        <w:tc>
          <w:tcPr>
            <w:tcW w:w="3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United States</w:t>
            </w:r>
          </w:p>
        </w:tc>
        <w:tc>
          <w:tcPr>
            <w:tcW w:w="29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Lithuania</w:t>
            </w:r>
          </w:p>
        </w:tc>
        <w:tc>
          <w:tcPr>
            <w:tcW w:w="2780" w:type="dxa"/>
            <w:vAlign w:val="bottom"/>
            <w:shd w:val="clear" w:color="auto" w:fill="CCEEFF"/>
          </w:tcPr>
          <w:p>
            <w:pPr>
              <w:spacing w:after="0"/>
              <w:rPr>
                <w:sz w:val="18"/>
                <w:szCs w:val="18"/>
                <w:color w:val="auto"/>
              </w:rPr>
            </w:pPr>
          </w:p>
        </w:tc>
        <w:tc>
          <w:tcPr>
            <w:tcW w:w="3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Viet Nam</w:t>
            </w:r>
          </w:p>
        </w:tc>
        <w:tc>
          <w:tcPr>
            <w:tcW w:w="296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2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27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Zealand</w:t>
            </w:r>
          </w:p>
        </w:tc>
        <w:tc>
          <w:tcPr>
            <w:tcW w:w="27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c>
          <w:tcPr>
            <w:tcW w:w="2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Peru</w:t>
            </w:r>
          </w:p>
        </w:tc>
        <w:tc>
          <w:tcPr>
            <w:tcW w:w="27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7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Rwanda</w:t>
            </w:r>
          </w:p>
        </w:tc>
        <w:tc>
          <w:tcPr>
            <w:tcW w:w="2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7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518"/>
        </w:trPr>
        <w:tc>
          <w:tcPr>
            <w:tcW w:w="2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25</w:t>
            </w:r>
          </w:p>
        </w:tc>
        <w:tc>
          <w:tcPr>
            <w:tcW w:w="2960" w:type="dxa"/>
            <w:vAlign w:val="bottom"/>
          </w:tcPr>
          <w:p>
            <w:pPr>
              <w:spacing w:after="0"/>
              <w:rPr>
                <w:sz w:val="24"/>
                <w:szCs w:val="24"/>
                <w:color w:val="auto"/>
              </w:rPr>
            </w:pPr>
          </w:p>
        </w:tc>
      </w:tr>
      <w:tr>
        <w:trPr>
          <w:trHeight w:val="56"/>
        </w:trPr>
        <w:tc>
          <w:tcPr>
            <w:tcW w:w="21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23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Taiwan, Province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Zimbabwe</w:t>
      </w:r>
    </w:p>
    <w:p>
      <w:pPr>
        <w:spacing w:after="0" w:line="21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70"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Helpful Resources</w:t>
            </w:r>
          </w:p>
        </w:tc>
        <w:tc>
          <w:tcPr>
            <w:tcW w:w="8640" w:type="dxa"/>
            <w:vAlign w:val="bottom"/>
          </w:tcPr>
          <w:p>
            <w:pPr>
              <w:spacing w:after="0"/>
              <w:rPr>
                <w:sz w:val="20"/>
                <w:szCs w:val="20"/>
                <w:color w:val="auto"/>
              </w:rPr>
            </w:pP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Acronyms Used in This Report</w:t>
            </w:r>
          </w:p>
        </w:tc>
        <w:tc>
          <w:tcPr>
            <w:tcW w:w="8640" w:type="dxa"/>
            <w:vAlign w:val="bottom"/>
          </w:tcPr>
          <w:p>
            <w:pPr>
              <w:spacing w:after="0"/>
              <w:rPr>
                <w:sz w:val="24"/>
                <w:szCs w:val="24"/>
                <w:color w:val="auto"/>
              </w:rPr>
            </w:pPr>
          </w:p>
        </w:tc>
      </w:tr>
      <w:tr>
        <w:trPr>
          <w:trHeight w:val="243"/>
        </w:trPr>
        <w:tc>
          <w:tcPr>
            <w:tcW w:w="2600" w:type="dxa"/>
            <w:vAlign w:val="bottom"/>
          </w:tcPr>
          <w:p>
            <w:pPr>
              <w:spacing w:after="0"/>
              <w:rPr>
                <w:sz w:val="21"/>
                <w:szCs w:val="21"/>
                <w:color w:val="auto"/>
              </w:rPr>
            </w:pPr>
          </w:p>
        </w:tc>
        <w:tc>
          <w:tcPr>
            <w:tcW w:w="8640" w:type="dxa"/>
            <w:vAlign w:val="bottom"/>
          </w:tcPr>
          <w:p>
            <w:pPr>
              <w:spacing w:after="0"/>
              <w:rPr>
                <w:sz w:val="21"/>
                <w:szCs w:val="2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3TG</w:t>
            </w:r>
          </w:p>
        </w:tc>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Tin, Tantalum, Tungsten or Gold</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CMRT</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Conflict Minerals Reporting Template</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DRC</w:t>
            </w:r>
          </w:p>
        </w:tc>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Democratic Republic of the Congo</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OECD</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Organization for Economic Cooperation and Development</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OFAC</w:t>
            </w:r>
          </w:p>
        </w:tc>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Office of Foreign Assets Control</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RCOI</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Reasonable Country of Origin Inquiry</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w:t>
            </w:r>
          </w:p>
        </w:tc>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Responsible Minerals Assurance Process (formerly the Conflict-Free Smelter Program)</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RMI</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Responsible Minerals Initiative (formerly the Conflict-Free Sourcing Initiative)</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8640" w:type="dxa"/>
            <w:vAlign w:val="bottom"/>
          </w:tcPr>
          <w:p>
            <w:pPr>
              <w:spacing w:after="0"/>
              <w:rPr>
                <w:sz w:val="24"/>
                <w:szCs w:val="24"/>
                <w:color w:val="auto"/>
              </w:rPr>
            </w:pPr>
          </w:p>
        </w:tc>
      </w:tr>
    </w:tbl>
    <w:p>
      <w:pPr>
        <w:spacing w:after="0" w:line="19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This Report contains "forward-looking statements" – that is, statements based on our current expectations and projections about future events. These forward-looking statements are subject to various risks, uncertainties, and assumptions. For details on the uncertainties that may cause our actual future results to be materially different than those expressed in our forward-looking statements, see our annual reports on Form 10-K and quarterly reports on Form 10-Q. We undertake no obligation to update any statement to reflect events or circumstances after the date on which the statement is made or to reflect the occurrence of unanticipated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Wabtec Responsible Minerals Policy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https://ir.wabteccorp.com/static-files/eb2e79c0-1128-4ffd-9d1f-3425302bdc54?inline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Wabtec Supplier Code of Conduct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https://ir.wabteccorp.com/static-files/bb0dbc43-6373-4810-8ac1-1f39b8ca8ae3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Wabtec Code of Business Conduct and Ethics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https://ir.wabteccorp.com/static-files/fe76c10c-8311-4f5d-94d6-4ae16fbe98ff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Responsible Minerals Initiative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http://www.responsiblemineralsinitiative.org</w:t>
      </w:r>
    </w:p>
    <w:p>
      <w:pPr>
        <w:spacing w:after="0" w:line="203" w:lineRule="exact"/>
        <w:rPr>
          <w:sz w:val="20"/>
          <w:szCs w:val="20"/>
          <w:color w:val="auto"/>
        </w:rPr>
      </w:pPr>
    </w:p>
    <w:p>
      <w:pPr>
        <w:ind w:right="20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OECD Due Diligence Guidance for Responsible Supply Chains of Minerals from Conflict-Affected and High-Risk Areas </w:t>
      </w:r>
      <w:r>
        <w:rPr>
          <w:rFonts w:ascii="Times New Roman" w:cs="Times New Roman" w:eastAsia="Times New Roman" w:hAnsi="Times New Roman"/>
          <w:sz w:val="18"/>
          <w:szCs w:val="18"/>
          <w:u w:val="single" w:color="auto"/>
          <w:color w:val="auto"/>
        </w:rPr>
        <w:t>www.oecd.org/daf/inv/mne/OECD-Due-Diligence-Guidance-Minerals-Edition3.pdf</w:t>
      </w:r>
    </w:p>
    <w:p>
      <w:pPr>
        <w:spacing w:after="0" w:line="155" w:lineRule="exact"/>
        <w:rPr>
          <w:sz w:val="20"/>
          <w:szCs w:val="20"/>
          <w:color w:val="auto"/>
        </w:rPr>
      </w:pPr>
    </w:p>
    <w:p>
      <w:pPr>
        <w:ind w:right="55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Wabtec’s 2025 Annual Report on Form 10-K </w:t>
      </w:r>
      <w:r>
        <w:rPr>
          <w:rFonts w:ascii="Times New Roman" w:cs="Times New Roman" w:eastAsia="Times New Roman" w:hAnsi="Times New Roman"/>
          <w:sz w:val="17"/>
          <w:szCs w:val="17"/>
          <w:u w:val="single" w:color="auto"/>
          <w:color w:val="auto"/>
        </w:rPr>
        <w:t>https://ir.wabteccorp.com/static-files/89010578-581f-4ec7-ba92-f18b7bc1213b</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web links are provided for convenience only, and the content on the referenced websites does not constitute a part of this Report.</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Wabtec and the Wabtec logo are trademarks and service marks of Wabtec Corporation. Other marks used throughout are trademarks and service marks of their respective owners.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sectPr>
      <w:pgSz w:w="11900" w:h="16838" w:orient="portrait"/>
      <w:cols w:equalWidth="0" w:num="1">
        <w:col w:w="11240"/>
      </w:cols>
      <w:pgMar w:left="320" w:top="2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1."/>
      <w:numFmt w:val="upperLetter"/>
      <w:start w:val="2"/>
    </w:lvl>
    <w:lvl w:ilvl="1">
      <w:lvlJc w:val="left"/>
      <w:lvlText w:val="o"/>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3"/>
    </w:lvl>
  </w:abstractNum>
  <w:abstractNum w:abstractNumId="7">
    <w:nsid w:val="5BD062C2"/>
    <w:multiLevelType w:val="hybridMultilevel"/>
    <w:lvl w:ilvl="0">
      <w:lvlJc w:val="left"/>
      <w:lvlText w:val="%1."/>
      <w:numFmt w:val="upperLetter"/>
      <w:start w:val="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2026-06-01T05:36:31Z</dcterms:created>
  <dcterms:modified xsi:type="dcterms:W3CDTF">2026-06-01T05:36:31Z</dcterms:modified>
</cp:coreProperties>
</file>