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5332.xml.htm"/>
      <w:bookmarkStart w:id="1" w:name="kswkform4_17884653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Santana Rafael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591"/>
        <w:gridCol w:w="378"/>
        <w:gridCol w:w="784"/>
        <w:gridCol w:w="435"/>
        <w:gridCol w:w="1105"/>
        <w:gridCol w:w="1145"/>
        <w:gridCol w:w="99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278.9334</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119,231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279.8706</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280.8597</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118,447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281.7428</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118,329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279.2061</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117,959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280.2138</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117,636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281.0998</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117,368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282.0303</w:t>
            </w:r>
            <w:r>
              <w:rPr>
                <w:rFonts w:ascii="Times;serif" w:hAnsi="Times;serif"/>
                <w:color w:val="008000"/>
                <w:position w:val="7"/>
                <w:sz w:val="16"/>
                <w:sz w:val="20"/>
                <w:shd w:fill="FFFFFF" w:val="clear"/>
              </w:rPr>
              <w:t>(8)</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117,242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$278.3725 to $279.37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$279.39 to $280.36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within $1.00 ranging from $280.4575 to $281.44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$1.00 ranging from $281.5375 to $281.9050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within $1.00 ranging from $278.71 to $279.6825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within $1.00 ranging from $279.7275 to $280.665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within $1.00 ranging from $280.7350 to $281.48 inclusive. The reporting person undertakes to provide Wabtec, any security holder of Wabtec, or the staff of the Securities and Exchange Commission, upon request, full information regarding the number of shares sold at each separate price within the range set forth in footnote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within $1.00 ranging from $281.7675 to $282.285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Rafael Santana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799"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1267</Words>
  <Characters>6646</Characters>
  <CharactersWithSpaces>7774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